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AFFB2" w14:textId="77777777" w:rsidR="007F2E64" w:rsidRDefault="007F2E64" w:rsidP="00E976AB">
      <w:pPr>
        <w:pStyle w:val="AATitle"/>
        <w:keepNext w:val="0"/>
        <w:keepLines w:val="0"/>
        <w:rPr>
          <w:bCs/>
          <w:lang w:val="fr-FR"/>
        </w:rPr>
      </w:pPr>
    </w:p>
    <w:tbl>
      <w:tblPr>
        <w:tblW w:w="5000" w:type="pct"/>
        <w:jc w:val="right"/>
        <w:tblLayout w:type="fixed"/>
        <w:tblLook w:val="0000" w:firstRow="0" w:lastRow="0" w:firstColumn="0" w:lastColumn="0" w:noHBand="0" w:noVBand="0"/>
      </w:tblPr>
      <w:tblGrid>
        <w:gridCol w:w="1519"/>
        <w:gridCol w:w="4643"/>
        <w:gridCol w:w="3335"/>
      </w:tblGrid>
      <w:tr w:rsidR="007F2E64" w:rsidRPr="002E1230" w14:paraId="59E39E4C" w14:textId="77777777" w:rsidTr="003A1D64">
        <w:trPr>
          <w:cantSplit/>
          <w:trHeight w:val="57"/>
          <w:jc w:val="right"/>
        </w:trPr>
        <w:tc>
          <w:tcPr>
            <w:tcW w:w="1550" w:type="dxa"/>
          </w:tcPr>
          <w:p w14:paraId="793E7C56" w14:textId="77777777" w:rsidR="007F2E64" w:rsidRPr="00637FDF" w:rsidRDefault="007F2E64" w:rsidP="003A1D64">
            <w:pPr>
              <w:rPr>
                <w:rFonts w:ascii="Arial" w:hAnsi="Arial" w:cs="Arial"/>
                <w:b/>
                <w:sz w:val="27"/>
                <w:szCs w:val="27"/>
              </w:rPr>
            </w:pPr>
            <w:r w:rsidRPr="00637FDF">
              <w:rPr>
                <w:rFonts w:ascii="Arial" w:hAnsi="Arial" w:cs="Arial"/>
                <w:b/>
                <w:bCs/>
                <w:sz w:val="27"/>
                <w:szCs w:val="27"/>
                <w:lang w:val="fr-FR"/>
              </w:rPr>
              <w:t>NATIONS UNIES</w:t>
            </w:r>
          </w:p>
        </w:tc>
        <w:tc>
          <w:tcPr>
            <w:tcW w:w="4751" w:type="dxa"/>
          </w:tcPr>
          <w:p w14:paraId="6D34F2E4" w14:textId="77777777" w:rsidR="007F2E64" w:rsidRPr="002E1230" w:rsidRDefault="007F2E64" w:rsidP="003A1D64">
            <w:pPr>
              <w:rPr>
                <w:rFonts w:ascii="Univers" w:hAnsi="Univers"/>
                <w:b/>
                <w:sz w:val="27"/>
                <w:szCs w:val="27"/>
              </w:rPr>
            </w:pPr>
          </w:p>
        </w:tc>
        <w:tc>
          <w:tcPr>
            <w:tcW w:w="3411" w:type="dxa"/>
          </w:tcPr>
          <w:p w14:paraId="2356F437" w14:textId="77777777" w:rsidR="007F2E64" w:rsidRPr="00637FDF" w:rsidRDefault="007F2E64" w:rsidP="003A1D64">
            <w:pPr>
              <w:jc w:val="right"/>
              <w:rPr>
                <w:rFonts w:ascii="Arial" w:hAnsi="Arial" w:cs="Arial"/>
                <w:b/>
                <w:sz w:val="64"/>
                <w:szCs w:val="64"/>
              </w:rPr>
            </w:pPr>
            <w:r w:rsidRPr="00637FDF">
              <w:rPr>
                <w:rFonts w:ascii="Arial" w:hAnsi="Arial" w:cs="Arial"/>
                <w:b/>
                <w:bCs/>
                <w:sz w:val="64"/>
                <w:szCs w:val="64"/>
                <w:lang w:val="fr-FR"/>
              </w:rPr>
              <w:t>MC</w:t>
            </w:r>
          </w:p>
        </w:tc>
      </w:tr>
      <w:tr w:rsidR="007F2E64" w:rsidRPr="002E1230" w14:paraId="0386ABC3" w14:textId="77777777" w:rsidTr="003A1D64">
        <w:trPr>
          <w:cantSplit/>
          <w:trHeight w:val="57"/>
          <w:jc w:val="right"/>
        </w:trPr>
        <w:tc>
          <w:tcPr>
            <w:tcW w:w="1550" w:type="dxa"/>
            <w:tcBorders>
              <w:bottom w:val="single" w:sz="4" w:space="0" w:color="auto"/>
            </w:tcBorders>
          </w:tcPr>
          <w:p w14:paraId="0C3CABEB" w14:textId="77777777" w:rsidR="007F2E64" w:rsidRPr="002E1230" w:rsidRDefault="007F2E64" w:rsidP="003A1D64">
            <w:pPr>
              <w:pStyle w:val="Normal-pool"/>
            </w:pPr>
          </w:p>
        </w:tc>
        <w:tc>
          <w:tcPr>
            <w:tcW w:w="4751" w:type="dxa"/>
            <w:tcBorders>
              <w:bottom w:val="single" w:sz="4" w:space="0" w:color="auto"/>
            </w:tcBorders>
          </w:tcPr>
          <w:p w14:paraId="0E9C15D7" w14:textId="77777777" w:rsidR="007F2E64" w:rsidRPr="002E1230" w:rsidRDefault="007F2E64" w:rsidP="003A1D64">
            <w:pPr>
              <w:pStyle w:val="Normal-pool"/>
            </w:pPr>
          </w:p>
        </w:tc>
        <w:tc>
          <w:tcPr>
            <w:tcW w:w="3411" w:type="dxa"/>
            <w:tcBorders>
              <w:bottom w:val="single" w:sz="4" w:space="0" w:color="auto"/>
            </w:tcBorders>
          </w:tcPr>
          <w:p w14:paraId="14FE86D1" w14:textId="2C02FBBA" w:rsidR="007F2E64" w:rsidRPr="002E1230" w:rsidRDefault="007F2E64" w:rsidP="003A1D64">
            <w:pPr>
              <w:rPr>
                <w:sz w:val="18"/>
                <w:szCs w:val="18"/>
              </w:rPr>
            </w:pPr>
            <w:r w:rsidRPr="00637FDF">
              <w:rPr>
                <w:b/>
                <w:bCs/>
                <w:sz w:val="28"/>
                <w:szCs w:val="28"/>
                <w:lang w:val="fr-FR"/>
              </w:rPr>
              <w:t>UNEP</w:t>
            </w:r>
            <w:r>
              <w:rPr>
                <w:lang w:val="fr-FR"/>
              </w:rPr>
              <w:t>/MC/COP.3/16</w:t>
            </w:r>
          </w:p>
        </w:tc>
      </w:tr>
      <w:bookmarkStart w:id="0" w:name="_MON_1021710510"/>
      <w:bookmarkEnd w:id="0"/>
      <w:bookmarkStart w:id="1" w:name="_MON_1021710482"/>
      <w:bookmarkEnd w:id="1"/>
      <w:tr w:rsidR="007F2E64" w:rsidRPr="003A1D64" w14:paraId="7D2D9F8F" w14:textId="77777777" w:rsidTr="003A1D64">
        <w:trPr>
          <w:cantSplit/>
          <w:trHeight w:val="57"/>
          <w:jc w:val="right"/>
        </w:trPr>
        <w:tc>
          <w:tcPr>
            <w:tcW w:w="1550" w:type="dxa"/>
            <w:tcBorders>
              <w:top w:val="single" w:sz="4" w:space="0" w:color="auto"/>
              <w:bottom w:val="single" w:sz="24" w:space="0" w:color="auto"/>
            </w:tcBorders>
          </w:tcPr>
          <w:p w14:paraId="60781548" w14:textId="77777777" w:rsidR="007F2E64" w:rsidRPr="002E1230" w:rsidRDefault="007F2E64" w:rsidP="003A1D64">
            <w:r w:rsidRPr="002E1230">
              <w:rPr>
                <w:noProof/>
              </w:rPr>
              <w:object w:dxaOrig="1831" w:dyaOrig="1726" w14:anchorId="7883F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57.75pt;mso-width-percent:0;mso-height-percent:0;mso-width-percent:0;mso-height-percent:0" o:ole="" fillcolor="window">
                  <v:imagedata r:id="rId11" o:title=""/>
                </v:shape>
                <o:OLEObject Type="Embed" ProgID="Word.Picture.8" ShapeID="_x0000_i1025" DrawAspect="Content" ObjectID="_1635599321" r:id="rId12"/>
              </w:object>
            </w:r>
            <w:r w:rsidRPr="002E1230">
              <w:rPr>
                <w:noProof/>
                <w:lang w:val="fr-FR" w:eastAsia="fr-FR"/>
              </w:rPr>
              <w:drawing>
                <wp:inline distT="0" distB="0" distL="0" distR="0" wp14:anchorId="49AB87A2" wp14:editId="547F1DC1">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79D542E5" w14:textId="108190AE" w:rsidR="007F2E64" w:rsidRPr="00637FDF" w:rsidRDefault="007F2E64" w:rsidP="003A1D64">
            <w:pPr>
              <w:spacing w:before="1200"/>
              <w:rPr>
                <w:rFonts w:ascii="Arial" w:hAnsi="Arial" w:cs="Arial"/>
                <w:b/>
                <w:sz w:val="32"/>
                <w:szCs w:val="32"/>
                <w:lang w:val="fr-FR"/>
              </w:rPr>
            </w:pPr>
            <w:r w:rsidRPr="008D77D5">
              <w:rPr>
                <w:rFonts w:ascii="Arial" w:hAnsi="Arial" w:cs="Arial"/>
                <w:b/>
                <w:sz w:val="32"/>
                <w:szCs w:val="32"/>
                <w:lang w:val="fr-FR"/>
              </w:rPr>
              <w:t xml:space="preserve">Programme </w:t>
            </w:r>
            <w:r w:rsidRPr="008D77D5">
              <w:rPr>
                <w:rFonts w:ascii="Arial" w:hAnsi="Arial" w:cs="Arial"/>
                <w:b/>
                <w:sz w:val="32"/>
                <w:szCs w:val="32"/>
                <w:lang w:val="fr-FR"/>
              </w:rPr>
              <w:br w:type="textWrapping" w:clear="all"/>
              <w:t xml:space="preserve">des Nations Unies </w:t>
            </w:r>
            <w:r w:rsidRPr="008D77D5">
              <w:rPr>
                <w:rFonts w:ascii="Arial" w:hAnsi="Arial" w:cs="Arial"/>
                <w:b/>
                <w:sz w:val="32"/>
                <w:szCs w:val="32"/>
                <w:lang w:val="fr-FR"/>
              </w:rPr>
              <w:br w:type="textWrapping" w:clear="all"/>
              <w:t>pour l</w:t>
            </w:r>
            <w:r w:rsidR="002A6A82">
              <w:rPr>
                <w:rFonts w:ascii="Arial" w:hAnsi="Arial" w:cs="Arial"/>
                <w:b/>
                <w:sz w:val="32"/>
                <w:szCs w:val="32"/>
                <w:lang w:val="fr-FR"/>
              </w:rPr>
              <w:t>’</w:t>
            </w:r>
            <w:r w:rsidRPr="008D77D5">
              <w:rPr>
                <w:rFonts w:ascii="Arial" w:hAnsi="Arial" w:cs="Arial"/>
                <w:b/>
                <w:sz w:val="32"/>
                <w:szCs w:val="32"/>
                <w:lang w:val="fr-FR"/>
              </w:rPr>
              <w:t>environnement</w:t>
            </w:r>
          </w:p>
        </w:tc>
        <w:tc>
          <w:tcPr>
            <w:tcW w:w="3411" w:type="dxa"/>
            <w:tcBorders>
              <w:top w:val="single" w:sz="4" w:space="0" w:color="auto"/>
              <w:bottom w:val="single" w:sz="24" w:space="0" w:color="auto"/>
            </w:tcBorders>
          </w:tcPr>
          <w:p w14:paraId="05743FEF" w14:textId="77777777" w:rsidR="007F2E64" w:rsidRDefault="007F2E64" w:rsidP="003A1D64">
            <w:pPr>
              <w:spacing w:before="120"/>
              <w:rPr>
                <w:lang w:val="fr-FR"/>
              </w:rPr>
            </w:pPr>
            <w:r>
              <w:rPr>
                <w:lang w:val="fr-FR"/>
              </w:rPr>
              <w:t>Distr. générale</w:t>
            </w:r>
          </w:p>
          <w:p w14:paraId="57C5674D" w14:textId="482C51D8" w:rsidR="007F2E64" w:rsidRDefault="007F2E64" w:rsidP="003A1D64">
            <w:pPr>
              <w:rPr>
                <w:lang w:val="fr-FR"/>
              </w:rPr>
            </w:pPr>
            <w:r>
              <w:rPr>
                <w:lang w:val="fr-FR"/>
              </w:rPr>
              <w:t>3 octobre 2019</w:t>
            </w:r>
          </w:p>
          <w:p w14:paraId="4B18C6A5" w14:textId="77777777" w:rsidR="007F2E64" w:rsidRPr="001C442B" w:rsidRDefault="007F2E64" w:rsidP="003A1D64">
            <w:pPr>
              <w:rPr>
                <w:lang w:val="fr-FR"/>
              </w:rPr>
            </w:pPr>
          </w:p>
          <w:p w14:paraId="10898156" w14:textId="77777777" w:rsidR="007F2E64" w:rsidRDefault="007F2E64" w:rsidP="003A1D64">
            <w:pPr>
              <w:rPr>
                <w:lang w:val="fr-FR"/>
              </w:rPr>
            </w:pPr>
            <w:r>
              <w:rPr>
                <w:lang w:val="fr-FR"/>
              </w:rPr>
              <w:t>Français</w:t>
            </w:r>
          </w:p>
          <w:p w14:paraId="0633681C" w14:textId="77777777" w:rsidR="007F2E64" w:rsidRPr="001C442B" w:rsidRDefault="007F2E64" w:rsidP="003A1D64">
            <w:pPr>
              <w:rPr>
                <w:lang w:val="fr-FR"/>
              </w:rPr>
            </w:pPr>
            <w:r>
              <w:rPr>
                <w:lang w:val="fr-FR"/>
              </w:rPr>
              <w:t>Original : anglais</w:t>
            </w:r>
          </w:p>
        </w:tc>
      </w:tr>
    </w:tbl>
    <w:p w14:paraId="5A4F234A" w14:textId="77777777" w:rsidR="007F2E64" w:rsidRPr="001C442B" w:rsidRDefault="007F2E64" w:rsidP="007F2E64">
      <w:pPr>
        <w:pStyle w:val="AATitle"/>
        <w:keepNext w:val="0"/>
        <w:keepLines w:val="0"/>
        <w:rPr>
          <w:lang w:val="fr-FR"/>
        </w:rPr>
      </w:pPr>
      <w:r>
        <w:rPr>
          <w:bCs/>
          <w:lang w:val="fr-FR"/>
        </w:rPr>
        <w:t>Conférence des Parties à la Convention de Minamata sur le mercure</w:t>
      </w:r>
    </w:p>
    <w:p w14:paraId="2909AEEB" w14:textId="77777777" w:rsidR="007F2E64" w:rsidRPr="001C442B" w:rsidRDefault="007F2E64" w:rsidP="007F2E64">
      <w:pPr>
        <w:pStyle w:val="AATitle"/>
        <w:keepNext w:val="0"/>
        <w:keepLines w:val="0"/>
        <w:rPr>
          <w:lang w:val="fr-FR"/>
        </w:rPr>
      </w:pPr>
      <w:r>
        <w:rPr>
          <w:bCs/>
          <w:lang w:val="fr-FR"/>
        </w:rPr>
        <w:t>Troisième réunion</w:t>
      </w:r>
    </w:p>
    <w:p w14:paraId="73882976" w14:textId="77777777" w:rsidR="007F2E64" w:rsidRPr="00234F80" w:rsidRDefault="007F2E64" w:rsidP="007F2E64">
      <w:pPr>
        <w:pStyle w:val="AATitle"/>
        <w:rPr>
          <w:b w:val="0"/>
          <w:bCs/>
          <w:lang w:val="fr-FR"/>
        </w:rPr>
      </w:pPr>
      <w:r w:rsidRPr="00234F80">
        <w:rPr>
          <w:b w:val="0"/>
          <w:bCs/>
          <w:lang w:val="fr-FR"/>
        </w:rPr>
        <w:t>Genève, 25</w:t>
      </w:r>
      <w:r>
        <w:rPr>
          <w:b w:val="0"/>
          <w:bCs/>
          <w:lang w:val="fr-FR"/>
        </w:rPr>
        <w:t xml:space="preserve"> – </w:t>
      </w:r>
      <w:r w:rsidRPr="00234F80">
        <w:rPr>
          <w:b w:val="0"/>
          <w:bCs/>
          <w:lang w:val="fr-FR"/>
        </w:rPr>
        <w:t>29 novembre 2019</w:t>
      </w:r>
    </w:p>
    <w:p w14:paraId="145E0EBE" w14:textId="4A2EE721" w:rsidR="00863F6A" w:rsidRPr="00FC60C1" w:rsidRDefault="007F2E64" w:rsidP="00863F6A">
      <w:pPr>
        <w:pStyle w:val="AATitle"/>
        <w:keepNext w:val="0"/>
        <w:keepLines w:val="0"/>
        <w:rPr>
          <w:b w:val="0"/>
          <w:lang w:val="fr-FR"/>
        </w:rPr>
      </w:pPr>
      <w:r>
        <w:rPr>
          <w:b w:val="0"/>
          <w:lang w:val="fr-FR"/>
        </w:rPr>
        <w:t>Point 5 </w:t>
      </w:r>
      <w:r w:rsidR="00863F6A" w:rsidRPr="00FC60C1">
        <w:rPr>
          <w:b w:val="0"/>
          <w:lang w:val="fr-FR"/>
        </w:rPr>
        <w:t>j) de l</w:t>
      </w:r>
      <w:r w:rsidR="002A6A82">
        <w:rPr>
          <w:b w:val="0"/>
          <w:lang w:val="fr-FR"/>
        </w:rPr>
        <w:t>’</w:t>
      </w:r>
      <w:r w:rsidR="00863F6A" w:rsidRPr="00FC60C1">
        <w:rPr>
          <w:b w:val="0"/>
          <w:lang w:val="fr-FR"/>
        </w:rPr>
        <w:t>ordre du jour provisoire</w:t>
      </w:r>
      <w:r w:rsidR="00863F6A" w:rsidRPr="00FC60C1">
        <w:rPr>
          <w:b w:val="0"/>
          <w:lang w:val="fr-FR"/>
        </w:rPr>
        <w:footnoteReference w:customMarkFollows="1" w:id="1"/>
        <w:t>*</w:t>
      </w:r>
    </w:p>
    <w:p w14:paraId="77684844" w14:textId="19E8F7C1" w:rsidR="00863F6A" w:rsidRPr="00FC60C1" w:rsidRDefault="00863F6A" w:rsidP="00863F6A">
      <w:pPr>
        <w:pStyle w:val="AATitle2"/>
        <w:rPr>
          <w:lang w:val="fr-FR"/>
        </w:rPr>
      </w:pPr>
      <w:r w:rsidRPr="00FC60C1">
        <w:rPr>
          <w:bCs/>
          <w:lang w:val="fr-FR"/>
        </w:rPr>
        <w:t>Questions soumises à la Conférence des Parties pour examen ou décision</w:t>
      </w:r>
      <w:r w:rsidR="00450D9E" w:rsidRPr="00FC60C1">
        <w:rPr>
          <w:bCs/>
          <w:lang w:val="fr-FR"/>
        </w:rPr>
        <w:t> :</w:t>
      </w:r>
      <w:r w:rsidRPr="00FC60C1">
        <w:rPr>
          <w:bCs/>
          <w:lang w:val="fr-FR"/>
        </w:rPr>
        <w:t xml:space="preserve"> secrétariat</w:t>
      </w:r>
    </w:p>
    <w:p w14:paraId="76A95036" w14:textId="22A7E293" w:rsidR="00863F6A" w:rsidRDefault="00863F6A" w:rsidP="00863F6A">
      <w:pPr>
        <w:pStyle w:val="BBTitle"/>
        <w:rPr>
          <w:bCs/>
          <w:lang w:val="fr-FR"/>
        </w:rPr>
      </w:pPr>
      <w:r w:rsidRPr="00FC60C1">
        <w:rPr>
          <w:bCs/>
          <w:lang w:val="fr-FR"/>
        </w:rPr>
        <w:t>Proposition de la Directrice exécutive du Programme des Nations Unies pour l</w:t>
      </w:r>
      <w:r w:rsidR="002A6A82">
        <w:rPr>
          <w:bCs/>
          <w:lang w:val="fr-FR"/>
        </w:rPr>
        <w:t>’</w:t>
      </w:r>
      <w:r w:rsidRPr="00FC60C1">
        <w:rPr>
          <w:bCs/>
          <w:lang w:val="fr-FR"/>
        </w:rPr>
        <w:t xml:space="preserve">environnement concernant le partage des services entre le secrétariat de la Convention de </w:t>
      </w:r>
      <w:r w:rsidR="002A6A82">
        <w:rPr>
          <w:bCs/>
          <w:lang w:val="fr-FR"/>
        </w:rPr>
        <w:t xml:space="preserve">Minamata et le Secrétariat </w:t>
      </w:r>
      <w:r w:rsidR="0022698D">
        <w:rPr>
          <w:bCs/>
          <w:lang w:val="fr-FR"/>
        </w:rPr>
        <w:t>des conventions</w:t>
      </w:r>
      <w:r w:rsidRPr="00FC60C1">
        <w:rPr>
          <w:bCs/>
          <w:lang w:val="fr-FR"/>
        </w:rPr>
        <w:t xml:space="preserve"> de Bâle, de Rotterdam et de Stockholm</w:t>
      </w:r>
    </w:p>
    <w:p w14:paraId="1DABF0E7" w14:textId="1C748A04" w:rsidR="003A1D64" w:rsidRPr="00FC60C1" w:rsidRDefault="003A1D64" w:rsidP="00863F6A">
      <w:pPr>
        <w:pStyle w:val="BBTitle"/>
        <w:rPr>
          <w:lang w:val="fr-FR"/>
        </w:rPr>
      </w:pPr>
      <w:r>
        <w:rPr>
          <w:bCs/>
          <w:lang w:val="fr-FR"/>
        </w:rPr>
        <w:t>Note du secrétariat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87"/>
      </w:tblGrid>
      <w:tr w:rsidR="009E0757" w:rsidRPr="003A1D64" w14:paraId="63E629B0" w14:textId="77777777" w:rsidTr="003A1D64">
        <w:tc>
          <w:tcPr>
            <w:tcW w:w="9487" w:type="dxa"/>
          </w:tcPr>
          <w:p w14:paraId="4006A92F" w14:textId="0C853E12" w:rsidR="009E0757" w:rsidRPr="00FC60C1" w:rsidRDefault="009E0757" w:rsidP="00905429">
            <w:pPr>
              <w:pStyle w:val="Normalnumber"/>
              <w:rPr>
                <w:lang w:val="fr-FR"/>
              </w:rPr>
            </w:pPr>
            <w:r w:rsidRPr="00FC60C1">
              <w:rPr>
                <w:lang w:val="fr-FR"/>
              </w:rPr>
              <w:t>Dans sa décision</w:t>
            </w:r>
            <w:r w:rsidR="002A6A82">
              <w:rPr>
                <w:lang w:val="fr-FR"/>
              </w:rPr>
              <w:t> </w:t>
            </w:r>
            <w:r w:rsidRPr="00FC60C1">
              <w:rPr>
                <w:lang w:val="fr-FR"/>
              </w:rPr>
              <w:t>MC-2/7, la Conférence des Parties à la Conventi</w:t>
            </w:r>
            <w:r w:rsidR="0073545F">
              <w:rPr>
                <w:lang w:val="fr-FR"/>
              </w:rPr>
              <w:t>on de Minamata sur le mercure a </w:t>
            </w:r>
            <w:r w:rsidRPr="00FC60C1">
              <w:rPr>
                <w:lang w:val="fr-FR"/>
              </w:rPr>
              <w:t>prié la Directrice exécutive du Programme des Nations Unies pour l</w:t>
            </w:r>
            <w:r w:rsidR="002A6A82">
              <w:rPr>
                <w:lang w:val="fr-FR"/>
              </w:rPr>
              <w:t>’</w:t>
            </w:r>
            <w:r w:rsidRPr="00FC60C1">
              <w:rPr>
                <w:lang w:val="fr-FR"/>
              </w:rPr>
              <w:t xml:space="preserve">environnement (PNUE) de soumettre une proposition, élaborée en concertation avec la Secrétaire exécutive de la Convention de Minamata et avec le concours du Secrétaire exécutif </w:t>
            </w:r>
            <w:r w:rsidR="003A1D64">
              <w:rPr>
                <w:lang w:val="fr-FR"/>
              </w:rPr>
              <w:t>de la</w:t>
            </w:r>
            <w:r w:rsidR="0022698D">
              <w:rPr>
                <w:lang w:val="fr-FR"/>
              </w:rPr>
              <w:t xml:space="preserve"> </w:t>
            </w:r>
            <w:r w:rsidR="003A1D64" w:rsidRPr="003A1D64">
              <w:rPr>
                <w:lang w:val="fr-FR"/>
              </w:rPr>
              <w:t>Convention de Bâle sur le contrôle des mouvements transfrontières de déchets dangereux et de leur élimination</w:t>
            </w:r>
            <w:r w:rsidR="003A1D64" w:rsidRPr="00FC60C1">
              <w:rPr>
                <w:lang w:val="fr-FR"/>
              </w:rPr>
              <w:t xml:space="preserve"> </w:t>
            </w:r>
            <w:r w:rsidRPr="00FC60C1">
              <w:rPr>
                <w:lang w:val="fr-FR"/>
              </w:rPr>
              <w:t xml:space="preserve">et de </w:t>
            </w:r>
            <w:r w:rsidR="003A1D64">
              <w:rPr>
                <w:lang w:val="fr-FR"/>
              </w:rPr>
              <w:t xml:space="preserve">la </w:t>
            </w:r>
            <w:r w:rsidR="003A1D64" w:rsidRPr="003A1D64">
              <w:rPr>
                <w:lang w:val="fr-FR"/>
              </w:rPr>
              <w:t>Convention de Stockholm sur les polluants organiques persistants</w:t>
            </w:r>
            <w:r w:rsidR="003A1D64" w:rsidRPr="00FC60C1">
              <w:rPr>
                <w:lang w:val="fr-FR"/>
              </w:rPr>
              <w:t xml:space="preserve"> </w:t>
            </w:r>
            <w:r w:rsidRPr="00FC60C1">
              <w:rPr>
                <w:lang w:val="fr-FR"/>
              </w:rPr>
              <w:t xml:space="preserve">et de la composante de la </w:t>
            </w:r>
            <w:r w:rsidR="003A1D64" w:rsidRPr="003A1D64">
              <w:rPr>
                <w:lang w:val="fr-FR"/>
              </w:rPr>
              <w:t>Convention de Rotterdam sur la procédure de consentement préalable en connaissance de cause applicable à certains produits chimiques et pesticides dangereux qui font l'objet d'un commerce international</w:t>
            </w:r>
            <w:r w:rsidR="003A1D64" w:rsidRPr="00FC60C1">
              <w:rPr>
                <w:lang w:val="fr-FR"/>
              </w:rPr>
              <w:t xml:space="preserve"> </w:t>
            </w:r>
            <w:r w:rsidRPr="00FC60C1">
              <w:rPr>
                <w:lang w:val="fr-FR"/>
              </w:rPr>
              <w:t xml:space="preserve">relevant du PNUE, concernant un cadre stable pour le partage de services entre le secrétariat de la Convention de </w:t>
            </w:r>
            <w:r w:rsidR="002A6A82">
              <w:rPr>
                <w:lang w:val="fr-FR"/>
              </w:rPr>
              <w:t xml:space="preserve">Minamata et le Secrétariat </w:t>
            </w:r>
            <w:r w:rsidR="0022698D">
              <w:rPr>
                <w:lang w:val="fr-FR"/>
              </w:rPr>
              <w:t>des conventions</w:t>
            </w:r>
            <w:r w:rsidR="00905429">
              <w:rPr>
                <w:lang w:val="fr-FR"/>
              </w:rPr>
              <w:t xml:space="preserve"> de Bâle, de Rotterdam et </w:t>
            </w:r>
            <w:r w:rsidRPr="00FC60C1">
              <w:rPr>
                <w:lang w:val="fr-FR"/>
              </w:rPr>
              <w:t>de Stockholm.</w:t>
            </w:r>
          </w:p>
          <w:p w14:paraId="5A9551B4" w14:textId="659F67C9" w:rsidR="009E0757" w:rsidRPr="00FC60C1" w:rsidRDefault="009E0757" w:rsidP="00905429">
            <w:pPr>
              <w:pStyle w:val="Normalnumber"/>
              <w:rPr>
                <w:lang w:val="fr-FR"/>
              </w:rPr>
            </w:pPr>
            <w:r w:rsidRPr="00FC60C1">
              <w:rPr>
                <w:lang w:val="fr-FR"/>
              </w:rPr>
              <w:t>Le secrétariat a l</w:t>
            </w:r>
            <w:r w:rsidR="002A6A82">
              <w:rPr>
                <w:lang w:val="fr-FR"/>
              </w:rPr>
              <w:t>’</w:t>
            </w:r>
            <w:r w:rsidRPr="00FC60C1">
              <w:rPr>
                <w:lang w:val="fr-FR"/>
              </w:rPr>
              <w:t>honneur de présenter la proposition de la Directrice exécutive du PNUE concernant le partage des services entre les conventions, pour examen par la Conférence des Parties à la Convention de Minamata à sa troisième réunion. La présente proposition évalue et présente trois solutions possibles</w:t>
            </w:r>
            <w:r w:rsidR="00450D9E" w:rsidRPr="00FC60C1">
              <w:rPr>
                <w:lang w:val="fr-FR"/>
              </w:rPr>
              <w:t> :</w:t>
            </w:r>
          </w:p>
          <w:p w14:paraId="2D6C5A3B" w14:textId="2D2E7C33" w:rsidR="009E0757" w:rsidRPr="00FC60C1" w:rsidRDefault="000D4CC3" w:rsidP="00CF135E">
            <w:pPr>
              <w:pStyle w:val="Normalnumber"/>
              <w:numPr>
                <w:ilvl w:val="0"/>
                <w:numId w:val="5"/>
              </w:numPr>
              <w:tabs>
                <w:tab w:val="clear" w:pos="1758"/>
              </w:tabs>
              <w:ind w:left="1253" w:firstLine="619"/>
              <w:rPr>
                <w:lang w:val="fr-FR"/>
              </w:rPr>
            </w:pPr>
            <w:r w:rsidRPr="00FC60C1">
              <w:rPr>
                <w:lang w:val="fr-FR"/>
              </w:rPr>
              <w:t>Création d</w:t>
            </w:r>
            <w:r w:rsidR="002A6A82">
              <w:rPr>
                <w:lang w:val="fr-FR"/>
              </w:rPr>
              <w:t>’</w:t>
            </w:r>
            <w:r w:rsidRPr="00FC60C1">
              <w:rPr>
                <w:lang w:val="fr-FR"/>
              </w:rPr>
              <w:t>un groupe mixte spécial</w:t>
            </w:r>
            <w:r w:rsidR="00450D9E" w:rsidRPr="00FC60C1">
              <w:rPr>
                <w:lang w:val="fr-FR"/>
              </w:rPr>
              <w:t> ;</w:t>
            </w:r>
          </w:p>
          <w:p w14:paraId="30CE5C3B" w14:textId="7B412A26" w:rsidR="009E0757" w:rsidRPr="00FC60C1" w:rsidRDefault="000D4CC3" w:rsidP="00CF135E">
            <w:pPr>
              <w:pStyle w:val="Normalnumber"/>
              <w:numPr>
                <w:ilvl w:val="0"/>
                <w:numId w:val="5"/>
              </w:numPr>
              <w:ind w:left="1253" w:firstLine="619"/>
              <w:rPr>
                <w:lang w:val="fr-FR"/>
              </w:rPr>
            </w:pPr>
            <w:r w:rsidRPr="00FC60C1">
              <w:rPr>
                <w:lang w:val="fr-FR"/>
              </w:rPr>
              <w:t xml:space="preserve">Détachement de fonctionnaires du secrétariat de la Convention de Minamata auprès du Secrétariat </w:t>
            </w:r>
            <w:r w:rsidR="0022698D">
              <w:rPr>
                <w:lang w:val="fr-FR"/>
              </w:rPr>
              <w:t>des conventions</w:t>
            </w:r>
            <w:r w:rsidRPr="00FC60C1">
              <w:rPr>
                <w:lang w:val="fr-FR"/>
              </w:rPr>
              <w:t xml:space="preserve"> de Bâle</w:t>
            </w:r>
            <w:r w:rsidR="00450D9E" w:rsidRPr="00FC60C1">
              <w:rPr>
                <w:lang w:val="fr-FR"/>
              </w:rPr>
              <w:t>, de Rotterdam et de Stockholm ;</w:t>
            </w:r>
          </w:p>
          <w:p w14:paraId="77B51241" w14:textId="6EB7CABF" w:rsidR="009E0757" w:rsidRPr="00FC60C1" w:rsidRDefault="000D4CC3" w:rsidP="00CF135E">
            <w:pPr>
              <w:pStyle w:val="Normalnumber"/>
              <w:numPr>
                <w:ilvl w:val="0"/>
                <w:numId w:val="5"/>
              </w:numPr>
              <w:ind w:left="1253" w:firstLine="619"/>
              <w:rPr>
                <w:lang w:val="fr-FR"/>
              </w:rPr>
            </w:pPr>
            <w:r w:rsidRPr="00FC60C1">
              <w:rPr>
                <w:lang w:val="fr-FR"/>
              </w:rPr>
              <w:t xml:space="preserve">Achat de services par le secrétariat de la Convention de Minamata auprès du Secrétariat </w:t>
            </w:r>
            <w:r w:rsidR="0022698D">
              <w:rPr>
                <w:lang w:val="fr-FR"/>
              </w:rPr>
              <w:t>des conventions</w:t>
            </w:r>
            <w:r w:rsidRPr="00FC60C1">
              <w:rPr>
                <w:lang w:val="fr-FR"/>
              </w:rPr>
              <w:t xml:space="preserve"> de Bâle, de Rotterdam et de Stockholm selon le principe du recouvrement des coûts</w:t>
            </w:r>
            <w:r w:rsidR="00450D9E" w:rsidRPr="00FC60C1">
              <w:rPr>
                <w:lang w:val="fr-FR"/>
              </w:rPr>
              <w:t> ;</w:t>
            </w:r>
          </w:p>
          <w:p w14:paraId="6F3BCAF6" w14:textId="7B8DECB3" w:rsidR="009E0757" w:rsidRPr="00FC60C1" w:rsidRDefault="009E0757" w:rsidP="0073545F">
            <w:pPr>
              <w:pStyle w:val="Normalnumber"/>
              <w:keepNext/>
              <w:keepLines/>
              <w:ind w:left="709"/>
              <w:rPr>
                <w:lang w:val="fr-FR"/>
              </w:rPr>
            </w:pPr>
            <w:r w:rsidRPr="00FC60C1">
              <w:rPr>
                <w:lang w:val="fr-FR"/>
              </w:rPr>
              <w:lastRenderedPageBreak/>
              <w:t>La Conférence des Parties souhaitera peut-être envisager d</w:t>
            </w:r>
            <w:r w:rsidR="002A6A82">
              <w:rPr>
                <w:lang w:val="fr-FR"/>
              </w:rPr>
              <w:t>’</w:t>
            </w:r>
            <w:r w:rsidRPr="00FC60C1">
              <w:rPr>
                <w:lang w:val="fr-FR"/>
              </w:rPr>
              <w:t>accepter la proposition et d</w:t>
            </w:r>
            <w:r w:rsidR="002A6A82">
              <w:rPr>
                <w:lang w:val="fr-FR"/>
              </w:rPr>
              <w:t>’</w:t>
            </w:r>
            <w:r w:rsidRPr="00FC60C1">
              <w:rPr>
                <w:lang w:val="fr-FR"/>
              </w:rPr>
              <w:t>approuver l</w:t>
            </w:r>
            <w:r w:rsidR="002A6A82">
              <w:rPr>
                <w:lang w:val="fr-FR"/>
              </w:rPr>
              <w:t>’</w:t>
            </w:r>
            <w:r w:rsidRPr="00FC60C1">
              <w:rPr>
                <w:lang w:val="fr-FR"/>
              </w:rPr>
              <w:t>achat de services par le secrétariat de la Convention de Mina</w:t>
            </w:r>
            <w:r w:rsidR="002A6A82">
              <w:rPr>
                <w:lang w:val="fr-FR"/>
              </w:rPr>
              <w:t xml:space="preserve">mata auprès du Secrétariat </w:t>
            </w:r>
            <w:r w:rsidR="0022698D">
              <w:rPr>
                <w:lang w:val="fr-FR"/>
              </w:rPr>
              <w:t>des conventions</w:t>
            </w:r>
            <w:r w:rsidRPr="00FC60C1">
              <w:rPr>
                <w:lang w:val="fr-FR"/>
              </w:rPr>
              <w:t xml:space="preserve"> de Bâle, de Rotterdam et de Stockholm selon le principe du recouvrement des coûts, en ménageant la possibilité de modifier le dispositif en 2021.</w:t>
            </w:r>
          </w:p>
        </w:tc>
      </w:tr>
    </w:tbl>
    <w:p w14:paraId="721073C4" w14:textId="7C360DD3" w:rsidR="009E0757" w:rsidRPr="00FC60C1" w:rsidRDefault="009E0757" w:rsidP="009E0757">
      <w:pPr>
        <w:pStyle w:val="Normal-pool"/>
        <w:rPr>
          <w:lang w:val="fr-FR"/>
        </w:rPr>
      </w:pPr>
    </w:p>
    <w:p w14:paraId="2E9758AE" w14:textId="77777777" w:rsidR="00867CC6" w:rsidRDefault="00867CC6">
      <w:pPr>
        <w:tabs>
          <w:tab w:val="clear" w:pos="1247"/>
          <w:tab w:val="clear" w:pos="1814"/>
          <w:tab w:val="clear" w:pos="2381"/>
          <w:tab w:val="clear" w:pos="2948"/>
          <w:tab w:val="clear" w:pos="3515"/>
        </w:tabs>
        <w:rPr>
          <w:b/>
          <w:sz w:val="24"/>
          <w:szCs w:val="24"/>
          <w:lang w:val="fr-FR"/>
        </w:rPr>
      </w:pPr>
      <w:r>
        <w:rPr>
          <w:lang w:val="fr-FR"/>
        </w:rPr>
        <w:br w:type="page"/>
      </w:r>
    </w:p>
    <w:p w14:paraId="3E1D717C" w14:textId="41BDEF6F" w:rsidR="003A1D64" w:rsidRDefault="003A1D64" w:rsidP="00E43DF5">
      <w:pPr>
        <w:pStyle w:val="CH2"/>
        <w:rPr>
          <w:lang w:val="fr-FR"/>
        </w:rPr>
      </w:pPr>
      <w:r>
        <w:rPr>
          <w:lang w:val="fr-FR"/>
        </w:rPr>
        <w:lastRenderedPageBreak/>
        <w:t>Annexe</w:t>
      </w:r>
    </w:p>
    <w:p w14:paraId="0D90C970" w14:textId="1FA7715E" w:rsidR="003A1D64" w:rsidRDefault="003A1D64" w:rsidP="003A1D64">
      <w:pPr>
        <w:pStyle w:val="BBTitle"/>
        <w:rPr>
          <w:bCs/>
          <w:lang w:val="fr-FR"/>
        </w:rPr>
      </w:pPr>
      <w:r w:rsidRPr="00FC60C1">
        <w:rPr>
          <w:bCs/>
          <w:lang w:val="fr-FR"/>
        </w:rPr>
        <w:t>Proposition de la Directrice exécutive du Programme des Nations Unies pour l</w:t>
      </w:r>
      <w:r>
        <w:rPr>
          <w:bCs/>
          <w:lang w:val="fr-FR"/>
        </w:rPr>
        <w:t>’</w:t>
      </w:r>
      <w:r w:rsidRPr="00FC60C1">
        <w:rPr>
          <w:bCs/>
          <w:lang w:val="fr-FR"/>
        </w:rPr>
        <w:t xml:space="preserve">environnement concernant le partage des services entre le secrétariat de la Convention de </w:t>
      </w:r>
      <w:r>
        <w:rPr>
          <w:bCs/>
          <w:lang w:val="fr-FR"/>
        </w:rPr>
        <w:t>Minamata et le Secrétariat des conventions</w:t>
      </w:r>
      <w:r w:rsidRPr="00FC60C1">
        <w:rPr>
          <w:bCs/>
          <w:lang w:val="fr-FR"/>
        </w:rPr>
        <w:t xml:space="preserve"> de Bâle, de Rotterdam et de Stockholm</w:t>
      </w:r>
    </w:p>
    <w:p w14:paraId="05425658" w14:textId="4291713B" w:rsidR="00863F6A" w:rsidRPr="00FC60C1" w:rsidRDefault="00E43DF5" w:rsidP="00E43DF5">
      <w:pPr>
        <w:pStyle w:val="CH2"/>
        <w:rPr>
          <w:b w:val="0"/>
          <w:bCs/>
          <w:lang w:val="fr-FR"/>
        </w:rPr>
      </w:pPr>
      <w:r w:rsidRPr="00FC60C1">
        <w:rPr>
          <w:bCs/>
          <w:lang w:val="fr-FR"/>
        </w:rPr>
        <w:t>Table des matières</w:t>
      </w:r>
    </w:p>
    <w:p w14:paraId="5D30AAF9" w14:textId="4C095FB1" w:rsidR="00AD6364" w:rsidRDefault="007D50B6">
      <w:pPr>
        <w:pStyle w:val="TOC1"/>
        <w:rPr>
          <w:rFonts w:asciiTheme="minorHAnsi" w:eastAsiaTheme="minorEastAsia" w:hAnsiTheme="minorHAnsi" w:cstheme="minorBidi"/>
          <w:bCs w:val="0"/>
          <w:noProof/>
          <w:sz w:val="22"/>
          <w:szCs w:val="22"/>
          <w:lang w:eastAsia="fr-FR"/>
        </w:rPr>
      </w:pPr>
      <w:r w:rsidRPr="00FC60C1">
        <w:rPr>
          <w:b/>
          <w:bCs w:val="0"/>
        </w:rPr>
        <w:fldChar w:fldCharType="begin"/>
      </w:r>
      <w:r w:rsidRPr="00FC60C1">
        <w:rPr>
          <w:b/>
          <w:bCs w:val="0"/>
        </w:rPr>
        <w:instrText xml:space="preserve"> TOC \o "1-3" \h \z \t "CH1,1,ZZ_Anx_header,2" </w:instrText>
      </w:r>
      <w:r w:rsidRPr="00FC60C1">
        <w:rPr>
          <w:b/>
          <w:bCs w:val="0"/>
        </w:rPr>
        <w:fldChar w:fldCharType="separate"/>
      </w:r>
      <w:hyperlink w:anchor="_Toc24985761" w:history="1">
        <w:r w:rsidR="00AD6364" w:rsidRPr="00BA29CD">
          <w:rPr>
            <w:rStyle w:val="Hyperlink"/>
            <w:noProof/>
          </w:rPr>
          <w:t>I.</w:t>
        </w:r>
        <w:r w:rsidR="00AD6364">
          <w:rPr>
            <w:rFonts w:asciiTheme="minorHAnsi" w:eastAsiaTheme="minorEastAsia" w:hAnsiTheme="minorHAnsi" w:cstheme="minorBidi"/>
            <w:bCs w:val="0"/>
            <w:noProof/>
            <w:sz w:val="22"/>
            <w:szCs w:val="22"/>
            <w:lang w:eastAsia="fr-FR"/>
          </w:rPr>
          <w:tab/>
        </w:r>
        <w:r w:rsidR="00AD6364" w:rsidRPr="00BA29CD">
          <w:rPr>
            <w:rStyle w:val="Hyperlink"/>
            <w:noProof/>
          </w:rPr>
          <w:t>Contexte</w:t>
        </w:r>
        <w:r w:rsidR="00AD6364">
          <w:rPr>
            <w:noProof/>
            <w:webHidden/>
          </w:rPr>
          <w:tab/>
        </w:r>
        <w:r w:rsidR="00AD6364">
          <w:rPr>
            <w:noProof/>
            <w:webHidden/>
          </w:rPr>
          <w:fldChar w:fldCharType="begin"/>
        </w:r>
        <w:r w:rsidR="00AD6364">
          <w:rPr>
            <w:noProof/>
            <w:webHidden/>
          </w:rPr>
          <w:instrText xml:space="preserve"> PAGEREF _Toc24985761 \h </w:instrText>
        </w:r>
        <w:r w:rsidR="00AD6364">
          <w:rPr>
            <w:noProof/>
            <w:webHidden/>
          </w:rPr>
        </w:r>
        <w:r w:rsidR="00AD6364">
          <w:rPr>
            <w:noProof/>
            <w:webHidden/>
          </w:rPr>
          <w:fldChar w:fldCharType="separate"/>
        </w:r>
        <w:r w:rsidR="00AD6364">
          <w:rPr>
            <w:noProof/>
            <w:webHidden/>
          </w:rPr>
          <w:t>4</w:t>
        </w:r>
        <w:r w:rsidR="00AD6364">
          <w:rPr>
            <w:noProof/>
            <w:webHidden/>
          </w:rPr>
          <w:fldChar w:fldCharType="end"/>
        </w:r>
      </w:hyperlink>
    </w:p>
    <w:p w14:paraId="2F1C0B2B" w14:textId="56437B68" w:rsidR="00AD6364" w:rsidRDefault="00AD6364">
      <w:pPr>
        <w:pStyle w:val="TOC1"/>
        <w:rPr>
          <w:rFonts w:asciiTheme="minorHAnsi" w:eastAsiaTheme="minorEastAsia" w:hAnsiTheme="minorHAnsi" w:cstheme="minorBidi"/>
          <w:bCs w:val="0"/>
          <w:noProof/>
          <w:sz w:val="22"/>
          <w:szCs w:val="22"/>
          <w:lang w:eastAsia="fr-FR"/>
        </w:rPr>
      </w:pPr>
      <w:hyperlink w:anchor="_Toc24985762" w:history="1">
        <w:r w:rsidRPr="00BA29CD">
          <w:rPr>
            <w:rStyle w:val="Hyperlink"/>
            <w:noProof/>
          </w:rPr>
          <w:t>II.</w:t>
        </w:r>
        <w:r>
          <w:rPr>
            <w:rFonts w:asciiTheme="minorHAnsi" w:eastAsiaTheme="minorEastAsia" w:hAnsiTheme="minorHAnsi" w:cstheme="minorBidi"/>
            <w:bCs w:val="0"/>
            <w:noProof/>
            <w:sz w:val="22"/>
            <w:szCs w:val="22"/>
            <w:lang w:eastAsia="fr-FR"/>
          </w:rPr>
          <w:tab/>
        </w:r>
        <w:r w:rsidRPr="00BA29CD">
          <w:rPr>
            <w:rStyle w:val="Hyperlink"/>
            <w:noProof/>
          </w:rPr>
          <w:t>Processus d’évaluation et principales considérations</w:t>
        </w:r>
        <w:r>
          <w:rPr>
            <w:noProof/>
            <w:webHidden/>
          </w:rPr>
          <w:tab/>
        </w:r>
        <w:r>
          <w:rPr>
            <w:noProof/>
            <w:webHidden/>
          </w:rPr>
          <w:fldChar w:fldCharType="begin"/>
        </w:r>
        <w:r>
          <w:rPr>
            <w:noProof/>
            <w:webHidden/>
          </w:rPr>
          <w:instrText xml:space="preserve"> PAGEREF _Toc24985762 \h </w:instrText>
        </w:r>
        <w:r>
          <w:rPr>
            <w:noProof/>
            <w:webHidden/>
          </w:rPr>
        </w:r>
        <w:r>
          <w:rPr>
            <w:noProof/>
            <w:webHidden/>
          </w:rPr>
          <w:fldChar w:fldCharType="separate"/>
        </w:r>
        <w:r>
          <w:rPr>
            <w:noProof/>
            <w:webHidden/>
          </w:rPr>
          <w:t>4</w:t>
        </w:r>
        <w:r>
          <w:rPr>
            <w:noProof/>
            <w:webHidden/>
          </w:rPr>
          <w:fldChar w:fldCharType="end"/>
        </w:r>
      </w:hyperlink>
    </w:p>
    <w:p w14:paraId="61E53BFF" w14:textId="26CB565F" w:rsidR="00AD6364" w:rsidRDefault="00AD6364">
      <w:pPr>
        <w:pStyle w:val="TOC1"/>
        <w:rPr>
          <w:rFonts w:asciiTheme="minorHAnsi" w:eastAsiaTheme="minorEastAsia" w:hAnsiTheme="minorHAnsi" w:cstheme="minorBidi"/>
          <w:bCs w:val="0"/>
          <w:noProof/>
          <w:sz w:val="22"/>
          <w:szCs w:val="22"/>
          <w:lang w:eastAsia="fr-FR"/>
        </w:rPr>
      </w:pPr>
      <w:hyperlink w:anchor="_Toc24985763" w:history="1">
        <w:r w:rsidRPr="00BA29CD">
          <w:rPr>
            <w:rStyle w:val="Hyperlink"/>
            <w:noProof/>
          </w:rPr>
          <w:t>III.</w:t>
        </w:r>
        <w:r>
          <w:rPr>
            <w:rFonts w:asciiTheme="minorHAnsi" w:eastAsiaTheme="minorEastAsia" w:hAnsiTheme="minorHAnsi" w:cstheme="minorBidi"/>
            <w:bCs w:val="0"/>
            <w:noProof/>
            <w:sz w:val="22"/>
            <w:szCs w:val="22"/>
            <w:lang w:eastAsia="fr-FR"/>
          </w:rPr>
          <w:tab/>
        </w:r>
        <w:r w:rsidRPr="00BA29CD">
          <w:rPr>
            <w:rStyle w:val="Hyperlink"/>
            <w:noProof/>
          </w:rPr>
          <w:t>Principes fondamentaux</w:t>
        </w:r>
        <w:r>
          <w:rPr>
            <w:noProof/>
            <w:webHidden/>
          </w:rPr>
          <w:tab/>
        </w:r>
        <w:r>
          <w:rPr>
            <w:noProof/>
            <w:webHidden/>
          </w:rPr>
          <w:fldChar w:fldCharType="begin"/>
        </w:r>
        <w:r>
          <w:rPr>
            <w:noProof/>
            <w:webHidden/>
          </w:rPr>
          <w:instrText xml:space="preserve"> PAGEREF _Toc24985763 \h </w:instrText>
        </w:r>
        <w:r>
          <w:rPr>
            <w:noProof/>
            <w:webHidden/>
          </w:rPr>
        </w:r>
        <w:r>
          <w:rPr>
            <w:noProof/>
            <w:webHidden/>
          </w:rPr>
          <w:fldChar w:fldCharType="separate"/>
        </w:r>
        <w:r>
          <w:rPr>
            <w:noProof/>
            <w:webHidden/>
          </w:rPr>
          <w:t>5</w:t>
        </w:r>
        <w:r>
          <w:rPr>
            <w:noProof/>
            <w:webHidden/>
          </w:rPr>
          <w:fldChar w:fldCharType="end"/>
        </w:r>
      </w:hyperlink>
    </w:p>
    <w:p w14:paraId="323B9B80" w14:textId="113A2785" w:rsidR="00AD6364" w:rsidRDefault="00AD6364">
      <w:pPr>
        <w:pStyle w:val="TOC1"/>
        <w:rPr>
          <w:rFonts w:asciiTheme="minorHAnsi" w:eastAsiaTheme="minorEastAsia" w:hAnsiTheme="minorHAnsi" w:cstheme="minorBidi"/>
          <w:bCs w:val="0"/>
          <w:noProof/>
          <w:sz w:val="22"/>
          <w:szCs w:val="22"/>
          <w:lang w:eastAsia="fr-FR"/>
        </w:rPr>
      </w:pPr>
      <w:hyperlink w:anchor="_Toc24985764" w:history="1">
        <w:r w:rsidRPr="00BA29CD">
          <w:rPr>
            <w:rStyle w:val="Hyperlink"/>
            <w:noProof/>
          </w:rPr>
          <w:t>IV.</w:t>
        </w:r>
        <w:r>
          <w:rPr>
            <w:rFonts w:asciiTheme="minorHAnsi" w:eastAsiaTheme="minorEastAsia" w:hAnsiTheme="minorHAnsi" w:cstheme="minorBidi"/>
            <w:bCs w:val="0"/>
            <w:noProof/>
            <w:sz w:val="22"/>
            <w:szCs w:val="22"/>
            <w:lang w:eastAsia="fr-FR"/>
          </w:rPr>
          <w:tab/>
        </w:r>
        <w:r w:rsidRPr="00BA29CD">
          <w:rPr>
            <w:rStyle w:val="Hyperlink"/>
            <w:noProof/>
          </w:rPr>
          <w:t>Attributions de la Division des services internes du PNUE</w:t>
        </w:r>
        <w:r>
          <w:rPr>
            <w:noProof/>
            <w:webHidden/>
          </w:rPr>
          <w:tab/>
        </w:r>
        <w:r>
          <w:rPr>
            <w:noProof/>
            <w:webHidden/>
          </w:rPr>
          <w:fldChar w:fldCharType="begin"/>
        </w:r>
        <w:r>
          <w:rPr>
            <w:noProof/>
            <w:webHidden/>
          </w:rPr>
          <w:instrText xml:space="preserve"> PAGEREF _Toc24985764 \h </w:instrText>
        </w:r>
        <w:r>
          <w:rPr>
            <w:noProof/>
            <w:webHidden/>
          </w:rPr>
        </w:r>
        <w:r>
          <w:rPr>
            <w:noProof/>
            <w:webHidden/>
          </w:rPr>
          <w:fldChar w:fldCharType="separate"/>
        </w:r>
        <w:r>
          <w:rPr>
            <w:noProof/>
            <w:webHidden/>
          </w:rPr>
          <w:t>5</w:t>
        </w:r>
        <w:r>
          <w:rPr>
            <w:noProof/>
            <w:webHidden/>
          </w:rPr>
          <w:fldChar w:fldCharType="end"/>
        </w:r>
      </w:hyperlink>
    </w:p>
    <w:p w14:paraId="33C94CA0" w14:textId="1B618360" w:rsidR="00AD6364" w:rsidRDefault="00AD6364">
      <w:pPr>
        <w:pStyle w:val="TOC1"/>
        <w:rPr>
          <w:rFonts w:asciiTheme="minorHAnsi" w:eastAsiaTheme="minorEastAsia" w:hAnsiTheme="minorHAnsi" w:cstheme="minorBidi"/>
          <w:bCs w:val="0"/>
          <w:noProof/>
          <w:sz w:val="22"/>
          <w:szCs w:val="22"/>
          <w:lang w:eastAsia="fr-FR"/>
        </w:rPr>
      </w:pPr>
      <w:hyperlink w:anchor="_Toc24985765" w:history="1">
        <w:r w:rsidRPr="00BA29CD">
          <w:rPr>
            <w:rStyle w:val="Hyperlink"/>
            <w:noProof/>
          </w:rPr>
          <w:t>V.</w:t>
        </w:r>
        <w:r>
          <w:rPr>
            <w:rFonts w:asciiTheme="minorHAnsi" w:eastAsiaTheme="minorEastAsia" w:hAnsiTheme="minorHAnsi" w:cstheme="minorBidi"/>
            <w:bCs w:val="0"/>
            <w:noProof/>
            <w:sz w:val="22"/>
            <w:szCs w:val="22"/>
            <w:lang w:eastAsia="fr-FR"/>
          </w:rPr>
          <w:tab/>
        </w:r>
        <w:r w:rsidRPr="00BA29CD">
          <w:rPr>
            <w:rStyle w:val="Hyperlink"/>
            <w:noProof/>
          </w:rPr>
          <w:t>Définition de modèles</w:t>
        </w:r>
        <w:r>
          <w:rPr>
            <w:noProof/>
            <w:webHidden/>
          </w:rPr>
          <w:tab/>
        </w:r>
        <w:r>
          <w:rPr>
            <w:noProof/>
            <w:webHidden/>
          </w:rPr>
          <w:fldChar w:fldCharType="begin"/>
        </w:r>
        <w:r>
          <w:rPr>
            <w:noProof/>
            <w:webHidden/>
          </w:rPr>
          <w:instrText xml:space="preserve"> PAGEREF _Toc24985765 \h </w:instrText>
        </w:r>
        <w:r>
          <w:rPr>
            <w:noProof/>
            <w:webHidden/>
          </w:rPr>
        </w:r>
        <w:r>
          <w:rPr>
            <w:noProof/>
            <w:webHidden/>
          </w:rPr>
          <w:fldChar w:fldCharType="separate"/>
        </w:r>
        <w:r>
          <w:rPr>
            <w:noProof/>
            <w:webHidden/>
          </w:rPr>
          <w:t>6</w:t>
        </w:r>
        <w:r>
          <w:rPr>
            <w:noProof/>
            <w:webHidden/>
          </w:rPr>
          <w:fldChar w:fldCharType="end"/>
        </w:r>
      </w:hyperlink>
    </w:p>
    <w:p w14:paraId="4C8D68C5" w14:textId="519669E2" w:rsidR="00AD6364" w:rsidRDefault="00AD6364">
      <w:pPr>
        <w:pStyle w:val="TOC1"/>
        <w:rPr>
          <w:rFonts w:asciiTheme="minorHAnsi" w:eastAsiaTheme="minorEastAsia" w:hAnsiTheme="minorHAnsi" w:cstheme="minorBidi"/>
          <w:bCs w:val="0"/>
          <w:noProof/>
          <w:sz w:val="22"/>
          <w:szCs w:val="22"/>
          <w:lang w:eastAsia="fr-FR"/>
        </w:rPr>
      </w:pPr>
      <w:hyperlink w:anchor="_Toc24985766" w:history="1">
        <w:r w:rsidRPr="00BA29CD">
          <w:rPr>
            <w:rStyle w:val="Hyperlink"/>
            <w:noProof/>
          </w:rPr>
          <w:t>VI.</w:t>
        </w:r>
        <w:r>
          <w:rPr>
            <w:rFonts w:asciiTheme="minorHAnsi" w:eastAsiaTheme="minorEastAsia" w:hAnsiTheme="minorHAnsi" w:cstheme="minorBidi"/>
            <w:bCs w:val="0"/>
            <w:noProof/>
            <w:sz w:val="22"/>
            <w:szCs w:val="22"/>
            <w:lang w:eastAsia="fr-FR"/>
          </w:rPr>
          <w:tab/>
        </w:r>
        <w:r w:rsidRPr="00BA29CD">
          <w:rPr>
            <w:rStyle w:val="Hyperlink"/>
            <w:noProof/>
          </w:rPr>
          <w:t>Regroupement de services</w:t>
        </w:r>
        <w:r>
          <w:rPr>
            <w:noProof/>
            <w:webHidden/>
          </w:rPr>
          <w:tab/>
        </w:r>
        <w:r>
          <w:rPr>
            <w:noProof/>
            <w:webHidden/>
          </w:rPr>
          <w:fldChar w:fldCharType="begin"/>
        </w:r>
        <w:r>
          <w:rPr>
            <w:noProof/>
            <w:webHidden/>
          </w:rPr>
          <w:instrText xml:space="preserve"> PAGEREF _Toc24985766 \h </w:instrText>
        </w:r>
        <w:r>
          <w:rPr>
            <w:noProof/>
            <w:webHidden/>
          </w:rPr>
        </w:r>
        <w:r>
          <w:rPr>
            <w:noProof/>
            <w:webHidden/>
          </w:rPr>
          <w:fldChar w:fldCharType="separate"/>
        </w:r>
        <w:r>
          <w:rPr>
            <w:noProof/>
            <w:webHidden/>
          </w:rPr>
          <w:t>6</w:t>
        </w:r>
        <w:r>
          <w:rPr>
            <w:noProof/>
            <w:webHidden/>
          </w:rPr>
          <w:fldChar w:fldCharType="end"/>
        </w:r>
      </w:hyperlink>
    </w:p>
    <w:p w14:paraId="67F934D1" w14:textId="04373548" w:rsidR="00AD6364" w:rsidRDefault="00AD6364">
      <w:pPr>
        <w:pStyle w:val="TOC1"/>
        <w:rPr>
          <w:rFonts w:asciiTheme="minorHAnsi" w:eastAsiaTheme="minorEastAsia" w:hAnsiTheme="minorHAnsi" w:cstheme="minorBidi"/>
          <w:bCs w:val="0"/>
          <w:noProof/>
          <w:sz w:val="22"/>
          <w:szCs w:val="22"/>
          <w:lang w:eastAsia="fr-FR"/>
        </w:rPr>
      </w:pPr>
      <w:hyperlink w:anchor="_Toc24985767" w:history="1">
        <w:r w:rsidRPr="00BA29CD">
          <w:rPr>
            <w:rStyle w:val="Hyperlink"/>
            <w:noProof/>
          </w:rPr>
          <w:t>VII.</w:t>
        </w:r>
        <w:r>
          <w:rPr>
            <w:rFonts w:asciiTheme="minorHAnsi" w:eastAsiaTheme="minorEastAsia" w:hAnsiTheme="minorHAnsi" w:cstheme="minorBidi"/>
            <w:bCs w:val="0"/>
            <w:noProof/>
            <w:sz w:val="22"/>
            <w:szCs w:val="22"/>
            <w:lang w:eastAsia="fr-FR"/>
          </w:rPr>
          <w:tab/>
        </w:r>
        <w:r w:rsidRPr="00BA29CD">
          <w:rPr>
            <w:rStyle w:val="Hyperlink"/>
            <w:noProof/>
          </w:rPr>
          <w:t>Transfert de fonctionnaires du secrétariat de la Convention de Minamata au Secrétariat des conventions de Bâle, de Rotterdam et de Stockholm</w:t>
        </w:r>
        <w:r>
          <w:rPr>
            <w:noProof/>
            <w:webHidden/>
          </w:rPr>
          <w:tab/>
        </w:r>
        <w:r>
          <w:rPr>
            <w:noProof/>
            <w:webHidden/>
          </w:rPr>
          <w:fldChar w:fldCharType="begin"/>
        </w:r>
        <w:r>
          <w:rPr>
            <w:noProof/>
            <w:webHidden/>
          </w:rPr>
          <w:instrText xml:space="preserve"> PAGEREF _Toc24985767 \h </w:instrText>
        </w:r>
        <w:r>
          <w:rPr>
            <w:noProof/>
            <w:webHidden/>
          </w:rPr>
        </w:r>
        <w:r>
          <w:rPr>
            <w:noProof/>
            <w:webHidden/>
          </w:rPr>
          <w:fldChar w:fldCharType="separate"/>
        </w:r>
        <w:r>
          <w:rPr>
            <w:noProof/>
            <w:webHidden/>
          </w:rPr>
          <w:t>7</w:t>
        </w:r>
        <w:r>
          <w:rPr>
            <w:noProof/>
            <w:webHidden/>
          </w:rPr>
          <w:fldChar w:fldCharType="end"/>
        </w:r>
      </w:hyperlink>
    </w:p>
    <w:p w14:paraId="5E6C1B4D" w14:textId="5158A2D8" w:rsidR="00AD6364" w:rsidRDefault="00AD6364">
      <w:pPr>
        <w:pStyle w:val="TOC1"/>
        <w:rPr>
          <w:rFonts w:asciiTheme="minorHAnsi" w:eastAsiaTheme="minorEastAsia" w:hAnsiTheme="minorHAnsi" w:cstheme="minorBidi"/>
          <w:bCs w:val="0"/>
          <w:noProof/>
          <w:sz w:val="22"/>
          <w:szCs w:val="22"/>
          <w:lang w:eastAsia="fr-FR"/>
        </w:rPr>
      </w:pPr>
      <w:hyperlink w:anchor="_Toc24985768" w:history="1">
        <w:r w:rsidRPr="00BA29CD">
          <w:rPr>
            <w:rStyle w:val="Hyperlink"/>
            <w:noProof/>
          </w:rPr>
          <w:t>VIII.</w:t>
        </w:r>
        <w:r>
          <w:rPr>
            <w:rFonts w:asciiTheme="minorHAnsi" w:eastAsiaTheme="minorEastAsia" w:hAnsiTheme="minorHAnsi" w:cstheme="minorBidi"/>
            <w:bCs w:val="0"/>
            <w:noProof/>
            <w:sz w:val="22"/>
            <w:szCs w:val="22"/>
            <w:lang w:eastAsia="fr-FR"/>
          </w:rPr>
          <w:tab/>
        </w:r>
        <w:r w:rsidRPr="00BA29CD">
          <w:rPr>
            <w:rStyle w:val="Hyperlink"/>
            <w:noProof/>
          </w:rPr>
          <w:t>Achat de services selon le principe du recouvrement des coûts</w:t>
        </w:r>
        <w:r>
          <w:rPr>
            <w:noProof/>
            <w:webHidden/>
          </w:rPr>
          <w:tab/>
        </w:r>
        <w:r>
          <w:rPr>
            <w:noProof/>
            <w:webHidden/>
          </w:rPr>
          <w:fldChar w:fldCharType="begin"/>
        </w:r>
        <w:r>
          <w:rPr>
            <w:noProof/>
            <w:webHidden/>
          </w:rPr>
          <w:instrText xml:space="preserve"> PAGEREF _Toc24985768 \h </w:instrText>
        </w:r>
        <w:r>
          <w:rPr>
            <w:noProof/>
            <w:webHidden/>
          </w:rPr>
        </w:r>
        <w:r>
          <w:rPr>
            <w:noProof/>
            <w:webHidden/>
          </w:rPr>
          <w:fldChar w:fldCharType="separate"/>
        </w:r>
        <w:r>
          <w:rPr>
            <w:noProof/>
            <w:webHidden/>
          </w:rPr>
          <w:t>8</w:t>
        </w:r>
        <w:r>
          <w:rPr>
            <w:noProof/>
            <w:webHidden/>
          </w:rPr>
          <w:fldChar w:fldCharType="end"/>
        </w:r>
      </w:hyperlink>
    </w:p>
    <w:p w14:paraId="74604FF5" w14:textId="722597C8" w:rsidR="00AD6364" w:rsidRDefault="00AD6364">
      <w:pPr>
        <w:pStyle w:val="TOC1"/>
        <w:rPr>
          <w:rFonts w:asciiTheme="minorHAnsi" w:eastAsiaTheme="minorEastAsia" w:hAnsiTheme="minorHAnsi" w:cstheme="minorBidi"/>
          <w:bCs w:val="0"/>
          <w:noProof/>
          <w:sz w:val="22"/>
          <w:szCs w:val="22"/>
          <w:lang w:eastAsia="fr-FR"/>
        </w:rPr>
      </w:pPr>
      <w:hyperlink w:anchor="_Toc24985769" w:history="1">
        <w:r w:rsidRPr="00BA29CD">
          <w:rPr>
            <w:rStyle w:val="Hyperlink"/>
            <w:noProof/>
          </w:rPr>
          <w:t>IX.</w:t>
        </w:r>
        <w:r>
          <w:rPr>
            <w:rFonts w:asciiTheme="minorHAnsi" w:eastAsiaTheme="minorEastAsia" w:hAnsiTheme="minorHAnsi" w:cstheme="minorBidi"/>
            <w:bCs w:val="0"/>
            <w:noProof/>
            <w:sz w:val="22"/>
            <w:szCs w:val="22"/>
            <w:lang w:eastAsia="fr-FR"/>
          </w:rPr>
          <w:tab/>
        </w:r>
        <w:r w:rsidRPr="00BA29CD">
          <w:rPr>
            <w:rStyle w:val="Hyperlink"/>
            <w:noProof/>
          </w:rPr>
          <w:t>Considérations diverses</w:t>
        </w:r>
        <w:r>
          <w:rPr>
            <w:noProof/>
            <w:webHidden/>
          </w:rPr>
          <w:tab/>
        </w:r>
        <w:r>
          <w:rPr>
            <w:noProof/>
            <w:webHidden/>
          </w:rPr>
          <w:fldChar w:fldCharType="begin"/>
        </w:r>
        <w:r>
          <w:rPr>
            <w:noProof/>
            <w:webHidden/>
          </w:rPr>
          <w:instrText xml:space="preserve"> PAGEREF _Toc24985769 \h </w:instrText>
        </w:r>
        <w:r>
          <w:rPr>
            <w:noProof/>
            <w:webHidden/>
          </w:rPr>
        </w:r>
        <w:r>
          <w:rPr>
            <w:noProof/>
            <w:webHidden/>
          </w:rPr>
          <w:fldChar w:fldCharType="separate"/>
        </w:r>
        <w:r>
          <w:rPr>
            <w:noProof/>
            <w:webHidden/>
          </w:rPr>
          <w:t>8</w:t>
        </w:r>
        <w:r>
          <w:rPr>
            <w:noProof/>
            <w:webHidden/>
          </w:rPr>
          <w:fldChar w:fldCharType="end"/>
        </w:r>
      </w:hyperlink>
    </w:p>
    <w:p w14:paraId="2DE854EE" w14:textId="2F77E4EA" w:rsidR="00AD6364" w:rsidRDefault="00AD6364">
      <w:pPr>
        <w:pStyle w:val="TOC1"/>
        <w:rPr>
          <w:rFonts w:asciiTheme="minorHAnsi" w:eastAsiaTheme="minorEastAsia" w:hAnsiTheme="minorHAnsi" w:cstheme="minorBidi"/>
          <w:bCs w:val="0"/>
          <w:noProof/>
          <w:sz w:val="22"/>
          <w:szCs w:val="22"/>
          <w:lang w:eastAsia="fr-FR"/>
        </w:rPr>
      </w:pPr>
      <w:hyperlink w:anchor="_Toc24985770" w:history="1">
        <w:r w:rsidRPr="00BA29CD">
          <w:rPr>
            <w:rStyle w:val="Hyperlink"/>
            <w:noProof/>
          </w:rPr>
          <w:t>X.</w:t>
        </w:r>
        <w:r>
          <w:rPr>
            <w:rFonts w:asciiTheme="minorHAnsi" w:eastAsiaTheme="minorEastAsia" w:hAnsiTheme="minorHAnsi" w:cstheme="minorBidi"/>
            <w:bCs w:val="0"/>
            <w:noProof/>
            <w:sz w:val="22"/>
            <w:szCs w:val="22"/>
            <w:lang w:eastAsia="fr-FR"/>
          </w:rPr>
          <w:tab/>
        </w:r>
        <w:r w:rsidRPr="00BA29CD">
          <w:rPr>
            <w:rStyle w:val="Hyperlink"/>
            <w:noProof/>
          </w:rPr>
          <w:t>Conclusion</w:t>
        </w:r>
        <w:r>
          <w:rPr>
            <w:noProof/>
            <w:webHidden/>
          </w:rPr>
          <w:tab/>
        </w:r>
        <w:r>
          <w:rPr>
            <w:noProof/>
            <w:webHidden/>
          </w:rPr>
          <w:fldChar w:fldCharType="begin"/>
        </w:r>
        <w:r>
          <w:rPr>
            <w:noProof/>
            <w:webHidden/>
          </w:rPr>
          <w:instrText xml:space="preserve"> PAGEREF _Toc24985770 \h </w:instrText>
        </w:r>
        <w:r>
          <w:rPr>
            <w:noProof/>
            <w:webHidden/>
          </w:rPr>
        </w:r>
        <w:r>
          <w:rPr>
            <w:noProof/>
            <w:webHidden/>
          </w:rPr>
          <w:fldChar w:fldCharType="separate"/>
        </w:r>
        <w:r>
          <w:rPr>
            <w:noProof/>
            <w:webHidden/>
          </w:rPr>
          <w:t>8</w:t>
        </w:r>
        <w:r>
          <w:rPr>
            <w:noProof/>
            <w:webHidden/>
          </w:rPr>
          <w:fldChar w:fldCharType="end"/>
        </w:r>
      </w:hyperlink>
    </w:p>
    <w:p w14:paraId="450EE9BB" w14:textId="283C806B" w:rsidR="00AD6364" w:rsidRDefault="00AD6364">
      <w:pPr>
        <w:pStyle w:val="TOC1"/>
        <w:rPr>
          <w:rFonts w:asciiTheme="minorHAnsi" w:eastAsiaTheme="minorEastAsia" w:hAnsiTheme="minorHAnsi" w:cstheme="minorBidi"/>
          <w:bCs w:val="0"/>
          <w:noProof/>
          <w:sz w:val="22"/>
          <w:szCs w:val="22"/>
          <w:lang w:eastAsia="fr-FR"/>
        </w:rPr>
      </w:pPr>
      <w:hyperlink w:anchor="_Toc24985771" w:history="1">
        <w:r w:rsidRPr="00BA29CD">
          <w:rPr>
            <w:rStyle w:val="Hyperlink"/>
            <w:noProof/>
          </w:rPr>
          <w:t>XI.</w:t>
        </w:r>
        <w:r>
          <w:rPr>
            <w:rFonts w:asciiTheme="minorHAnsi" w:eastAsiaTheme="minorEastAsia" w:hAnsiTheme="minorHAnsi" w:cstheme="minorBidi"/>
            <w:bCs w:val="0"/>
            <w:noProof/>
            <w:sz w:val="22"/>
            <w:szCs w:val="22"/>
            <w:lang w:eastAsia="fr-FR"/>
          </w:rPr>
          <w:tab/>
        </w:r>
        <w:r w:rsidRPr="00BA29CD">
          <w:rPr>
            <w:rStyle w:val="Hyperlink"/>
            <w:noProof/>
          </w:rPr>
          <w:t>Résumé des surcoûts indicatifs</w:t>
        </w:r>
        <w:r>
          <w:rPr>
            <w:noProof/>
            <w:webHidden/>
          </w:rPr>
          <w:tab/>
        </w:r>
        <w:r>
          <w:rPr>
            <w:noProof/>
            <w:webHidden/>
          </w:rPr>
          <w:fldChar w:fldCharType="begin"/>
        </w:r>
        <w:r>
          <w:rPr>
            <w:noProof/>
            <w:webHidden/>
          </w:rPr>
          <w:instrText xml:space="preserve"> PAGEREF _Toc24985771 \h </w:instrText>
        </w:r>
        <w:r>
          <w:rPr>
            <w:noProof/>
            <w:webHidden/>
          </w:rPr>
        </w:r>
        <w:r>
          <w:rPr>
            <w:noProof/>
            <w:webHidden/>
          </w:rPr>
          <w:fldChar w:fldCharType="separate"/>
        </w:r>
        <w:r>
          <w:rPr>
            <w:noProof/>
            <w:webHidden/>
          </w:rPr>
          <w:t>8</w:t>
        </w:r>
        <w:r>
          <w:rPr>
            <w:noProof/>
            <w:webHidden/>
          </w:rPr>
          <w:fldChar w:fldCharType="end"/>
        </w:r>
      </w:hyperlink>
    </w:p>
    <w:p w14:paraId="68297868" w14:textId="6FF1C464" w:rsidR="00AD6364" w:rsidRDefault="00AD6364">
      <w:pPr>
        <w:pStyle w:val="TOC2"/>
        <w:rPr>
          <w:rFonts w:asciiTheme="minorHAnsi" w:eastAsiaTheme="minorEastAsia" w:hAnsiTheme="minorHAnsi" w:cstheme="minorBidi"/>
          <w:noProof/>
          <w:sz w:val="22"/>
          <w:szCs w:val="22"/>
          <w:lang w:eastAsia="fr-FR"/>
        </w:rPr>
      </w:pPr>
      <w:hyperlink w:anchor="_Toc24985772" w:history="1">
        <w:r w:rsidRPr="00BA29CD">
          <w:rPr>
            <w:rStyle w:val="Hyperlink"/>
            <w:noProof/>
          </w:rPr>
          <w:t>Annexe I</w:t>
        </w:r>
        <w:r>
          <w:rPr>
            <w:noProof/>
            <w:webHidden/>
          </w:rPr>
          <w:tab/>
        </w:r>
        <w:r>
          <w:rPr>
            <w:noProof/>
            <w:webHidden/>
          </w:rPr>
          <w:fldChar w:fldCharType="begin"/>
        </w:r>
        <w:r>
          <w:rPr>
            <w:noProof/>
            <w:webHidden/>
          </w:rPr>
          <w:instrText xml:space="preserve"> PAGEREF _Toc24985772 \h </w:instrText>
        </w:r>
        <w:r>
          <w:rPr>
            <w:noProof/>
            <w:webHidden/>
          </w:rPr>
        </w:r>
        <w:r>
          <w:rPr>
            <w:noProof/>
            <w:webHidden/>
          </w:rPr>
          <w:fldChar w:fldCharType="separate"/>
        </w:r>
        <w:r>
          <w:rPr>
            <w:noProof/>
            <w:webHidden/>
          </w:rPr>
          <w:t>10</w:t>
        </w:r>
        <w:r>
          <w:rPr>
            <w:noProof/>
            <w:webHidden/>
          </w:rPr>
          <w:fldChar w:fldCharType="end"/>
        </w:r>
      </w:hyperlink>
    </w:p>
    <w:p w14:paraId="19FD26F1" w14:textId="702B3036" w:rsidR="00AD6364" w:rsidRDefault="00AD6364">
      <w:pPr>
        <w:pStyle w:val="TOC2"/>
        <w:rPr>
          <w:rFonts w:asciiTheme="minorHAnsi" w:eastAsiaTheme="minorEastAsia" w:hAnsiTheme="minorHAnsi" w:cstheme="minorBidi"/>
          <w:noProof/>
          <w:sz w:val="22"/>
          <w:szCs w:val="22"/>
          <w:lang w:eastAsia="fr-FR"/>
        </w:rPr>
      </w:pPr>
      <w:hyperlink w:anchor="_Toc24985773" w:history="1">
        <w:r w:rsidRPr="00BA29CD">
          <w:rPr>
            <w:rStyle w:val="Hyperlink"/>
            <w:noProof/>
          </w:rPr>
          <w:t>Annexe II</w:t>
        </w:r>
        <w:r>
          <w:rPr>
            <w:noProof/>
            <w:webHidden/>
          </w:rPr>
          <w:tab/>
        </w:r>
        <w:r>
          <w:rPr>
            <w:noProof/>
            <w:webHidden/>
          </w:rPr>
          <w:fldChar w:fldCharType="begin"/>
        </w:r>
        <w:r>
          <w:rPr>
            <w:noProof/>
            <w:webHidden/>
          </w:rPr>
          <w:instrText xml:space="preserve"> PAGEREF _Toc24985773 \h </w:instrText>
        </w:r>
        <w:r>
          <w:rPr>
            <w:noProof/>
            <w:webHidden/>
          </w:rPr>
        </w:r>
        <w:r>
          <w:rPr>
            <w:noProof/>
            <w:webHidden/>
          </w:rPr>
          <w:fldChar w:fldCharType="separate"/>
        </w:r>
        <w:r>
          <w:rPr>
            <w:noProof/>
            <w:webHidden/>
          </w:rPr>
          <w:t>14</w:t>
        </w:r>
        <w:r>
          <w:rPr>
            <w:noProof/>
            <w:webHidden/>
          </w:rPr>
          <w:fldChar w:fldCharType="end"/>
        </w:r>
      </w:hyperlink>
    </w:p>
    <w:p w14:paraId="1FCBBA61" w14:textId="3D8B73AA" w:rsidR="00AD6364" w:rsidRDefault="00AD6364">
      <w:pPr>
        <w:pStyle w:val="TOC2"/>
        <w:rPr>
          <w:rFonts w:asciiTheme="minorHAnsi" w:eastAsiaTheme="minorEastAsia" w:hAnsiTheme="minorHAnsi" w:cstheme="minorBidi"/>
          <w:noProof/>
          <w:sz w:val="22"/>
          <w:szCs w:val="22"/>
          <w:lang w:eastAsia="fr-FR"/>
        </w:rPr>
      </w:pPr>
      <w:hyperlink w:anchor="_Toc24985774" w:history="1">
        <w:r w:rsidRPr="00BA29CD">
          <w:rPr>
            <w:rStyle w:val="Hyperlink"/>
            <w:noProof/>
          </w:rPr>
          <w:t>Annexe III</w:t>
        </w:r>
        <w:r>
          <w:rPr>
            <w:noProof/>
            <w:webHidden/>
          </w:rPr>
          <w:tab/>
        </w:r>
        <w:r>
          <w:rPr>
            <w:noProof/>
            <w:webHidden/>
          </w:rPr>
          <w:fldChar w:fldCharType="begin"/>
        </w:r>
        <w:r>
          <w:rPr>
            <w:noProof/>
            <w:webHidden/>
          </w:rPr>
          <w:instrText xml:space="preserve"> PAGEREF _Toc24985774 \h </w:instrText>
        </w:r>
        <w:r>
          <w:rPr>
            <w:noProof/>
            <w:webHidden/>
          </w:rPr>
        </w:r>
        <w:r>
          <w:rPr>
            <w:noProof/>
            <w:webHidden/>
          </w:rPr>
          <w:fldChar w:fldCharType="separate"/>
        </w:r>
        <w:r>
          <w:rPr>
            <w:noProof/>
            <w:webHidden/>
          </w:rPr>
          <w:t>15</w:t>
        </w:r>
        <w:r>
          <w:rPr>
            <w:noProof/>
            <w:webHidden/>
          </w:rPr>
          <w:fldChar w:fldCharType="end"/>
        </w:r>
      </w:hyperlink>
    </w:p>
    <w:p w14:paraId="5CF724D1" w14:textId="1D0ED5E6" w:rsidR="00863F6A" w:rsidRPr="00FC60C1" w:rsidRDefault="007D50B6" w:rsidP="00174DCA">
      <w:pPr>
        <w:pStyle w:val="Normal-pool"/>
        <w:rPr>
          <w:lang w:val="fr-FR"/>
        </w:rPr>
      </w:pPr>
      <w:r w:rsidRPr="00FC60C1">
        <w:rPr>
          <w:lang w:val="fr-FR"/>
        </w:rPr>
        <w:fldChar w:fldCharType="end"/>
      </w:r>
    </w:p>
    <w:p w14:paraId="3E6D03E2" w14:textId="06355EB7" w:rsidR="00863F6A" w:rsidRPr="00FC60C1" w:rsidRDefault="00863F6A" w:rsidP="00174DCA">
      <w:pPr>
        <w:pStyle w:val="Normal-pool"/>
        <w:rPr>
          <w:lang w:val="fr-FR"/>
        </w:rPr>
      </w:pPr>
      <w:r w:rsidRPr="00FC60C1">
        <w:rPr>
          <w:lang w:val="fr-FR"/>
        </w:rPr>
        <w:br w:type="page"/>
      </w:r>
    </w:p>
    <w:p w14:paraId="773ABB62" w14:textId="6DF45B34" w:rsidR="00863F6A" w:rsidRPr="00FC60C1" w:rsidRDefault="00883B8E" w:rsidP="00CF135E">
      <w:pPr>
        <w:pStyle w:val="CH1"/>
        <w:numPr>
          <w:ilvl w:val="0"/>
          <w:numId w:val="8"/>
        </w:numPr>
        <w:tabs>
          <w:tab w:val="clear" w:pos="851"/>
        </w:tabs>
        <w:ind w:left="1276" w:hanging="567"/>
        <w:rPr>
          <w:lang w:val="fr-FR"/>
        </w:rPr>
      </w:pPr>
      <w:bookmarkStart w:id="2" w:name="_Toc24985761"/>
      <w:r w:rsidRPr="00FC60C1">
        <w:rPr>
          <w:bCs/>
          <w:lang w:val="fr-FR"/>
        </w:rPr>
        <w:lastRenderedPageBreak/>
        <w:t>Contexte</w:t>
      </w:r>
      <w:bookmarkStart w:id="3" w:name="_Toc21073435"/>
      <w:bookmarkEnd w:id="3"/>
      <w:bookmarkEnd w:id="2"/>
    </w:p>
    <w:p w14:paraId="0E4077EF" w14:textId="6F759337" w:rsidR="00863F6A" w:rsidRPr="0062683F" w:rsidRDefault="00303467" w:rsidP="00CF135E">
      <w:pPr>
        <w:pStyle w:val="Normalnumber"/>
        <w:numPr>
          <w:ilvl w:val="0"/>
          <w:numId w:val="10"/>
        </w:numPr>
        <w:tabs>
          <w:tab w:val="clear" w:pos="597"/>
          <w:tab w:val="clear" w:pos="624"/>
          <w:tab w:val="left" w:pos="1276"/>
        </w:tabs>
        <w:ind w:left="1276"/>
        <w:rPr>
          <w:lang w:val="fr-FR"/>
        </w:rPr>
      </w:pPr>
      <w:r w:rsidRPr="0062683F">
        <w:rPr>
          <w:lang w:val="fr-FR"/>
        </w:rPr>
        <w:t>Dans la décision </w:t>
      </w:r>
      <w:r w:rsidR="00863F6A" w:rsidRPr="0062683F">
        <w:rPr>
          <w:lang w:val="fr-FR"/>
        </w:rPr>
        <w:t>MC-2/7 qu</w:t>
      </w:r>
      <w:r w:rsidR="002A6A82" w:rsidRPr="0062683F">
        <w:rPr>
          <w:lang w:val="fr-FR"/>
        </w:rPr>
        <w:t>’</w:t>
      </w:r>
      <w:r w:rsidRPr="0062683F">
        <w:rPr>
          <w:lang w:val="fr-FR"/>
        </w:rPr>
        <w:t>elle a adoptée à sa deuxième </w:t>
      </w:r>
      <w:r w:rsidR="00863F6A" w:rsidRPr="0062683F">
        <w:rPr>
          <w:lang w:val="fr-FR"/>
        </w:rPr>
        <w:t xml:space="preserve">réunion, la Conférence des Parties à la Convention de Minamata sur le mercure a prié la Directrice exécutive du </w:t>
      </w:r>
      <w:r w:rsidR="003A1D64" w:rsidRPr="0062683F">
        <w:rPr>
          <w:lang w:val="fr-FR"/>
        </w:rPr>
        <w:t>Programme des Nations Unies pour l’environnement (</w:t>
      </w:r>
      <w:r w:rsidR="00863F6A" w:rsidRPr="0062683F">
        <w:rPr>
          <w:lang w:val="fr-FR"/>
        </w:rPr>
        <w:t>PNUE</w:t>
      </w:r>
      <w:r w:rsidR="003A1D64" w:rsidRPr="0062683F">
        <w:rPr>
          <w:lang w:val="fr-FR"/>
        </w:rPr>
        <w:t>)</w:t>
      </w:r>
      <w:r w:rsidR="00863F6A" w:rsidRPr="0062683F">
        <w:rPr>
          <w:lang w:val="fr-FR"/>
        </w:rPr>
        <w:t>, en ce qu</w:t>
      </w:r>
      <w:r w:rsidR="002A6A82" w:rsidRPr="0062683F">
        <w:rPr>
          <w:lang w:val="fr-FR"/>
        </w:rPr>
        <w:t>’</w:t>
      </w:r>
      <w:r w:rsidR="00863F6A" w:rsidRPr="0062683F">
        <w:rPr>
          <w:lang w:val="fr-FR"/>
        </w:rPr>
        <w:t xml:space="preserve">elle assure les services de secrétariat de la Convention de Minamata, de soumettre une proposition, élaborée en concertation avec la Secrétaire exécutive de la Convention de Minamata et le concours du Secrétaire exécutif </w:t>
      </w:r>
      <w:r w:rsidR="0022698D" w:rsidRPr="0062683F">
        <w:rPr>
          <w:lang w:val="fr-FR"/>
        </w:rPr>
        <w:t>des conventions</w:t>
      </w:r>
      <w:r w:rsidR="00863F6A" w:rsidRPr="0062683F">
        <w:rPr>
          <w:lang w:val="fr-FR"/>
        </w:rPr>
        <w:t xml:space="preserve"> de Bâle et de Stockholm et de la composante de la Convention de Rotterdam relevant du Programme des Nations Unies pour l</w:t>
      </w:r>
      <w:r w:rsidR="002A6A82" w:rsidRPr="0062683F">
        <w:rPr>
          <w:lang w:val="fr-FR"/>
        </w:rPr>
        <w:t>’</w:t>
      </w:r>
      <w:r w:rsidR="00863F6A" w:rsidRPr="0062683F">
        <w:rPr>
          <w:lang w:val="fr-FR"/>
        </w:rPr>
        <w:t>environnement, concernant un cadre stable de partage de services dans des domaines tels que les services de conférence, la gestion des connaissances et de l</w:t>
      </w:r>
      <w:r w:rsidR="002A6A82" w:rsidRPr="0062683F">
        <w:rPr>
          <w:lang w:val="fr-FR"/>
        </w:rPr>
        <w:t>’</w:t>
      </w:r>
      <w:r w:rsidR="00863F6A" w:rsidRPr="0062683F">
        <w:rPr>
          <w:lang w:val="fr-FR"/>
        </w:rPr>
        <w:t>information, les services administratifs et informatiques, l</w:t>
      </w:r>
      <w:r w:rsidR="002A6A82" w:rsidRPr="0062683F">
        <w:rPr>
          <w:lang w:val="fr-FR"/>
        </w:rPr>
        <w:t>’</w:t>
      </w:r>
      <w:r w:rsidR="00863F6A" w:rsidRPr="0062683F">
        <w:rPr>
          <w:lang w:val="fr-FR"/>
        </w:rPr>
        <w:t>assistance technique, le conseil juridique et l</w:t>
      </w:r>
      <w:r w:rsidR="002A6A82" w:rsidRPr="0062683F">
        <w:rPr>
          <w:lang w:val="fr-FR"/>
        </w:rPr>
        <w:t>’</w:t>
      </w:r>
      <w:r w:rsidR="00863F6A" w:rsidRPr="0062683F">
        <w:rPr>
          <w:lang w:val="fr-FR"/>
        </w:rPr>
        <w:t>établissement du budget, y compris des solutions possibles, qu</w:t>
      </w:r>
      <w:r w:rsidR="002A6A82" w:rsidRPr="0062683F">
        <w:rPr>
          <w:lang w:val="fr-FR"/>
        </w:rPr>
        <w:t>’</w:t>
      </w:r>
      <w:r w:rsidR="00863F6A" w:rsidRPr="0062683F">
        <w:rPr>
          <w:lang w:val="fr-FR"/>
        </w:rPr>
        <w:t>elle examinerait à sa troi</w:t>
      </w:r>
      <w:r w:rsidR="0062683F">
        <w:rPr>
          <w:lang w:val="fr-FR"/>
        </w:rPr>
        <w:t>sième réunion. Ces services, de </w:t>
      </w:r>
      <w:r w:rsidR="00863F6A" w:rsidRPr="0062683F">
        <w:rPr>
          <w:lang w:val="fr-FR"/>
        </w:rPr>
        <w:t xml:space="preserve">nature essentiellement administrative, sont au </w:t>
      </w:r>
      <w:r w:rsidR="00FC60C1" w:rsidRPr="0062683F">
        <w:rPr>
          <w:lang w:val="fr-FR"/>
        </w:rPr>
        <w:t>cœur</w:t>
      </w:r>
      <w:r w:rsidR="00450D9E" w:rsidRPr="0062683F">
        <w:rPr>
          <w:lang w:val="fr-FR"/>
        </w:rPr>
        <w:t xml:space="preserve"> de la présente proposition.</w:t>
      </w:r>
    </w:p>
    <w:p w14:paraId="41C2D365" w14:textId="6A185AB9" w:rsidR="00863F6A" w:rsidRPr="00FC60C1" w:rsidRDefault="00863F6A" w:rsidP="00CF135E">
      <w:pPr>
        <w:pStyle w:val="Normalnumber"/>
        <w:numPr>
          <w:ilvl w:val="0"/>
          <w:numId w:val="10"/>
        </w:numPr>
        <w:tabs>
          <w:tab w:val="clear" w:pos="597"/>
          <w:tab w:val="clear" w:pos="624"/>
          <w:tab w:val="left" w:pos="1276"/>
        </w:tabs>
        <w:ind w:left="1276"/>
        <w:rPr>
          <w:lang w:val="fr-FR"/>
        </w:rPr>
      </w:pPr>
      <w:r w:rsidRPr="00FC60C1">
        <w:rPr>
          <w:lang w:val="fr-FR"/>
        </w:rPr>
        <w:t>La Conférence des Parties a également prié la Directrice exécutiv</w:t>
      </w:r>
      <w:r w:rsidR="00303467">
        <w:rPr>
          <w:lang w:val="fr-FR"/>
        </w:rPr>
        <w:t>e du PNUE de porter la décision </w:t>
      </w:r>
      <w:r w:rsidRPr="00FC60C1">
        <w:rPr>
          <w:lang w:val="fr-FR"/>
        </w:rPr>
        <w:t xml:space="preserve">MC-2/7 à la connaissance du Secrétariat </w:t>
      </w:r>
      <w:r w:rsidR="0022698D">
        <w:rPr>
          <w:lang w:val="fr-FR"/>
        </w:rPr>
        <w:t>des conventions</w:t>
      </w:r>
      <w:r w:rsidRPr="00FC60C1">
        <w:rPr>
          <w:lang w:val="fr-FR"/>
        </w:rPr>
        <w:t xml:space="preserve"> de Bâle, de Rotterdam et de Stockholm et des conférences des Parties à ces conventions à leur prochaine réunion, ainsi que tout arrangement pertinent concernant le secrétariat déjà mis en place ou prévu ou envisagé conformém</w:t>
      </w:r>
      <w:r w:rsidR="00621BA6">
        <w:rPr>
          <w:lang w:val="fr-FR"/>
        </w:rPr>
        <w:t>ent à la décision en question. À</w:t>
      </w:r>
      <w:r w:rsidRPr="00FC60C1">
        <w:rPr>
          <w:lang w:val="fr-FR"/>
        </w:rPr>
        <w:t xml:space="preserve"> leurs réunions de 2019, les conférences des Parties </w:t>
      </w:r>
      <w:r w:rsidR="00303467">
        <w:rPr>
          <w:lang w:val="fr-FR"/>
        </w:rPr>
        <w:t>aux conventions</w:t>
      </w:r>
      <w:r w:rsidRPr="00FC60C1">
        <w:rPr>
          <w:lang w:val="fr-FR"/>
        </w:rPr>
        <w:t xml:space="preserve"> de Bâle, de Rotterdam et de Stockholm ont chacune adoptée une décision très similair</w:t>
      </w:r>
      <w:r w:rsidR="00303467">
        <w:rPr>
          <w:lang w:val="fr-FR"/>
        </w:rPr>
        <w:t>e à la décision </w:t>
      </w:r>
      <w:r w:rsidR="00450D9E" w:rsidRPr="00FC60C1">
        <w:rPr>
          <w:lang w:val="fr-FR"/>
        </w:rPr>
        <w:t>MC</w:t>
      </w:r>
      <w:r w:rsidR="00450D9E" w:rsidRPr="00FC60C1">
        <w:rPr>
          <w:lang w:val="fr-FR"/>
        </w:rPr>
        <w:noBreakHyphen/>
      </w:r>
      <w:r w:rsidR="00303467">
        <w:rPr>
          <w:lang w:val="fr-FR"/>
        </w:rPr>
        <w:t>2/7 (décisions BC-14/22, RC-9/10 et </w:t>
      </w:r>
      <w:r w:rsidRPr="00FC60C1">
        <w:rPr>
          <w:lang w:val="fr-FR"/>
        </w:rPr>
        <w:t xml:space="preserve">SC-9/20), dans lesquelles elles ont notamment prié la Directrice exécutive de porter la décision à </w:t>
      </w:r>
      <w:r w:rsidR="003A1D64">
        <w:rPr>
          <w:lang w:val="fr-FR"/>
        </w:rPr>
        <w:t>la</w:t>
      </w:r>
      <w:r w:rsidRPr="00FC60C1">
        <w:rPr>
          <w:lang w:val="fr-FR"/>
        </w:rPr>
        <w:t xml:space="preserve"> connaissance </w:t>
      </w:r>
      <w:r w:rsidR="003A1D64">
        <w:rPr>
          <w:lang w:val="fr-FR"/>
        </w:rPr>
        <w:t xml:space="preserve">du Secrétaire exécutif de la Convention de Minamata et de la Conférence des Parties à la Convention de Minamata </w:t>
      </w:r>
      <w:r w:rsidRPr="00FC60C1">
        <w:rPr>
          <w:lang w:val="fr-FR"/>
        </w:rPr>
        <w:t>à l</w:t>
      </w:r>
      <w:r w:rsidR="002A6A82">
        <w:rPr>
          <w:lang w:val="fr-FR"/>
        </w:rPr>
        <w:t>’</w:t>
      </w:r>
      <w:r w:rsidRPr="00FC60C1">
        <w:rPr>
          <w:lang w:val="fr-FR"/>
        </w:rPr>
        <w:t xml:space="preserve">occasion de </w:t>
      </w:r>
      <w:r w:rsidR="003A1D64">
        <w:rPr>
          <w:lang w:val="fr-FR"/>
        </w:rPr>
        <w:t>sa prochaine réunion</w:t>
      </w:r>
      <w:r w:rsidRPr="00FC60C1">
        <w:rPr>
          <w:lang w:val="fr-FR"/>
        </w:rPr>
        <w:t xml:space="preserve"> ainsi que tout arrangement pertinent concernant le secrétariat déjà mis en place ou prévu ou envisagé conformément à la décision en question.</w:t>
      </w:r>
    </w:p>
    <w:p w14:paraId="7E6461BE" w14:textId="19CC6227" w:rsidR="00863F6A" w:rsidRPr="00FC60C1" w:rsidRDefault="004A0684" w:rsidP="00CF135E">
      <w:pPr>
        <w:pStyle w:val="CH1"/>
        <w:numPr>
          <w:ilvl w:val="0"/>
          <w:numId w:val="8"/>
        </w:numPr>
        <w:tabs>
          <w:tab w:val="clear" w:pos="851"/>
        </w:tabs>
        <w:ind w:left="1276" w:hanging="567"/>
        <w:rPr>
          <w:lang w:val="fr-FR"/>
        </w:rPr>
      </w:pPr>
      <w:bookmarkStart w:id="4" w:name="_Toc24985762"/>
      <w:r w:rsidRPr="00FC60C1">
        <w:rPr>
          <w:bCs/>
          <w:lang w:val="fr-FR"/>
        </w:rPr>
        <w:t>Processus d</w:t>
      </w:r>
      <w:r w:rsidR="002A6A82">
        <w:rPr>
          <w:bCs/>
          <w:lang w:val="fr-FR"/>
        </w:rPr>
        <w:t>’</w:t>
      </w:r>
      <w:r w:rsidRPr="00FC60C1">
        <w:rPr>
          <w:bCs/>
          <w:lang w:val="fr-FR"/>
        </w:rPr>
        <w:t>évaluation et principales considérations</w:t>
      </w:r>
      <w:bookmarkStart w:id="5" w:name="_Toc21073436"/>
      <w:bookmarkEnd w:id="5"/>
      <w:bookmarkEnd w:id="4"/>
    </w:p>
    <w:p w14:paraId="5681584D" w14:textId="7C79211C" w:rsidR="00863F6A" w:rsidRPr="00FC60C1" w:rsidRDefault="007553E8" w:rsidP="00CF135E">
      <w:pPr>
        <w:pStyle w:val="Normalnumber"/>
        <w:numPr>
          <w:ilvl w:val="0"/>
          <w:numId w:val="10"/>
        </w:numPr>
        <w:tabs>
          <w:tab w:val="clear" w:pos="597"/>
          <w:tab w:val="clear" w:pos="624"/>
          <w:tab w:val="left" w:pos="1276"/>
        </w:tabs>
        <w:ind w:left="1276"/>
        <w:rPr>
          <w:lang w:val="fr-FR"/>
        </w:rPr>
      </w:pPr>
      <w:r w:rsidRPr="00FC60C1">
        <w:rPr>
          <w:lang w:val="fr-FR"/>
        </w:rPr>
        <w:t xml:space="preserve">La Directrice exécutive du PNUE a élaboré la présente proposition de services partagés en concertation avec la Secrétaire exécutive de la Convention de Minamata et avec le concours du Secrétaire exécutif </w:t>
      </w:r>
      <w:r w:rsidR="0022698D">
        <w:rPr>
          <w:lang w:val="fr-FR"/>
        </w:rPr>
        <w:t>des conventions</w:t>
      </w:r>
      <w:r w:rsidRPr="00FC60C1">
        <w:rPr>
          <w:lang w:val="fr-FR"/>
        </w:rPr>
        <w:t xml:space="preserve"> de Bâle et de Stockholm et de la composante de la Convention de Rotterdam relevant du PNUE. L</w:t>
      </w:r>
      <w:r w:rsidR="002A6A82">
        <w:rPr>
          <w:lang w:val="fr-FR"/>
        </w:rPr>
        <w:t>’</w:t>
      </w:r>
      <w:r w:rsidR="00303467">
        <w:rPr>
          <w:lang w:val="fr-FR"/>
        </w:rPr>
        <w:t>article </w:t>
      </w:r>
      <w:r w:rsidRPr="00FC60C1">
        <w:rPr>
          <w:lang w:val="fr-FR"/>
        </w:rPr>
        <w:t>24 de la Convention de Minamata dispose que les fonctions de secrétariat de la Convention, y compris la coopération et la coordination entre le secrétariat de la Convention de Minamata et les secrétariats des autres conventions relatives aux produits chimiques et aux déchets, sont assurées pa</w:t>
      </w:r>
      <w:r w:rsidR="003A1D64">
        <w:rPr>
          <w:lang w:val="fr-FR"/>
        </w:rPr>
        <w:t>r le Directeur exécutif du PNUE. L</w:t>
      </w:r>
      <w:r w:rsidR="002A6A82">
        <w:rPr>
          <w:lang w:val="fr-FR"/>
        </w:rPr>
        <w:t>’</w:t>
      </w:r>
      <w:r w:rsidRPr="00FC60C1">
        <w:rPr>
          <w:lang w:val="fr-FR"/>
        </w:rPr>
        <w:t>analyse effectuée a montré que les synergies les plus intéressantes pouvaient être réalisées principalement dans le domai</w:t>
      </w:r>
      <w:r w:rsidR="00450D9E" w:rsidRPr="00FC60C1">
        <w:rPr>
          <w:lang w:val="fr-FR"/>
        </w:rPr>
        <w:t>ne des services administratifs.</w:t>
      </w:r>
    </w:p>
    <w:p w14:paraId="4311F193" w14:textId="6F972FAB" w:rsidR="00863F6A" w:rsidRPr="00FC60C1" w:rsidRDefault="00E50EBD" w:rsidP="00CF135E">
      <w:pPr>
        <w:pStyle w:val="Normalnumber"/>
        <w:ind w:left="1247"/>
        <w:rPr>
          <w:lang w:val="fr-FR"/>
        </w:rPr>
      </w:pPr>
      <w:r w:rsidRPr="00FC60C1">
        <w:rPr>
          <w:lang w:val="fr-FR"/>
        </w:rPr>
        <w:t xml:space="preserve">La Division des services internes du PNUE, qui assure les services administratifs, a coordonné la formulation de la proposition, laquelle a été revue à plusieurs reprises par une équipe technique tripartite composée de représentants du PNUE et du secrétariat de la Convention de Minamata et du Secrétariat </w:t>
      </w:r>
      <w:r w:rsidR="0022698D">
        <w:rPr>
          <w:lang w:val="fr-FR"/>
        </w:rPr>
        <w:t>des conventions</w:t>
      </w:r>
      <w:r w:rsidRPr="00FC60C1">
        <w:rPr>
          <w:lang w:val="fr-FR"/>
        </w:rPr>
        <w:t xml:space="preserve"> de Bâle, de Rotterdam et de Stockholm. Ces révisions ont été guidées par le PNUE et examinées avec les secrétaires exécutifs </w:t>
      </w:r>
      <w:r w:rsidR="0022698D">
        <w:rPr>
          <w:lang w:val="fr-FR"/>
        </w:rPr>
        <w:t>des conventions</w:t>
      </w:r>
      <w:r w:rsidRPr="00FC60C1">
        <w:rPr>
          <w:lang w:val="fr-FR"/>
        </w:rPr>
        <w:t>, dans le cadre d</w:t>
      </w:r>
      <w:r w:rsidR="002A6A82">
        <w:rPr>
          <w:lang w:val="fr-FR"/>
        </w:rPr>
        <w:t>’</w:t>
      </w:r>
      <w:r w:rsidRPr="00FC60C1">
        <w:rPr>
          <w:lang w:val="fr-FR"/>
        </w:rPr>
        <w:t>un processus consultatif, approfondi et transparent. Un examen des ressources en personnel du secrétariat de la Convention de Minamata, fondé sur l</w:t>
      </w:r>
      <w:r w:rsidR="002A6A82">
        <w:rPr>
          <w:lang w:val="fr-FR"/>
        </w:rPr>
        <w:t>’</w:t>
      </w:r>
      <w:r w:rsidRPr="00FC60C1">
        <w:rPr>
          <w:lang w:val="fr-FR"/>
        </w:rPr>
        <w:t>expérience de la prestation de services de secrétariat au cours de la période biennale précédente et pendant la deuxième réunion de la Conférence des Parties et les préparatifs de la troisième réunion de la Conférence des Parties, a montré que les postes approuvés par la Conférence des Parties à s</w:t>
      </w:r>
      <w:r w:rsidR="00303467">
        <w:rPr>
          <w:lang w:val="fr-FR"/>
        </w:rPr>
        <w:t>a première réunion, à savoir 10 postes et </w:t>
      </w:r>
      <w:r w:rsidRPr="00FC60C1">
        <w:rPr>
          <w:lang w:val="fr-FR"/>
        </w:rPr>
        <w:t>2 autres postes financés au moyen des ressources destinées à l</w:t>
      </w:r>
      <w:r w:rsidR="002A6A82">
        <w:rPr>
          <w:lang w:val="fr-FR"/>
        </w:rPr>
        <w:t>’</w:t>
      </w:r>
      <w:r w:rsidRPr="00FC60C1">
        <w:rPr>
          <w:lang w:val="fr-FR"/>
        </w:rPr>
        <w:t>appui aux programmes, ne permettaient pas d</w:t>
      </w:r>
      <w:r w:rsidR="002A6A82">
        <w:rPr>
          <w:lang w:val="fr-FR"/>
        </w:rPr>
        <w:t>’</w:t>
      </w:r>
      <w:r w:rsidRPr="00FC60C1">
        <w:rPr>
          <w:lang w:val="fr-FR"/>
        </w:rPr>
        <w:t>assurer les fonctions de secrétariat prévues à l</w:t>
      </w:r>
      <w:r w:rsidR="002A6A82">
        <w:rPr>
          <w:lang w:val="fr-FR"/>
        </w:rPr>
        <w:t>’</w:t>
      </w:r>
      <w:r w:rsidR="00303467">
        <w:rPr>
          <w:lang w:val="fr-FR"/>
        </w:rPr>
        <w:t>article </w:t>
      </w:r>
      <w:r w:rsidRPr="00FC60C1">
        <w:rPr>
          <w:lang w:val="fr-FR"/>
        </w:rPr>
        <w:t>24 de la Convention et de mener les acti</w:t>
      </w:r>
      <w:r w:rsidR="00303467">
        <w:rPr>
          <w:lang w:val="fr-FR"/>
        </w:rPr>
        <w:t>vités énoncées dans la décision </w:t>
      </w:r>
      <w:r w:rsidRPr="00FC60C1">
        <w:rPr>
          <w:lang w:val="fr-FR"/>
        </w:rPr>
        <w:t>MC-2/7. Des ressources supplémentaires ont donc été proposées dans le budget de la Convention de Minamata pour l</w:t>
      </w:r>
      <w:r w:rsidR="002A6A82">
        <w:rPr>
          <w:lang w:val="fr-FR"/>
        </w:rPr>
        <w:t>’</w:t>
      </w:r>
      <w:r w:rsidR="00303467">
        <w:rPr>
          <w:lang w:val="fr-FR"/>
        </w:rPr>
        <w:t>exercice biennal </w:t>
      </w:r>
      <w:r w:rsidRPr="00FC60C1">
        <w:rPr>
          <w:lang w:val="fr-FR"/>
        </w:rPr>
        <w:t>2020</w:t>
      </w:r>
      <w:r w:rsidR="001A6CF8">
        <w:rPr>
          <w:bCs/>
          <w:lang w:val="fr-FR"/>
        </w:rPr>
        <w:t>–</w:t>
      </w:r>
      <w:r w:rsidRPr="00FC60C1">
        <w:rPr>
          <w:lang w:val="fr-FR"/>
        </w:rPr>
        <w:t>2021 aux fins de l</w:t>
      </w:r>
      <w:r w:rsidR="002A6A82">
        <w:rPr>
          <w:lang w:val="fr-FR"/>
        </w:rPr>
        <w:t>’</w:t>
      </w:r>
      <w:r w:rsidRPr="00FC60C1">
        <w:rPr>
          <w:lang w:val="fr-FR"/>
        </w:rPr>
        <w:t>exécution des mandats arrêtés par les Parties et de l</w:t>
      </w:r>
      <w:r w:rsidR="002A6A82">
        <w:rPr>
          <w:lang w:val="fr-FR"/>
        </w:rPr>
        <w:t>’</w:t>
      </w:r>
      <w:r w:rsidRPr="00FC60C1">
        <w:rPr>
          <w:lang w:val="fr-FR"/>
        </w:rPr>
        <w:t xml:space="preserve">organisation des réunions de la Conférence des Parties. La coopération entre les secrétariats concernant les synergies entre les programmes </w:t>
      </w:r>
      <w:r w:rsidR="0022698D">
        <w:rPr>
          <w:lang w:val="fr-FR"/>
        </w:rPr>
        <w:t>des conventions</w:t>
      </w:r>
      <w:r w:rsidRPr="00FC60C1">
        <w:rPr>
          <w:lang w:val="fr-FR"/>
        </w:rPr>
        <w:t xml:space="preserve"> de Bâle, de Rotterdam et de Stockholm et de la Convention de Minamata se poursuivra, notamment aux fins de l</w:t>
      </w:r>
      <w:r w:rsidR="002A6A82">
        <w:rPr>
          <w:lang w:val="fr-FR"/>
        </w:rPr>
        <w:t>’</w:t>
      </w:r>
      <w:r w:rsidRPr="00FC60C1">
        <w:rPr>
          <w:lang w:val="fr-FR"/>
        </w:rPr>
        <w:t>élaboration du cadre d</w:t>
      </w:r>
      <w:r w:rsidR="002A6A82">
        <w:rPr>
          <w:lang w:val="fr-FR"/>
        </w:rPr>
        <w:t>’</w:t>
      </w:r>
      <w:r w:rsidRPr="00FC60C1">
        <w:rPr>
          <w:lang w:val="fr-FR"/>
        </w:rPr>
        <w:t>évaluation de l</w:t>
      </w:r>
      <w:r w:rsidR="002A6A82">
        <w:rPr>
          <w:lang w:val="fr-FR"/>
        </w:rPr>
        <w:t>’</w:t>
      </w:r>
      <w:r w:rsidRPr="00FC60C1">
        <w:rPr>
          <w:lang w:val="fr-FR"/>
        </w:rPr>
        <w:t>efficacité de la Convention de Minamata</w:t>
      </w:r>
      <w:r w:rsidR="00450D9E" w:rsidRPr="00FC60C1">
        <w:rPr>
          <w:lang w:val="fr-FR"/>
        </w:rPr>
        <w:t> ;</w:t>
      </w:r>
      <w:r w:rsidRPr="00FC60C1">
        <w:rPr>
          <w:lang w:val="fr-FR"/>
        </w:rPr>
        <w:t xml:space="preserve"> de la revitalisation de l</w:t>
      </w:r>
      <w:r w:rsidR="002A6A82">
        <w:rPr>
          <w:lang w:val="fr-FR"/>
        </w:rPr>
        <w:t>’</w:t>
      </w:r>
      <w:r w:rsidRPr="00FC60C1">
        <w:rPr>
          <w:lang w:val="fr-FR"/>
        </w:rPr>
        <w:t>équipe spéciale mixte mise en place dans le cadre du Programme spécial d</w:t>
      </w:r>
      <w:r w:rsidR="002A6A82">
        <w:rPr>
          <w:lang w:val="fr-FR"/>
        </w:rPr>
        <w:t>’</w:t>
      </w:r>
      <w:r w:rsidRPr="00FC60C1">
        <w:rPr>
          <w:lang w:val="fr-FR"/>
        </w:rPr>
        <w:t xml:space="preserve">appui au renforcement des institutions nationales aux fins de la mise en œuvre </w:t>
      </w:r>
      <w:r w:rsidR="0022698D">
        <w:rPr>
          <w:lang w:val="fr-FR"/>
        </w:rPr>
        <w:t>des conventions</w:t>
      </w:r>
      <w:r w:rsidRPr="00FC60C1">
        <w:rPr>
          <w:lang w:val="fr-FR"/>
        </w:rPr>
        <w:t xml:space="preserve"> de Bâle, de Rotterdam et de Stockholm, de la Convention de Minamata et de l</w:t>
      </w:r>
      <w:r w:rsidR="002A6A82">
        <w:rPr>
          <w:lang w:val="fr-FR"/>
        </w:rPr>
        <w:t>’</w:t>
      </w:r>
      <w:r w:rsidRPr="00FC60C1">
        <w:rPr>
          <w:lang w:val="fr-FR"/>
        </w:rPr>
        <w:t>Approche stratégique de la gestion internationale des produits chimiques</w:t>
      </w:r>
      <w:r w:rsidR="00F77388">
        <w:rPr>
          <w:lang w:val="fr-FR"/>
        </w:rPr>
        <w:t> </w:t>
      </w:r>
      <w:r w:rsidRPr="00FC60C1">
        <w:rPr>
          <w:lang w:val="fr-FR"/>
        </w:rPr>
        <w:t>; et la coopération dans le domaine des déchets et des sites contaminés, entre autres.</w:t>
      </w:r>
      <w:bookmarkStart w:id="6" w:name="_Hlk519155914"/>
      <w:bookmarkEnd w:id="6"/>
    </w:p>
    <w:p w14:paraId="5B93A743" w14:textId="5CC75B8C" w:rsidR="00863F6A" w:rsidRPr="00FC60C1" w:rsidRDefault="004A0684" w:rsidP="00CF135E">
      <w:pPr>
        <w:pStyle w:val="CH1"/>
        <w:numPr>
          <w:ilvl w:val="0"/>
          <w:numId w:val="8"/>
        </w:numPr>
        <w:tabs>
          <w:tab w:val="clear" w:pos="851"/>
        </w:tabs>
        <w:ind w:left="1276" w:hanging="567"/>
        <w:rPr>
          <w:lang w:val="fr-FR"/>
        </w:rPr>
      </w:pPr>
      <w:bookmarkStart w:id="7" w:name="_Toc24985763"/>
      <w:r w:rsidRPr="00FC60C1">
        <w:rPr>
          <w:bCs/>
          <w:lang w:val="fr-FR"/>
        </w:rPr>
        <w:lastRenderedPageBreak/>
        <w:t>Principes fondamentaux</w:t>
      </w:r>
      <w:bookmarkStart w:id="8" w:name="_Toc21073437"/>
      <w:bookmarkEnd w:id="8"/>
      <w:bookmarkEnd w:id="7"/>
    </w:p>
    <w:p w14:paraId="5BC31A61" w14:textId="3B8D53F9" w:rsidR="00863F6A" w:rsidRPr="00FC60C1" w:rsidRDefault="004A2E3D" w:rsidP="00CF135E">
      <w:pPr>
        <w:pStyle w:val="Normalnumber"/>
        <w:ind w:left="1247"/>
        <w:rPr>
          <w:lang w:val="fr-FR"/>
        </w:rPr>
      </w:pPr>
      <w:r w:rsidRPr="00FC60C1">
        <w:rPr>
          <w:lang w:val="fr-FR"/>
        </w:rPr>
        <w:t>Lors de l</w:t>
      </w:r>
      <w:r w:rsidR="002A6A82">
        <w:rPr>
          <w:lang w:val="fr-FR"/>
        </w:rPr>
        <w:t>’</w:t>
      </w:r>
      <w:r w:rsidRPr="00FC60C1">
        <w:rPr>
          <w:lang w:val="fr-FR"/>
        </w:rPr>
        <w:t xml:space="preserve">élaboration de la proposition, la Directrice exécutive a tenu compte des principes fondamentaux énoncés </w:t>
      </w:r>
      <w:r w:rsidR="003A1D64">
        <w:rPr>
          <w:lang w:val="fr-FR"/>
        </w:rPr>
        <w:t>aux paragraphes 6</w:t>
      </w:r>
      <w:r w:rsidR="00303467">
        <w:rPr>
          <w:lang w:val="fr-FR"/>
        </w:rPr>
        <w:t xml:space="preserve"> à </w:t>
      </w:r>
      <w:r w:rsidRPr="00FC60C1">
        <w:rPr>
          <w:lang w:val="fr-FR"/>
        </w:rPr>
        <w:t>1</w:t>
      </w:r>
      <w:r w:rsidR="003A1D64">
        <w:rPr>
          <w:lang w:val="fr-FR"/>
        </w:rPr>
        <w:t>0</w:t>
      </w:r>
      <w:r w:rsidRPr="00FC60C1">
        <w:rPr>
          <w:lang w:val="fr-FR"/>
        </w:rPr>
        <w:t xml:space="preserve"> ci-après.</w:t>
      </w:r>
    </w:p>
    <w:p w14:paraId="041E4F06" w14:textId="582A0CC7" w:rsidR="00863F6A" w:rsidRPr="00FC60C1" w:rsidRDefault="00863F6A" w:rsidP="00CF135E">
      <w:pPr>
        <w:pStyle w:val="Normalnumber"/>
        <w:ind w:left="1247"/>
        <w:rPr>
          <w:lang w:val="fr-FR"/>
        </w:rPr>
      </w:pPr>
      <w:r w:rsidRPr="00FC60C1">
        <w:rPr>
          <w:i/>
          <w:iCs/>
          <w:lang w:val="fr-FR"/>
        </w:rPr>
        <w:t>Utilisation économique des ressources</w:t>
      </w:r>
      <w:r w:rsidR="00450D9E" w:rsidRPr="00FC60C1">
        <w:rPr>
          <w:lang w:val="fr-FR"/>
        </w:rPr>
        <w:t> :</w:t>
      </w:r>
      <w:r w:rsidRPr="00FC60C1">
        <w:rPr>
          <w:lang w:val="fr-FR"/>
        </w:rPr>
        <w:t xml:space="preserve"> l</w:t>
      </w:r>
      <w:r w:rsidR="002A6A82">
        <w:rPr>
          <w:lang w:val="fr-FR"/>
        </w:rPr>
        <w:t>’</w:t>
      </w:r>
      <w:r w:rsidRPr="00FC60C1">
        <w:rPr>
          <w:lang w:val="fr-FR"/>
        </w:rPr>
        <w:t>objectif premier du présent cadre est d</w:t>
      </w:r>
      <w:r w:rsidR="002A6A82">
        <w:rPr>
          <w:lang w:val="fr-FR"/>
        </w:rPr>
        <w:t>’</w:t>
      </w:r>
      <w:r w:rsidRPr="00FC60C1">
        <w:rPr>
          <w:lang w:val="fr-FR"/>
        </w:rPr>
        <w:t>améliorer l</w:t>
      </w:r>
      <w:r w:rsidR="002A6A82">
        <w:rPr>
          <w:lang w:val="fr-FR"/>
        </w:rPr>
        <w:t>’</w:t>
      </w:r>
      <w:r w:rsidRPr="00FC60C1">
        <w:rPr>
          <w:lang w:val="fr-FR"/>
        </w:rPr>
        <w:t>efficacité grâce aux synergies et à l</w:t>
      </w:r>
      <w:r w:rsidR="002A6A82">
        <w:rPr>
          <w:lang w:val="fr-FR"/>
        </w:rPr>
        <w:t>’</w:t>
      </w:r>
      <w:r w:rsidRPr="00FC60C1">
        <w:rPr>
          <w:lang w:val="fr-FR"/>
        </w:rPr>
        <w:t>utilisation économique des ressources en tirant parti des capacités existantes, compte tenu en particulier des avantages découlant de la proximité de certaines ressources dans les mêmes locaux. Les doubles emplois seraient réduits au minimum dans l</w:t>
      </w:r>
      <w:r w:rsidR="002A6A82">
        <w:rPr>
          <w:lang w:val="fr-FR"/>
        </w:rPr>
        <w:t>’</w:t>
      </w:r>
      <w:r w:rsidRPr="00FC60C1">
        <w:rPr>
          <w:lang w:val="fr-FR"/>
        </w:rPr>
        <w:t>intérêt de la faisabilité, de l</w:t>
      </w:r>
      <w:r w:rsidR="002A6A82">
        <w:rPr>
          <w:lang w:val="fr-FR"/>
        </w:rPr>
        <w:t>’</w:t>
      </w:r>
      <w:r w:rsidRPr="00FC60C1">
        <w:rPr>
          <w:lang w:val="fr-FR"/>
        </w:rPr>
        <w:t>économie et de l</w:t>
      </w:r>
      <w:r w:rsidR="002A6A82">
        <w:rPr>
          <w:lang w:val="fr-FR"/>
        </w:rPr>
        <w:t>’</w:t>
      </w:r>
      <w:r w:rsidRPr="00FC60C1">
        <w:rPr>
          <w:lang w:val="fr-FR"/>
        </w:rPr>
        <w:t>efficacité. La présente proposition examine donc l</w:t>
      </w:r>
      <w:r w:rsidR="002A6A82">
        <w:rPr>
          <w:lang w:val="fr-FR"/>
        </w:rPr>
        <w:t>’</w:t>
      </w:r>
      <w:r w:rsidRPr="00FC60C1">
        <w:rPr>
          <w:lang w:val="fr-FR"/>
        </w:rPr>
        <w:t>avantage qu</w:t>
      </w:r>
      <w:r w:rsidR="002A6A82">
        <w:rPr>
          <w:lang w:val="fr-FR"/>
        </w:rPr>
        <w:t>’</w:t>
      </w:r>
      <w:r w:rsidRPr="00FC60C1">
        <w:rPr>
          <w:lang w:val="fr-FR"/>
        </w:rPr>
        <w:t xml:space="preserve">il pourrait y avoir à utiliser les capacités déjà éprouvées et stables relevant du Secrétariat </w:t>
      </w:r>
      <w:r w:rsidR="0022698D">
        <w:rPr>
          <w:lang w:val="fr-FR"/>
        </w:rPr>
        <w:t>des conventions</w:t>
      </w:r>
      <w:r w:rsidRPr="00FC60C1">
        <w:rPr>
          <w:lang w:val="fr-FR"/>
        </w:rPr>
        <w:t xml:space="preserve"> de Bâle, de Rotterdam et de Stockholm, sans créer de nou</w:t>
      </w:r>
      <w:r w:rsidR="00450D9E" w:rsidRPr="00FC60C1">
        <w:rPr>
          <w:lang w:val="fr-FR"/>
        </w:rPr>
        <w:t>velles structures à long terme.</w:t>
      </w:r>
    </w:p>
    <w:p w14:paraId="00D49BBE" w14:textId="3F792C24" w:rsidR="00863F6A" w:rsidRPr="00FC60C1" w:rsidRDefault="00863F6A" w:rsidP="00CF135E">
      <w:pPr>
        <w:pStyle w:val="Normalnumber"/>
        <w:ind w:left="1247"/>
        <w:rPr>
          <w:lang w:val="fr-FR"/>
        </w:rPr>
      </w:pPr>
      <w:r w:rsidRPr="00FC60C1">
        <w:rPr>
          <w:i/>
          <w:iCs/>
          <w:lang w:val="fr-FR"/>
        </w:rPr>
        <w:t>Autonomie des secrétariats et responsabilité des chefs de secrétariat</w:t>
      </w:r>
      <w:r w:rsidR="00450D9E" w:rsidRPr="00FC60C1">
        <w:rPr>
          <w:lang w:val="fr-FR"/>
        </w:rPr>
        <w:t> :</w:t>
      </w:r>
      <w:r w:rsidRPr="00FC60C1">
        <w:rPr>
          <w:lang w:val="fr-FR"/>
        </w:rPr>
        <w:t xml:space="preserve"> co</w:t>
      </w:r>
      <w:r w:rsidR="00450D9E" w:rsidRPr="00FC60C1">
        <w:rPr>
          <w:lang w:val="fr-FR"/>
        </w:rPr>
        <w:t>mme indiqué dans la décision</w:t>
      </w:r>
      <w:r w:rsidR="00303467">
        <w:rPr>
          <w:lang w:val="fr-FR"/>
        </w:rPr>
        <w:t> </w:t>
      </w:r>
      <w:r w:rsidR="00450D9E" w:rsidRPr="00FC60C1">
        <w:rPr>
          <w:lang w:val="fr-FR"/>
        </w:rPr>
        <w:t>MC</w:t>
      </w:r>
      <w:r w:rsidR="00450D9E" w:rsidRPr="00FC60C1">
        <w:rPr>
          <w:lang w:val="fr-FR"/>
        </w:rPr>
        <w:noBreakHyphen/>
      </w:r>
      <w:r w:rsidRPr="00FC60C1">
        <w:rPr>
          <w:lang w:val="fr-FR"/>
        </w:rPr>
        <w:t>2/7, l</w:t>
      </w:r>
      <w:r w:rsidR="002A6A82">
        <w:rPr>
          <w:lang w:val="fr-FR"/>
        </w:rPr>
        <w:t>’</w:t>
      </w:r>
      <w:r w:rsidRPr="00FC60C1">
        <w:rPr>
          <w:lang w:val="fr-FR"/>
        </w:rPr>
        <w:t xml:space="preserve">autonomie des secrétariats doit être préservée. Le Directeur exécutif du PNUE délègue au Secrétaire exécutif </w:t>
      </w:r>
      <w:r w:rsidR="00D97DA9">
        <w:rPr>
          <w:lang w:val="fr-FR"/>
        </w:rPr>
        <w:t xml:space="preserve">de la Convention de Minamata </w:t>
      </w:r>
      <w:r w:rsidRPr="00FC60C1">
        <w:rPr>
          <w:lang w:val="fr-FR"/>
        </w:rPr>
        <w:t xml:space="preserve">tous les pouvoirs concernant certaines questions administratives et financières </w:t>
      </w:r>
      <w:r w:rsidR="00D97DA9">
        <w:rPr>
          <w:lang w:val="fr-FR"/>
        </w:rPr>
        <w:t xml:space="preserve">dont ce dernier a besoin pour </w:t>
      </w:r>
      <w:r w:rsidRPr="00FC60C1">
        <w:rPr>
          <w:lang w:val="fr-FR"/>
        </w:rPr>
        <w:t>gérer et représenter le secrétariat et prendre des décisions avec le niveau d</w:t>
      </w:r>
      <w:r w:rsidR="002A6A82">
        <w:rPr>
          <w:lang w:val="fr-FR"/>
        </w:rPr>
        <w:t>’</w:t>
      </w:r>
      <w:r w:rsidRPr="00FC60C1">
        <w:rPr>
          <w:lang w:val="fr-FR"/>
        </w:rPr>
        <w:t>autonomie requis pour garantir le fonctionnement efficace et rationnel du secrétariat. Le Directeur exécutif veille à ce que le Secrétaire exécutif exerce les fonctions déléguées dans le respect des règles et règlements applicables de l</w:t>
      </w:r>
      <w:r w:rsidR="002A6A82">
        <w:rPr>
          <w:lang w:val="fr-FR"/>
        </w:rPr>
        <w:t>’</w:t>
      </w:r>
      <w:r w:rsidRPr="00FC60C1">
        <w:rPr>
          <w:lang w:val="fr-FR"/>
        </w:rPr>
        <w:t>ONU et du PNUE. Ces pouvoirs sont délégués dans le domaine de la gestion, notamment la gestion des programmes, la gestion des ressources financières et physiques, la gestion des ressources humaines et toute autre question connexe, domaines pour lesquels il se peut que le Secrétaire exécutif doive prendre des décisions aux fins du bon</w:t>
      </w:r>
      <w:r w:rsidR="00450D9E" w:rsidRPr="00FC60C1">
        <w:rPr>
          <w:lang w:val="fr-FR"/>
        </w:rPr>
        <w:t xml:space="preserve"> fonctionnement du secrétariat.</w:t>
      </w:r>
    </w:p>
    <w:p w14:paraId="57197942" w14:textId="174A0DA9" w:rsidR="00863F6A" w:rsidRPr="00FC60C1" w:rsidRDefault="00863F6A" w:rsidP="00CF135E">
      <w:pPr>
        <w:pStyle w:val="Normalnumber"/>
        <w:ind w:left="1247"/>
        <w:rPr>
          <w:lang w:val="fr-FR"/>
        </w:rPr>
      </w:pPr>
      <w:r w:rsidRPr="00FC60C1">
        <w:rPr>
          <w:i/>
          <w:iCs/>
          <w:lang w:val="fr-FR"/>
        </w:rPr>
        <w:t>Souplesse et prévisibilité</w:t>
      </w:r>
      <w:r w:rsidR="00450D9E" w:rsidRPr="00FC60C1">
        <w:rPr>
          <w:lang w:val="fr-FR"/>
        </w:rPr>
        <w:t> :</w:t>
      </w:r>
      <w:r w:rsidRPr="00FC60C1">
        <w:rPr>
          <w:lang w:val="fr-FR"/>
        </w:rPr>
        <w:t xml:space="preserve"> lors de la formulation de la proposition, il a été tenu compte de la nécessité de trouver un juste équilibre entre souplesse et prévisibilité, ce qui nécessiterait une évaluation préalable des services requis pour éviter les demandes provoquant des perturbations ou pour prévoir les dispositions nécessaires en cas de de</w:t>
      </w:r>
      <w:r w:rsidR="00450D9E" w:rsidRPr="00FC60C1">
        <w:rPr>
          <w:lang w:val="fr-FR"/>
        </w:rPr>
        <w:t>mandes raisonnables imprévues. À</w:t>
      </w:r>
      <w:r w:rsidRPr="00FC60C1">
        <w:rPr>
          <w:lang w:val="fr-FR"/>
        </w:rPr>
        <w:t xml:space="preserve"> ce jour, les services requis pour la troisième réunion de la Conférence des Parties </w:t>
      </w:r>
      <w:r w:rsidR="00450D9E" w:rsidRPr="00FC60C1">
        <w:rPr>
          <w:lang w:val="fr-FR"/>
        </w:rPr>
        <w:t>et pour l</w:t>
      </w:r>
      <w:r w:rsidR="002A6A82">
        <w:rPr>
          <w:lang w:val="fr-FR"/>
        </w:rPr>
        <w:t>’</w:t>
      </w:r>
      <w:r w:rsidR="00450D9E" w:rsidRPr="00FC60C1">
        <w:rPr>
          <w:lang w:val="fr-FR"/>
        </w:rPr>
        <w:t>exercice biennal 2020</w:t>
      </w:r>
      <w:r w:rsidR="00450D9E" w:rsidRPr="00FC60C1">
        <w:rPr>
          <w:lang w:val="fr-FR"/>
        </w:rPr>
        <w:noBreakHyphen/>
      </w:r>
      <w:r w:rsidRPr="00FC60C1">
        <w:rPr>
          <w:lang w:val="fr-FR"/>
        </w:rPr>
        <w:t>2021 ont été identifiés. Les besoins pour les cycles budgétaires ultérieurs continueront d</w:t>
      </w:r>
      <w:r w:rsidR="002A6A82">
        <w:rPr>
          <w:lang w:val="fr-FR"/>
        </w:rPr>
        <w:t>’</w:t>
      </w:r>
      <w:r w:rsidRPr="00FC60C1">
        <w:rPr>
          <w:lang w:val="fr-FR"/>
        </w:rPr>
        <w:t xml:space="preserve">être évalués afin de permettre au Secrétariat </w:t>
      </w:r>
      <w:r w:rsidR="0022698D">
        <w:rPr>
          <w:lang w:val="fr-FR"/>
        </w:rPr>
        <w:t>des conventions</w:t>
      </w:r>
      <w:r w:rsidRPr="00FC60C1">
        <w:rPr>
          <w:lang w:val="fr-FR"/>
        </w:rPr>
        <w:t xml:space="preserve"> de Bâle, de Rotterdam et de Stockholm, en tant que prestataire de services, de planifier et de réagir de manière adéquate et rapide. Il sera répondu au cas par cas à tout besoin imprévu.</w:t>
      </w:r>
    </w:p>
    <w:p w14:paraId="4EA8E15E" w14:textId="697FA46C" w:rsidR="00863F6A" w:rsidRPr="00FC60C1" w:rsidRDefault="00863F6A" w:rsidP="00CF135E">
      <w:pPr>
        <w:pStyle w:val="Normalnumber"/>
        <w:ind w:left="1247"/>
        <w:rPr>
          <w:lang w:val="fr-FR"/>
        </w:rPr>
      </w:pPr>
      <w:r w:rsidRPr="00FC60C1">
        <w:rPr>
          <w:i/>
          <w:iCs/>
          <w:lang w:val="fr-FR"/>
        </w:rPr>
        <w:t>Recouvrement des coûts</w:t>
      </w:r>
      <w:r w:rsidR="00450D9E" w:rsidRPr="00FC60C1">
        <w:rPr>
          <w:lang w:val="fr-FR"/>
        </w:rPr>
        <w:t> :</w:t>
      </w:r>
      <w:r w:rsidRPr="00FC60C1">
        <w:rPr>
          <w:lang w:val="fr-FR"/>
        </w:rPr>
        <w:t xml:space="preserve"> dans la mesure du possible, l</w:t>
      </w:r>
      <w:r w:rsidR="002A6A82">
        <w:rPr>
          <w:lang w:val="fr-FR"/>
        </w:rPr>
        <w:t>’</w:t>
      </w:r>
      <w:r w:rsidRPr="00FC60C1">
        <w:rPr>
          <w:lang w:val="fr-FR"/>
        </w:rPr>
        <w:t>accord de coopération ne devrait pas emporter d</w:t>
      </w:r>
      <w:r w:rsidR="002A6A82">
        <w:rPr>
          <w:lang w:val="fr-FR"/>
        </w:rPr>
        <w:t>’</w:t>
      </w:r>
      <w:r w:rsidRPr="00FC60C1">
        <w:rPr>
          <w:lang w:val="fr-FR"/>
        </w:rPr>
        <w:t xml:space="preserve">incidences financières tant pour le prestataire de services que pour le bénéficiaire des services convenus. Par conséquent, le Secrétariat </w:t>
      </w:r>
      <w:r w:rsidR="0022698D">
        <w:rPr>
          <w:lang w:val="fr-FR"/>
        </w:rPr>
        <w:t>des conventions</w:t>
      </w:r>
      <w:r w:rsidRPr="00FC60C1">
        <w:rPr>
          <w:lang w:val="fr-FR"/>
        </w:rPr>
        <w:t xml:space="preserve"> de Bâle, de Rotterdam et de Stockholm sera remboursé du coût des services selon le principe du recouvrement intégral des coûts, mais sans marge supplémentaire par rapport aux coûts unitaires de</w:t>
      </w:r>
      <w:r w:rsidR="00303467">
        <w:rPr>
          <w:lang w:val="fr-FR"/>
        </w:rPr>
        <w:t xml:space="preserve"> la prestation des services. Le </w:t>
      </w:r>
      <w:r w:rsidRPr="00FC60C1">
        <w:rPr>
          <w:lang w:val="fr-FR"/>
        </w:rPr>
        <w:t xml:space="preserve">Secrétaire exécutif </w:t>
      </w:r>
      <w:r w:rsidR="0022698D">
        <w:rPr>
          <w:lang w:val="fr-FR"/>
        </w:rPr>
        <w:t>des conventions</w:t>
      </w:r>
      <w:r w:rsidRPr="00FC60C1">
        <w:rPr>
          <w:lang w:val="fr-FR"/>
        </w:rPr>
        <w:t xml:space="preserve"> de Bâle, de Rotterdam et de Stockholm est habilité à mettre en place de tels arrangements, à condition qu</w:t>
      </w:r>
      <w:r w:rsidR="002A6A82">
        <w:rPr>
          <w:lang w:val="fr-FR"/>
        </w:rPr>
        <w:t>’</w:t>
      </w:r>
      <w:r w:rsidRPr="00FC60C1">
        <w:rPr>
          <w:lang w:val="fr-FR"/>
        </w:rPr>
        <w:t>ils soient entièrement financés</w:t>
      </w:r>
      <w:r w:rsidRPr="00FC60C1">
        <w:rPr>
          <w:vertAlign w:val="superscript"/>
          <w:lang w:val="fr-FR"/>
        </w:rPr>
        <w:footnoteReference w:id="2"/>
      </w:r>
      <w:r w:rsidR="00303467">
        <w:rPr>
          <w:lang w:val="fr-FR"/>
        </w:rPr>
        <w:t>. Les deux </w:t>
      </w:r>
      <w:r w:rsidRPr="00FC60C1">
        <w:rPr>
          <w:lang w:val="fr-FR"/>
        </w:rPr>
        <w:t>parties sont tenues de veiller à ce que l</w:t>
      </w:r>
      <w:r w:rsidR="002A6A82">
        <w:rPr>
          <w:lang w:val="fr-FR"/>
        </w:rPr>
        <w:t>’</w:t>
      </w:r>
      <w:r w:rsidRPr="00FC60C1">
        <w:rPr>
          <w:lang w:val="fr-FR"/>
        </w:rPr>
        <w:t>arrangement demeure optimal et aussi rentable que possible, sans créer de charge budgétaire supplémentaire.</w:t>
      </w:r>
    </w:p>
    <w:p w14:paraId="449B2707" w14:textId="734F23C8" w:rsidR="00863F6A" w:rsidRPr="00FC60C1" w:rsidRDefault="00863F6A" w:rsidP="00CF135E">
      <w:pPr>
        <w:pStyle w:val="Normalnumber"/>
        <w:ind w:left="1247"/>
        <w:rPr>
          <w:lang w:val="fr-FR"/>
        </w:rPr>
      </w:pPr>
      <w:r w:rsidRPr="00FC60C1">
        <w:rPr>
          <w:i/>
          <w:iCs/>
          <w:lang w:val="fr-FR"/>
        </w:rPr>
        <w:t>Respect des règles et cadres applicables</w:t>
      </w:r>
      <w:r w:rsidR="00450D9E" w:rsidRPr="00FC60C1">
        <w:rPr>
          <w:lang w:val="fr-FR"/>
        </w:rPr>
        <w:t> :</w:t>
      </w:r>
      <w:r w:rsidR="001A6CF8">
        <w:rPr>
          <w:lang w:val="fr-FR"/>
        </w:rPr>
        <w:t xml:space="preserve"> aux termes du paragraphe </w:t>
      </w:r>
      <w:r w:rsidRPr="00FC60C1">
        <w:rPr>
          <w:lang w:val="fr-FR"/>
        </w:rPr>
        <w:t>3 de l</w:t>
      </w:r>
      <w:r w:rsidR="002A6A82">
        <w:rPr>
          <w:lang w:val="fr-FR"/>
        </w:rPr>
        <w:t>’</w:t>
      </w:r>
      <w:r w:rsidR="001A6CF8">
        <w:rPr>
          <w:lang w:val="fr-FR"/>
        </w:rPr>
        <w:t>article </w:t>
      </w:r>
      <w:r w:rsidRPr="00FC60C1">
        <w:rPr>
          <w:lang w:val="fr-FR"/>
        </w:rPr>
        <w:t>24 de la Convention de Minamata, les fonctions de secrétariat de la Convention sont assurées par le Directeur exécutif du PNUE, sauf si la Conférence des Parties décide, à une majorité des trois quarts des Parties présentes et votantes, de confier les fonctions de secrétariat à une ou plusieurs autres organisations internationales. Le Directeur exécutif est tenu de respecter les règles, règlements et procédures de l</w:t>
      </w:r>
      <w:r w:rsidR="002A6A82">
        <w:rPr>
          <w:lang w:val="fr-FR"/>
        </w:rPr>
        <w:t>’</w:t>
      </w:r>
      <w:r w:rsidRPr="00FC60C1">
        <w:rPr>
          <w:lang w:val="fr-FR"/>
        </w:rPr>
        <w:t>ONU et du PNUE dans l</w:t>
      </w:r>
      <w:r w:rsidR="002A6A82">
        <w:rPr>
          <w:lang w:val="fr-FR"/>
        </w:rPr>
        <w:t>’</w:t>
      </w:r>
      <w:r w:rsidRPr="00FC60C1">
        <w:rPr>
          <w:lang w:val="fr-FR"/>
        </w:rPr>
        <w:t>exécution des fonctions du secrétariat de la Convention de Minamata, qui doivent répondre aux besoins de la Convention et de ses Parties et être conformes aux décisions de la Conférence des Parties sur le sujet.</w:t>
      </w:r>
    </w:p>
    <w:p w14:paraId="03475E80" w14:textId="6DE00504" w:rsidR="00863F6A" w:rsidRPr="00FC60C1" w:rsidRDefault="004A0684" w:rsidP="00CF135E">
      <w:pPr>
        <w:pStyle w:val="CH1"/>
        <w:numPr>
          <w:ilvl w:val="0"/>
          <w:numId w:val="8"/>
        </w:numPr>
        <w:tabs>
          <w:tab w:val="clear" w:pos="851"/>
        </w:tabs>
        <w:ind w:left="1276" w:hanging="567"/>
        <w:rPr>
          <w:lang w:val="fr-FR"/>
        </w:rPr>
      </w:pPr>
      <w:bookmarkStart w:id="9" w:name="_Toc24985764"/>
      <w:r w:rsidRPr="00FC60C1">
        <w:rPr>
          <w:bCs/>
          <w:lang w:val="fr-FR"/>
        </w:rPr>
        <w:t>Attributions de la Division des services internes du PNUE</w:t>
      </w:r>
      <w:bookmarkStart w:id="10" w:name="_Toc21073438"/>
      <w:bookmarkEnd w:id="10"/>
      <w:bookmarkEnd w:id="9"/>
    </w:p>
    <w:p w14:paraId="15EF5B42" w14:textId="1FED42C9" w:rsidR="00863F6A" w:rsidRPr="00FC60C1" w:rsidRDefault="00863F6A" w:rsidP="00CF135E">
      <w:pPr>
        <w:pStyle w:val="Normalnumber"/>
        <w:ind w:left="1247"/>
        <w:rPr>
          <w:lang w:val="fr-FR"/>
        </w:rPr>
      </w:pPr>
      <w:r w:rsidRPr="00FC60C1">
        <w:rPr>
          <w:lang w:val="fr-FR"/>
        </w:rPr>
        <w:t>Par l</w:t>
      </w:r>
      <w:r w:rsidR="002A6A82">
        <w:rPr>
          <w:lang w:val="fr-FR"/>
        </w:rPr>
        <w:t>’</w:t>
      </w:r>
      <w:r w:rsidRPr="00FC60C1">
        <w:rPr>
          <w:lang w:val="fr-FR"/>
        </w:rPr>
        <w:t>intermédiaire de la Division des services internes du PNUE, la Directrice exécutive continuera de collaborer avec la Secrétaire exécutive de la Convention de Minamata pour évaluer les besoins de la Convention en matière de services administratifs et déterminer comment la Convention pourrait bénéficier de l</w:t>
      </w:r>
      <w:r w:rsidR="002A6A82">
        <w:rPr>
          <w:lang w:val="fr-FR"/>
        </w:rPr>
        <w:t>’</w:t>
      </w:r>
      <w:r w:rsidRPr="00FC60C1">
        <w:rPr>
          <w:lang w:val="fr-FR"/>
        </w:rPr>
        <w:t>appui administratif dont elle a besoin conformément aux règles et règlements des Nations Unies et du PNUE ainsi qu</w:t>
      </w:r>
      <w:r w:rsidR="002A6A82">
        <w:rPr>
          <w:lang w:val="fr-FR"/>
        </w:rPr>
        <w:t>’</w:t>
      </w:r>
      <w:r w:rsidRPr="00FC60C1">
        <w:rPr>
          <w:lang w:val="fr-FR"/>
        </w:rPr>
        <w:t>aux décision</w:t>
      </w:r>
      <w:r w:rsidR="00450D9E" w:rsidRPr="00FC60C1">
        <w:rPr>
          <w:lang w:val="fr-FR"/>
        </w:rPr>
        <w:t>s de la Conférence des Parties.</w:t>
      </w:r>
    </w:p>
    <w:p w14:paraId="210B5F9E" w14:textId="2177DF49" w:rsidR="00863F6A" w:rsidRPr="00FC60C1" w:rsidRDefault="00863F6A" w:rsidP="00CF135E">
      <w:pPr>
        <w:pStyle w:val="Normalnumber"/>
        <w:ind w:left="1247"/>
        <w:rPr>
          <w:lang w:val="fr-FR"/>
        </w:rPr>
      </w:pPr>
      <w:r w:rsidRPr="00FC60C1">
        <w:rPr>
          <w:lang w:val="fr-FR"/>
        </w:rPr>
        <w:lastRenderedPageBreak/>
        <w:t>La Directrice exécutive allouera au secrétariat de la Convention de Minamata une part appropriée des ressources destinées à l</w:t>
      </w:r>
      <w:r w:rsidR="002A6A82">
        <w:rPr>
          <w:lang w:val="fr-FR"/>
        </w:rPr>
        <w:t>’</w:t>
      </w:r>
      <w:r w:rsidRPr="00FC60C1">
        <w:rPr>
          <w:lang w:val="fr-FR"/>
        </w:rPr>
        <w:t>appui aux programmes imputables aux fonds d</w:t>
      </w:r>
      <w:r w:rsidR="002A6A82">
        <w:rPr>
          <w:lang w:val="fr-FR"/>
        </w:rPr>
        <w:t>’</w:t>
      </w:r>
      <w:r w:rsidRPr="00FC60C1">
        <w:rPr>
          <w:lang w:val="fr-FR"/>
        </w:rPr>
        <w:t>affectation spéciale de la Convention. Ces crédits seront alloués selon la politique en vigueur en matière de dépenses d</w:t>
      </w:r>
      <w:r w:rsidR="002A6A82">
        <w:rPr>
          <w:lang w:val="fr-FR"/>
        </w:rPr>
        <w:t>’</w:t>
      </w:r>
      <w:r w:rsidRPr="00FC60C1">
        <w:rPr>
          <w:lang w:val="fr-FR"/>
        </w:rPr>
        <w:t>appui aux programmes et sur réception d</w:t>
      </w:r>
      <w:r w:rsidR="002A6A82">
        <w:rPr>
          <w:lang w:val="fr-FR"/>
        </w:rPr>
        <w:t>’</w:t>
      </w:r>
      <w:r w:rsidRPr="00FC60C1">
        <w:rPr>
          <w:lang w:val="fr-FR"/>
        </w:rPr>
        <w:t>un plan annuel des dépenses montrant que les fonds seront utilisés de manière rationnelle à l</w:t>
      </w:r>
      <w:r w:rsidR="002A6A82">
        <w:rPr>
          <w:lang w:val="fr-FR"/>
        </w:rPr>
        <w:t>’</w:t>
      </w:r>
      <w:r w:rsidRPr="00FC60C1">
        <w:rPr>
          <w:lang w:val="fr-FR"/>
        </w:rPr>
        <w:t>appui des activités de la Convention dans les limites du plafond budgétaire des recettes perçues pour l</w:t>
      </w:r>
      <w:r w:rsidR="002A6A82">
        <w:rPr>
          <w:lang w:val="fr-FR"/>
        </w:rPr>
        <w:t>’</w:t>
      </w:r>
      <w:r w:rsidRPr="00FC60C1">
        <w:rPr>
          <w:lang w:val="fr-FR"/>
        </w:rPr>
        <w:t>appui aux programmes. De même, la Directrice exécutive affectera une part suffisante des ressources destinées à l</w:t>
      </w:r>
      <w:r w:rsidR="002A6A82">
        <w:rPr>
          <w:lang w:val="fr-FR"/>
        </w:rPr>
        <w:t>’</w:t>
      </w:r>
      <w:r w:rsidRPr="00FC60C1">
        <w:rPr>
          <w:lang w:val="fr-FR"/>
        </w:rPr>
        <w:t>appui aux programmes émargeant aux fonds d</w:t>
      </w:r>
      <w:r w:rsidR="002A6A82">
        <w:rPr>
          <w:lang w:val="fr-FR"/>
        </w:rPr>
        <w:t>’</w:t>
      </w:r>
      <w:r w:rsidRPr="00FC60C1">
        <w:rPr>
          <w:lang w:val="fr-FR"/>
        </w:rPr>
        <w:t>affectation spéciale de la Convention de Minamata pour financer la partie des services administratifs centralisés du PNUE qui appuie la Convention, dont certains seront assurés par des prestataires de services, notamment l</w:t>
      </w:r>
      <w:r w:rsidR="002A6A82">
        <w:rPr>
          <w:lang w:val="fr-FR"/>
        </w:rPr>
        <w:t>’</w:t>
      </w:r>
      <w:r w:rsidRPr="00FC60C1">
        <w:rPr>
          <w:lang w:val="fr-FR"/>
        </w:rPr>
        <w:t>Office des Nations Unies à Nairobi et l</w:t>
      </w:r>
      <w:r w:rsidR="002A6A82">
        <w:rPr>
          <w:lang w:val="fr-FR"/>
        </w:rPr>
        <w:t>’</w:t>
      </w:r>
      <w:r w:rsidRPr="00FC60C1">
        <w:rPr>
          <w:lang w:val="fr-FR"/>
        </w:rPr>
        <w:t>Office des Nations Unies à Genève.</w:t>
      </w:r>
    </w:p>
    <w:p w14:paraId="16A46F51" w14:textId="74CFE7A5" w:rsidR="00863F6A" w:rsidRPr="00FC60C1" w:rsidRDefault="00863F6A" w:rsidP="00CF135E">
      <w:pPr>
        <w:pStyle w:val="Normalnumber"/>
        <w:ind w:left="1247"/>
        <w:rPr>
          <w:lang w:val="fr-FR"/>
        </w:rPr>
      </w:pPr>
      <w:r w:rsidRPr="00FC60C1">
        <w:rPr>
          <w:lang w:val="fr-FR"/>
        </w:rPr>
        <w:t>C</w:t>
      </w:r>
      <w:r w:rsidR="002A6A82">
        <w:rPr>
          <w:lang w:val="fr-FR"/>
        </w:rPr>
        <w:t>’</w:t>
      </w:r>
      <w:r w:rsidRPr="00FC60C1">
        <w:rPr>
          <w:lang w:val="fr-FR"/>
        </w:rPr>
        <w:t>est au PNUE qu</w:t>
      </w:r>
      <w:r w:rsidR="002A6A82">
        <w:rPr>
          <w:lang w:val="fr-FR"/>
        </w:rPr>
        <w:t>’</w:t>
      </w:r>
      <w:r w:rsidRPr="00FC60C1">
        <w:rPr>
          <w:lang w:val="fr-FR"/>
        </w:rPr>
        <w:t>il incombe au premier chef de trouver ou d</w:t>
      </w:r>
      <w:r w:rsidR="002A6A82">
        <w:rPr>
          <w:lang w:val="fr-FR"/>
        </w:rPr>
        <w:t>’</w:t>
      </w:r>
      <w:r w:rsidRPr="00FC60C1">
        <w:rPr>
          <w:lang w:val="fr-FR"/>
        </w:rPr>
        <w:t xml:space="preserve">assurer des services administratifs aux secrétariats </w:t>
      </w:r>
      <w:r w:rsidR="0022698D">
        <w:rPr>
          <w:lang w:val="fr-FR"/>
        </w:rPr>
        <w:t>des conventions</w:t>
      </w:r>
      <w:r w:rsidRPr="00FC60C1">
        <w:rPr>
          <w:lang w:val="fr-FR"/>
        </w:rPr>
        <w:t>, y compris en leur apportant un appui lorsque le type ou la portée de ces services n</w:t>
      </w:r>
      <w:r w:rsidR="002A6A82">
        <w:rPr>
          <w:lang w:val="fr-FR"/>
        </w:rPr>
        <w:t>’</w:t>
      </w:r>
      <w:r w:rsidRPr="00FC60C1">
        <w:rPr>
          <w:lang w:val="fr-FR"/>
        </w:rPr>
        <w:t>ont peut-être pas été prévus aux stades de la planification et de la budgétisation. L</w:t>
      </w:r>
      <w:r w:rsidR="002A6A82">
        <w:rPr>
          <w:lang w:val="fr-FR"/>
        </w:rPr>
        <w:t>’</w:t>
      </w:r>
      <w:r w:rsidRPr="00FC60C1">
        <w:rPr>
          <w:lang w:val="fr-FR"/>
        </w:rPr>
        <w:t>éventail des services et leur délai de prestation dépendront de la complexité de la planification et de la période de conception nécessaire à une bonne planification. Le PNUE est également chargé de fournir des services administratifs de base à la Convention de Minamata, tels que l</w:t>
      </w:r>
      <w:r w:rsidR="002A6A82">
        <w:rPr>
          <w:lang w:val="fr-FR"/>
        </w:rPr>
        <w:t>’</w:t>
      </w:r>
      <w:r w:rsidRPr="00FC60C1">
        <w:rPr>
          <w:lang w:val="fr-FR"/>
        </w:rPr>
        <w:t>élaboration de directives et de procédures, l</w:t>
      </w:r>
      <w:r w:rsidR="002A6A82">
        <w:rPr>
          <w:lang w:val="fr-FR"/>
        </w:rPr>
        <w:t>’</w:t>
      </w:r>
      <w:r w:rsidRPr="00FC60C1">
        <w:rPr>
          <w:lang w:val="fr-FR"/>
        </w:rPr>
        <w:t>administration des ressources humaines, l</w:t>
      </w:r>
      <w:r w:rsidR="002A6A82">
        <w:rPr>
          <w:lang w:val="fr-FR"/>
        </w:rPr>
        <w:t>’</w:t>
      </w:r>
      <w:r w:rsidRPr="00FC60C1">
        <w:rPr>
          <w:lang w:val="fr-FR"/>
        </w:rPr>
        <w:t>audit et le contrôle, la gestion du risque institutionnel, les services juridiques, les achats et les contrats, les systèmes informatiques et tout autre service d</w:t>
      </w:r>
      <w:r w:rsidR="002A6A82">
        <w:rPr>
          <w:lang w:val="fr-FR"/>
        </w:rPr>
        <w:t>’</w:t>
      </w:r>
      <w:r w:rsidRPr="00FC60C1">
        <w:rPr>
          <w:lang w:val="fr-FR"/>
        </w:rPr>
        <w:t xml:space="preserve">appui géré de manière centralisée qui pourrait se révéler nécessaire. </w:t>
      </w:r>
      <w:r w:rsidR="00D97DA9">
        <w:rPr>
          <w:lang w:val="fr-FR"/>
        </w:rPr>
        <w:t>Une</w:t>
      </w:r>
      <w:r w:rsidRPr="00FC60C1">
        <w:rPr>
          <w:lang w:val="fr-FR"/>
        </w:rPr>
        <w:t xml:space="preserve"> </w:t>
      </w:r>
      <w:r w:rsidR="00D97DA9">
        <w:rPr>
          <w:lang w:val="fr-FR"/>
        </w:rPr>
        <w:t xml:space="preserve">description </w:t>
      </w:r>
      <w:r w:rsidRPr="00FC60C1">
        <w:rPr>
          <w:lang w:val="fr-FR"/>
        </w:rPr>
        <w:t>détaillée des services administratifs de base figure à l</w:t>
      </w:r>
      <w:r w:rsidR="002A6A82">
        <w:rPr>
          <w:lang w:val="fr-FR"/>
        </w:rPr>
        <w:t>’</w:t>
      </w:r>
      <w:r w:rsidR="00C37F47">
        <w:rPr>
          <w:lang w:val="fr-FR"/>
        </w:rPr>
        <w:t>annexe </w:t>
      </w:r>
      <w:r w:rsidRPr="00FC60C1">
        <w:rPr>
          <w:lang w:val="fr-FR"/>
        </w:rPr>
        <w:t>III de la présente proposition.</w:t>
      </w:r>
    </w:p>
    <w:p w14:paraId="2171AFCF" w14:textId="67A9B88A" w:rsidR="00863F6A" w:rsidRPr="00FC60C1" w:rsidRDefault="00863F6A" w:rsidP="00CF135E">
      <w:pPr>
        <w:pStyle w:val="Normalnumber"/>
        <w:ind w:left="1247"/>
        <w:rPr>
          <w:lang w:val="fr-FR"/>
        </w:rPr>
      </w:pPr>
      <w:r w:rsidRPr="00FC60C1">
        <w:rPr>
          <w:lang w:val="fr-FR"/>
        </w:rPr>
        <w:t>Pour répondre aux besoins propres à la Convention, il pourrait être nécessaire que la Secrétaire exécutive propose des capacités supplémentaires allant au-delà de celles actuellement fournies par le PNUE. Lors de l</w:t>
      </w:r>
      <w:r w:rsidR="002A6A82">
        <w:rPr>
          <w:lang w:val="fr-FR"/>
        </w:rPr>
        <w:t>’</w:t>
      </w:r>
      <w:r w:rsidRPr="00FC60C1">
        <w:rPr>
          <w:lang w:val="fr-FR"/>
        </w:rPr>
        <w:t>élaboration de la présente proposition, il a été envisagé de valider les propositions budgétaires de la Convention de Minamata concernant le renforcement des capacités en vue d</w:t>
      </w:r>
      <w:r w:rsidR="002A6A82">
        <w:rPr>
          <w:lang w:val="fr-FR"/>
        </w:rPr>
        <w:t>’</w:t>
      </w:r>
      <w:r w:rsidRPr="00FC60C1">
        <w:rPr>
          <w:lang w:val="fr-FR"/>
        </w:rPr>
        <w:t>étudier la faisabilité des solutions de financement et les éventuelles synergies entre lesdites solutions.</w:t>
      </w:r>
    </w:p>
    <w:p w14:paraId="38E21C9D" w14:textId="0E78DEF8" w:rsidR="00863F6A" w:rsidRPr="00FC60C1" w:rsidRDefault="004A0684" w:rsidP="00CF135E">
      <w:pPr>
        <w:pStyle w:val="CH1"/>
        <w:numPr>
          <w:ilvl w:val="0"/>
          <w:numId w:val="8"/>
        </w:numPr>
        <w:tabs>
          <w:tab w:val="clear" w:pos="851"/>
        </w:tabs>
        <w:ind w:left="1276" w:hanging="567"/>
        <w:rPr>
          <w:lang w:val="fr-FR"/>
        </w:rPr>
      </w:pPr>
      <w:bookmarkStart w:id="11" w:name="_Toc24985765"/>
      <w:r w:rsidRPr="00FC60C1">
        <w:rPr>
          <w:bCs/>
          <w:lang w:val="fr-FR"/>
        </w:rPr>
        <w:t>Définition de modèles</w:t>
      </w:r>
      <w:bookmarkStart w:id="12" w:name="_Toc21073439"/>
      <w:bookmarkEnd w:id="12"/>
      <w:bookmarkEnd w:id="11"/>
    </w:p>
    <w:p w14:paraId="5B350F66" w14:textId="40977087" w:rsidR="00863F6A" w:rsidRPr="00FC60C1" w:rsidRDefault="00863F6A" w:rsidP="00CF135E">
      <w:pPr>
        <w:pStyle w:val="Normalnumber"/>
        <w:ind w:left="1247"/>
        <w:rPr>
          <w:lang w:val="fr-FR"/>
        </w:rPr>
      </w:pPr>
      <w:r w:rsidRPr="00FC60C1">
        <w:rPr>
          <w:lang w:val="fr-FR"/>
        </w:rPr>
        <w:t>La proposition définit et décrit les modèles qui ont été envisagés pour la prestation de services administratifs à la Convention de Minamata, y compris les solutions dégagées dans le cadre de l</w:t>
      </w:r>
      <w:r w:rsidR="002A6A82">
        <w:rPr>
          <w:lang w:val="fr-FR"/>
        </w:rPr>
        <w:t>’</w:t>
      </w:r>
      <w:r w:rsidRPr="00FC60C1">
        <w:rPr>
          <w:lang w:val="fr-FR"/>
        </w:rPr>
        <w:t>examen des propositions budgétaires de la Convention concernant le renforcement des capac</w:t>
      </w:r>
      <w:r w:rsidR="00C37F47">
        <w:rPr>
          <w:lang w:val="fr-FR"/>
        </w:rPr>
        <w:t>ités, figurant dans le document </w:t>
      </w:r>
      <w:r w:rsidRPr="00FC60C1">
        <w:rPr>
          <w:lang w:val="fr-FR"/>
        </w:rPr>
        <w:t>UNEP/MC/COP.3/20. Un menu de services est fourni, dans lequel les services requis doivent être sélectionnés. Le montant estimatif des ressources nécessaires a été calculé et évalué au regard de chaque solution présentée.</w:t>
      </w:r>
      <w:bookmarkStart w:id="13" w:name="_Hlk20211904"/>
      <w:bookmarkEnd w:id="13"/>
    </w:p>
    <w:p w14:paraId="1B20E483" w14:textId="2552DF81" w:rsidR="00863F6A" w:rsidRPr="00FC60C1" w:rsidRDefault="00540F8B" w:rsidP="00540F8B">
      <w:pPr>
        <w:pStyle w:val="CH1"/>
        <w:ind w:left="1276" w:hanging="1276"/>
        <w:rPr>
          <w:lang w:val="fr-FR"/>
        </w:rPr>
      </w:pPr>
      <w:r>
        <w:rPr>
          <w:bCs/>
          <w:lang w:val="fr-FR"/>
        </w:rPr>
        <w:tab/>
      </w:r>
      <w:bookmarkStart w:id="14" w:name="_Toc24985766"/>
      <w:r>
        <w:rPr>
          <w:bCs/>
          <w:lang w:val="fr-FR"/>
        </w:rPr>
        <w:t>VI.</w:t>
      </w:r>
      <w:r>
        <w:rPr>
          <w:bCs/>
          <w:lang w:val="fr-FR"/>
        </w:rPr>
        <w:tab/>
      </w:r>
      <w:r w:rsidR="004A0684" w:rsidRPr="00FC60C1">
        <w:rPr>
          <w:bCs/>
          <w:lang w:val="fr-FR"/>
        </w:rPr>
        <w:t>Regroupement de services</w:t>
      </w:r>
      <w:bookmarkStart w:id="15" w:name="_Toc21073440"/>
      <w:bookmarkEnd w:id="15"/>
      <w:bookmarkEnd w:id="14"/>
    </w:p>
    <w:p w14:paraId="7698800E" w14:textId="636BCC67" w:rsidR="00863F6A" w:rsidRPr="00FC60C1" w:rsidRDefault="00863F6A" w:rsidP="00CF135E">
      <w:pPr>
        <w:pStyle w:val="Normalnumber"/>
        <w:ind w:left="1247"/>
        <w:rPr>
          <w:lang w:val="fr-FR"/>
        </w:rPr>
      </w:pPr>
      <w:r w:rsidRPr="00FC60C1">
        <w:rPr>
          <w:lang w:val="fr-FR"/>
        </w:rPr>
        <w:t xml:space="preserve">Dans le cadre du modèle de regroupement des services, un groupe mixte serait chargé de fournir des services au Secrétariat </w:t>
      </w:r>
      <w:r w:rsidR="0022698D">
        <w:rPr>
          <w:lang w:val="fr-FR"/>
        </w:rPr>
        <w:t>des conventions</w:t>
      </w:r>
      <w:r w:rsidRPr="00FC60C1">
        <w:rPr>
          <w:lang w:val="fr-FR"/>
        </w:rPr>
        <w:t xml:space="preserve"> de Bâle, de Rotterdam et de Stockholm et au secrétariat de la Convention de Minamata, chaque secrétariat allouant des ressources à ce nouveau groupe. Ce modèle faciliterait le partage de tous les services administratifs recensés et ne se limiterait donc pas à l</w:t>
      </w:r>
      <w:r w:rsidR="002A6A82">
        <w:rPr>
          <w:lang w:val="fr-FR"/>
        </w:rPr>
        <w:t>’</w:t>
      </w:r>
      <w:r w:rsidRPr="00FC60C1">
        <w:rPr>
          <w:lang w:val="fr-FR"/>
        </w:rPr>
        <w:t>organisation de réunions des conférences des Parties. D</w:t>
      </w:r>
      <w:r w:rsidR="002A6A82">
        <w:rPr>
          <w:lang w:val="fr-FR"/>
        </w:rPr>
        <w:t>’</w:t>
      </w:r>
      <w:r w:rsidRPr="00FC60C1">
        <w:rPr>
          <w:lang w:val="fr-FR"/>
        </w:rPr>
        <w:t>autres services, qui seront définis au fur et à mesure, seraie</w:t>
      </w:r>
      <w:r w:rsidR="00450D9E" w:rsidRPr="00FC60C1">
        <w:rPr>
          <w:lang w:val="fr-FR"/>
        </w:rPr>
        <w:t>nt assurés par le groupe mixte.</w:t>
      </w:r>
    </w:p>
    <w:p w14:paraId="53759CCF" w14:textId="02BFAC24" w:rsidR="00863F6A" w:rsidRPr="00FC60C1" w:rsidRDefault="00863F6A" w:rsidP="00CF135E">
      <w:pPr>
        <w:pStyle w:val="Normalnumber"/>
        <w:ind w:left="1247"/>
        <w:rPr>
          <w:lang w:val="fr-FR"/>
        </w:rPr>
      </w:pPr>
      <w:r w:rsidRPr="00FC60C1">
        <w:rPr>
          <w:lang w:val="fr-FR"/>
        </w:rPr>
        <w:t>Les mandats des différentes conventions déterminent leurs priorités</w:t>
      </w:r>
      <w:r w:rsidR="00450D9E" w:rsidRPr="00FC60C1">
        <w:rPr>
          <w:lang w:val="fr-FR"/>
        </w:rPr>
        <w:t> ;</w:t>
      </w:r>
      <w:r w:rsidRPr="00FC60C1">
        <w:rPr>
          <w:lang w:val="fr-FR"/>
        </w:rPr>
        <w:t xml:space="preserve"> aussi serait-il difficile de décider quels services devraient être mis en commun et comment hiérarchiser leur prestation dans l</w:t>
      </w:r>
      <w:r w:rsidR="002A6A82">
        <w:rPr>
          <w:lang w:val="fr-FR"/>
        </w:rPr>
        <w:t>’</w:t>
      </w:r>
      <w:r w:rsidRPr="00FC60C1">
        <w:rPr>
          <w:lang w:val="fr-FR"/>
        </w:rPr>
        <w:t xml:space="preserve">intérêt </w:t>
      </w:r>
      <w:r w:rsidR="0022698D">
        <w:rPr>
          <w:lang w:val="fr-FR"/>
        </w:rPr>
        <w:t>des conventions</w:t>
      </w:r>
      <w:r w:rsidRPr="00FC60C1">
        <w:rPr>
          <w:lang w:val="fr-FR"/>
        </w:rPr>
        <w:t xml:space="preserve"> et pour faciliter leurs travaux. La structure administrative devrait tenir compte de la complexité que revêt une double chaîne hiérarchique, ce qui aurait des conséquences sur la responsabilité des deux secrétaires exécutifs et porterait atteinte au principe d</w:t>
      </w:r>
      <w:r w:rsidR="002A6A82">
        <w:rPr>
          <w:lang w:val="fr-FR"/>
        </w:rPr>
        <w:t>’</w:t>
      </w:r>
      <w:r w:rsidRPr="00FC60C1">
        <w:rPr>
          <w:lang w:val="fr-FR"/>
        </w:rPr>
        <w:t>autonomie.</w:t>
      </w:r>
    </w:p>
    <w:p w14:paraId="3E7EBA94" w14:textId="1E8DFF76" w:rsidR="00863F6A" w:rsidRPr="00FC60C1" w:rsidRDefault="00863F6A" w:rsidP="00CF135E">
      <w:pPr>
        <w:pStyle w:val="Normalnumber"/>
        <w:ind w:left="1247"/>
        <w:rPr>
          <w:lang w:val="fr-FR"/>
        </w:rPr>
      </w:pPr>
      <w:r w:rsidRPr="00FC60C1">
        <w:rPr>
          <w:lang w:val="fr-FR"/>
        </w:rPr>
        <w:t>Le regroupement suppose la création d</w:t>
      </w:r>
      <w:r w:rsidR="002A6A82">
        <w:rPr>
          <w:lang w:val="fr-FR"/>
        </w:rPr>
        <w:t>’</w:t>
      </w:r>
      <w:r w:rsidRPr="00FC60C1">
        <w:rPr>
          <w:lang w:val="fr-FR"/>
        </w:rPr>
        <w:t>une structure de gestion supplémentaire, ce qui engendre des coûts supplémentaires. Il est ressorti de l</w:t>
      </w:r>
      <w:r w:rsidR="002A6A82">
        <w:rPr>
          <w:lang w:val="fr-FR"/>
        </w:rPr>
        <w:t>’</w:t>
      </w:r>
      <w:r w:rsidRPr="00FC60C1">
        <w:rPr>
          <w:lang w:val="fr-FR"/>
        </w:rPr>
        <w:t>analyse, laquelle était fondée sur une comparaison avec des structures administratives similaires, qu</w:t>
      </w:r>
      <w:r w:rsidR="002A6A82">
        <w:rPr>
          <w:lang w:val="fr-FR"/>
        </w:rPr>
        <w:t>’</w:t>
      </w:r>
      <w:r w:rsidRPr="00FC60C1">
        <w:rPr>
          <w:lang w:val="fr-FR"/>
        </w:rPr>
        <w:t>une telle structure nécessiterait trois postes d</w:t>
      </w:r>
      <w:r w:rsidR="002A6A82">
        <w:rPr>
          <w:lang w:val="fr-FR"/>
        </w:rPr>
        <w:t>’</w:t>
      </w:r>
      <w:r w:rsidRPr="00FC60C1">
        <w:rPr>
          <w:lang w:val="fr-FR"/>
        </w:rPr>
        <w:t>administrateur et trois postes d</w:t>
      </w:r>
      <w:r w:rsidR="002A6A82">
        <w:rPr>
          <w:lang w:val="fr-FR"/>
        </w:rPr>
        <w:t>’</w:t>
      </w:r>
      <w:r w:rsidRPr="00FC60C1">
        <w:rPr>
          <w:lang w:val="fr-FR"/>
        </w:rPr>
        <w:t>agent des services généraux. Afin de réduire au minimum les incidences financières supplémentaires, il ne serait proposé de créer qu</w:t>
      </w:r>
      <w:r w:rsidR="002A6A82">
        <w:rPr>
          <w:lang w:val="fr-FR"/>
        </w:rPr>
        <w:t>’</w:t>
      </w:r>
      <w:r w:rsidRPr="00FC60C1">
        <w:rPr>
          <w:lang w:val="fr-FR"/>
        </w:rPr>
        <w:t>un seul poste P-5 à la tête du groupe mixte. Les deux autres postes d</w:t>
      </w:r>
      <w:r w:rsidR="002A6A82">
        <w:rPr>
          <w:lang w:val="fr-FR"/>
        </w:rPr>
        <w:t>’</w:t>
      </w:r>
      <w:r w:rsidRPr="00FC60C1">
        <w:rPr>
          <w:lang w:val="fr-FR"/>
        </w:rPr>
        <w:t>administrateur, de classe P-4, et les postes d</w:t>
      </w:r>
      <w:r w:rsidR="002A6A82">
        <w:rPr>
          <w:lang w:val="fr-FR"/>
        </w:rPr>
        <w:t>’</w:t>
      </w:r>
      <w:r w:rsidRPr="00FC60C1">
        <w:rPr>
          <w:lang w:val="fr-FR"/>
        </w:rPr>
        <w:t xml:space="preserve">agent des services généraux pourraient être pourvus parmi les fonctionnaires en poste aux secrétariats </w:t>
      </w:r>
      <w:r w:rsidR="0022698D">
        <w:rPr>
          <w:lang w:val="fr-FR"/>
        </w:rPr>
        <w:t>des conventions</w:t>
      </w:r>
      <w:r w:rsidRPr="00FC60C1">
        <w:rPr>
          <w:lang w:val="fr-FR"/>
        </w:rPr>
        <w:t>. Le coût supplémentaire du poste P-5 serait de 507 000 dollars par exercice biennal. En outre, on estime que l</w:t>
      </w:r>
      <w:r w:rsidR="002A6A82">
        <w:rPr>
          <w:lang w:val="fr-FR"/>
        </w:rPr>
        <w:t>’</w:t>
      </w:r>
      <w:r w:rsidRPr="00FC60C1">
        <w:rPr>
          <w:lang w:val="fr-FR"/>
        </w:rPr>
        <w:t>organisation des réunions de la C</w:t>
      </w:r>
      <w:r w:rsidR="00450D9E" w:rsidRPr="00FC60C1">
        <w:rPr>
          <w:lang w:val="fr-FR"/>
        </w:rPr>
        <w:t>onférence des Parties coûte 228 000 </w:t>
      </w:r>
      <w:r w:rsidRPr="00FC60C1">
        <w:rPr>
          <w:lang w:val="fr-FR"/>
        </w:rPr>
        <w:t xml:space="preserve">dollars par exercice </w:t>
      </w:r>
      <w:r w:rsidRPr="00FC60C1">
        <w:rPr>
          <w:lang w:val="fr-FR"/>
        </w:rPr>
        <w:lastRenderedPageBreak/>
        <w:t>biennal. Par conséquent, le coût supplémentaire total, qui n</w:t>
      </w:r>
      <w:r w:rsidR="002A6A82">
        <w:rPr>
          <w:lang w:val="fr-FR"/>
        </w:rPr>
        <w:t>’</w:t>
      </w:r>
      <w:r w:rsidRPr="00FC60C1">
        <w:rPr>
          <w:lang w:val="fr-FR"/>
        </w:rPr>
        <w:t>est pas prévu au projet de budget du secrétariat de la Convention de Minamata pour l</w:t>
      </w:r>
      <w:r w:rsidR="002A6A82">
        <w:rPr>
          <w:lang w:val="fr-FR"/>
        </w:rPr>
        <w:t>’</w:t>
      </w:r>
      <w:r w:rsidRPr="00FC60C1">
        <w:rPr>
          <w:lang w:val="fr-FR"/>
        </w:rPr>
        <w:t>exercice biennal 2020-2021, est estimé à 735</w:t>
      </w:r>
      <w:r w:rsidR="00450D9E" w:rsidRPr="00FC60C1">
        <w:rPr>
          <w:lang w:val="fr-FR"/>
        </w:rPr>
        <w:t> 000 </w:t>
      </w:r>
      <w:r w:rsidRPr="00FC60C1">
        <w:rPr>
          <w:lang w:val="fr-FR"/>
        </w:rPr>
        <w:t>dollars.</w:t>
      </w:r>
    </w:p>
    <w:p w14:paraId="106364DD" w14:textId="0DD1373A" w:rsidR="00863F6A" w:rsidRPr="00FC60C1" w:rsidRDefault="00863F6A" w:rsidP="00CF135E">
      <w:pPr>
        <w:pStyle w:val="Normalnumber"/>
        <w:ind w:left="1247"/>
        <w:rPr>
          <w:lang w:val="fr-FR"/>
        </w:rPr>
      </w:pPr>
      <w:r w:rsidRPr="00FC60C1">
        <w:rPr>
          <w:lang w:val="fr-FR"/>
        </w:rPr>
        <w:t>Le Secrétaire général de l</w:t>
      </w:r>
      <w:r w:rsidR="002A6A82">
        <w:rPr>
          <w:lang w:val="fr-FR"/>
        </w:rPr>
        <w:t>’</w:t>
      </w:r>
      <w:r w:rsidRPr="00FC60C1">
        <w:rPr>
          <w:lang w:val="fr-FR"/>
        </w:rPr>
        <w:t>Organisation des Nations Unies a annoncé des réformes comprenant le regroupement des services administratifs au niveau mondial, au motif que ce principe générerait des gains d</w:t>
      </w:r>
      <w:r w:rsidR="002A6A82">
        <w:rPr>
          <w:lang w:val="fr-FR"/>
        </w:rPr>
        <w:t>’</w:t>
      </w:r>
      <w:r w:rsidRPr="00FC60C1">
        <w:rPr>
          <w:lang w:val="fr-FR"/>
        </w:rPr>
        <w:t xml:space="preserve">efficacité. Étant donné que le PNUE est partie à ces réformes plus larges, une nouvelle évaluation de la proposition, qui devrait être effectuée en 2021, permettrait de tenir compte de tout élément pertinent de la réforme applicable aux modalités de coopération entre le secrétariat de la Convention de Minamata et le Secrétariat </w:t>
      </w:r>
      <w:r w:rsidR="0022698D">
        <w:rPr>
          <w:lang w:val="fr-FR"/>
        </w:rPr>
        <w:t>des conventions</w:t>
      </w:r>
      <w:r w:rsidRPr="00FC60C1">
        <w:rPr>
          <w:lang w:val="fr-FR"/>
        </w:rPr>
        <w:t xml:space="preserve"> de Bâle, de Rotterdam e</w:t>
      </w:r>
      <w:r w:rsidR="00450D9E" w:rsidRPr="00FC60C1">
        <w:rPr>
          <w:lang w:val="fr-FR"/>
        </w:rPr>
        <w:t>t de Stockholm à l</w:t>
      </w:r>
      <w:r w:rsidR="002A6A82">
        <w:rPr>
          <w:lang w:val="fr-FR"/>
        </w:rPr>
        <w:t>’</w:t>
      </w:r>
      <w:r w:rsidR="00450D9E" w:rsidRPr="00FC60C1">
        <w:rPr>
          <w:lang w:val="fr-FR"/>
        </w:rPr>
        <w:t>avenir.</w:t>
      </w:r>
    </w:p>
    <w:p w14:paraId="23E8ED8C" w14:textId="5AE58BF7" w:rsidR="00863F6A" w:rsidRPr="00FC60C1" w:rsidRDefault="00540F8B" w:rsidP="00540F8B">
      <w:pPr>
        <w:pStyle w:val="CH1"/>
        <w:rPr>
          <w:lang w:val="fr-FR"/>
        </w:rPr>
      </w:pPr>
      <w:r>
        <w:rPr>
          <w:lang w:val="fr-FR"/>
        </w:rPr>
        <w:tab/>
      </w:r>
      <w:bookmarkStart w:id="16" w:name="_Toc24985767"/>
      <w:r>
        <w:rPr>
          <w:lang w:val="fr-FR"/>
        </w:rPr>
        <w:t>VII.</w:t>
      </w:r>
      <w:r>
        <w:rPr>
          <w:lang w:val="fr-FR"/>
        </w:rPr>
        <w:tab/>
      </w:r>
      <w:r w:rsidR="004A0684" w:rsidRPr="00FC60C1">
        <w:rPr>
          <w:lang w:val="fr-FR"/>
        </w:rPr>
        <w:t xml:space="preserve">Transfert de fonctionnaires du secrétariat de la Convention de Minamata au Secrétariat </w:t>
      </w:r>
      <w:r w:rsidR="0022698D">
        <w:rPr>
          <w:lang w:val="fr-FR"/>
        </w:rPr>
        <w:t>des conventions</w:t>
      </w:r>
      <w:r w:rsidR="004A0684" w:rsidRPr="00FC60C1">
        <w:rPr>
          <w:lang w:val="fr-FR"/>
        </w:rPr>
        <w:t xml:space="preserve"> de Bâle, de Rotterdam et de Stockholm</w:t>
      </w:r>
      <w:bookmarkStart w:id="17" w:name="_Toc21073441"/>
      <w:bookmarkEnd w:id="17"/>
      <w:bookmarkEnd w:id="16"/>
    </w:p>
    <w:p w14:paraId="743E264E" w14:textId="5B7B6CD7" w:rsidR="00863F6A" w:rsidRPr="00FC60C1" w:rsidRDefault="00553C23" w:rsidP="00CF135E">
      <w:pPr>
        <w:pStyle w:val="Normalnumber"/>
        <w:ind w:left="1247"/>
        <w:rPr>
          <w:lang w:val="fr-FR"/>
        </w:rPr>
      </w:pPr>
      <w:r w:rsidRPr="00FC60C1">
        <w:rPr>
          <w:lang w:val="fr-FR"/>
        </w:rPr>
        <w:t>L</w:t>
      </w:r>
      <w:r w:rsidR="002A6A82">
        <w:rPr>
          <w:lang w:val="fr-FR"/>
        </w:rPr>
        <w:t>’</w:t>
      </w:r>
      <w:r w:rsidRPr="00FC60C1">
        <w:rPr>
          <w:lang w:val="fr-FR"/>
        </w:rPr>
        <w:t xml:space="preserve">examen a révélé que, compte tenu des ressources dont il dispose actuellement, le Secrétariat </w:t>
      </w:r>
      <w:r w:rsidR="0022698D">
        <w:rPr>
          <w:lang w:val="fr-FR"/>
        </w:rPr>
        <w:t>des conventions</w:t>
      </w:r>
      <w:r w:rsidRPr="00FC60C1">
        <w:rPr>
          <w:lang w:val="fr-FR"/>
        </w:rPr>
        <w:t xml:space="preserve"> de Bâle, de Rotterdam et de Stockholm n</w:t>
      </w:r>
      <w:r w:rsidR="002A6A82">
        <w:rPr>
          <w:lang w:val="fr-FR"/>
        </w:rPr>
        <w:t>’</w:t>
      </w:r>
      <w:r w:rsidRPr="00FC60C1">
        <w:rPr>
          <w:lang w:val="fr-FR"/>
        </w:rPr>
        <w:t>est pas en mesure de partager les services. La solution consistant à redéployer des fonctionnaires a donc été conçue sur</w:t>
      </w:r>
      <w:r w:rsidR="00540F8B">
        <w:rPr>
          <w:lang w:val="fr-FR"/>
        </w:rPr>
        <w:t xml:space="preserve"> la base de huit postes (quatre </w:t>
      </w:r>
      <w:r w:rsidRPr="00FC60C1">
        <w:rPr>
          <w:lang w:val="fr-FR"/>
        </w:rPr>
        <w:t>postes d</w:t>
      </w:r>
      <w:r w:rsidR="002A6A82">
        <w:rPr>
          <w:lang w:val="fr-FR"/>
        </w:rPr>
        <w:t>’</w:t>
      </w:r>
      <w:r w:rsidRPr="00FC60C1">
        <w:rPr>
          <w:lang w:val="fr-FR"/>
        </w:rPr>
        <w:t>administrateur et quatre postes d</w:t>
      </w:r>
      <w:r w:rsidR="002A6A82">
        <w:rPr>
          <w:lang w:val="fr-FR"/>
        </w:rPr>
        <w:t>’</w:t>
      </w:r>
      <w:r w:rsidRPr="00FC60C1">
        <w:rPr>
          <w:lang w:val="fr-FR"/>
        </w:rPr>
        <w:t xml:space="preserve">agent des services généraux) transférés du secrétariat de la Convention de Minamata au Secrétariat </w:t>
      </w:r>
      <w:r w:rsidR="0022698D">
        <w:rPr>
          <w:lang w:val="fr-FR"/>
        </w:rPr>
        <w:t>des conventions</w:t>
      </w:r>
      <w:r w:rsidRPr="00FC60C1">
        <w:rPr>
          <w:lang w:val="fr-FR"/>
        </w:rPr>
        <w:t xml:space="preserve"> de Bâ</w:t>
      </w:r>
      <w:r w:rsidR="00540F8B">
        <w:rPr>
          <w:lang w:val="fr-FR"/>
        </w:rPr>
        <w:t>le, Rotterdam et Stockholm. Les </w:t>
      </w:r>
      <w:r w:rsidRPr="00FC60C1">
        <w:rPr>
          <w:lang w:val="fr-FR"/>
        </w:rPr>
        <w:t>ressources de la Convention de Minamata affectées à la prestation de services partagés feraient alors partie d</w:t>
      </w:r>
      <w:r w:rsidR="002A6A82">
        <w:rPr>
          <w:lang w:val="fr-FR"/>
        </w:rPr>
        <w:t>’</w:t>
      </w:r>
      <w:r w:rsidRPr="00FC60C1">
        <w:rPr>
          <w:lang w:val="fr-FR"/>
        </w:rPr>
        <w:t xml:space="preserve">une réserve de ressources beaucoup plus large, avec une équipe gérée par le Secrétariat </w:t>
      </w:r>
      <w:r w:rsidR="0022698D">
        <w:rPr>
          <w:lang w:val="fr-FR"/>
        </w:rPr>
        <w:t>des conventions</w:t>
      </w:r>
      <w:r w:rsidRPr="00FC60C1">
        <w:rPr>
          <w:lang w:val="fr-FR"/>
        </w:rPr>
        <w:t xml:space="preserve"> de Bâle, de Rotterdam et de Stockholm chargée d</w:t>
      </w:r>
      <w:r w:rsidR="002A6A82">
        <w:rPr>
          <w:lang w:val="fr-FR"/>
        </w:rPr>
        <w:t>’</w:t>
      </w:r>
      <w:r w:rsidRPr="00FC60C1">
        <w:rPr>
          <w:lang w:val="fr-FR"/>
        </w:rPr>
        <w:t>assurer des services aux quatre conventions. On trouvera à l</w:t>
      </w:r>
      <w:r w:rsidR="002A6A82">
        <w:rPr>
          <w:lang w:val="fr-FR"/>
        </w:rPr>
        <w:t>’</w:t>
      </w:r>
      <w:r w:rsidRPr="00FC60C1">
        <w:rPr>
          <w:lang w:val="fr-FR"/>
        </w:rPr>
        <w:t>annexe I des informations détaillées concernant le modèle</w:t>
      </w:r>
      <w:r w:rsidR="00450D9E" w:rsidRPr="00FC60C1">
        <w:rPr>
          <w:lang w:val="fr-FR"/>
        </w:rPr>
        <w:t xml:space="preserve"> de redéploiement du personnel.</w:t>
      </w:r>
    </w:p>
    <w:p w14:paraId="1C755881" w14:textId="6E2500AE" w:rsidR="00863F6A" w:rsidRPr="00FC60C1" w:rsidRDefault="000C64D7" w:rsidP="00CF135E">
      <w:pPr>
        <w:pStyle w:val="Normalnumber"/>
        <w:ind w:left="1247"/>
        <w:rPr>
          <w:lang w:val="fr-FR"/>
        </w:rPr>
      </w:pPr>
      <w:r w:rsidRPr="00FC60C1">
        <w:rPr>
          <w:lang w:val="fr-FR"/>
        </w:rPr>
        <w:t>Dans le scénario de la Secrétaire exécutive, il est proposé de scinder les fonctions de communication et de gestion des connaissances, ce qui aboutirait à la</w:t>
      </w:r>
      <w:r w:rsidR="00450D9E" w:rsidRPr="00FC60C1">
        <w:rPr>
          <w:lang w:val="fr-FR"/>
        </w:rPr>
        <w:t xml:space="preserve"> création d</w:t>
      </w:r>
      <w:r w:rsidR="002A6A82">
        <w:rPr>
          <w:lang w:val="fr-FR"/>
        </w:rPr>
        <w:t>’</w:t>
      </w:r>
      <w:r w:rsidR="00450D9E" w:rsidRPr="00FC60C1">
        <w:rPr>
          <w:lang w:val="fr-FR"/>
        </w:rPr>
        <w:t>un deuxième poste P</w:t>
      </w:r>
      <w:r w:rsidR="00450D9E" w:rsidRPr="00FC60C1">
        <w:rPr>
          <w:lang w:val="fr-FR"/>
        </w:rPr>
        <w:noBreakHyphen/>
      </w:r>
      <w:r w:rsidRPr="00FC60C1">
        <w:rPr>
          <w:lang w:val="fr-FR"/>
        </w:rPr>
        <w:t>3. Toutefois, grâce au redéploiement du personnel, le poste P-3 actuel exercerait à la fois les fonctions de communication et de gestion des connaissances. Cette so</w:t>
      </w:r>
      <w:r w:rsidR="0073545F">
        <w:rPr>
          <w:lang w:val="fr-FR"/>
        </w:rPr>
        <w:t>lution permettrait de faire des </w:t>
      </w:r>
      <w:r w:rsidRPr="00FC60C1">
        <w:rPr>
          <w:lang w:val="fr-FR"/>
        </w:rPr>
        <w:t>économies brutes d</w:t>
      </w:r>
      <w:r w:rsidR="002A6A82">
        <w:rPr>
          <w:lang w:val="fr-FR"/>
        </w:rPr>
        <w:t>’</w:t>
      </w:r>
      <w:r w:rsidR="00540F8B">
        <w:rPr>
          <w:lang w:val="fr-FR"/>
        </w:rPr>
        <w:t>un montant de 354 </w:t>
      </w:r>
      <w:r w:rsidRPr="00FC60C1">
        <w:rPr>
          <w:lang w:val="fr-FR"/>
        </w:rPr>
        <w:t xml:space="preserve">000 dollars. Cela dit, le secrétariat de la Convention de Minamata </w:t>
      </w:r>
      <w:r w:rsidR="00540F8B">
        <w:rPr>
          <w:lang w:val="fr-FR"/>
        </w:rPr>
        <w:t>devrait toujours transférer 270 </w:t>
      </w:r>
      <w:r w:rsidRPr="00FC60C1">
        <w:rPr>
          <w:lang w:val="fr-FR"/>
        </w:rPr>
        <w:t xml:space="preserve">000 dollars au Secrétariat </w:t>
      </w:r>
      <w:r w:rsidR="0022698D">
        <w:rPr>
          <w:lang w:val="fr-FR"/>
        </w:rPr>
        <w:t>des conventions</w:t>
      </w:r>
      <w:r w:rsidRPr="00FC60C1">
        <w:rPr>
          <w:lang w:val="fr-FR"/>
        </w:rPr>
        <w:t xml:space="preserve"> </w:t>
      </w:r>
      <w:r w:rsidR="0073545F">
        <w:rPr>
          <w:lang w:val="fr-FR"/>
        </w:rPr>
        <w:t>de Bâle, de </w:t>
      </w:r>
      <w:r w:rsidRPr="00FC60C1">
        <w:rPr>
          <w:lang w:val="fr-FR"/>
        </w:rPr>
        <w:t>Rotterdam et de Stockholm au titre des services de préparation des réunions biennales de la Conférence des Parties. Cet arrangement pourrait donc permettre de faire des écon</w:t>
      </w:r>
      <w:r w:rsidR="00450D9E" w:rsidRPr="00FC60C1">
        <w:rPr>
          <w:lang w:val="fr-FR"/>
        </w:rPr>
        <w:t>omies nettes d</w:t>
      </w:r>
      <w:r w:rsidR="002A6A82">
        <w:rPr>
          <w:lang w:val="fr-FR"/>
        </w:rPr>
        <w:t>’</w:t>
      </w:r>
      <w:r w:rsidR="00540F8B">
        <w:rPr>
          <w:lang w:val="fr-FR"/>
        </w:rPr>
        <w:t>un </w:t>
      </w:r>
      <w:r w:rsidR="00450D9E" w:rsidRPr="00FC60C1">
        <w:rPr>
          <w:lang w:val="fr-FR"/>
        </w:rPr>
        <w:t>montant de 84 </w:t>
      </w:r>
      <w:r w:rsidRPr="00FC60C1">
        <w:rPr>
          <w:lang w:val="fr-FR"/>
        </w:rPr>
        <w:t>000 dollars. Ces estimations n</w:t>
      </w:r>
      <w:r w:rsidR="002A6A82">
        <w:rPr>
          <w:lang w:val="fr-FR"/>
        </w:rPr>
        <w:t>’</w:t>
      </w:r>
      <w:r w:rsidRPr="00FC60C1">
        <w:rPr>
          <w:lang w:val="fr-FR"/>
        </w:rPr>
        <w:t>ont qu</w:t>
      </w:r>
      <w:r w:rsidR="002A6A82">
        <w:rPr>
          <w:lang w:val="fr-FR"/>
        </w:rPr>
        <w:t>’</w:t>
      </w:r>
      <w:r w:rsidRPr="00FC60C1">
        <w:rPr>
          <w:lang w:val="fr-FR"/>
        </w:rPr>
        <w:t>une valeur indicative, car au moment de la rédaction de la présente proposition, le projet de budget de la Convention de Minamata prévoyant la création d</w:t>
      </w:r>
      <w:r w:rsidR="002A6A82">
        <w:rPr>
          <w:lang w:val="fr-FR"/>
        </w:rPr>
        <w:t>’</w:t>
      </w:r>
      <w:r w:rsidRPr="00FC60C1">
        <w:rPr>
          <w:lang w:val="fr-FR"/>
        </w:rPr>
        <w:t>un deuxième poste n</w:t>
      </w:r>
      <w:r w:rsidR="002A6A82">
        <w:rPr>
          <w:lang w:val="fr-FR"/>
        </w:rPr>
        <w:t>’</w:t>
      </w:r>
      <w:r w:rsidRPr="00FC60C1">
        <w:rPr>
          <w:lang w:val="fr-FR"/>
        </w:rPr>
        <w:t>avait pas encore été examiné par la Conférence des Parties.</w:t>
      </w:r>
    </w:p>
    <w:p w14:paraId="5CB2D0FC" w14:textId="51D92A14" w:rsidR="00863F6A" w:rsidRPr="00FC60C1" w:rsidRDefault="00863F6A" w:rsidP="00CF135E">
      <w:pPr>
        <w:pStyle w:val="Normalnumber"/>
        <w:ind w:left="1247"/>
        <w:rPr>
          <w:lang w:val="fr-FR"/>
        </w:rPr>
      </w:pPr>
      <w:r w:rsidRPr="00FC60C1">
        <w:rPr>
          <w:lang w:val="fr-FR"/>
        </w:rPr>
        <w:t>Le transfert d</w:t>
      </w:r>
      <w:r w:rsidR="002A6A82">
        <w:rPr>
          <w:lang w:val="fr-FR"/>
        </w:rPr>
        <w:t>’</w:t>
      </w:r>
      <w:r w:rsidRPr="00FC60C1">
        <w:rPr>
          <w:lang w:val="fr-FR"/>
        </w:rPr>
        <w:t xml:space="preserve">effectifs du secrétariat de la Convention de Minamata au Secrétariat </w:t>
      </w:r>
      <w:r w:rsidR="0022698D">
        <w:rPr>
          <w:lang w:val="fr-FR"/>
        </w:rPr>
        <w:t>des conventions</w:t>
      </w:r>
      <w:r w:rsidRPr="00FC60C1">
        <w:rPr>
          <w:lang w:val="fr-FR"/>
        </w:rPr>
        <w:t xml:space="preserve"> de Bâle, de Rotterdam et de Stockholm ne représente pas une économie pour les Parties, mais plutôt une modification des voies hiérarchiques. La prestation des services serait gérée par le Secrétariat </w:t>
      </w:r>
      <w:r w:rsidR="0022698D">
        <w:rPr>
          <w:lang w:val="fr-FR"/>
        </w:rPr>
        <w:t>des conventions</w:t>
      </w:r>
      <w:r w:rsidRPr="00FC60C1">
        <w:rPr>
          <w:lang w:val="fr-FR"/>
        </w:rPr>
        <w:t xml:space="preserve"> de Bâle, de Rotterdam et de Stockholm, ce qui nécessiterait la mise en place d</w:t>
      </w:r>
      <w:r w:rsidR="002A6A82">
        <w:rPr>
          <w:lang w:val="fr-FR"/>
        </w:rPr>
        <w:t>’</w:t>
      </w:r>
      <w:r w:rsidRPr="00FC60C1">
        <w:rPr>
          <w:lang w:val="fr-FR"/>
        </w:rPr>
        <w:t>un mécanisme de surveillance par la Convention de Minamata. Ce mécanisme nécessitera la création d</w:t>
      </w:r>
      <w:r w:rsidR="002A6A82">
        <w:rPr>
          <w:lang w:val="fr-FR"/>
        </w:rPr>
        <w:t>’</w:t>
      </w:r>
      <w:r w:rsidRPr="00FC60C1">
        <w:rPr>
          <w:lang w:val="fr-FR"/>
        </w:rPr>
        <w:t>un poste P-3 ainsi que d</w:t>
      </w:r>
      <w:r w:rsidR="002A6A82">
        <w:rPr>
          <w:lang w:val="fr-FR"/>
        </w:rPr>
        <w:t>’</w:t>
      </w:r>
      <w:r w:rsidRPr="00FC60C1">
        <w:rPr>
          <w:lang w:val="fr-FR"/>
        </w:rPr>
        <w:t>un poste d</w:t>
      </w:r>
      <w:r w:rsidR="002A6A82">
        <w:rPr>
          <w:lang w:val="fr-FR"/>
        </w:rPr>
        <w:t>’</w:t>
      </w:r>
      <w:r w:rsidRPr="00FC60C1">
        <w:rPr>
          <w:lang w:val="fr-FR"/>
        </w:rPr>
        <w:t>agent des services généraux pour contrôler la prestation des services afin de s</w:t>
      </w:r>
      <w:r w:rsidR="002A6A82">
        <w:rPr>
          <w:lang w:val="fr-FR"/>
        </w:rPr>
        <w:t>’</w:t>
      </w:r>
      <w:r w:rsidRPr="00FC60C1">
        <w:rPr>
          <w:lang w:val="fr-FR"/>
        </w:rPr>
        <w:t>assurer que ceux-ci répondent aux critères arrêtés en termes de qualité et de respect des délais. Ces postes supplémentaires, qui constituent un filet de sécurité nécessaire pour la Convention de Minamata, annuleraient les éventuelles économies financières escomptées. Cette option, qui n</w:t>
      </w:r>
      <w:r w:rsidR="002A6A82">
        <w:rPr>
          <w:lang w:val="fr-FR"/>
        </w:rPr>
        <w:t>’</w:t>
      </w:r>
      <w:r w:rsidRPr="00FC60C1">
        <w:rPr>
          <w:lang w:val="fr-FR"/>
        </w:rPr>
        <w:t>est pas prévue au projet de budget du secrétariat de la Convention de Minamata pour l</w:t>
      </w:r>
      <w:r w:rsidR="002A6A82">
        <w:rPr>
          <w:lang w:val="fr-FR"/>
        </w:rPr>
        <w:t>’</w:t>
      </w:r>
      <w:r w:rsidRPr="00FC60C1">
        <w:rPr>
          <w:lang w:val="fr-FR"/>
        </w:rPr>
        <w:t>exercice b</w:t>
      </w:r>
      <w:r w:rsidR="00540F8B">
        <w:rPr>
          <w:lang w:val="fr-FR"/>
        </w:rPr>
        <w:t>iennal 2020</w:t>
      </w:r>
      <w:r w:rsidR="001A6CF8">
        <w:rPr>
          <w:bCs/>
          <w:lang w:val="fr-FR"/>
        </w:rPr>
        <w:t>–</w:t>
      </w:r>
      <w:r w:rsidR="00540F8B">
        <w:rPr>
          <w:lang w:val="fr-FR"/>
        </w:rPr>
        <w:t>2021, coûterait 629 </w:t>
      </w:r>
      <w:r w:rsidRPr="00FC60C1">
        <w:rPr>
          <w:lang w:val="fr-FR"/>
        </w:rPr>
        <w:t>000 dollars supplémentaires.</w:t>
      </w:r>
    </w:p>
    <w:p w14:paraId="00B5A79C" w14:textId="0FE18B51" w:rsidR="00863F6A" w:rsidRPr="00FC60C1" w:rsidRDefault="00863F6A" w:rsidP="00CF135E">
      <w:pPr>
        <w:pStyle w:val="Normalnumber"/>
        <w:ind w:left="1247"/>
        <w:rPr>
          <w:lang w:val="fr-FR"/>
        </w:rPr>
      </w:pPr>
      <w:r w:rsidRPr="00FC60C1">
        <w:rPr>
          <w:lang w:val="fr-FR"/>
        </w:rPr>
        <w:t xml:space="preserve">Si des fonctionnaires en poste à la Convention de Minamata étaient recrutés par le secrétariat de la Convention de Minamata, les voies hiérarchiques devraient être réorientées vers la structure de gestion du Secrétariat </w:t>
      </w:r>
      <w:r w:rsidR="0022698D">
        <w:rPr>
          <w:lang w:val="fr-FR"/>
        </w:rPr>
        <w:t>des conventions</w:t>
      </w:r>
      <w:r w:rsidRPr="00FC60C1">
        <w:rPr>
          <w:lang w:val="fr-FR"/>
        </w:rPr>
        <w:t xml:space="preserve"> de Bâle, de Rotterdam et de Stockholm. Si de nouveaux fonctionnaires étaient recrutés, le Secrétariat </w:t>
      </w:r>
      <w:r w:rsidR="0022698D">
        <w:rPr>
          <w:lang w:val="fr-FR"/>
        </w:rPr>
        <w:t>des conventions</w:t>
      </w:r>
      <w:r w:rsidRPr="00FC60C1">
        <w:rPr>
          <w:lang w:val="fr-FR"/>
        </w:rPr>
        <w:t xml:space="preserve"> de Bâle, de Rotterdam et de Stockholm se chargerait du recrutement et le personnel relèverait de la structure de gestion du Secrétariat </w:t>
      </w:r>
      <w:r w:rsidR="0022698D">
        <w:rPr>
          <w:lang w:val="fr-FR"/>
        </w:rPr>
        <w:t>des conventions</w:t>
      </w:r>
      <w:r w:rsidRPr="00FC60C1">
        <w:rPr>
          <w:lang w:val="fr-FR"/>
        </w:rPr>
        <w:t xml:space="preserve"> de Bâle, de Rotterdam</w:t>
      </w:r>
      <w:r w:rsidR="00540F8B">
        <w:rPr>
          <w:lang w:val="fr-FR"/>
        </w:rPr>
        <w:t xml:space="preserve"> et de Stockholm. Dans les deux </w:t>
      </w:r>
      <w:r w:rsidRPr="00FC60C1">
        <w:rPr>
          <w:lang w:val="fr-FR"/>
        </w:rPr>
        <w:t xml:space="preserve">cas, le Secrétaire exécutif </w:t>
      </w:r>
      <w:r w:rsidR="0022698D">
        <w:rPr>
          <w:lang w:val="fr-FR"/>
        </w:rPr>
        <w:t>des conventions</w:t>
      </w:r>
      <w:r w:rsidRPr="00FC60C1">
        <w:rPr>
          <w:lang w:val="fr-FR"/>
        </w:rPr>
        <w:t xml:space="preserve"> de Bâle, de Rotterdam et de Stockholm rendrait compte au Secrétaire exécutif de la Convention de Minamata pour ce qui est de la prestation des services partagés. </w:t>
      </w:r>
      <w:r w:rsidR="00450D9E" w:rsidRPr="00FC60C1">
        <w:rPr>
          <w:lang w:val="fr-FR"/>
        </w:rPr>
        <w:t>À</w:t>
      </w:r>
      <w:r w:rsidRPr="00FC60C1">
        <w:rPr>
          <w:lang w:val="fr-FR"/>
        </w:rPr>
        <w:t xml:space="preserve"> l</w:t>
      </w:r>
      <w:r w:rsidR="002A6A82">
        <w:rPr>
          <w:lang w:val="fr-FR"/>
        </w:rPr>
        <w:t>’</w:t>
      </w:r>
      <w:r w:rsidRPr="00FC60C1">
        <w:rPr>
          <w:lang w:val="fr-FR"/>
        </w:rPr>
        <w:t>instar du modèle de regroupement des services, cette solution pourrait réduire la responsabilité que la direction de la Convention de Minamata a envers les Parties et porter atteinte à son autonomie.</w:t>
      </w:r>
    </w:p>
    <w:p w14:paraId="13DA9FF5" w14:textId="30217D90" w:rsidR="00863F6A" w:rsidRPr="00FC60C1" w:rsidRDefault="00C37F47" w:rsidP="00C37F47">
      <w:pPr>
        <w:pStyle w:val="CH1"/>
        <w:rPr>
          <w:lang w:val="fr-FR"/>
        </w:rPr>
      </w:pPr>
      <w:r>
        <w:rPr>
          <w:lang w:val="fr-FR"/>
        </w:rPr>
        <w:lastRenderedPageBreak/>
        <w:tab/>
      </w:r>
      <w:bookmarkStart w:id="18" w:name="_Toc24985768"/>
      <w:r>
        <w:rPr>
          <w:lang w:val="fr-FR"/>
        </w:rPr>
        <w:t>VIII.</w:t>
      </w:r>
      <w:r>
        <w:rPr>
          <w:lang w:val="fr-FR"/>
        </w:rPr>
        <w:tab/>
      </w:r>
      <w:r w:rsidR="004A0684" w:rsidRPr="00FC60C1">
        <w:rPr>
          <w:lang w:val="fr-FR"/>
        </w:rPr>
        <w:t>Achat de services selon le principe du recouvrement des coûts</w:t>
      </w:r>
      <w:bookmarkStart w:id="19" w:name="_Toc21073442"/>
      <w:bookmarkEnd w:id="19"/>
      <w:bookmarkEnd w:id="18"/>
    </w:p>
    <w:p w14:paraId="736DBB9C" w14:textId="0E8A3647" w:rsidR="00863F6A" w:rsidRPr="00FC60C1" w:rsidRDefault="00863F6A" w:rsidP="00CF135E">
      <w:pPr>
        <w:pStyle w:val="Normalnumber"/>
        <w:ind w:left="1247"/>
        <w:rPr>
          <w:lang w:val="fr-FR"/>
        </w:rPr>
      </w:pPr>
      <w:r w:rsidRPr="00FC60C1">
        <w:rPr>
          <w:lang w:val="fr-FR"/>
        </w:rPr>
        <w:t xml:space="preserve">Dans le cas du modèle de recouvrement des coûts, le secrétariat de la Convention de Minamata et le Secrétariat </w:t>
      </w:r>
      <w:r w:rsidR="0022698D">
        <w:rPr>
          <w:lang w:val="fr-FR"/>
        </w:rPr>
        <w:t>des conventions</w:t>
      </w:r>
      <w:r w:rsidRPr="00FC60C1">
        <w:rPr>
          <w:lang w:val="fr-FR"/>
        </w:rPr>
        <w:t xml:space="preserve"> de Bâle, de Rotterdam et de Stockholm s</w:t>
      </w:r>
      <w:r w:rsidR="002A6A82">
        <w:rPr>
          <w:lang w:val="fr-FR"/>
        </w:rPr>
        <w:t>’</w:t>
      </w:r>
      <w:r w:rsidRPr="00FC60C1">
        <w:rPr>
          <w:lang w:val="fr-FR"/>
        </w:rPr>
        <w:t>entendent sur l</w:t>
      </w:r>
      <w:r w:rsidR="002A6A82">
        <w:rPr>
          <w:lang w:val="fr-FR"/>
        </w:rPr>
        <w:t>’</w:t>
      </w:r>
      <w:r w:rsidRPr="00FC60C1">
        <w:rPr>
          <w:lang w:val="fr-FR"/>
        </w:rPr>
        <w:t xml:space="preserve">éventail des services à acheter et les incidences financières connexes, qui sont présentés dans les projets de budget pour examen et approbation par la Conférence des Parties à la Convention de Minamata. Au moment de la rédaction de la présente proposition, il avait été déterminé que la Convention de Minamata nécessitait des services pour les réunions de sa Conférence des Parties et il avait également été convenu avec le Secrétariat </w:t>
      </w:r>
      <w:r w:rsidR="0022698D">
        <w:rPr>
          <w:lang w:val="fr-FR"/>
        </w:rPr>
        <w:t>des conventions</w:t>
      </w:r>
      <w:r w:rsidRPr="00FC60C1">
        <w:rPr>
          <w:lang w:val="fr-FR"/>
        </w:rPr>
        <w:t xml:space="preserve"> de Bâle, de Rotterdam et de Stockholm que le coût </w:t>
      </w:r>
      <w:r w:rsidR="00540F8B">
        <w:rPr>
          <w:lang w:val="fr-FR"/>
        </w:rPr>
        <w:t>ces services était estimé à 270 </w:t>
      </w:r>
      <w:r w:rsidRPr="00FC60C1">
        <w:rPr>
          <w:lang w:val="fr-FR"/>
        </w:rPr>
        <w:t>000 d</w:t>
      </w:r>
      <w:r w:rsidR="00450D9E" w:rsidRPr="00FC60C1">
        <w:rPr>
          <w:lang w:val="fr-FR"/>
        </w:rPr>
        <w:t>ollars.</w:t>
      </w:r>
    </w:p>
    <w:p w14:paraId="02BA45B8" w14:textId="69ED346C" w:rsidR="00863F6A" w:rsidRPr="00FC60C1" w:rsidRDefault="003A2EB5" w:rsidP="00CF135E">
      <w:pPr>
        <w:pStyle w:val="Normalnumber"/>
        <w:ind w:left="1247"/>
        <w:rPr>
          <w:lang w:val="fr-FR"/>
        </w:rPr>
      </w:pPr>
      <w:r w:rsidRPr="00FC60C1">
        <w:rPr>
          <w:lang w:val="fr-FR"/>
        </w:rPr>
        <w:t>L</w:t>
      </w:r>
      <w:r w:rsidR="002A6A82">
        <w:rPr>
          <w:lang w:val="fr-FR"/>
        </w:rPr>
        <w:t>’</w:t>
      </w:r>
      <w:r w:rsidRPr="00FC60C1">
        <w:rPr>
          <w:lang w:val="fr-FR"/>
        </w:rPr>
        <w:t>évaluation menée par le PNUE a montré qu</w:t>
      </w:r>
      <w:r w:rsidR="002A6A82">
        <w:rPr>
          <w:lang w:val="fr-FR"/>
        </w:rPr>
        <w:t>’</w:t>
      </w:r>
      <w:r w:rsidRPr="00FC60C1">
        <w:rPr>
          <w:lang w:val="fr-FR"/>
        </w:rPr>
        <w:t>il pourrait être avantageux de fournir des services à la Conférence des Parties sans remettre en cause les principes et considérations essentiels examinés ci-dessus. Les révisions ultérieures des services requis et des coûts connexes seront effectuées au cours des prochains exercices budgétaires à la lumière de tout changement. La solution consistant à acheter des services selon le principe du recouvrement des coûts est la plus rentable et permet de tirer profit des synergies en termes d</w:t>
      </w:r>
      <w:r w:rsidR="002A6A82">
        <w:rPr>
          <w:lang w:val="fr-FR"/>
        </w:rPr>
        <w:t>’</w:t>
      </w:r>
      <w:r w:rsidRPr="00FC60C1">
        <w:rPr>
          <w:lang w:val="fr-FR"/>
        </w:rPr>
        <w:t>expérience et de la proximité. Le caractère cyclique de l</w:t>
      </w:r>
      <w:r w:rsidR="002A6A82">
        <w:rPr>
          <w:lang w:val="fr-FR"/>
        </w:rPr>
        <w:t>’</w:t>
      </w:r>
      <w:r w:rsidRPr="00FC60C1">
        <w:rPr>
          <w:lang w:val="fr-FR"/>
        </w:rPr>
        <w:t>augmentation des besoins en services externalisés à l</w:t>
      </w:r>
      <w:r w:rsidR="002A6A82">
        <w:rPr>
          <w:lang w:val="fr-FR"/>
        </w:rPr>
        <w:t>’</w:t>
      </w:r>
      <w:r w:rsidRPr="00FC60C1">
        <w:rPr>
          <w:lang w:val="fr-FR"/>
        </w:rPr>
        <w:t xml:space="preserve">appui des réunions de la Conférence des Parties à la Convention de Minamata, qui ont lieu tous les deux ans, ne justifie pas la création de nouvelles structures permanentes ni le transfert de la moitié des effectifs financés par les Parties à la Convention de Minamata </w:t>
      </w:r>
      <w:r w:rsidR="00303467">
        <w:rPr>
          <w:lang w:val="fr-FR"/>
        </w:rPr>
        <w:t>aux conventions</w:t>
      </w:r>
      <w:r w:rsidRPr="00FC60C1">
        <w:rPr>
          <w:lang w:val="fr-FR"/>
        </w:rPr>
        <w:t xml:space="preserve"> de Bâle, de Rotterdam et de Stockholm.</w:t>
      </w:r>
    </w:p>
    <w:p w14:paraId="1597EA41" w14:textId="7391CA21" w:rsidR="00863F6A" w:rsidRPr="00FC60C1" w:rsidRDefault="00FC60C1" w:rsidP="00C37F47">
      <w:pPr>
        <w:pStyle w:val="CH1"/>
        <w:rPr>
          <w:lang w:val="fr-FR"/>
        </w:rPr>
      </w:pPr>
      <w:r w:rsidRPr="00FC60C1">
        <w:rPr>
          <w:bCs/>
          <w:lang w:val="fr-FR"/>
        </w:rPr>
        <w:tab/>
      </w:r>
      <w:bookmarkStart w:id="20" w:name="_Toc24985769"/>
      <w:r w:rsidR="00C37F47">
        <w:rPr>
          <w:bCs/>
          <w:lang w:val="fr-FR"/>
        </w:rPr>
        <w:t>IX.</w:t>
      </w:r>
      <w:r w:rsidR="00C37F47">
        <w:rPr>
          <w:bCs/>
          <w:lang w:val="fr-FR"/>
        </w:rPr>
        <w:tab/>
      </w:r>
      <w:r w:rsidR="004A0684" w:rsidRPr="00FC60C1">
        <w:rPr>
          <w:bCs/>
          <w:lang w:val="fr-FR"/>
        </w:rPr>
        <w:t>Considérations diverses</w:t>
      </w:r>
      <w:bookmarkStart w:id="21" w:name="_Toc21073443"/>
      <w:bookmarkEnd w:id="21"/>
      <w:bookmarkEnd w:id="20"/>
    </w:p>
    <w:p w14:paraId="79288979" w14:textId="76E0CAC5" w:rsidR="00863F6A" w:rsidRPr="00FC60C1" w:rsidRDefault="007E07CB" w:rsidP="00CF135E">
      <w:pPr>
        <w:pStyle w:val="Normalnumber"/>
        <w:ind w:left="1247"/>
        <w:rPr>
          <w:lang w:val="fr-FR"/>
        </w:rPr>
      </w:pPr>
      <w:r w:rsidRPr="00FC60C1">
        <w:rPr>
          <w:lang w:val="fr-FR"/>
        </w:rPr>
        <w:t>L</w:t>
      </w:r>
      <w:r w:rsidR="002A6A82">
        <w:rPr>
          <w:lang w:val="fr-FR"/>
        </w:rPr>
        <w:t>’</w:t>
      </w:r>
      <w:r w:rsidRPr="00FC60C1">
        <w:rPr>
          <w:lang w:val="fr-FR"/>
        </w:rPr>
        <w:t>examen a fait ressortir que les plus synergies les plus importantes pouvant être réalisées dans le cadre du partage des services était dans le domaine de l</w:t>
      </w:r>
      <w:r w:rsidR="002A6A82">
        <w:rPr>
          <w:lang w:val="fr-FR"/>
        </w:rPr>
        <w:t>’</w:t>
      </w:r>
      <w:r w:rsidRPr="00FC60C1">
        <w:rPr>
          <w:lang w:val="fr-FR"/>
        </w:rPr>
        <w:t>organisation des réunions de la Conférence des Parties. Certains types de services ont été exclus de l</w:t>
      </w:r>
      <w:r w:rsidR="002A6A82">
        <w:rPr>
          <w:lang w:val="fr-FR"/>
        </w:rPr>
        <w:t>’</w:t>
      </w:r>
      <w:r w:rsidRPr="00FC60C1">
        <w:rPr>
          <w:lang w:val="fr-FR"/>
        </w:rPr>
        <w:t>évaluation pour diverses raisons. Par exemple, la gestion des connaissances dépend en partie des licences de logiciels actuelles et des coûts qu</w:t>
      </w:r>
      <w:r w:rsidR="002A6A82">
        <w:rPr>
          <w:lang w:val="fr-FR"/>
        </w:rPr>
        <w:t>’</w:t>
      </w:r>
      <w:r w:rsidRPr="00FC60C1">
        <w:rPr>
          <w:lang w:val="fr-FR"/>
        </w:rPr>
        <w:t>elles emportent, ainsi que du respect des cadres régissant les services informatiques de l</w:t>
      </w:r>
      <w:r w:rsidR="002A6A82">
        <w:rPr>
          <w:lang w:val="fr-FR"/>
        </w:rPr>
        <w:t>’</w:t>
      </w:r>
      <w:r w:rsidR="00540F8B">
        <w:rPr>
          <w:lang w:val="fr-FR"/>
        </w:rPr>
        <w:t>ONU, qui </w:t>
      </w:r>
      <w:r w:rsidRPr="00FC60C1">
        <w:rPr>
          <w:lang w:val="fr-FR"/>
        </w:rPr>
        <w:t>sont déterminés par le Directeur général de l</w:t>
      </w:r>
      <w:r w:rsidR="002A6A82">
        <w:rPr>
          <w:lang w:val="fr-FR"/>
        </w:rPr>
        <w:t>’</w:t>
      </w:r>
      <w:r w:rsidRPr="00FC60C1">
        <w:rPr>
          <w:lang w:val="fr-FR"/>
        </w:rPr>
        <w:t xml:space="preserve">informatique et des communications et non par le Secrétariat </w:t>
      </w:r>
      <w:r w:rsidR="0022698D">
        <w:rPr>
          <w:lang w:val="fr-FR"/>
        </w:rPr>
        <w:t>des conventions</w:t>
      </w:r>
      <w:r w:rsidRPr="00FC60C1">
        <w:rPr>
          <w:lang w:val="fr-FR"/>
        </w:rPr>
        <w:t xml:space="preserve"> de Bâle, de Rotterdam et de Stockholm. Dans le cas des services juridiques, la Division des services internes</w:t>
      </w:r>
      <w:r w:rsidR="00D97DA9">
        <w:rPr>
          <w:lang w:val="fr-FR"/>
        </w:rPr>
        <w:t xml:space="preserve"> du PNUE</w:t>
      </w:r>
      <w:r w:rsidRPr="00FC60C1">
        <w:rPr>
          <w:lang w:val="fr-FR"/>
        </w:rPr>
        <w:t xml:space="preserve"> fournit des conseils juridiques en matière d</w:t>
      </w:r>
      <w:r w:rsidR="002A6A82">
        <w:rPr>
          <w:lang w:val="fr-FR"/>
        </w:rPr>
        <w:t>’</w:t>
      </w:r>
      <w:r w:rsidRPr="00FC60C1">
        <w:rPr>
          <w:lang w:val="fr-FR"/>
        </w:rPr>
        <w:t>administration et la Division juridique</w:t>
      </w:r>
      <w:r w:rsidR="00D97DA9">
        <w:rPr>
          <w:lang w:val="fr-FR"/>
        </w:rPr>
        <w:t xml:space="preserve"> du PNUE</w:t>
      </w:r>
      <w:r w:rsidRPr="00FC60C1">
        <w:rPr>
          <w:lang w:val="fr-FR"/>
        </w:rPr>
        <w:t xml:space="preserve"> possède l</w:t>
      </w:r>
      <w:r w:rsidR="002A6A82">
        <w:rPr>
          <w:lang w:val="fr-FR"/>
        </w:rPr>
        <w:t>’</w:t>
      </w:r>
      <w:r w:rsidRPr="00FC60C1">
        <w:rPr>
          <w:lang w:val="fr-FR"/>
        </w:rPr>
        <w:t>expertise et les connaissances voulues concernant les accords juridiques internationaux, notamment un conseiller juridique spécialisé qui exerce les fonctions requises lors des réunions intergouvernementales. Chaque secrétariat dispose donc de juristes, qui sont chargés de répondre aux besoins propres à chaque convention et à chaque mandat.</w:t>
      </w:r>
    </w:p>
    <w:p w14:paraId="57AC4358" w14:textId="7CCD34E6" w:rsidR="00863F6A" w:rsidRPr="00FC60C1" w:rsidRDefault="00863F6A" w:rsidP="00CF135E">
      <w:pPr>
        <w:pStyle w:val="Normalnumber"/>
        <w:ind w:left="1247"/>
        <w:rPr>
          <w:lang w:val="fr-FR"/>
        </w:rPr>
      </w:pPr>
      <w:r w:rsidRPr="00FC60C1">
        <w:rPr>
          <w:lang w:val="fr-FR"/>
        </w:rPr>
        <w:t>Le PNUE recommande d</w:t>
      </w:r>
      <w:r w:rsidR="002A6A82">
        <w:rPr>
          <w:lang w:val="fr-FR"/>
        </w:rPr>
        <w:t>’</w:t>
      </w:r>
      <w:r w:rsidRPr="00FC60C1">
        <w:rPr>
          <w:lang w:val="fr-FR"/>
        </w:rPr>
        <w:t>étudier d</w:t>
      </w:r>
      <w:r w:rsidR="002A6A82">
        <w:rPr>
          <w:lang w:val="fr-FR"/>
        </w:rPr>
        <w:t>’</w:t>
      </w:r>
      <w:r w:rsidRPr="00FC60C1">
        <w:rPr>
          <w:lang w:val="fr-FR"/>
        </w:rPr>
        <w:t>autres modes de coopération qui ne nécessitent pas de réorganisation structurelle et qui permettront donc de préserver l</w:t>
      </w:r>
      <w:r w:rsidR="002A6A82">
        <w:rPr>
          <w:lang w:val="fr-FR"/>
        </w:rPr>
        <w:t>’</w:t>
      </w:r>
      <w:r w:rsidRPr="00FC60C1">
        <w:rPr>
          <w:lang w:val="fr-FR"/>
        </w:rPr>
        <w:t>autonomie des différents secrétariats, réduisant ainsi au minimum les incidences budgétaires supplémentaires. La création de groupes de travail ou d</w:t>
      </w:r>
      <w:r w:rsidR="002A6A82">
        <w:rPr>
          <w:lang w:val="fr-FR"/>
        </w:rPr>
        <w:t>’</w:t>
      </w:r>
      <w:r w:rsidRPr="00FC60C1">
        <w:rPr>
          <w:lang w:val="fr-FR"/>
        </w:rPr>
        <w:t>équipes spéciales intersecrétariats chargés d</w:t>
      </w:r>
      <w:r w:rsidR="002A6A82">
        <w:rPr>
          <w:lang w:val="fr-FR"/>
        </w:rPr>
        <w:t>’</w:t>
      </w:r>
      <w:r w:rsidRPr="00FC60C1">
        <w:rPr>
          <w:lang w:val="fr-FR"/>
        </w:rPr>
        <w:t>examiner des aspects donnés des services fonctionnels ou administratifs profiterait aux deux secrétariats. Par exemple, les équipes juridiques des deux secrétariats pourraient collaborer par l</w:t>
      </w:r>
      <w:r w:rsidR="002A6A82">
        <w:rPr>
          <w:lang w:val="fr-FR"/>
        </w:rPr>
        <w:t>’</w:t>
      </w:r>
      <w:r w:rsidRPr="00FC60C1">
        <w:rPr>
          <w:lang w:val="fr-FR"/>
        </w:rPr>
        <w:t>intermédiaire d</w:t>
      </w:r>
      <w:r w:rsidR="002A6A82">
        <w:rPr>
          <w:lang w:val="fr-FR"/>
        </w:rPr>
        <w:t>’</w:t>
      </w:r>
      <w:r w:rsidRPr="00FC60C1">
        <w:rPr>
          <w:lang w:val="fr-FR"/>
        </w:rPr>
        <w:t>une équipe spéciale conjointe, ce qui faciliterait le partage des compétences sans qu</w:t>
      </w:r>
      <w:r w:rsidR="002A6A82">
        <w:rPr>
          <w:lang w:val="fr-FR"/>
        </w:rPr>
        <w:t>’</w:t>
      </w:r>
      <w:r w:rsidRPr="00FC60C1">
        <w:rPr>
          <w:lang w:val="fr-FR"/>
        </w:rPr>
        <w:t>il soit nécessaire de modifier radicalement les arrangements administratifs.</w:t>
      </w:r>
    </w:p>
    <w:p w14:paraId="52750DF2" w14:textId="5A8FE5AD" w:rsidR="00863F6A" w:rsidRPr="00FC60C1" w:rsidRDefault="00FC60C1" w:rsidP="00C37F47">
      <w:pPr>
        <w:pStyle w:val="CH1"/>
        <w:rPr>
          <w:lang w:val="fr-FR"/>
        </w:rPr>
      </w:pPr>
      <w:r w:rsidRPr="00FC60C1">
        <w:rPr>
          <w:bCs/>
          <w:lang w:val="fr-FR"/>
        </w:rPr>
        <w:tab/>
      </w:r>
      <w:bookmarkStart w:id="22" w:name="_Toc24985770"/>
      <w:r w:rsidR="00C37F47">
        <w:rPr>
          <w:bCs/>
          <w:lang w:val="fr-FR"/>
        </w:rPr>
        <w:t>X.</w:t>
      </w:r>
      <w:r w:rsidR="00C37F47">
        <w:rPr>
          <w:bCs/>
          <w:lang w:val="fr-FR"/>
        </w:rPr>
        <w:tab/>
      </w:r>
      <w:r w:rsidR="004A0684" w:rsidRPr="00FC60C1">
        <w:rPr>
          <w:bCs/>
          <w:lang w:val="fr-FR"/>
        </w:rPr>
        <w:t>Conclusion</w:t>
      </w:r>
      <w:bookmarkStart w:id="23" w:name="_Toc21073444"/>
      <w:bookmarkEnd w:id="23"/>
      <w:bookmarkEnd w:id="22"/>
    </w:p>
    <w:p w14:paraId="251F75A3" w14:textId="6C079781" w:rsidR="00863F6A" w:rsidRPr="00FC60C1" w:rsidRDefault="00863DF0" w:rsidP="00CF135E">
      <w:pPr>
        <w:pStyle w:val="Normalnumber"/>
        <w:ind w:left="1247"/>
        <w:rPr>
          <w:lang w:val="fr-FR"/>
        </w:rPr>
      </w:pPr>
      <w:r w:rsidRPr="00FC60C1">
        <w:rPr>
          <w:lang w:val="fr-FR"/>
        </w:rPr>
        <w:t xml:space="preserve">Sur la base de cet examen, il a été conclu que la solution consistant pour le secrétariat de la Convention de Minamata à acheter des services au Secrétariat </w:t>
      </w:r>
      <w:r w:rsidR="0022698D">
        <w:rPr>
          <w:lang w:val="fr-FR"/>
        </w:rPr>
        <w:t>des conventions</w:t>
      </w:r>
      <w:r w:rsidRPr="00FC60C1">
        <w:rPr>
          <w:lang w:val="fr-FR"/>
        </w:rPr>
        <w:t xml:space="preserve"> de Bâle, de Rotterdam et de Stockholm selon le principe du recouvrement des coûts est la plus rentable, comme indiqué dans le tableau ci-dessous, et permet de tirer parti des synergies en termes d</w:t>
      </w:r>
      <w:r w:rsidR="002A6A82">
        <w:rPr>
          <w:lang w:val="fr-FR"/>
        </w:rPr>
        <w:t>’</w:t>
      </w:r>
      <w:r w:rsidRPr="00FC60C1">
        <w:rPr>
          <w:lang w:val="fr-FR"/>
        </w:rPr>
        <w:t>expérience et de la proximité. Le modèle de recouvrement des coûts ne nécessite pas de réorganisation structurelle et préserve ainsi l</w:t>
      </w:r>
      <w:r w:rsidR="002A6A82">
        <w:rPr>
          <w:lang w:val="fr-FR"/>
        </w:rPr>
        <w:t>’</w:t>
      </w:r>
      <w:r w:rsidRPr="00FC60C1">
        <w:rPr>
          <w:lang w:val="fr-FR"/>
        </w:rPr>
        <w:t>autonomie des deux secrétariats. Le caractère cyclique des services nécessaires à l</w:t>
      </w:r>
      <w:r w:rsidR="002A6A82">
        <w:rPr>
          <w:lang w:val="fr-FR"/>
        </w:rPr>
        <w:t>’</w:t>
      </w:r>
      <w:r w:rsidRPr="00FC60C1">
        <w:rPr>
          <w:lang w:val="fr-FR"/>
        </w:rPr>
        <w:t xml:space="preserve">appui des réunions de la Conférence des Parties, qui ont lieu tous les deux ans, ne justifie pas la création de nouvelles structures permanentes ni le transfert de la moitié des effectifs financés par les Parties à la Convention de Minamata et </w:t>
      </w:r>
      <w:r w:rsidR="00303467">
        <w:rPr>
          <w:lang w:val="fr-FR"/>
        </w:rPr>
        <w:t>aux conventions</w:t>
      </w:r>
      <w:r w:rsidRPr="00FC60C1">
        <w:rPr>
          <w:lang w:val="fr-FR"/>
        </w:rPr>
        <w:t xml:space="preserve"> de Bâle, de Rotterdam et de Stockholm.</w:t>
      </w:r>
    </w:p>
    <w:p w14:paraId="2632810F" w14:textId="1518853E" w:rsidR="00863F6A" w:rsidRPr="00FC60C1" w:rsidRDefault="006328BE" w:rsidP="00C133A2">
      <w:pPr>
        <w:pStyle w:val="CH1"/>
        <w:tabs>
          <w:tab w:val="clear" w:pos="851"/>
          <w:tab w:val="clear" w:pos="1247"/>
          <w:tab w:val="left" w:pos="1276"/>
        </w:tabs>
        <w:ind w:left="1276" w:hanging="567"/>
        <w:rPr>
          <w:lang w:val="fr-FR"/>
        </w:rPr>
      </w:pPr>
      <w:bookmarkStart w:id="24" w:name="_Toc24985771"/>
      <w:r>
        <w:rPr>
          <w:lang w:val="fr-FR"/>
        </w:rPr>
        <w:t>XI.</w:t>
      </w:r>
      <w:r>
        <w:rPr>
          <w:lang w:val="fr-FR"/>
        </w:rPr>
        <w:tab/>
      </w:r>
      <w:r w:rsidR="00CA4C07" w:rsidRPr="00FC60C1">
        <w:rPr>
          <w:lang w:val="fr-FR"/>
        </w:rPr>
        <w:t>Résumé des surcoûts indicatifs</w:t>
      </w:r>
      <w:bookmarkStart w:id="25" w:name="_Toc21073445"/>
      <w:bookmarkEnd w:id="25"/>
      <w:bookmarkEnd w:id="24"/>
    </w:p>
    <w:p w14:paraId="2FFDEB49" w14:textId="2D8A01A1" w:rsidR="00863F6A" w:rsidRPr="00FC60C1" w:rsidRDefault="00863F6A" w:rsidP="00CF135E">
      <w:pPr>
        <w:pStyle w:val="Normalnumber"/>
        <w:ind w:left="1247"/>
        <w:rPr>
          <w:lang w:val="fr-FR"/>
        </w:rPr>
      </w:pPr>
      <w:r w:rsidRPr="00FC60C1">
        <w:rPr>
          <w:lang w:val="fr-FR"/>
        </w:rPr>
        <w:t>Le tableau ci-dessous présente un résumé des surcoûts indicatifs pour chaque modèle examiné dans le cadre de l</w:t>
      </w:r>
      <w:r w:rsidR="002A6A82">
        <w:rPr>
          <w:lang w:val="fr-FR"/>
        </w:rPr>
        <w:t>’</w:t>
      </w:r>
      <w:r w:rsidRPr="00FC60C1">
        <w:rPr>
          <w:lang w:val="fr-FR"/>
        </w:rPr>
        <w:t>évaluation. On trouvera à l</w:t>
      </w:r>
      <w:r w:rsidR="002A6A82">
        <w:rPr>
          <w:lang w:val="fr-FR"/>
        </w:rPr>
        <w:t>’</w:t>
      </w:r>
      <w:r w:rsidR="00540F8B">
        <w:rPr>
          <w:lang w:val="fr-FR"/>
        </w:rPr>
        <w:t>annexe </w:t>
      </w:r>
      <w:r w:rsidRPr="00FC60C1">
        <w:rPr>
          <w:lang w:val="fr-FR"/>
        </w:rPr>
        <w:t>II de plus amples détails sur la ventilation du coût des réunions de la Conférence des Parties selon les trois modèles.</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97"/>
        <w:gridCol w:w="1052"/>
        <w:gridCol w:w="1053"/>
        <w:gridCol w:w="1052"/>
        <w:gridCol w:w="1053"/>
      </w:tblGrid>
      <w:tr w:rsidR="00863F6A" w:rsidRPr="00540F8B" w14:paraId="5141FAE4" w14:textId="77777777" w:rsidTr="00174DCA">
        <w:trPr>
          <w:trHeight w:val="57"/>
          <w:jc w:val="right"/>
        </w:trPr>
        <w:tc>
          <w:tcPr>
            <w:tcW w:w="4097" w:type="dxa"/>
            <w:tcBorders>
              <w:top w:val="single" w:sz="4" w:space="0" w:color="auto"/>
              <w:bottom w:val="single" w:sz="12" w:space="0" w:color="auto"/>
            </w:tcBorders>
          </w:tcPr>
          <w:p w14:paraId="71B7A133" w14:textId="77777777" w:rsidR="00863F6A" w:rsidRPr="00540F8B" w:rsidRDefault="00863F6A" w:rsidP="00174DCA">
            <w:pPr>
              <w:pStyle w:val="Normal-pool"/>
              <w:tabs>
                <w:tab w:val="clear" w:pos="1247"/>
                <w:tab w:val="clear" w:pos="1814"/>
                <w:tab w:val="clear" w:pos="2381"/>
                <w:tab w:val="clear" w:pos="2948"/>
                <w:tab w:val="clear" w:pos="3515"/>
                <w:tab w:val="clear" w:pos="4082"/>
              </w:tabs>
              <w:spacing w:before="40" w:after="40"/>
              <w:rPr>
                <w:i/>
                <w:sz w:val="18"/>
                <w:szCs w:val="18"/>
                <w:lang w:val="fr-FR"/>
              </w:rPr>
            </w:pPr>
          </w:p>
        </w:tc>
        <w:tc>
          <w:tcPr>
            <w:tcW w:w="1052" w:type="dxa"/>
            <w:tcBorders>
              <w:top w:val="single" w:sz="4" w:space="0" w:color="auto"/>
              <w:bottom w:val="single" w:sz="12" w:space="0" w:color="auto"/>
            </w:tcBorders>
          </w:tcPr>
          <w:p w14:paraId="2CB00E1A" w14:textId="16383C8D" w:rsidR="00863F6A" w:rsidRPr="00540F8B" w:rsidRDefault="001639C5" w:rsidP="00174DCA">
            <w:pPr>
              <w:pStyle w:val="Normal-pool"/>
              <w:tabs>
                <w:tab w:val="clear" w:pos="1247"/>
                <w:tab w:val="clear" w:pos="1814"/>
                <w:tab w:val="clear" w:pos="2381"/>
                <w:tab w:val="clear" w:pos="2948"/>
                <w:tab w:val="clear" w:pos="3515"/>
                <w:tab w:val="clear" w:pos="4082"/>
              </w:tabs>
              <w:spacing w:before="40" w:after="40"/>
              <w:jc w:val="right"/>
              <w:rPr>
                <w:bCs/>
                <w:i/>
                <w:sz w:val="18"/>
                <w:szCs w:val="18"/>
                <w:lang w:val="fr-FR"/>
              </w:rPr>
            </w:pPr>
            <w:r w:rsidRPr="00540F8B">
              <w:rPr>
                <w:i/>
                <w:iCs/>
                <w:sz w:val="18"/>
                <w:szCs w:val="18"/>
                <w:lang w:val="fr-FR"/>
              </w:rPr>
              <w:t>Réunion de la CdP</w:t>
            </w:r>
            <w:r w:rsidRPr="00540F8B">
              <w:rPr>
                <w:sz w:val="18"/>
                <w:szCs w:val="18"/>
                <w:lang w:val="fr-FR"/>
              </w:rPr>
              <w:t xml:space="preserve"> </w:t>
            </w:r>
          </w:p>
        </w:tc>
        <w:tc>
          <w:tcPr>
            <w:tcW w:w="1053" w:type="dxa"/>
            <w:tcBorders>
              <w:top w:val="single" w:sz="4" w:space="0" w:color="auto"/>
              <w:bottom w:val="single" w:sz="12" w:space="0" w:color="auto"/>
            </w:tcBorders>
          </w:tcPr>
          <w:p w14:paraId="7919B690" w14:textId="0677B1A3" w:rsidR="00863F6A" w:rsidRPr="00540F8B" w:rsidRDefault="00863F6A" w:rsidP="00174DCA">
            <w:pPr>
              <w:pStyle w:val="Normal-pool"/>
              <w:tabs>
                <w:tab w:val="clear" w:pos="1247"/>
                <w:tab w:val="clear" w:pos="1814"/>
                <w:tab w:val="clear" w:pos="2381"/>
                <w:tab w:val="clear" w:pos="2948"/>
                <w:tab w:val="clear" w:pos="3515"/>
                <w:tab w:val="clear" w:pos="4082"/>
              </w:tabs>
              <w:spacing w:before="40" w:after="40"/>
              <w:jc w:val="right"/>
              <w:rPr>
                <w:bCs/>
                <w:i/>
                <w:sz w:val="18"/>
                <w:szCs w:val="18"/>
                <w:lang w:val="fr-FR"/>
              </w:rPr>
            </w:pPr>
            <w:r w:rsidRPr="00540F8B">
              <w:rPr>
                <w:i/>
                <w:iCs/>
                <w:sz w:val="18"/>
                <w:szCs w:val="18"/>
                <w:lang w:val="fr-FR"/>
              </w:rPr>
              <w:t>Economies indicatives</w:t>
            </w:r>
          </w:p>
        </w:tc>
        <w:tc>
          <w:tcPr>
            <w:tcW w:w="1052" w:type="dxa"/>
            <w:tcBorders>
              <w:top w:val="single" w:sz="4" w:space="0" w:color="auto"/>
              <w:bottom w:val="single" w:sz="12" w:space="0" w:color="auto"/>
            </w:tcBorders>
          </w:tcPr>
          <w:p w14:paraId="6A7D9836" w14:textId="77777777" w:rsidR="00863F6A" w:rsidRPr="00540F8B" w:rsidRDefault="00863F6A" w:rsidP="00174DCA">
            <w:pPr>
              <w:pStyle w:val="Normal-pool"/>
              <w:tabs>
                <w:tab w:val="clear" w:pos="1247"/>
                <w:tab w:val="clear" w:pos="1814"/>
                <w:tab w:val="clear" w:pos="2381"/>
                <w:tab w:val="clear" w:pos="2948"/>
                <w:tab w:val="clear" w:pos="3515"/>
                <w:tab w:val="clear" w:pos="4082"/>
              </w:tabs>
              <w:spacing w:before="40" w:after="40"/>
              <w:jc w:val="right"/>
              <w:rPr>
                <w:bCs/>
                <w:i/>
                <w:sz w:val="18"/>
                <w:szCs w:val="18"/>
                <w:lang w:val="fr-FR"/>
              </w:rPr>
            </w:pPr>
            <w:r w:rsidRPr="00540F8B">
              <w:rPr>
                <w:i/>
                <w:iCs/>
                <w:sz w:val="18"/>
                <w:szCs w:val="18"/>
                <w:lang w:val="fr-FR"/>
              </w:rPr>
              <w:t>Dépenses de personnel</w:t>
            </w:r>
          </w:p>
        </w:tc>
        <w:tc>
          <w:tcPr>
            <w:tcW w:w="1053" w:type="dxa"/>
            <w:tcBorders>
              <w:top w:val="single" w:sz="4" w:space="0" w:color="auto"/>
              <w:bottom w:val="single" w:sz="12" w:space="0" w:color="auto"/>
            </w:tcBorders>
          </w:tcPr>
          <w:p w14:paraId="6F455104" w14:textId="77777777" w:rsidR="00863F6A" w:rsidRPr="00540F8B" w:rsidRDefault="00863F6A" w:rsidP="00174DCA">
            <w:pPr>
              <w:pStyle w:val="Normal-pool"/>
              <w:tabs>
                <w:tab w:val="clear" w:pos="1247"/>
                <w:tab w:val="clear" w:pos="1814"/>
                <w:tab w:val="clear" w:pos="2381"/>
                <w:tab w:val="clear" w:pos="2948"/>
                <w:tab w:val="clear" w:pos="3515"/>
                <w:tab w:val="clear" w:pos="4082"/>
              </w:tabs>
              <w:spacing w:before="40" w:after="40"/>
              <w:jc w:val="right"/>
              <w:rPr>
                <w:bCs/>
                <w:i/>
                <w:sz w:val="18"/>
                <w:szCs w:val="18"/>
                <w:lang w:val="fr-FR"/>
              </w:rPr>
            </w:pPr>
            <w:r w:rsidRPr="00540F8B">
              <w:rPr>
                <w:i/>
                <w:iCs/>
                <w:sz w:val="18"/>
                <w:szCs w:val="18"/>
                <w:lang w:val="fr-FR"/>
              </w:rPr>
              <w:t>Total</w:t>
            </w:r>
          </w:p>
        </w:tc>
      </w:tr>
      <w:tr w:rsidR="00863F6A" w:rsidRPr="00540F8B" w14:paraId="1FE7E683" w14:textId="77777777" w:rsidTr="00174DCA">
        <w:trPr>
          <w:trHeight w:val="57"/>
          <w:jc w:val="right"/>
        </w:trPr>
        <w:tc>
          <w:tcPr>
            <w:tcW w:w="4097" w:type="dxa"/>
            <w:tcBorders>
              <w:top w:val="single" w:sz="12" w:space="0" w:color="auto"/>
              <w:bottom w:val="dotted" w:sz="4" w:space="0" w:color="auto"/>
            </w:tcBorders>
          </w:tcPr>
          <w:p w14:paraId="6B42E128" w14:textId="77777777" w:rsidR="00863F6A" w:rsidRPr="00540F8B" w:rsidRDefault="00863F6A" w:rsidP="00174DCA">
            <w:pPr>
              <w:pStyle w:val="Normal-pool"/>
              <w:tabs>
                <w:tab w:val="clear" w:pos="1247"/>
                <w:tab w:val="clear" w:pos="1814"/>
                <w:tab w:val="clear" w:pos="2381"/>
                <w:tab w:val="clear" w:pos="2948"/>
                <w:tab w:val="clear" w:pos="3515"/>
                <w:tab w:val="clear" w:pos="4082"/>
              </w:tabs>
              <w:spacing w:before="40" w:after="40"/>
              <w:rPr>
                <w:sz w:val="18"/>
                <w:szCs w:val="18"/>
                <w:lang w:val="fr-FR"/>
              </w:rPr>
            </w:pPr>
            <w:r w:rsidRPr="00540F8B">
              <w:rPr>
                <w:sz w:val="18"/>
                <w:szCs w:val="18"/>
                <w:lang w:val="fr-FR"/>
              </w:rPr>
              <w:t>Regroupement</w:t>
            </w:r>
          </w:p>
        </w:tc>
        <w:tc>
          <w:tcPr>
            <w:tcW w:w="1052" w:type="dxa"/>
            <w:tcBorders>
              <w:top w:val="single" w:sz="12" w:space="0" w:color="auto"/>
              <w:bottom w:val="dotted" w:sz="4" w:space="0" w:color="auto"/>
            </w:tcBorders>
          </w:tcPr>
          <w:p w14:paraId="7FC49DAF" w14:textId="47927D33" w:rsidR="00863F6A" w:rsidRPr="00540F8B" w:rsidRDefault="00540F8B"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Pr>
                <w:sz w:val="18"/>
                <w:szCs w:val="18"/>
                <w:lang w:val="fr-FR"/>
              </w:rPr>
              <w:t>228 </w:t>
            </w:r>
            <w:r w:rsidR="00863F6A" w:rsidRPr="00540F8B">
              <w:rPr>
                <w:sz w:val="18"/>
                <w:szCs w:val="18"/>
                <w:lang w:val="fr-FR"/>
              </w:rPr>
              <w:t>000</w:t>
            </w:r>
          </w:p>
        </w:tc>
        <w:tc>
          <w:tcPr>
            <w:tcW w:w="1053" w:type="dxa"/>
            <w:tcBorders>
              <w:top w:val="single" w:sz="12" w:space="0" w:color="auto"/>
              <w:bottom w:val="dotted" w:sz="4" w:space="0" w:color="auto"/>
            </w:tcBorders>
          </w:tcPr>
          <w:p w14:paraId="34E240FB" w14:textId="6A946FD8" w:rsidR="00863F6A" w:rsidRPr="00540F8B" w:rsidRDefault="000A7F53"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sidRPr="00540F8B">
              <w:rPr>
                <w:sz w:val="18"/>
                <w:szCs w:val="18"/>
                <w:lang w:val="fr-FR"/>
              </w:rPr>
              <w:t>–</w:t>
            </w:r>
          </w:p>
        </w:tc>
        <w:tc>
          <w:tcPr>
            <w:tcW w:w="1052" w:type="dxa"/>
            <w:tcBorders>
              <w:top w:val="single" w:sz="12" w:space="0" w:color="auto"/>
              <w:bottom w:val="dotted" w:sz="4" w:space="0" w:color="auto"/>
            </w:tcBorders>
          </w:tcPr>
          <w:p w14:paraId="66E3A124" w14:textId="0D507B28" w:rsidR="00863F6A" w:rsidRPr="00540F8B" w:rsidRDefault="00540F8B"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Pr>
                <w:sz w:val="18"/>
                <w:szCs w:val="18"/>
                <w:lang w:val="fr-FR"/>
              </w:rPr>
              <w:t>507 </w:t>
            </w:r>
            <w:r w:rsidR="00863F6A" w:rsidRPr="00540F8B">
              <w:rPr>
                <w:sz w:val="18"/>
                <w:szCs w:val="18"/>
                <w:lang w:val="fr-FR"/>
              </w:rPr>
              <w:t>000</w:t>
            </w:r>
          </w:p>
        </w:tc>
        <w:tc>
          <w:tcPr>
            <w:tcW w:w="1053" w:type="dxa"/>
            <w:tcBorders>
              <w:top w:val="single" w:sz="12" w:space="0" w:color="auto"/>
              <w:bottom w:val="dotted" w:sz="4" w:space="0" w:color="auto"/>
            </w:tcBorders>
          </w:tcPr>
          <w:p w14:paraId="45A9D89D" w14:textId="663BD2A7" w:rsidR="00863F6A" w:rsidRPr="00540F8B" w:rsidRDefault="00540F8B"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Pr>
                <w:sz w:val="18"/>
                <w:szCs w:val="18"/>
                <w:lang w:val="fr-FR"/>
              </w:rPr>
              <w:t>735 </w:t>
            </w:r>
            <w:r w:rsidR="00863F6A" w:rsidRPr="00540F8B">
              <w:rPr>
                <w:sz w:val="18"/>
                <w:szCs w:val="18"/>
                <w:lang w:val="fr-FR"/>
              </w:rPr>
              <w:t>000</w:t>
            </w:r>
          </w:p>
        </w:tc>
      </w:tr>
      <w:tr w:rsidR="00863F6A" w:rsidRPr="00540F8B" w14:paraId="56CDD23B" w14:textId="77777777" w:rsidTr="00174DCA">
        <w:trPr>
          <w:trHeight w:val="57"/>
          <w:jc w:val="right"/>
        </w:trPr>
        <w:tc>
          <w:tcPr>
            <w:tcW w:w="4097" w:type="dxa"/>
            <w:tcBorders>
              <w:top w:val="dotted" w:sz="4" w:space="0" w:color="auto"/>
              <w:bottom w:val="dotted" w:sz="4" w:space="0" w:color="auto"/>
            </w:tcBorders>
          </w:tcPr>
          <w:p w14:paraId="1E830383" w14:textId="3F5FE6A9" w:rsidR="00863F6A" w:rsidRPr="00540F8B" w:rsidRDefault="00863F6A" w:rsidP="00174DCA">
            <w:pPr>
              <w:pStyle w:val="Normal-pool"/>
              <w:tabs>
                <w:tab w:val="clear" w:pos="1247"/>
                <w:tab w:val="clear" w:pos="1814"/>
                <w:tab w:val="clear" w:pos="2381"/>
                <w:tab w:val="clear" w:pos="2948"/>
                <w:tab w:val="clear" w:pos="3515"/>
                <w:tab w:val="clear" w:pos="4082"/>
              </w:tabs>
              <w:spacing w:before="40" w:after="40"/>
              <w:rPr>
                <w:sz w:val="18"/>
                <w:szCs w:val="18"/>
                <w:lang w:val="fr-FR"/>
              </w:rPr>
            </w:pPr>
            <w:r w:rsidRPr="00540F8B">
              <w:rPr>
                <w:sz w:val="18"/>
                <w:szCs w:val="18"/>
                <w:lang w:val="fr-FR"/>
              </w:rPr>
              <w:t>Redéploiement de personnel du secrétariat CM aux secrétariats BRS</w:t>
            </w:r>
            <w:r w:rsidR="00450D9E" w:rsidRPr="00540F8B">
              <w:rPr>
                <w:sz w:val="18"/>
                <w:szCs w:val="18"/>
                <w:lang w:val="fr-FR"/>
              </w:rPr>
              <w:t> :</w:t>
            </w:r>
          </w:p>
        </w:tc>
        <w:tc>
          <w:tcPr>
            <w:tcW w:w="1052" w:type="dxa"/>
            <w:tcBorders>
              <w:top w:val="dotted" w:sz="4" w:space="0" w:color="auto"/>
              <w:bottom w:val="dotted" w:sz="4" w:space="0" w:color="auto"/>
            </w:tcBorders>
          </w:tcPr>
          <w:p w14:paraId="232A7CDA" w14:textId="294AC0C0" w:rsidR="00863F6A" w:rsidRPr="00540F8B" w:rsidRDefault="00540F8B"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Pr>
                <w:sz w:val="18"/>
                <w:szCs w:val="18"/>
                <w:lang w:val="fr-FR"/>
              </w:rPr>
              <w:t>270 </w:t>
            </w:r>
            <w:r w:rsidR="00863F6A" w:rsidRPr="00540F8B">
              <w:rPr>
                <w:sz w:val="18"/>
                <w:szCs w:val="18"/>
                <w:lang w:val="fr-FR"/>
              </w:rPr>
              <w:t>000</w:t>
            </w:r>
          </w:p>
        </w:tc>
        <w:tc>
          <w:tcPr>
            <w:tcW w:w="1053" w:type="dxa"/>
            <w:tcBorders>
              <w:top w:val="dotted" w:sz="4" w:space="0" w:color="auto"/>
              <w:bottom w:val="dotted" w:sz="4" w:space="0" w:color="auto"/>
            </w:tcBorders>
          </w:tcPr>
          <w:p w14:paraId="30047CE1" w14:textId="421211B6" w:rsidR="00863F6A" w:rsidRPr="00540F8B" w:rsidRDefault="00540F8B"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Pr>
                <w:sz w:val="18"/>
                <w:szCs w:val="18"/>
                <w:lang w:val="fr-FR"/>
              </w:rPr>
              <w:t>(354 </w:t>
            </w:r>
            <w:r w:rsidR="00863F6A" w:rsidRPr="00540F8B">
              <w:rPr>
                <w:sz w:val="18"/>
                <w:szCs w:val="18"/>
                <w:lang w:val="fr-FR"/>
              </w:rPr>
              <w:t>000)</w:t>
            </w:r>
          </w:p>
        </w:tc>
        <w:tc>
          <w:tcPr>
            <w:tcW w:w="1052" w:type="dxa"/>
            <w:tcBorders>
              <w:top w:val="dotted" w:sz="4" w:space="0" w:color="auto"/>
              <w:bottom w:val="dotted" w:sz="4" w:space="0" w:color="auto"/>
            </w:tcBorders>
          </w:tcPr>
          <w:p w14:paraId="37379ABB" w14:textId="419F889D" w:rsidR="00863F6A" w:rsidRPr="00540F8B" w:rsidRDefault="00540F8B"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Pr>
                <w:sz w:val="18"/>
                <w:szCs w:val="18"/>
                <w:lang w:val="fr-FR"/>
              </w:rPr>
              <w:t>629 </w:t>
            </w:r>
            <w:r w:rsidR="00863F6A" w:rsidRPr="00540F8B">
              <w:rPr>
                <w:sz w:val="18"/>
                <w:szCs w:val="18"/>
                <w:lang w:val="fr-FR"/>
              </w:rPr>
              <w:t>000</w:t>
            </w:r>
          </w:p>
        </w:tc>
        <w:tc>
          <w:tcPr>
            <w:tcW w:w="1053" w:type="dxa"/>
            <w:tcBorders>
              <w:top w:val="dotted" w:sz="4" w:space="0" w:color="auto"/>
              <w:bottom w:val="dotted" w:sz="4" w:space="0" w:color="auto"/>
            </w:tcBorders>
          </w:tcPr>
          <w:p w14:paraId="6B37CD59" w14:textId="0C2C8924" w:rsidR="00863F6A" w:rsidRPr="00540F8B" w:rsidRDefault="00540F8B"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Pr>
                <w:sz w:val="18"/>
                <w:szCs w:val="18"/>
                <w:lang w:val="fr-FR"/>
              </w:rPr>
              <w:t>545 </w:t>
            </w:r>
            <w:r w:rsidR="00863F6A" w:rsidRPr="00540F8B">
              <w:rPr>
                <w:sz w:val="18"/>
                <w:szCs w:val="18"/>
                <w:lang w:val="fr-FR"/>
              </w:rPr>
              <w:t>000</w:t>
            </w:r>
          </w:p>
        </w:tc>
      </w:tr>
      <w:tr w:rsidR="00863F6A" w:rsidRPr="00540F8B" w14:paraId="62504EFB" w14:textId="77777777" w:rsidTr="00174DCA">
        <w:trPr>
          <w:trHeight w:val="57"/>
          <w:jc w:val="right"/>
        </w:trPr>
        <w:tc>
          <w:tcPr>
            <w:tcW w:w="4097" w:type="dxa"/>
            <w:tcBorders>
              <w:top w:val="dotted" w:sz="4" w:space="0" w:color="auto"/>
              <w:bottom w:val="single" w:sz="12" w:space="0" w:color="auto"/>
            </w:tcBorders>
          </w:tcPr>
          <w:p w14:paraId="310707DD" w14:textId="4F54AB09" w:rsidR="00863F6A" w:rsidRPr="00540F8B" w:rsidRDefault="00CE554D" w:rsidP="00174DCA">
            <w:pPr>
              <w:pStyle w:val="Normal-pool"/>
              <w:tabs>
                <w:tab w:val="clear" w:pos="1247"/>
                <w:tab w:val="clear" w:pos="1814"/>
                <w:tab w:val="clear" w:pos="2381"/>
                <w:tab w:val="clear" w:pos="2948"/>
                <w:tab w:val="clear" w:pos="3515"/>
                <w:tab w:val="clear" w:pos="4082"/>
              </w:tabs>
              <w:spacing w:before="40" w:after="40"/>
              <w:rPr>
                <w:sz w:val="18"/>
                <w:szCs w:val="18"/>
                <w:lang w:val="fr-FR"/>
              </w:rPr>
            </w:pPr>
            <w:r w:rsidRPr="00540F8B">
              <w:rPr>
                <w:sz w:val="18"/>
                <w:szCs w:val="18"/>
                <w:lang w:val="fr-FR"/>
              </w:rPr>
              <w:t>Recouvrement des coûts</w:t>
            </w:r>
          </w:p>
        </w:tc>
        <w:tc>
          <w:tcPr>
            <w:tcW w:w="1052" w:type="dxa"/>
            <w:tcBorders>
              <w:top w:val="dotted" w:sz="4" w:space="0" w:color="auto"/>
              <w:bottom w:val="single" w:sz="12" w:space="0" w:color="auto"/>
            </w:tcBorders>
          </w:tcPr>
          <w:p w14:paraId="75C5685F" w14:textId="46014CD4" w:rsidR="00863F6A" w:rsidRPr="00540F8B" w:rsidRDefault="00540F8B"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Pr>
                <w:sz w:val="18"/>
                <w:szCs w:val="18"/>
                <w:lang w:val="fr-FR"/>
              </w:rPr>
              <w:t>270 </w:t>
            </w:r>
            <w:r w:rsidR="00863F6A" w:rsidRPr="00540F8B">
              <w:rPr>
                <w:sz w:val="18"/>
                <w:szCs w:val="18"/>
                <w:lang w:val="fr-FR"/>
              </w:rPr>
              <w:t>000</w:t>
            </w:r>
          </w:p>
        </w:tc>
        <w:tc>
          <w:tcPr>
            <w:tcW w:w="1053" w:type="dxa"/>
            <w:tcBorders>
              <w:top w:val="dotted" w:sz="4" w:space="0" w:color="auto"/>
              <w:bottom w:val="single" w:sz="12" w:space="0" w:color="auto"/>
            </w:tcBorders>
          </w:tcPr>
          <w:p w14:paraId="31420278" w14:textId="0C76AE76" w:rsidR="00863F6A" w:rsidRPr="00540F8B" w:rsidRDefault="000A7F53"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sidRPr="00540F8B">
              <w:rPr>
                <w:sz w:val="18"/>
                <w:szCs w:val="18"/>
                <w:lang w:val="fr-FR"/>
              </w:rPr>
              <w:t>–</w:t>
            </w:r>
          </w:p>
        </w:tc>
        <w:tc>
          <w:tcPr>
            <w:tcW w:w="1052" w:type="dxa"/>
            <w:tcBorders>
              <w:top w:val="dotted" w:sz="4" w:space="0" w:color="auto"/>
              <w:bottom w:val="single" w:sz="12" w:space="0" w:color="auto"/>
            </w:tcBorders>
          </w:tcPr>
          <w:p w14:paraId="4C65761B" w14:textId="2297903A" w:rsidR="00863F6A" w:rsidRPr="00540F8B" w:rsidRDefault="000A7F53"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sidRPr="00540F8B">
              <w:rPr>
                <w:sz w:val="18"/>
                <w:szCs w:val="18"/>
                <w:lang w:val="fr-FR"/>
              </w:rPr>
              <w:t>–</w:t>
            </w:r>
          </w:p>
        </w:tc>
        <w:tc>
          <w:tcPr>
            <w:tcW w:w="1053" w:type="dxa"/>
            <w:tcBorders>
              <w:top w:val="dotted" w:sz="4" w:space="0" w:color="auto"/>
              <w:bottom w:val="single" w:sz="12" w:space="0" w:color="auto"/>
            </w:tcBorders>
          </w:tcPr>
          <w:p w14:paraId="6B70D2B5" w14:textId="53DA0552" w:rsidR="00863F6A" w:rsidRPr="00540F8B" w:rsidRDefault="00540F8B" w:rsidP="00174DCA">
            <w:pPr>
              <w:pStyle w:val="Normal-pool"/>
              <w:tabs>
                <w:tab w:val="clear" w:pos="1247"/>
                <w:tab w:val="clear" w:pos="1814"/>
                <w:tab w:val="clear" w:pos="2381"/>
                <w:tab w:val="clear" w:pos="2948"/>
                <w:tab w:val="clear" w:pos="3515"/>
                <w:tab w:val="clear" w:pos="4082"/>
              </w:tabs>
              <w:spacing w:before="40" w:after="40"/>
              <w:jc w:val="right"/>
              <w:rPr>
                <w:sz w:val="18"/>
                <w:szCs w:val="18"/>
                <w:lang w:val="fr-FR"/>
              </w:rPr>
            </w:pPr>
            <w:r>
              <w:rPr>
                <w:sz w:val="18"/>
                <w:szCs w:val="18"/>
                <w:lang w:val="fr-FR"/>
              </w:rPr>
              <w:t>270 </w:t>
            </w:r>
            <w:r w:rsidR="00863F6A" w:rsidRPr="00540F8B">
              <w:rPr>
                <w:sz w:val="18"/>
                <w:szCs w:val="18"/>
                <w:lang w:val="fr-FR"/>
              </w:rPr>
              <w:t>000</w:t>
            </w:r>
          </w:p>
        </w:tc>
      </w:tr>
    </w:tbl>
    <w:p w14:paraId="2BD7E3F5" w14:textId="05DC527F" w:rsidR="00863F6A" w:rsidRPr="00540F8B" w:rsidRDefault="001639C5" w:rsidP="00174DCA">
      <w:pPr>
        <w:pStyle w:val="NormalNonumber"/>
        <w:spacing w:before="40"/>
        <w:rPr>
          <w:sz w:val="18"/>
          <w:szCs w:val="18"/>
          <w:lang w:val="fr-FR"/>
        </w:rPr>
      </w:pPr>
      <w:r w:rsidRPr="00540F8B">
        <w:rPr>
          <w:i/>
          <w:iCs/>
          <w:sz w:val="18"/>
          <w:szCs w:val="18"/>
          <w:lang w:val="fr-FR"/>
        </w:rPr>
        <w:t>Abréviations</w:t>
      </w:r>
      <w:r w:rsidR="00450D9E" w:rsidRPr="00540F8B">
        <w:rPr>
          <w:i/>
          <w:iCs/>
          <w:sz w:val="18"/>
          <w:szCs w:val="18"/>
          <w:lang w:val="fr-FR"/>
        </w:rPr>
        <w:t> </w:t>
      </w:r>
      <w:r w:rsidR="00450D9E" w:rsidRPr="00540F8B">
        <w:rPr>
          <w:iCs/>
          <w:sz w:val="18"/>
          <w:szCs w:val="18"/>
          <w:lang w:val="fr-FR"/>
        </w:rPr>
        <w:t>:</w:t>
      </w:r>
      <w:r w:rsidRPr="00540F8B">
        <w:rPr>
          <w:sz w:val="18"/>
          <w:szCs w:val="18"/>
          <w:lang w:val="fr-FR"/>
        </w:rPr>
        <w:t xml:space="preserve"> CdP - Conférence des Parties</w:t>
      </w:r>
      <w:r w:rsidR="00D97DA9" w:rsidRPr="00540F8B">
        <w:rPr>
          <w:sz w:val="18"/>
          <w:szCs w:val="18"/>
          <w:lang w:val="fr-FR"/>
        </w:rPr>
        <w:t> ;</w:t>
      </w:r>
      <w:r w:rsidR="00540F8B">
        <w:rPr>
          <w:sz w:val="18"/>
          <w:szCs w:val="18"/>
          <w:lang w:val="fr-FR"/>
        </w:rPr>
        <w:t xml:space="preserve"> BRS - </w:t>
      </w:r>
      <w:r w:rsidR="003D0B58">
        <w:rPr>
          <w:sz w:val="18"/>
          <w:szCs w:val="18"/>
          <w:lang w:val="fr-FR"/>
        </w:rPr>
        <w:t>C</w:t>
      </w:r>
      <w:r w:rsidRPr="00540F8B">
        <w:rPr>
          <w:sz w:val="18"/>
          <w:szCs w:val="18"/>
          <w:lang w:val="fr-FR"/>
        </w:rPr>
        <w:t>onventions de Bâle, de Rotterdam et de Stockholm</w:t>
      </w:r>
      <w:r w:rsidR="00D97DA9" w:rsidRPr="00540F8B">
        <w:rPr>
          <w:sz w:val="18"/>
          <w:szCs w:val="18"/>
          <w:lang w:val="fr-FR"/>
        </w:rPr>
        <w:t> ;</w:t>
      </w:r>
      <w:r w:rsidRPr="00540F8B">
        <w:rPr>
          <w:sz w:val="18"/>
          <w:szCs w:val="18"/>
          <w:lang w:val="fr-FR"/>
        </w:rPr>
        <w:t xml:space="preserve"> CM - Convention de Minamata. </w:t>
      </w:r>
    </w:p>
    <w:p w14:paraId="6E607FF2" w14:textId="64DD0356" w:rsidR="00CA4C07" w:rsidRPr="00FC60C1" w:rsidRDefault="00D11F27" w:rsidP="00CA4C07">
      <w:pPr>
        <w:pStyle w:val="Normal-pool"/>
        <w:rPr>
          <w:lang w:val="fr-FR"/>
        </w:rPr>
        <w:sectPr w:rsidR="00CA4C07" w:rsidRPr="00FC60C1" w:rsidSect="002A6A82">
          <w:headerReference w:type="even" r:id="rId14"/>
          <w:headerReference w:type="default" r:id="rId15"/>
          <w:footerReference w:type="even" r:id="rId16"/>
          <w:footerReference w:type="default" r:id="rId17"/>
          <w:headerReference w:type="first" r:id="rId18"/>
          <w:footerReference w:type="first" r:id="rId19"/>
          <w:footnotePr>
            <w:numRestart w:val="eachSect"/>
          </w:footnotePr>
          <w:pgSz w:w="11907" w:h="16840" w:code="9"/>
          <w:pgMar w:top="907" w:right="992" w:bottom="1418" w:left="1418" w:header="539" w:footer="975" w:gutter="0"/>
          <w:cols w:space="539"/>
          <w:titlePg/>
          <w:docGrid w:linePitch="360"/>
        </w:sectPr>
      </w:pPr>
      <w:r w:rsidRPr="00FC60C1">
        <w:rPr>
          <w:lang w:val="fr-FR"/>
        </w:rPr>
        <w:tab/>
      </w:r>
    </w:p>
    <w:p w14:paraId="2A5F64C5" w14:textId="4973365F" w:rsidR="001639C5" w:rsidRPr="00FC60C1" w:rsidRDefault="00B32310" w:rsidP="004C173E">
      <w:pPr>
        <w:pStyle w:val="ZZAnxheader"/>
        <w:rPr>
          <w:lang w:val="fr-FR"/>
        </w:rPr>
      </w:pPr>
      <w:bookmarkStart w:id="26" w:name="_Toc24985772"/>
      <w:r>
        <w:rPr>
          <w:lang w:val="fr-FR"/>
        </w:rPr>
        <w:lastRenderedPageBreak/>
        <w:t>Annexe </w:t>
      </w:r>
      <w:r w:rsidR="00863F6A" w:rsidRPr="00FC60C1">
        <w:rPr>
          <w:lang w:val="fr-FR"/>
        </w:rPr>
        <w:t>I</w:t>
      </w:r>
      <w:bookmarkEnd w:id="26"/>
    </w:p>
    <w:p w14:paraId="64C16058" w14:textId="628A8D95" w:rsidR="006D6321" w:rsidRPr="003D0B58" w:rsidRDefault="00A317D9" w:rsidP="00A317D9">
      <w:pPr>
        <w:pStyle w:val="ZZAnxtitle"/>
        <w:ind w:hanging="538"/>
        <w:rPr>
          <w:sz w:val="24"/>
          <w:szCs w:val="24"/>
          <w:lang w:val="fr-FR"/>
        </w:rPr>
      </w:pPr>
      <w:r w:rsidRPr="003D0B58">
        <w:rPr>
          <w:sz w:val="24"/>
          <w:szCs w:val="24"/>
          <w:lang w:val="fr-FR"/>
        </w:rPr>
        <w:t>A.</w:t>
      </w:r>
      <w:r w:rsidR="00450D9E" w:rsidRPr="003D0B58">
        <w:rPr>
          <w:sz w:val="24"/>
          <w:szCs w:val="24"/>
          <w:lang w:val="fr-FR"/>
        </w:rPr>
        <w:tab/>
      </w:r>
      <w:r w:rsidR="004C173E" w:rsidRPr="003D0B58">
        <w:rPr>
          <w:sz w:val="24"/>
          <w:szCs w:val="24"/>
          <w:lang w:val="fr-FR"/>
        </w:rPr>
        <w:t xml:space="preserve">Proposition concernant le partage de services au moyen du transfert de fonctionnaires du secrétariat de la Convention de Minamata au Secrétariat </w:t>
      </w:r>
      <w:r w:rsidR="0022698D" w:rsidRPr="003D0B58">
        <w:rPr>
          <w:sz w:val="24"/>
          <w:szCs w:val="24"/>
          <w:lang w:val="fr-FR"/>
        </w:rPr>
        <w:t>des conventions</w:t>
      </w:r>
      <w:r w:rsidR="004C173E" w:rsidRPr="003D0B58">
        <w:rPr>
          <w:sz w:val="24"/>
          <w:szCs w:val="24"/>
          <w:lang w:val="fr-FR"/>
        </w:rPr>
        <w:t xml:space="preserve"> de Bâle, de Rotterdam et de Stockholm</w:t>
      </w:r>
      <w:bookmarkStart w:id="27" w:name="_Toc21073446"/>
      <w:bookmarkEnd w:id="27"/>
    </w:p>
    <w:p w14:paraId="4D621699" w14:textId="705F7CD0" w:rsidR="00863F6A" w:rsidRPr="00FC60C1" w:rsidRDefault="00863F6A" w:rsidP="00CF135E">
      <w:pPr>
        <w:pStyle w:val="Normalnumber"/>
        <w:numPr>
          <w:ilvl w:val="0"/>
          <w:numId w:val="6"/>
        </w:numPr>
        <w:ind w:left="1247"/>
        <w:rPr>
          <w:lang w:val="fr-FR"/>
        </w:rPr>
      </w:pPr>
      <w:r w:rsidRPr="00FC60C1">
        <w:rPr>
          <w:lang w:val="fr-FR"/>
        </w:rPr>
        <w:t>Les points énumérés ci-après sont les domaines dans lesquels les services pourraient faire l</w:t>
      </w:r>
      <w:r w:rsidR="002A6A82">
        <w:rPr>
          <w:lang w:val="fr-FR"/>
        </w:rPr>
        <w:t>’</w:t>
      </w:r>
      <w:r w:rsidRPr="00FC60C1">
        <w:rPr>
          <w:lang w:val="fr-FR"/>
        </w:rPr>
        <w:t>objet d</w:t>
      </w:r>
      <w:r w:rsidR="002A6A82">
        <w:rPr>
          <w:lang w:val="fr-FR"/>
        </w:rPr>
        <w:t>’</w:t>
      </w:r>
      <w:r w:rsidRPr="00FC60C1">
        <w:rPr>
          <w:lang w:val="fr-FR"/>
        </w:rPr>
        <w:t>un dispositif de partage tout</w:t>
      </w:r>
      <w:r w:rsidR="00B32310">
        <w:rPr>
          <w:lang w:val="fr-FR"/>
        </w:rPr>
        <w:t xml:space="preserve"> au long de la période biennale </w:t>
      </w:r>
      <w:r w:rsidRPr="00FC60C1">
        <w:rPr>
          <w:lang w:val="fr-FR"/>
        </w:rPr>
        <w:t>2020</w:t>
      </w:r>
      <w:r w:rsidR="001A6CF8">
        <w:rPr>
          <w:bCs/>
          <w:lang w:val="fr-FR"/>
        </w:rPr>
        <w:t>–</w:t>
      </w:r>
      <w:r w:rsidRPr="00FC60C1">
        <w:rPr>
          <w:lang w:val="fr-FR"/>
        </w:rPr>
        <w:t>2021. Si les effectifs de la Convention de Minamata étaient affectés aux services partagés, ils feraient partie d</w:t>
      </w:r>
      <w:r w:rsidR="002A6A82">
        <w:rPr>
          <w:lang w:val="fr-FR"/>
        </w:rPr>
        <w:t>’</w:t>
      </w:r>
      <w:r w:rsidRPr="00FC60C1">
        <w:rPr>
          <w:lang w:val="fr-FR"/>
        </w:rPr>
        <w:t>une équipe beaucoup plus large qui assurerait des services au secrétariat de la Convention de Minamata ainsi qu</w:t>
      </w:r>
      <w:r w:rsidR="002A6A82">
        <w:rPr>
          <w:lang w:val="fr-FR"/>
        </w:rPr>
        <w:t>’</w:t>
      </w:r>
      <w:r w:rsidRPr="00FC60C1">
        <w:rPr>
          <w:lang w:val="fr-FR"/>
        </w:rPr>
        <w:t xml:space="preserve">au Secrétariat </w:t>
      </w:r>
      <w:r w:rsidR="0022698D">
        <w:rPr>
          <w:lang w:val="fr-FR"/>
        </w:rPr>
        <w:t>des conventions</w:t>
      </w:r>
      <w:r w:rsidRPr="00FC60C1">
        <w:rPr>
          <w:lang w:val="fr-FR"/>
        </w:rPr>
        <w:t xml:space="preserve"> de Bâle, de Rotterdam et de Stockholm. Les besoins estimatifs en personnel et leur coût sont indiqués ci-après. Les dépenses autres que les dépenses de personnel sont incluses dans le projet de budget de la Secrétaire exécutive de la Convention de Minamata pour l</w:t>
      </w:r>
      <w:r w:rsidR="002A6A82">
        <w:rPr>
          <w:lang w:val="fr-FR"/>
        </w:rPr>
        <w:t>’</w:t>
      </w:r>
      <w:r w:rsidR="00B32310">
        <w:rPr>
          <w:lang w:val="fr-FR"/>
        </w:rPr>
        <w:t>exercice biennal </w:t>
      </w:r>
      <w:r w:rsidRPr="00FC60C1">
        <w:rPr>
          <w:lang w:val="fr-FR"/>
        </w:rPr>
        <w:t>2020</w:t>
      </w:r>
      <w:r w:rsidR="001A6CF8">
        <w:rPr>
          <w:bCs/>
          <w:lang w:val="fr-FR"/>
        </w:rPr>
        <w:t>–</w:t>
      </w:r>
      <w:r w:rsidRPr="00FC60C1">
        <w:rPr>
          <w:lang w:val="fr-FR"/>
        </w:rPr>
        <w:t>2021.</w:t>
      </w:r>
    </w:p>
    <w:p w14:paraId="4709CFD6" w14:textId="50034BA3" w:rsidR="00863F6A" w:rsidRPr="00FC60C1" w:rsidRDefault="00863F6A" w:rsidP="00CF135E">
      <w:pPr>
        <w:pStyle w:val="Normalnumber"/>
        <w:numPr>
          <w:ilvl w:val="0"/>
          <w:numId w:val="6"/>
        </w:numPr>
        <w:ind w:left="1247"/>
        <w:rPr>
          <w:lang w:val="fr-FR"/>
        </w:rPr>
      </w:pPr>
      <w:r w:rsidRPr="00FC60C1">
        <w:rPr>
          <w:b/>
          <w:bCs/>
          <w:lang w:val="fr-FR"/>
        </w:rPr>
        <w:t>Services de conférence et de réunion</w:t>
      </w:r>
      <w:r w:rsidR="00450D9E" w:rsidRPr="00FC60C1">
        <w:rPr>
          <w:lang w:val="fr-FR"/>
        </w:rPr>
        <w:t> :</w:t>
      </w:r>
      <w:r w:rsidRPr="00FC60C1">
        <w:rPr>
          <w:lang w:val="fr-FR"/>
        </w:rPr>
        <w:t xml:space="preserve"> ces services englobent de nombreuses activités pour divers types de réunions, à savoir les réunions des conférences des Partie</w:t>
      </w:r>
      <w:r w:rsidR="00084761">
        <w:rPr>
          <w:lang w:val="fr-FR"/>
        </w:rPr>
        <w:t>s, les réunions régionales, les </w:t>
      </w:r>
      <w:r w:rsidRPr="00FC60C1">
        <w:rPr>
          <w:lang w:val="fr-FR"/>
        </w:rPr>
        <w:t>réunions du Bureau et, parfois, les réunions des</w:t>
      </w:r>
      <w:r w:rsidR="00450D9E" w:rsidRPr="00FC60C1">
        <w:rPr>
          <w:lang w:val="fr-FR"/>
        </w:rPr>
        <w:t xml:space="preserve"> groupes techniques, comme suit :</w:t>
      </w:r>
      <w:bookmarkStart w:id="28" w:name="_Hlk526164591"/>
      <w:bookmarkEnd w:id="28"/>
    </w:p>
    <w:p w14:paraId="5E771FEE" w14:textId="7F901E8F" w:rsidR="00863F6A" w:rsidRPr="00FC60C1" w:rsidRDefault="00863F6A" w:rsidP="00A317D9">
      <w:pPr>
        <w:pStyle w:val="Normalnumber"/>
        <w:numPr>
          <w:ilvl w:val="1"/>
          <w:numId w:val="4"/>
        </w:numPr>
        <w:tabs>
          <w:tab w:val="clear" w:pos="1758"/>
        </w:tabs>
        <w:ind w:left="1276"/>
        <w:rPr>
          <w:lang w:val="fr-FR"/>
        </w:rPr>
      </w:pPr>
      <w:r w:rsidRPr="00FC60C1">
        <w:rPr>
          <w:lang w:val="fr-FR"/>
        </w:rPr>
        <w:t xml:space="preserve">La </w:t>
      </w:r>
      <w:r w:rsidRPr="00FC60C1">
        <w:rPr>
          <w:i/>
          <w:lang w:val="fr-FR"/>
        </w:rPr>
        <w:t>gestion logistique</w:t>
      </w:r>
      <w:r w:rsidRPr="00FC60C1">
        <w:rPr>
          <w:lang w:val="fr-FR"/>
        </w:rPr>
        <w:t xml:space="preserve"> comprend un large éventail de services</w:t>
      </w:r>
      <w:r w:rsidR="00450D9E" w:rsidRPr="00FC60C1">
        <w:rPr>
          <w:lang w:val="fr-FR"/>
        </w:rPr>
        <w:t> :</w:t>
      </w:r>
      <w:r w:rsidRPr="00FC60C1">
        <w:rPr>
          <w:lang w:val="fr-FR"/>
        </w:rPr>
        <w:t xml:space="preserve"> l</w:t>
      </w:r>
      <w:r w:rsidR="002A6A82">
        <w:rPr>
          <w:lang w:val="fr-FR"/>
        </w:rPr>
        <w:t>’</w:t>
      </w:r>
      <w:r w:rsidRPr="00FC60C1">
        <w:rPr>
          <w:lang w:val="fr-FR"/>
        </w:rPr>
        <w:t>identification et l</w:t>
      </w:r>
      <w:r w:rsidR="002A6A82">
        <w:rPr>
          <w:lang w:val="fr-FR"/>
        </w:rPr>
        <w:t>’</w:t>
      </w:r>
      <w:r w:rsidRPr="00FC60C1">
        <w:rPr>
          <w:lang w:val="fr-FR"/>
        </w:rPr>
        <w:t>attribution du lieu de réunion</w:t>
      </w:r>
      <w:r w:rsidR="00450D9E" w:rsidRPr="00FC60C1">
        <w:rPr>
          <w:lang w:val="fr-FR"/>
        </w:rPr>
        <w:t> ;</w:t>
      </w:r>
      <w:r w:rsidRPr="00FC60C1">
        <w:rPr>
          <w:lang w:val="fr-FR"/>
        </w:rPr>
        <w:t xml:space="preserve"> la détermination du nombre de salles de réunion et de l</w:t>
      </w:r>
      <w:r w:rsidR="002A6A82">
        <w:rPr>
          <w:lang w:val="fr-FR"/>
        </w:rPr>
        <w:t>’</w:t>
      </w:r>
      <w:r w:rsidRPr="00FC60C1">
        <w:rPr>
          <w:lang w:val="fr-FR"/>
        </w:rPr>
        <w:t>équipement nécessaire</w:t>
      </w:r>
      <w:r w:rsidR="00450D9E" w:rsidRPr="00FC60C1">
        <w:rPr>
          <w:lang w:val="fr-FR"/>
        </w:rPr>
        <w:t> ;</w:t>
      </w:r>
      <w:r w:rsidRPr="00FC60C1">
        <w:rPr>
          <w:lang w:val="fr-FR"/>
        </w:rPr>
        <w:t xml:space="preserve"> l</w:t>
      </w:r>
      <w:r w:rsidR="002A6A82">
        <w:rPr>
          <w:lang w:val="fr-FR"/>
        </w:rPr>
        <w:t>’</w:t>
      </w:r>
      <w:r w:rsidRPr="00FC60C1">
        <w:rPr>
          <w:lang w:val="fr-FR"/>
        </w:rPr>
        <w:t>adoption de dispositions en matière de restauration et de sécurité</w:t>
      </w:r>
      <w:r w:rsidR="00450D9E" w:rsidRPr="00FC60C1">
        <w:rPr>
          <w:lang w:val="fr-FR"/>
        </w:rPr>
        <w:t> ;</w:t>
      </w:r>
      <w:r w:rsidRPr="00FC60C1">
        <w:rPr>
          <w:lang w:val="fr-FR"/>
        </w:rPr>
        <w:t xml:space="preserve"> la préparation de notes d</w:t>
      </w:r>
      <w:r w:rsidR="002A6A82">
        <w:rPr>
          <w:lang w:val="fr-FR"/>
        </w:rPr>
        <w:t>’</w:t>
      </w:r>
      <w:r w:rsidRPr="00FC60C1">
        <w:rPr>
          <w:lang w:val="fr-FR"/>
        </w:rPr>
        <w:t>information et de logistique</w:t>
      </w:r>
      <w:r w:rsidR="00450D9E" w:rsidRPr="00FC60C1">
        <w:rPr>
          <w:lang w:val="fr-FR"/>
        </w:rPr>
        <w:t> ;</w:t>
      </w:r>
      <w:r w:rsidRPr="00FC60C1">
        <w:rPr>
          <w:lang w:val="fr-FR"/>
        </w:rPr>
        <w:t xml:space="preserve"> la prestation d</w:t>
      </w:r>
      <w:r w:rsidR="002A6A82">
        <w:rPr>
          <w:lang w:val="fr-FR"/>
        </w:rPr>
        <w:t>’</w:t>
      </w:r>
      <w:r w:rsidRPr="00FC60C1">
        <w:rPr>
          <w:lang w:val="fr-FR"/>
        </w:rPr>
        <w:t>un soutien logistique pendant la réunion, notamment l</w:t>
      </w:r>
      <w:r w:rsidR="002A6A82">
        <w:rPr>
          <w:lang w:val="fr-FR"/>
        </w:rPr>
        <w:t>’</w:t>
      </w:r>
      <w:r w:rsidRPr="00FC60C1">
        <w:rPr>
          <w:lang w:val="fr-FR"/>
        </w:rPr>
        <w:t>installation de l</w:t>
      </w:r>
      <w:r w:rsidR="002A6A82">
        <w:rPr>
          <w:lang w:val="fr-FR"/>
        </w:rPr>
        <w:t>’</w:t>
      </w:r>
      <w:r w:rsidRPr="00FC60C1">
        <w:rPr>
          <w:lang w:val="fr-FR"/>
        </w:rPr>
        <w:t>équipement et de plaques signalétiques dans les salles de réunion et l</w:t>
      </w:r>
      <w:r w:rsidR="002A6A82">
        <w:rPr>
          <w:lang w:val="fr-FR"/>
        </w:rPr>
        <w:t>’</w:t>
      </w:r>
      <w:r w:rsidRPr="00FC60C1">
        <w:rPr>
          <w:lang w:val="fr-FR"/>
        </w:rPr>
        <w:t>agencement des salles de réunion selon les besoins</w:t>
      </w:r>
      <w:r w:rsidR="00450D9E" w:rsidRPr="00FC60C1">
        <w:rPr>
          <w:lang w:val="fr-FR"/>
        </w:rPr>
        <w:t> ;</w:t>
      </w:r>
      <w:r w:rsidRPr="00FC60C1">
        <w:rPr>
          <w:lang w:val="fr-FR"/>
        </w:rPr>
        <w:t xml:space="preserve"> l</w:t>
      </w:r>
      <w:r w:rsidR="002A6A82">
        <w:rPr>
          <w:lang w:val="fr-FR"/>
        </w:rPr>
        <w:t>’</w:t>
      </w:r>
      <w:r w:rsidRPr="00FC60C1">
        <w:rPr>
          <w:lang w:val="fr-FR"/>
        </w:rPr>
        <w:t>élaboration de spécifications techniques pour l</w:t>
      </w:r>
      <w:r w:rsidR="002A6A82">
        <w:rPr>
          <w:lang w:val="fr-FR"/>
        </w:rPr>
        <w:t>’</w:t>
      </w:r>
      <w:r w:rsidRPr="00FC60C1">
        <w:rPr>
          <w:lang w:val="fr-FR"/>
        </w:rPr>
        <w:t>achat de biens et de services, y compris la préparation de mandats et l</w:t>
      </w:r>
      <w:r w:rsidR="002A6A82">
        <w:rPr>
          <w:lang w:val="fr-FR"/>
        </w:rPr>
        <w:t>’</w:t>
      </w:r>
      <w:r w:rsidRPr="00FC60C1">
        <w:rPr>
          <w:lang w:val="fr-FR"/>
        </w:rPr>
        <w:t>examen des prescriptions techniques</w:t>
      </w:r>
      <w:r w:rsidR="00450D9E" w:rsidRPr="00FC60C1">
        <w:rPr>
          <w:lang w:val="fr-FR"/>
        </w:rPr>
        <w:t> ;</w:t>
      </w:r>
      <w:r w:rsidRPr="00FC60C1">
        <w:rPr>
          <w:lang w:val="fr-FR"/>
        </w:rPr>
        <w:t xml:space="preserve"> la gestion des fournisseurs et le suivi de l</w:t>
      </w:r>
      <w:r w:rsidR="00450D9E" w:rsidRPr="00FC60C1">
        <w:rPr>
          <w:lang w:val="fr-FR"/>
        </w:rPr>
        <w:t>a qualité des services fournis.</w:t>
      </w:r>
    </w:p>
    <w:p w14:paraId="1B10C97A" w14:textId="586E9456" w:rsidR="00863F6A" w:rsidRPr="00FC60C1" w:rsidRDefault="00863F6A" w:rsidP="00955A96">
      <w:pPr>
        <w:pStyle w:val="Normalnumber"/>
        <w:numPr>
          <w:ilvl w:val="1"/>
          <w:numId w:val="4"/>
        </w:numPr>
        <w:tabs>
          <w:tab w:val="clear" w:pos="1758"/>
        </w:tabs>
        <w:ind w:left="1247" w:firstLine="624"/>
        <w:rPr>
          <w:lang w:val="fr-FR"/>
        </w:rPr>
      </w:pPr>
      <w:r w:rsidRPr="00FC60C1">
        <w:rPr>
          <w:lang w:val="fr-FR"/>
        </w:rPr>
        <w:t xml:space="preserve">La </w:t>
      </w:r>
      <w:r w:rsidRPr="00FC60C1">
        <w:rPr>
          <w:i/>
          <w:lang w:val="fr-FR"/>
        </w:rPr>
        <w:t>gestion de la participation</w:t>
      </w:r>
      <w:r w:rsidRPr="00FC60C1">
        <w:rPr>
          <w:lang w:val="fr-FR"/>
        </w:rPr>
        <w:t xml:space="preserve"> comprend les services suivants</w:t>
      </w:r>
      <w:r w:rsidR="00450D9E" w:rsidRPr="00FC60C1">
        <w:rPr>
          <w:lang w:val="fr-FR"/>
        </w:rPr>
        <w:t> :</w:t>
      </w:r>
      <w:r w:rsidRPr="00FC60C1">
        <w:rPr>
          <w:lang w:val="fr-FR"/>
        </w:rPr>
        <w:t xml:space="preserve"> l</w:t>
      </w:r>
      <w:r w:rsidR="002A6A82">
        <w:rPr>
          <w:lang w:val="fr-FR"/>
        </w:rPr>
        <w:t>’</w:t>
      </w:r>
      <w:r w:rsidRPr="00FC60C1">
        <w:rPr>
          <w:lang w:val="fr-FR"/>
        </w:rPr>
        <w:t>envoi de lettres d</w:t>
      </w:r>
      <w:r w:rsidR="002A6A82">
        <w:rPr>
          <w:lang w:val="fr-FR"/>
        </w:rPr>
        <w:t>’</w:t>
      </w:r>
      <w:r w:rsidRPr="00FC60C1">
        <w:rPr>
          <w:lang w:val="fr-FR"/>
        </w:rPr>
        <w:t>invitation</w:t>
      </w:r>
      <w:r w:rsidR="00450D9E" w:rsidRPr="00FC60C1">
        <w:rPr>
          <w:lang w:val="fr-FR"/>
        </w:rPr>
        <w:t> ;</w:t>
      </w:r>
      <w:r w:rsidRPr="00FC60C1">
        <w:rPr>
          <w:lang w:val="fr-FR"/>
        </w:rPr>
        <w:t xml:space="preserve"> la création d</w:t>
      </w:r>
      <w:r w:rsidR="002A6A82">
        <w:rPr>
          <w:lang w:val="fr-FR"/>
        </w:rPr>
        <w:t>’</w:t>
      </w:r>
      <w:r w:rsidRPr="00FC60C1">
        <w:rPr>
          <w:lang w:val="fr-FR"/>
        </w:rPr>
        <w:t>une plateforme en ligne pour l</w:t>
      </w:r>
      <w:r w:rsidR="002A6A82">
        <w:rPr>
          <w:lang w:val="fr-FR"/>
        </w:rPr>
        <w:t>’</w:t>
      </w:r>
      <w:r w:rsidRPr="00FC60C1">
        <w:rPr>
          <w:lang w:val="fr-FR"/>
        </w:rPr>
        <w:t>inscription des participants</w:t>
      </w:r>
      <w:r w:rsidR="00450D9E" w:rsidRPr="00FC60C1">
        <w:rPr>
          <w:lang w:val="fr-FR"/>
        </w:rPr>
        <w:t> ;</w:t>
      </w:r>
      <w:r w:rsidRPr="00FC60C1">
        <w:rPr>
          <w:lang w:val="fr-FR"/>
        </w:rPr>
        <w:t xml:space="preserve"> la réception des lettres de nomination et l</w:t>
      </w:r>
      <w:r w:rsidR="002A6A82">
        <w:rPr>
          <w:lang w:val="fr-FR"/>
        </w:rPr>
        <w:t>’</w:t>
      </w:r>
      <w:r w:rsidRPr="00FC60C1">
        <w:rPr>
          <w:lang w:val="fr-FR"/>
        </w:rPr>
        <w:t>établissement de listes pour les différentes</w:t>
      </w:r>
      <w:r w:rsidR="00450D9E" w:rsidRPr="00FC60C1">
        <w:rPr>
          <w:lang w:val="fr-FR"/>
        </w:rPr>
        <w:t xml:space="preserve"> catégories de participants (p. </w:t>
      </w:r>
      <w:r w:rsidRPr="00FC60C1">
        <w:rPr>
          <w:lang w:val="fr-FR"/>
        </w:rPr>
        <w:t>ex., financés, non financés, observateurs)</w:t>
      </w:r>
      <w:r w:rsidR="00450D9E" w:rsidRPr="00FC60C1">
        <w:rPr>
          <w:lang w:val="fr-FR"/>
        </w:rPr>
        <w:t> ;</w:t>
      </w:r>
      <w:r w:rsidRPr="00FC60C1">
        <w:rPr>
          <w:lang w:val="fr-FR"/>
        </w:rPr>
        <w:t xml:space="preserve"> l</w:t>
      </w:r>
      <w:r w:rsidR="002A6A82">
        <w:rPr>
          <w:lang w:val="fr-FR"/>
        </w:rPr>
        <w:t>’</w:t>
      </w:r>
      <w:r w:rsidRPr="00FC60C1">
        <w:rPr>
          <w:lang w:val="fr-FR"/>
        </w:rPr>
        <w:t>approbation des participants et l</w:t>
      </w:r>
      <w:r w:rsidR="002A6A82">
        <w:rPr>
          <w:lang w:val="fr-FR"/>
        </w:rPr>
        <w:t>’</w:t>
      </w:r>
      <w:r w:rsidRPr="00FC60C1">
        <w:rPr>
          <w:lang w:val="fr-FR"/>
        </w:rPr>
        <w:t>envoi de lettres de confirmation et de lettres d</w:t>
      </w:r>
      <w:r w:rsidR="002A6A82">
        <w:rPr>
          <w:lang w:val="fr-FR"/>
        </w:rPr>
        <w:t>’</w:t>
      </w:r>
      <w:r w:rsidRPr="00FC60C1">
        <w:rPr>
          <w:lang w:val="fr-FR"/>
        </w:rPr>
        <w:t>appui à l</w:t>
      </w:r>
      <w:r w:rsidR="002A6A82">
        <w:rPr>
          <w:lang w:val="fr-FR"/>
        </w:rPr>
        <w:t>’</w:t>
      </w:r>
      <w:r w:rsidRPr="00FC60C1">
        <w:rPr>
          <w:lang w:val="fr-FR"/>
        </w:rPr>
        <w:t>obtention du visa, s</w:t>
      </w:r>
      <w:r w:rsidR="002A6A82">
        <w:rPr>
          <w:lang w:val="fr-FR"/>
        </w:rPr>
        <w:t>’</w:t>
      </w:r>
      <w:r w:rsidRPr="00FC60C1">
        <w:rPr>
          <w:lang w:val="fr-FR"/>
        </w:rPr>
        <w:t>il y a lieu; la création et la certification des demandes d</w:t>
      </w:r>
      <w:r w:rsidR="002A6A82">
        <w:rPr>
          <w:lang w:val="fr-FR"/>
        </w:rPr>
        <w:t>’</w:t>
      </w:r>
      <w:r w:rsidRPr="00FC60C1">
        <w:rPr>
          <w:lang w:val="fr-FR"/>
        </w:rPr>
        <w:t>autorisation de voyage et des demandes de remboursemen</w:t>
      </w:r>
      <w:r w:rsidR="00450D9E" w:rsidRPr="00FC60C1">
        <w:rPr>
          <w:lang w:val="fr-FR"/>
        </w:rPr>
        <w:t>t de frais de voyage dans Umoja ;</w:t>
      </w:r>
      <w:r w:rsidRPr="00FC60C1">
        <w:rPr>
          <w:lang w:val="fr-FR"/>
        </w:rPr>
        <w:t xml:space="preserve"> l</w:t>
      </w:r>
      <w:r w:rsidR="002A6A82">
        <w:rPr>
          <w:lang w:val="fr-FR"/>
        </w:rPr>
        <w:t>’</w:t>
      </w:r>
      <w:r w:rsidRPr="00FC60C1">
        <w:rPr>
          <w:lang w:val="fr-FR"/>
        </w:rPr>
        <w:t>envoi au Groupe des voyages de l</w:t>
      </w:r>
      <w:r w:rsidR="002A6A82">
        <w:rPr>
          <w:lang w:val="fr-FR"/>
        </w:rPr>
        <w:t>’</w:t>
      </w:r>
      <w:r w:rsidRPr="00FC60C1">
        <w:rPr>
          <w:lang w:val="fr-FR"/>
        </w:rPr>
        <w:t>ONU de demandes d</w:t>
      </w:r>
      <w:r w:rsidR="002A6A82">
        <w:rPr>
          <w:lang w:val="fr-FR"/>
        </w:rPr>
        <w:t>’</w:t>
      </w:r>
      <w:r w:rsidRPr="00FC60C1">
        <w:rPr>
          <w:lang w:val="fr-FR"/>
        </w:rPr>
        <w:t>itinéraire et de billetterie et la communication avec les participants</w:t>
      </w:r>
      <w:r w:rsidR="00450D9E" w:rsidRPr="00FC60C1">
        <w:rPr>
          <w:lang w:val="fr-FR"/>
        </w:rPr>
        <w:t> ;</w:t>
      </w:r>
      <w:r w:rsidRPr="00FC60C1">
        <w:rPr>
          <w:lang w:val="fr-FR"/>
        </w:rPr>
        <w:t xml:space="preserve"> l</w:t>
      </w:r>
      <w:r w:rsidR="002A6A82">
        <w:rPr>
          <w:lang w:val="fr-FR"/>
        </w:rPr>
        <w:t>’</w:t>
      </w:r>
      <w:r w:rsidRPr="00FC60C1">
        <w:rPr>
          <w:lang w:val="fr-FR"/>
        </w:rPr>
        <w:t>inscription des participants à la réunion, y compris la remise des badges</w:t>
      </w:r>
      <w:r w:rsidR="00450D9E" w:rsidRPr="00FC60C1">
        <w:rPr>
          <w:lang w:val="fr-FR"/>
        </w:rPr>
        <w:t> ;</w:t>
      </w:r>
      <w:r w:rsidRPr="00FC60C1">
        <w:rPr>
          <w:lang w:val="fr-FR"/>
        </w:rPr>
        <w:t xml:space="preserve"> la préparation, la présentation et le contrôle des demandes d</w:t>
      </w:r>
      <w:r w:rsidR="002A6A82">
        <w:rPr>
          <w:lang w:val="fr-FR"/>
        </w:rPr>
        <w:t>’</w:t>
      </w:r>
      <w:r w:rsidRPr="00FC60C1">
        <w:rPr>
          <w:lang w:val="fr-FR"/>
        </w:rPr>
        <w:t>indemnité journalière de subsistance pour les représentants dont la participation est financée; et l</w:t>
      </w:r>
      <w:r w:rsidR="002A6A82">
        <w:rPr>
          <w:lang w:val="fr-FR"/>
        </w:rPr>
        <w:t>’</w:t>
      </w:r>
      <w:r w:rsidRPr="00FC60C1">
        <w:rPr>
          <w:lang w:val="fr-FR"/>
        </w:rPr>
        <w:t>établissem</w:t>
      </w:r>
      <w:r w:rsidR="00450D9E" w:rsidRPr="00FC60C1">
        <w:rPr>
          <w:lang w:val="fr-FR"/>
        </w:rPr>
        <w:t>ent des listes de participants.</w:t>
      </w:r>
    </w:p>
    <w:p w14:paraId="6E0E02E4" w14:textId="15A80692" w:rsidR="00863F6A" w:rsidRPr="00FC60C1" w:rsidRDefault="00863F6A" w:rsidP="00955A96">
      <w:pPr>
        <w:pStyle w:val="Normalnumber"/>
        <w:numPr>
          <w:ilvl w:val="1"/>
          <w:numId w:val="4"/>
        </w:numPr>
        <w:tabs>
          <w:tab w:val="clear" w:pos="1758"/>
        </w:tabs>
        <w:ind w:left="1247" w:firstLine="624"/>
        <w:rPr>
          <w:lang w:val="fr-FR"/>
        </w:rPr>
      </w:pPr>
      <w:r w:rsidRPr="00FC60C1">
        <w:rPr>
          <w:lang w:val="fr-FR"/>
        </w:rPr>
        <w:t xml:space="preserve">La </w:t>
      </w:r>
      <w:r w:rsidRPr="00FC60C1">
        <w:rPr>
          <w:i/>
          <w:iCs/>
          <w:lang w:val="fr-FR"/>
        </w:rPr>
        <w:t xml:space="preserve">gestion des documents </w:t>
      </w:r>
      <w:r w:rsidRPr="00FC60C1">
        <w:rPr>
          <w:lang w:val="fr-FR"/>
        </w:rPr>
        <w:t>comprend les services suivants</w:t>
      </w:r>
      <w:r w:rsidR="00450D9E" w:rsidRPr="00FC60C1">
        <w:rPr>
          <w:lang w:val="fr-FR"/>
        </w:rPr>
        <w:t> :</w:t>
      </w:r>
      <w:r w:rsidRPr="00FC60C1">
        <w:rPr>
          <w:lang w:val="fr-FR"/>
        </w:rPr>
        <w:t xml:space="preserve"> la soumission des documents au Groupe de langue anglaise de l</w:t>
      </w:r>
      <w:r w:rsidR="002A6A82">
        <w:rPr>
          <w:lang w:val="fr-FR"/>
        </w:rPr>
        <w:t>’</w:t>
      </w:r>
      <w:r w:rsidRPr="00FC60C1">
        <w:rPr>
          <w:lang w:val="fr-FR"/>
        </w:rPr>
        <w:t>Office des Nations Unies à Nairobi pour traitement officiel, édition et traduction (pour lesquels la Convention de Minamata aura achevé son examen sous les angles programmatique, juridique et des politiques</w:t>
      </w:r>
      <w:r w:rsidR="00450D9E" w:rsidRPr="00FC60C1">
        <w:rPr>
          <w:lang w:val="fr-FR"/>
        </w:rPr>
        <w:t> ;</w:t>
      </w:r>
      <w:r w:rsidRPr="00FC60C1">
        <w:rPr>
          <w:lang w:val="fr-FR"/>
        </w:rPr>
        <w:t xml:space="preserve"> documents devant être approuvés par le Secrétariat exécutif de la Convention de Minamata)</w:t>
      </w:r>
      <w:r w:rsidR="00450D9E" w:rsidRPr="00FC60C1">
        <w:rPr>
          <w:lang w:val="fr-FR"/>
        </w:rPr>
        <w:t> ;</w:t>
      </w:r>
      <w:r w:rsidRPr="00FC60C1">
        <w:rPr>
          <w:lang w:val="fr-FR"/>
        </w:rPr>
        <w:t xml:space="preserve"> la vérification des traductions par du personnel possédant les compétences linguistiques voulues</w:t>
      </w:r>
      <w:r w:rsidR="00450D9E" w:rsidRPr="00FC60C1">
        <w:rPr>
          <w:lang w:val="fr-FR"/>
        </w:rPr>
        <w:t> ;</w:t>
      </w:r>
      <w:r w:rsidRPr="00FC60C1">
        <w:rPr>
          <w:lang w:val="fr-FR"/>
        </w:rPr>
        <w:t xml:space="preserve"> la vérification des modifications proposées par le Groupe de langue anglaise de l</w:t>
      </w:r>
      <w:r w:rsidR="002A6A82">
        <w:rPr>
          <w:lang w:val="fr-FR"/>
        </w:rPr>
        <w:t>’</w:t>
      </w:r>
      <w:r w:rsidRPr="00FC60C1">
        <w:rPr>
          <w:lang w:val="fr-FR"/>
        </w:rPr>
        <w:t>ONUN avec les auteurs des documents en question et le Secrétariat exécutif de la Convention de Minamata</w:t>
      </w:r>
      <w:r w:rsidR="00450D9E" w:rsidRPr="00FC60C1">
        <w:rPr>
          <w:lang w:val="fr-FR"/>
        </w:rPr>
        <w:t> ;</w:t>
      </w:r>
      <w:r w:rsidRPr="00FC60C1">
        <w:rPr>
          <w:lang w:val="fr-FR"/>
        </w:rPr>
        <w:t xml:space="preserve"> le suivi de l</w:t>
      </w:r>
      <w:r w:rsidR="002A6A82">
        <w:rPr>
          <w:lang w:val="fr-FR"/>
        </w:rPr>
        <w:t>’</w:t>
      </w:r>
      <w:r w:rsidRPr="00FC60C1">
        <w:rPr>
          <w:lang w:val="fr-FR"/>
        </w:rPr>
        <w:t>état d</w:t>
      </w:r>
      <w:r w:rsidR="002A6A82">
        <w:rPr>
          <w:lang w:val="fr-FR"/>
        </w:rPr>
        <w:t>’</w:t>
      </w:r>
      <w:r w:rsidRPr="00FC60C1">
        <w:rPr>
          <w:lang w:val="fr-FR"/>
        </w:rPr>
        <w:t>avancement du traitement des documents par la Division des services de conférence avant, pendant et après les sessions et la publication des versions finales des documents su</w:t>
      </w:r>
      <w:r w:rsidR="00450D9E" w:rsidRPr="00FC60C1">
        <w:rPr>
          <w:lang w:val="fr-FR"/>
        </w:rPr>
        <w:t>r le site Web de la Convention.</w:t>
      </w:r>
    </w:p>
    <w:p w14:paraId="2A91E029" w14:textId="12E1702D" w:rsidR="00863F6A" w:rsidRPr="00FC60C1" w:rsidRDefault="00863F6A" w:rsidP="00174DCA">
      <w:pPr>
        <w:pStyle w:val="Normalnumber"/>
        <w:tabs>
          <w:tab w:val="num" w:pos="1758"/>
        </w:tabs>
        <w:ind w:left="1260"/>
        <w:rPr>
          <w:lang w:val="fr-FR"/>
        </w:rPr>
      </w:pPr>
      <w:r w:rsidRPr="00FC60C1">
        <w:rPr>
          <w:b/>
          <w:bCs/>
          <w:lang w:val="fr-FR"/>
        </w:rPr>
        <w:t>Renforcement des capacités et assistance technique</w:t>
      </w:r>
      <w:r w:rsidR="00450D9E" w:rsidRPr="00FC60C1">
        <w:rPr>
          <w:lang w:val="fr-FR"/>
        </w:rPr>
        <w:t> </w:t>
      </w:r>
      <w:r w:rsidR="00450D9E" w:rsidRPr="004224E8">
        <w:rPr>
          <w:lang w:val="fr-FR"/>
        </w:rPr>
        <w:t>:</w:t>
      </w:r>
      <w:r w:rsidRPr="00FC60C1">
        <w:rPr>
          <w:lang w:val="fr-FR"/>
        </w:rPr>
        <w:t xml:space="preserve"> ce travail fait généralement partie des responsabilités de base des secrétariats, sauf lorsque les activités des centres régionaux de la Convention de Bâle et de la Convention de Stockholm et les activités relatives aux déchets de mercure qui se recoupent peuvent être menées dans le cadre d</w:t>
      </w:r>
      <w:r w:rsidR="002A6A82">
        <w:rPr>
          <w:lang w:val="fr-FR"/>
        </w:rPr>
        <w:t>’</w:t>
      </w:r>
      <w:r w:rsidRPr="00FC60C1">
        <w:rPr>
          <w:lang w:val="fr-FR"/>
        </w:rPr>
        <w:t>un accord de services partagés. Il faudrait alors que des accords soient conclus avec les centres régionaux et que des activités de formation et d</w:t>
      </w:r>
      <w:r w:rsidR="002A6A82">
        <w:rPr>
          <w:lang w:val="fr-FR"/>
        </w:rPr>
        <w:t>’</w:t>
      </w:r>
      <w:r w:rsidRPr="00FC60C1">
        <w:rPr>
          <w:lang w:val="fr-FR"/>
        </w:rPr>
        <w:t xml:space="preserve">assistance technique soient conçues et exécutées pour aider les Parties à mettre en œuvre les dispositions des différentes conventions relatives aux déchets du mercure. En outre, le secrétariat de la Convention de Minamata pourrait collaborer en matière de programmes avec le Secrétariat </w:t>
      </w:r>
      <w:r w:rsidR="0022698D">
        <w:rPr>
          <w:lang w:val="fr-FR"/>
        </w:rPr>
        <w:t>des conventions</w:t>
      </w:r>
      <w:r w:rsidRPr="00FC60C1">
        <w:rPr>
          <w:lang w:val="fr-FR"/>
        </w:rPr>
        <w:t xml:space="preserve"> de Bâle, de Rotterdam et de Stockholm concernant les travaux scientifiques et techniques présentant un intérêt mutuel p</w:t>
      </w:r>
      <w:r w:rsidR="00450D9E" w:rsidRPr="00FC60C1">
        <w:rPr>
          <w:lang w:val="fr-FR"/>
        </w:rPr>
        <w:t>our les conventions concernées.</w:t>
      </w:r>
    </w:p>
    <w:p w14:paraId="01952502" w14:textId="569EE7A7" w:rsidR="00863F6A" w:rsidRPr="00FC60C1" w:rsidRDefault="00863F6A" w:rsidP="00450D9E">
      <w:pPr>
        <w:pStyle w:val="Normalnumber"/>
        <w:keepNext/>
        <w:ind w:left="1253"/>
        <w:rPr>
          <w:lang w:val="fr-FR"/>
        </w:rPr>
      </w:pPr>
      <w:r w:rsidRPr="00FC60C1">
        <w:rPr>
          <w:b/>
          <w:bCs/>
          <w:lang w:val="fr-FR"/>
        </w:rPr>
        <w:lastRenderedPageBreak/>
        <w:t>Gestion des connaissances et de</w:t>
      </w:r>
      <w:r w:rsidR="00450D9E" w:rsidRPr="00FC60C1">
        <w:rPr>
          <w:b/>
          <w:bCs/>
          <w:lang w:val="fr-FR"/>
        </w:rPr>
        <w:t xml:space="preserve"> l</w:t>
      </w:r>
      <w:r w:rsidR="002A6A82">
        <w:rPr>
          <w:b/>
          <w:bCs/>
          <w:lang w:val="fr-FR"/>
        </w:rPr>
        <w:t>’</w:t>
      </w:r>
      <w:r w:rsidR="00450D9E" w:rsidRPr="00FC60C1">
        <w:rPr>
          <w:b/>
          <w:bCs/>
          <w:lang w:val="fr-FR"/>
        </w:rPr>
        <w:t>information et communication :</w:t>
      </w:r>
    </w:p>
    <w:p w14:paraId="51B96B5B" w14:textId="3985C1C4" w:rsidR="00863F6A" w:rsidRPr="00FC60C1" w:rsidRDefault="00863F6A" w:rsidP="00955A96">
      <w:pPr>
        <w:pStyle w:val="Normalnumber"/>
        <w:numPr>
          <w:ilvl w:val="1"/>
          <w:numId w:val="4"/>
        </w:numPr>
        <w:tabs>
          <w:tab w:val="clear" w:pos="1758"/>
        </w:tabs>
        <w:ind w:left="1247" w:firstLine="624"/>
        <w:rPr>
          <w:lang w:val="fr-FR"/>
        </w:rPr>
      </w:pPr>
      <w:r w:rsidRPr="00FC60C1">
        <w:rPr>
          <w:i/>
          <w:iCs/>
          <w:lang w:val="fr-FR"/>
        </w:rPr>
        <w:t>La communication, l</w:t>
      </w:r>
      <w:r w:rsidR="002A6A82">
        <w:rPr>
          <w:i/>
          <w:iCs/>
          <w:lang w:val="fr-FR"/>
        </w:rPr>
        <w:t>’</w:t>
      </w:r>
      <w:r w:rsidRPr="00FC60C1">
        <w:rPr>
          <w:i/>
          <w:iCs/>
          <w:lang w:val="fr-FR"/>
        </w:rPr>
        <w:t>information et la sensibilisation du public</w:t>
      </w:r>
      <w:r w:rsidRPr="00FC60C1">
        <w:rPr>
          <w:lang w:val="fr-FR"/>
        </w:rPr>
        <w:t xml:space="preserve"> comprennent la conception, la gestion et la mise en œuvre d</w:t>
      </w:r>
      <w:r w:rsidR="002A6A82">
        <w:rPr>
          <w:lang w:val="fr-FR"/>
        </w:rPr>
        <w:t>’</w:t>
      </w:r>
      <w:r w:rsidRPr="00FC60C1">
        <w:rPr>
          <w:lang w:val="fr-FR"/>
        </w:rPr>
        <w:t>une stratégie de communication et d</w:t>
      </w:r>
      <w:r w:rsidR="002A6A82">
        <w:rPr>
          <w:lang w:val="fr-FR"/>
        </w:rPr>
        <w:t>’</w:t>
      </w:r>
      <w:r w:rsidRPr="00FC60C1">
        <w:rPr>
          <w:lang w:val="fr-FR"/>
        </w:rPr>
        <w:t>activités connexes visant à orienter les activités d</w:t>
      </w:r>
      <w:r w:rsidR="002A6A82">
        <w:rPr>
          <w:lang w:val="fr-FR"/>
        </w:rPr>
        <w:t>’</w:t>
      </w:r>
      <w:r w:rsidRPr="00FC60C1">
        <w:rPr>
          <w:lang w:val="fr-FR"/>
        </w:rPr>
        <w:t>information, y compris la participation des médias et la publication de communiqués de presse</w:t>
      </w:r>
      <w:r w:rsidR="00450D9E" w:rsidRPr="00FC60C1">
        <w:rPr>
          <w:lang w:val="fr-FR"/>
        </w:rPr>
        <w:t> ;</w:t>
      </w:r>
      <w:r w:rsidRPr="00FC60C1">
        <w:rPr>
          <w:lang w:val="fr-FR"/>
        </w:rPr>
        <w:t xml:space="preserve"> l</w:t>
      </w:r>
      <w:r w:rsidR="002A6A82">
        <w:rPr>
          <w:lang w:val="fr-FR"/>
        </w:rPr>
        <w:t>’</w:t>
      </w:r>
      <w:r w:rsidRPr="00FC60C1">
        <w:rPr>
          <w:lang w:val="fr-FR"/>
        </w:rPr>
        <w:t>élaboration du contenu du site Web</w:t>
      </w:r>
      <w:r w:rsidR="00450D9E" w:rsidRPr="00FC60C1">
        <w:rPr>
          <w:lang w:val="fr-FR"/>
        </w:rPr>
        <w:t> ;</w:t>
      </w:r>
      <w:r w:rsidRPr="00FC60C1">
        <w:rPr>
          <w:lang w:val="fr-FR"/>
        </w:rPr>
        <w:t xml:space="preserve"> la couverture photographique et sur les réseaux sociaux</w:t>
      </w:r>
      <w:r w:rsidR="00450D9E" w:rsidRPr="00FC60C1">
        <w:rPr>
          <w:lang w:val="fr-FR"/>
        </w:rPr>
        <w:t> ;</w:t>
      </w:r>
      <w:r w:rsidRPr="00FC60C1">
        <w:rPr>
          <w:lang w:val="fr-FR"/>
        </w:rPr>
        <w:t xml:space="preserve"> l</w:t>
      </w:r>
      <w:r w:rsidR="002A6A82">
        <w:rPr>
          <w:lang w:val="fr-FR"/>
        </w:rPr>
        <w:t>’</w:t>
      </w:r>
      <w:r w:rsidRPr="00FC60C1">
        <w:rPr>
          <w:lang w:val="fr-FR"/>
        </w:rPr>
        <w:t>appui à la conception graphique</w:t>
      </w:r>
      <w:r w:rsidR="00450D9E" w:rsidRPr="00FC60C1">
        <w:rPr>
          <w:lang w:val="fr-FR"/>
        </w:rPr>
        <w:t> ;</w:t>
      </w:r>
      <w:r w:rsidRPr="00FC60C1">
        <w:rPr>
          <w:lang w:val="fr-FR"/>
        </w:rPr>
        <w:t xml:space="preserve"> la product</w:t>
      </w:r>
      <w:r w:rsidR="00084761">
        <w:rPr>
          <w:lang w:val="fr-FR"/>
        </w:rPr>
        <w:t>ion de matériel promotionnel, y </w:t>
      </w:r>
      <w:r w:rsidRPr="00FC60C1">
        <w:rPr>
          <w:lang w:val="fr-FR"/>
        </w:rPr>
        <w:t>compris des expositions lors de conférences des Parties et autres réunions</w:t>
      </w:r>
      <w:r w:rsidR="00450D9E" w:rsidRPr="00FC60C1">
        <w:rPr>
          <w:lang w:val="fr-FR"/>
        </w:rPr>
        <w:t> ;</w:t>
      </w:r>
      <w:r w:rsidRPr="00FC60C1">
        <w:rPr>
          <w:lang w:val="fr-FR"/>
        </w:rPr>
        <w:t xml:space="preserve"> et des campagnes de communication. Il s</w:t>
      </w:r>
      <w:r w:rsidR="002A6A82">
        <w:rPr>
          <w:lang w:val="fr-FR"/>
        </w:rPr>
        <w:t>’</w:t>
      </w:r>
      <w:r w:rsidRPr="00FC60C1">
        <w:rPr>
          <w:lang w:val="fr-FR"/>
        </w:rPr>
        <w:t>agira également d</w:t>
      </w:r>
      <w:r w:rsidR="002A6A82">
        <w:rPr>
          <w:lang w:val="fr-FR"/>
        </w:rPr>
        <w:t>’</w:t>
      </w:r>
      <w:r w:rsidRPr="00FC60C1">
        <w:rPr>
          <w:lang w:val="fr-FR"/>
        </w:rPr>
        <w:t>organiser une campagne de promotion de la Convention de Minamata qui comprendra une forte identité visuelle et l</w:t>
      </w:r>
      <w:r w:rsidR="002A6A82">
        <w:rPr>
          <w:lang w:val="fr-FR"/>
        </w:rPr>
        <w:t>’</w:t>
      </w:r>
      <w:r w:rsidR="00450D9E" w:rsidRPr="00FC60C1">
        <w:rPr>
          <w:lang w:val="fr-FR"/>
        </w:rPr>
        <w:t>image de marque correspondante.</w:t>
      </w:r>
    </w:p>
    <w:p w14:paraId="515873A6" w14:textId="62C561EB" w:rsidR="00863F6A" w:rsidRPr="00FC60C1" w:rsidRDefault="00863F6A" w:rsidP="00955A96">
      <w:pPr>
        <w:pStyle w:val="Normalnumber"/>
        <w:numPr>
          <w:ilvl w:val="1"/>
          <w:numId w:val="4"/>
        </w:numPr>
        <w:tabs>
          <w:tab w:val="clear" w:pos="1758"/>
        </w:tabs>
        <w:ind w:left="1247" w:firstLine="624"/>
        <w:rPr>
          <w:lang w:val="fr-FR"/>
        </w:rPr>
      </w:pPr>
      <w:r w:rsidRPr="00FC60C1">
        <w:rPr>
          <w:i/>
          <w:iCs/>
          <w:lang w:val="fr-FR"/>
        </w:rPr>
        <w:t>La gestion des connaissances et de l</w:t>
      </w:r>
      <w:r w:rsidR="002A6A82">
        <w:rPr>
          <w:i/>
          <w:iCs/>
          <w:lang w:val="fr-FR"/>
        </w:rPr>
        <w:t>’</w:t>
      </w:r>
      <w:r w:rsidRPr="00FC60C1">
        <w:rPr>
          <w:i/>
          <w:iCs/>
          <w:lang w:val="fr-FR"/>
        </w:rPr>
        <w:t xml:space="preserve">information </w:t>
      </w:r>
      <w:r w:rsidRPr="00FC60C1">
        <w:rPr>
          <w:lang w:val="fr-FR"/>
        </w:rPr>
        <w:t>comprend la synthèse des besoins en matière d</w:t>
      </w:r>
      <w:r w:rsidR="002A6A82">
        <w:rPr>
          <w:lang w:val="fr-FR"/>
        </w:rPr>
        <w:t>’</w:t>
      </w:r>
      <w:r w:rsidRPr="00FC60C1">
        <w:rPr>
          <w:lang w:val="fr-FR"/>
        </w:rPr>
        <w:t>échange d</w:t>
      </w:r>
      <w:r w:rsidR="002A6A82">
        <w:rPr>
          <w:lang w:val="fr-FR"/>
        </w:rPr>
        <w:t>’</w:t>
      </w:r>
      <w:r w:rsidRPr="00FC60C1">
        <w:rPr>
          <w:lang w:val="fr-FR"/>
        </w:rPr>
        <w:t>informations conformément à l</w:t>
      </w:r>
      <w:r w:rsidR="002A6A82">
        <w:rPr>
          <w:lang w:val="fr-FR"/>
        </w:rPr>
        <w:t>’</w:t>
      </w:r>
      <w:r w:rsidR="00084761">
        <w:rPr>
          <w:lang w:val="fr-FR"/>
        </w:rPr>
        <w:t>article </w:t>
      </w:r>
      <w:r w:rsidRPr="00FC60C1">
        <w:rPr>
          <w:lang w:val="fr-FR"/>
        </w:rPr>
        <w:t>17 de la Convention</w:t>
      </w:r>
      <w:r w:rsidR="00450D9E" w:rsidRPr="00FC60C1">
        <w:rPr>
          <w:lang w:val="fr-FR"/>
        </w:rPr>
        <w:t> ;</w:t>
      </w:r>
      <w:r w:rsidRPr="00FC60C1">
        <w:rPr>
          <w:lang w:val="fr-FR"/>
        </w:rPr>
        <w:t xml:space="preserve"> la détermination de sources d</w:t>
      </w:r>
      <w:r w:rsidR="002A6A82">
        <w:rPr>
          <w:lang w:val="fr-FR"/>
        </w:rPr>
        <w:t>’</w:t>
      </w:r>
      <w:r w:rsidRPr="00FC60C1">
        <w:rPr>
          <w:lang w:val="fr-FR"/>
        </w:rPr>
        <w:t>information possibles; la conception et la mise en œuvre d</w:t>
      </w:r>
      <w:r w:rsidR="002A6A82">
        <w:rPr>
          <w:lang w:val="fr-FR"/>
        </w:rPr>
        <w:t>’</w:t>
      </w:r>
      <w:r w:rsidRPr="00FC60C1">
        <w:rPr>
          <w:lang w:val="fr-FR"/>
        </w:rPr>
        <w:t>une stratégie d</w:t>
      </w:r>
      <w:r w:rsidR="002A6A82">
        <w:rPr>
          <w:lang w:val="fr-FR"/>
        </w:rPr>
        <w:t>’</w:t>
      </w:r>
      <w:r w:rsidRPr="00FC60C1">
        <w:rPr>
          <w:lang w:val="fr-FR"/>
        </w:rPr>
        <w:t>échange d</w:t>
      </w:r>
      <w:r w:rsidR="002A6A82">
        <w:rPr>
          <w:lang w:val="fr-FR"/>
        </w:rPr>
        <w:t>’</w:t>
      </w:r>
      <w:r w:rsidRPr="00FC60C1">
        <w:rPr>
          <w:lang w:val="fr-FR"/>
        </w:rPr>
        <w:t>informations pour la Convention</w:t>
      </w:r>
      <w:r w:rsidR="00450D9E" w:rsidRPr="00FC60C1">
        <w:rPr>
          <w:lang w:val="fr-FR"/>
        </w:rPr>
        <w:t> ;</w:t>
      </w:r>
      <w:r w:rsidRPr="00FC60C1">
        <w:rPr>
          <w:lang w:val="fr-FR"/>
        </w:rPr>
        <w:t xml:space="preserve"> la conception et la mise en œuvre d</w:t>
      </w:r>
      <w:r w:rsidR="002A6A82">
        <w:rPr>
          <w:lang w:val="fr-FR"/>
        </w:rPr>
        <w:t>’</w:t>
      </w:r>
      <w:r w:rsidRPr="00FC60C1">
        <w:rPr>
          <w:lang w:val="fr-FR"/>
        </w:rPr>
        <w:t>un système de gestion des connaissances et de bases de données interactives, qui comprend la gestion des rapports des Part</w:t>
      </w:r>
      <w:r w:rsidR="00450D9E" w:rsidRPr="00FC60C1">
        <w:rPr>
          <w:lang w:val="fr-FR"/>
        </w:rPr>
        <w:t>ies en application de l</w:t>
      </w:r>
      <w:r w:rsidR="002A6A82">
        <w:rPr>
          <w:lang w:val="fr-FR"/>
        </w:rPr>
        <w:t>’</w:t>
      </w:r>
      <w:r w:rsidR="00450D9E" w:rsidRPr="00FC60C1">
        <w:rPr>
          <w:lang w:val="fr-FR"/>
        </w:rPr>
        <w:t>article </w:t>
      </w:r>
      <w:r w:rsidRPr="00FC60C1">
        <w:rPr>
          <w:lang w:val="fr-FR"/>
        </w:rPr>
        <w:t>21 de la Convention</w:t>
      </w:r>
      <w:r w:rsidR="00450D9E" w:rsidRPr="00FC60C1">
        <w:rPr>
          <w:lang w:val="fr-FR"/>
        </w:rPr>
        <w:t> ;</w:t>
      </w:r>
      <w:r w:rsidRPr="00FC60C1">
        <w:rPr>
          <w:lang w:val="fr-FR"/>
        </w:rPr>
        <w:t xml:space="preserve"> la préparation des documents de </w:t>
      </w:r>
      <w:r w:rsidR="00450D9E" w:rsidRPr="00FC60C1">
        <w:rPr>
          <w:lang w:val="fr-FR"/>
        </w:rPr>
        <w:t>réunion et de la correspondance ;</w:t>
      </w:r>
      <w:r w:rsidRPr="00FC60C1">
        <w:rPr>
          <w:lang w:val="fr-FR"/>
        </w:rPr>
        <w:t xml:space="preserve"> le suivi de l</w:t>
      </w:r>
      <w:r w:rsidR="002A6A82">
        <w:rPr>
          <w:lang w:val="fr-FR"/>
        </w:rPr>
        <w:t>’</w:t>
      </w:r>
      <w:r w:rsidRPr="00FC60C1">
        <w:rPr>
          <w:lang w:val="fr-FR"/>
        </w:rPr>
        <w:t>état des ratifications et des adhésions</w:t>
      </w:r>
      <w:r w:rsidR="00450D9E" w:rsidRPr="00FC60C1">
        <w:rPr>
          <w:lang w:val="fr-FR"/>
        </w:rPr>
        <w:t> ;</w:t>
      </w:r>
      <w:r w:rsidRPr="00FC60C1">
        <w:rPr>
          <w:lang w:val="fr-FR"/>
        </w:rPr>
        <w:t xml:space="preserve"> la gestion des coordonnateurs et des correspondants nationaux</w:t>
      </w:r>
      <w:r w:rsidR="00450D9E" w:rsidRPr="00FC60C1">
        <w:rPr>
          <w:lang w:val="fr-FR"/>
        </w:rPr>
        <w:t> ;</w:t>
      </w:r>
      <w:r w:rsidRPr="00FC60C1">
        <w:rPr>
          <w:lang w:val="fr-FR"/>
        </w:rPr>
        <w:t xml:space="preserve"> la gestion des bases de données des réunions et des publications</w:t>
      </w:r>
      <w:r w:rsidR="00450D9E" w:rsidRPr="00FC60C1">
        <w:rPr>
          <w:lang w:val="fr-FR"/>
        </w:rPr>
        <w:t> ;</w:t>
      </w:r>
      <w:r w:rsidR="00084761">
        <w:rPr>
          <w:lang w:val="fr-FR"/>
        </w:rPr>
        <w:t xml:space="preserve"> la </w:t>
      </w:r>
      <w:r w:rsidRPr="00FC60C1">
        <w:rPr>
          <w:lang w:val="fr-FR"/>
        </w:rPr>
        <w:t>conservation des documents</w:t>
      </w:r>
      <w:r w:rsidR="00450D9E" w:rsidRPr="00FC60C1">
        <w:rPr>
          <w:lang w:val="fr-FR"/>
        </w:rPr>
        <w:t> ;</w:t>
      </w:r>
      <w:r w:rsidRPr="00FC60C1">
        <w:rPr>
          <w:lang w:val="fr-FR"/>
        </w:rPr>
        <w:t xml:space="preserve"> et la création</w:t>
      </w:r>
      <w:r w:rsidR="00450D9E" w:rsidRPr="00FC60C1">
        <w:rPr>
          <w:lang w:val="fr-FR"/>
        </w:rPr>
        <w:t xml:space="preserve"> et la mise à jour du site Web.</w:t>
      </w:r>
    </w:p>
    <w:p w14:paraId="49599AB2" w14:textId="2C8C201B" w:rsidR="00863F6A" w:rsidRPr="00FC60C1" w:rsidRDefault="00863F6A" w:rsidP="000E59A4">
      <w:pPr>
        <w:pStyle w:val="Normalnumber"/>
        <w:keepNext/>
        <w:ind w:left="1253"/>
        <w:rPr>
          <w:lang w:val="fr-FR"/>
        </w:rPr>
      </w:pPr>
      <w:r w:rsidRPr="00FC60C1">
        <w:rPr>
          <w:b/>
          <w:bCs/>
          <w:lang w:val="fr-FR"/>
        </w:rPr>
        <w:t>Les services administratifs et la préparation du budget</w:t>
      </w:r>
      <w:r w:rsidRPr="00FC60C1">
        <w:rPr>
          <w:lang w:val="fr-FR"/>
        </w:rPr>
        <w:t xml:space="preserve"> comprennent les fonctions financières et administratives du secrétariat, telles que la gestion des ressources humaines</w:t>
      </w:r>
      <w:r w:rsidR="00450D9E" w:rsidRPr="00FC60C1">
        <w:rPr>
          <w:lang w:val="fr-FR"/>
        </w:rPr>
        <w:t> ;</w:t>
      </w:r>
      <w:r w:rsidRPr="00FC60C1">
        <w:rPr>
          <w:lang w:val="fr-FR"/>
        </w:rPr>
        <w:t xml:space="preserve"> le calcul du coût du programme de travail</w:t>
      </w:r>
      <w:r w:rsidR="00450D9E" w:rsidRPr="00FC60C1">
        <w:rPr>
          <w:lang w:val="fr-FR"/>
        </w:rPr>
        <w:t> ;</w:t>
      </w:r>
      <w:r w:rsidRPr="00FC60C1">
        <w:rPr>
          <w:lang w:val="fr-FR"/>
        </w:rPr>
        <w:t xml:space="preserve"> l</w:t>
      </w:r>
      <w:r w:rsidR="002A6A82">
        <w:rPr>
          <w:lang w:val="fr-FR"/>
        </w:rPr>
        <w:t>’</w:t>
      </w:r>
      <w:r w:rsidRPr="00FC60C1">
        <w:rPr>
          <w:lang w:val="fr-FR"/>
        </w:rPr>
        <w:t>établissement du budget</w:t>
      </w:r>
      <w:r w:rsidR="00FC60C1">
        <w:rPr>
          <w:lang w:val="fr-FR"/>
        </w:rPr>
        <w:t> </w:t>
      </w:r>
      <w:r w:rsidRPr="00FC60C1">
        <w:rPr>
          <w:lang w:val="fr-FR"/>
        </w:rPr>
        <w:t>; la conclusion d</w:t>
      </w:r>
      <w:r w:rsidR="002A6A82">
        <w:rPr>
          <w:lang w:val="fr-FR"/>
        </w:rPr>
        <w:t>’</w:t>
      </w:r>
      <w:r w:rsidRPr="00FC60C1">
        <w:rPr>
          <w:lang w:val="fr-FR"/>
        </w:rPr>
        <w:t>engagements avec des prestataires de services et des consultants</w:t>
      </w:r>
      <w:r w:rsidR="00450D9E" w:rsidRPr="00FC60C1">
        <w:rPr>
          <w:lang w:val="fr-FR"/>
        </w:rPr>
        <w:t> ;</w:t>
      </w:r>
      <w:r w:rsidRPr="00FC60C1">
        <w:rPr>
          <w:lang w:val="fr-FR"/>
        </w:rPr>
        <w:t xml:space="preserve"> et les achats, qui pourraient être effectués dans le cadre de services partagés. </w:t>
      </w:r>
    </w:p>
    <w:p w14:paraId="0D906E04" w14:textId="4C33139E" w:rsidR="00863F6A" w:rsidRPr="00FC60C1" w:rsidRDefault="00863F6A" w:rsidP="000E59A4">
      <w:pPr>
        <w:pStyle w:val="Normalnumber"/>
        <w:keepNext/>
        <w:ind w:left="1253"/>
        <w:rPr>
          <w:lang w:val="fr-FR"/>
        </w:rPr>
      </w:pPr>
      <w:r w:rsidRPr="00FC60C1">
        <w:rPr>
          <w:b/>
          <w:bCs/>
          <w:lang w:val="fr-FR"/>
        </w:rPr>
        <w:t>Les services juridiques</w:t>
      </w:r>
      <w:r w:rsidRPr="00FC60C1">
        <w:rPr>
          <w:lang w:val="fr-FR"/>
        </w:rPr>
        <w:t xml:space="preserve"> comprennent des fonctions de conseil juridique pour la Conférence des Parties et le Bureau</w:t>
      </w:r>
      <w:r w:rsidR="00450D9E" w:rsidRPr="00FC60C1">
        <w:rPr>
          <w:lang w:val="fr-FR"/>
        </w:rPr>
        <w:t> ;</w:t>
      </w:r>
      <w:r w:rsidRPr="00FC60C1">
        <w:rPr>
          <w:lang w:val="fr-FR"/>
        </w:rPr>
        <w:t xml:space="preserve"> l</w:t>
      </w:r>
      <w:r w:rsidR="002A6A82">
        <w:rPr>
          <w:lang w:val="fr-FR"/>
        </w:rPr>
        <w:t>’</w:t>
      </w:r>
      <w:r w:rsidRPr="00FC60C1">
        <w:rPr>
          <w:lang w:val="fr-FR"/>
        </w:rPr>
        <w:t xml:space="preserve">approbation des documents et des projets </w:t>
      </w:r>
      <w:r w:rsidR="00450D9E" w:rsidRPr="00FC60C1">
        <w:rPr>
          <w:lang w:val="fr-FR"/>
        </w:rPr>
        <w:t>de décision au niveau juridique ;</w:t>
      </w:r>
      <w:r w:rsidRPr="00FC60C1">
        <w:rPr>
          <w:lang w:val="fr-FR"/>
        </w:rPr>
        <w:t xml:space="preserve"> l</w:t>
      </w:r>
      <w:r w:rsidR="002A6A82">
        <w:rPr>
          <w:lang w:val="fr-FR"/>
        </w:rPr>
        <w:t>’</w:t>
      </w:r>
      <w:r w:rsidRPr="00FC60C1">
        <w:rPr>
          <w:lang w:val="fr-FR"/>
        </w:rPr>
        <w:t>élaboration et la révision du règlement intérieur et d</w:t>
      </w:r>
      <w:r w:rsidR="002A6A82">
        <w:rPr>
          <w:lang w:val="fr-FR"/>
        </w:rPr>
        <w:t>’</w:t>
      </w:r>
      <w:r w:rsidRPr="00FC60C1">
        <w:rPr>
          <w:lang w:val="fr-FR"/>
        </w:rPr>
        <w:t>autres règles</w:t>
      </w:r>
      <w:r w:rsidR="00450D9E" w:rsidRPr="00FC60C1">
        <w:rPr>
          <w:lang w:val="fr-FR"/>
        </w:rPr>
        <w:t> ;</w:t>
      </w:r>
      <w:r w:rsidRPr="00FC60C1">
        <w:rPr>
          <w:lang w:val="fr-FR"/>
        </w:rPr>
        <w:t xml:space="preserve"> et l</w:t>
      </w:r>
      <w:r w:rsidR="002A6A82">
        <w:rPr>
          <w:lang w:val="fr-FR"/>
        </w:rPr>
        <w:t>’</w:t>
      </w:r>
      <w:r w:rsidR="00084761">
        <w:rPr>
          <w:lang w:val="fr-FR"/>
        </w:rPr>
        <w:t>examen des pouvoirs. Ils </w:t>
      </w:r>
      <w:r w:rsidRPr="00FC60C1">
        <w:rPr>
          <w:lang w:val="fr-FR"/>
        </w:rPr>
        <w:t>comprennent également des services consultatifs juridiques à l</w:t>
      </w:r>
      <w:r w:rsidR="002A6A82">
        <w:rPr>
          <w:lang w:val="fr-FR"/>
        </w:rPr>
        <w:t>’</w:t>
      </w:r>
      <w:r w:rsidRPr="00FC60C1">
        <w:rPr>
          <w:lang w:val="fr-FR"/>
        </w:rPr>
        <w:t>intention de la Convention, des Parties et parties prenantes et du Secrétariat exécutif</w:t>
      </w:r>
      <w:r w:rsidR="00450D9E" w:rsidRPr="00FC60C1">
        <w:rPr>
          <w:lang w:val="fr-FR"/>
        </w:rPr>
        <w:t> ;</w:t>
      </w:r>
      <w:r w:rsidRPr="00FC60C1">
        <w:rPr>
          <w:lang w:val="fr-FR"/>
        </w:rPr>
        <w:t xml:space="preserve"> les questions de respect et de gouvernance</w:t>
      </w:r>
      <w:r w:rsidR="00450D9E" w:rsidRPr="00FC60C1">
        <w:rPr>
          <w:lang w:val="fr-FR"/>
        </w:rPr>
        <w:t> ;</w:t>
      </w:r>
      <w:r w:rsidR="00084761">
        <w:rPr>
          <w:lang w:val="fr-FR"/>
        </w:rPr>
        <w:t xml:space="preserve"> les </w:t>
      </w:r>
      <w:r w:rsidRPr="00FC60C1">
        <w:rPr>
          <w:lang w:val="fr-FR"/>
        </w:rPr>
        <w:t>obligations des Parties; les questions juridiques et d</w:t>
      </w:r>
      <w:r w:rsidR="002A6A82">
        <w:rPr>
          <w:lang w:val="fr-FR"/>
        </w:rPr>
        <w:t>’</w:t>
      </w:r>
      <w:r w:rsidRPr="00FC60C1">
        <w:rPr>
          <w:lang w:val="fr-FR"/>
        </w:rPr>
        <w:t>orientation rel</w:t>
      </w:r>
      <w:r w:rsidR="00084761">
        <w:rPr>
          <w:lang w:val="fr-FR"/>
        </w:rPr>
        <w:t>atives à la mise en œuvre et au </w:t>
      </w:r>
      <w:r w:rsidRPr="00FC60C1">
        <w:rPr>
          <w:lang w:val="fr-FR"/>
        </w:rPr>
        <w:t>développement de la Convention</w:t>
      </w:r>
      <w:r w:rsidR="00450D9E" w:rsidRPr="00FC60C1">
        <w:rPr>
          <w:lang w:val="fr-FR"/>
        </w:rPr>
        <w:t> ;</w:t>
      </w:r>
      <w:r w:rsidRPr="00FC60C1">
        <w:rPr>
          <w:lang w:val="fr-FR"/>
        </w:rPr>
        <w:t xml:space="preserve"> et les services juridiques internes, y compris les questions juridiques liées à l</w:t>
      </w:r>
      <w:r w:rsidR="002A6A82">
        <w:rPr>
          <w:lang w:val="fr-FR"/>
        </w:rPr>
        <w:t>’</w:t>
      </w:r>
      <w:r w:rsidRPr="00FC60C1">
        <w:rPr>
          <w:lang w:val="fr-FR"/>
        </w:rPr>
        <w:t>approvisionnement, aux achats et aux contrats, ainsi que la rédaction, l</w:t>
      </w:r>
      <w:r w:rsidR="002A6A82">
        <w:rPr>
          <w:lang w:val="fr-FR"/>
        </w:rPr>
        <w:t>’</w:t>
      </w:r>
      <w:r w:rsidR="00084761">
        <w:rPr>
          <w:lang w:val="fr-FR"/>
        </w:rPr>
        <w:t>examen, la </w:t>
      </w:r>
      <w:r w:rsidRPr="00FC60C1">
        <w:rPr>
          <w:lang w:val="fr-FR"/>
        </w:rPr>
        <w:t>négociation et l</w:t>
      </w:r>
      <w:r w:rsidR="002A6A82">
        <w:rPr>
          <w:lang w:val="fr-FR"/>
        </w:rPr>
        <w:t>’</w:t>
      </w:r>
      <w:r w:rsidRPr="00FC60C1">
        <w:rPr>
          <w:lang w:val="fr-FR"/>
        </w:rPr>
        <w:t>approbation des accords. Un appui spécial est apporté aux travaux du Comité de mise en œuvre</w:t>
      </w:r>
      <w:r w:rsidR="00450D9E" w:rsidRPr="00FC60C1">
        <w:rPr>
          <w:lang w:val="fr-FR"/>
        </w:rPr>
        <w:t xml:space="preserve"> et du respect des obligations.</w:t>
      </w:r>
    </w:p>
    <w:p w14:paraId="78D950A3" w14:textId="17675EAD" w:rsidR="00863F6A" w:rsidRPr="00FC60C1" w:rsidRDefault="00863F6A" w:rsidP="000E59A4">
      <w:pPr>
        <w:pStyle w:val="Normalnumber"/>
        <w:keepNext/>
        <w:ind w:left="1253"/>
        <w:rPr>
          <w:lang w:val="fr-FR"/>
        </w:rPr>
      </w:pPr>
      <w:r w:rsidRPr="00FC60C1">
        <w:rPr>
          <w:b/>
          <w:bCs/>
          <w:lang w:val="fr-FR"/>
        </w:rPr>
        <w:t>L</w:t>
      </w:r>
      <w:r w:rsidR="002A6A82">
        <w:rPr>
          <w:b/>
          <w:bCs/>
          <w:lang w:val="fr-FR"/>
        </w:rPr>
        <w:t>’</w:t>
      </w:r>
      <w:r w:rsidRPr="00FC60C1">
        <w:rPr>
          <w:b/>
          <w:bCs/>
          <w:lang w:val="fr-FR"/>
        </w:rPr>
        <w:t>entretien des locaux et les services de bureau</w:t>
      </w:r>
      <w:r w:rsidRPr="00FC60C1">
        <w:rPr>
          <w:lang w:val="fr-FR"/>
        </w:rPr>
        <w:t xml:space="preserve"> comprennent uniquement les services informatiques. Le responsable technique du contrôle du respect des politiques et des normes est la Section des solutions institutionnelles de la Division des services internes</w:t>
      </w:r>
      <w:r w:rsidR="00D97DA9">
        <w:rPr>
          <w:lang w:val="fr-FR"/>
        </w:rPr>
        <w:t xml:space="preserve"> du PNUE</w:t>
      </w:r>
      <w:r w:rsidRPr="00FC60C1">
        <w:rPr>
          <w:lang w:val="fr-FR"/>
        </w:rPr>
        <w:t xml:space="preserve">. Il est entendu que le Secrétariat </w:t>
      </w:r>
      <w:r w:rsidR="0022698D">
        <w:rPr>
          <w:lang w:val="fr-FR"/>
        </w:rPr>
        <w:t>des conventions</w:t>
      </w:r>
      <w:r w:rsidRPr="00FC60C1">
        <w:rPr>
          <w:lang w:val="fr-FR"/>
        </w:rPr>
        <w:t xml:space="preserve"> de Bâle, de Rotterdam et de Stockholm respecte et continuera de respecter pleinement les politiques et normes en vigueur. La gamme, le type et la tarification des services seront convenus entre le Secrétariat </w:t>
      </w:r>
      <w:r w:rsidR="0022698D">
        <w:rPr>
          <w:lang w:val="fr-FR"/>
        </w:rPr>
        <w:t>des conventions</w:t>
      </w:r>
      <w:r w:rsidRPr="00FC60C1">
        <w:rPr>
          <w:lang w:val="fr-FR"/>
        </w:rPr>
        <w:t xml:space="preserve"> de Bâle, de Rotterdam et de Stockholm et le secrétariat de la Convention de Minamata. Cette composante traite de l</w:t>
      </w:r>
      <w:r w:rsidR="002A6A82">
        <w:rPr>
          <w:lang w:val="fr-FR"/>
        </w:rPr>
        <w:t>’</w:t>
      </w:r>
      <w:r w:rsidRPr="00FC60C1">
        <w:rPr>
          <w:lang w:val="fr-FR"/>
        </w:rPr>
        <w:t>infrastructure et des services relatifs aux technologies de l</w:t>
      </w:r>
      <w:r w:rsidR="002A6A82">
        <w:rPr>
          <w:lang w:val="fr-FR"/>
        </w:rPr>
        <w:t>’</w:t>
      </w:r>
      <w:r w:rsidRPr="00FC60C1">
        <w:rPr>
          <w:lang w:val="fr-FR"/>
        </w:rPr>
        <w:t>information, à savoir les ordinateurs personnels et les appareils portables, les progiciels standard, la connectivité réseau et Internet, le stockage et la sauvegarde centralisés des données, l</w:t>
      </w:r>
      <w:r w:rsidR="002A6A82">
        <w:rPr>
          <w:lang w:val="fr-FR"/>
        </w:rPr>
        <w:t>’</w:t>
      </w:r>
      <w:r w:rsidRPr="00FC60C1">
        <w:rPr>
          <w:lang w:val="fr-FR"/>
        </w:rPr>
        <w:t>achat d</w:t>
      </w:r>
      <w:r w:rsidR="002A6A82">
        <w:rPr>
          <w:lang w:val="fr-FR"/>
        </w:rPr>
        <w:t>’</w:t>
      </w:r>
      <w:r w:rsidRPr="00FC60C1">
        <w:rPr>
          <w:lang w:val="fr-FR"/>
        </w:rPr>
        <w:t>ordinateurs et de matériel connexe, les photocopieuses et imprimantes réseau, les services de vidéoconférence, de webinaire et d</w:t>
      </w:r>
      <w:r w:rsidR="002A6A82">
        <w:rPr>
          <w:lang w:val="fr-FR"/>
        </w:rPr>
        <w:t>’</w:t>
      </w:r>
      <w:r w:rsidRPr="00FC60C1">
        <w:rPr>
          <w:lang w:val="fr-FR"/>
        </w:rPr>
        <w:t>accès à distance, les services sans fil, l</w:t>
      </w:r>
      <w:r w:rsidR="002A6A82">
        <w:rPr>
          <w:lang w:val="fr-FR"/>
        </w:rPr>
        <w:t>’</w:t>
      </w:r>
      <w:r w:rsidRPr="00FC60C1">
        <w:rPr>
          <w:lang w:val="fr-FR"/>
        </w:rPr>
        <w:t>hébergement des serveurs et des sites Web, les services d</w:t>
      </w:r>
      <w:r w:rsidR="002A6A82">
        <w:rPr>
          <w:lang w:val="fr-FR"/>
        </w:rPr>
        <w:t>’</w:t>
      </w:r>
      <w:r w:rsidRPr="00FC60C1">
        <w:rPr>
          <w:lang w:val="fr-FR"/>
        </w:rPr>
        <w:t>assistance informatique, la gestion et configuration réseau, l</w:t>
      </w:r>
      <w:r w:rsidR="002A6A82">
        <w:rPr>
          <w:lang w:val="fr-FR"/>
        </w:rPr>
        <w:t>’</w:t>
      </w:r>
      <w:r w:rsidRPr="00FC60C1">
        <w:rPr>
          <w:lang w:val="fr-FR"/>
        </w:rPr>
        <w:t xml:space="preserve">assistance informatique pendant les </w:t>
      </w:r>
      <w:r w:rsidR="00450D9E" w:rsidRPr="00FC60C1">
        <w:rPr>
          <w:lang w:val="fr-FR"/>
        </w:rPr>
        <w:t>réunions et la sécurité réseau.</w:t>
      </w:r>
    </w:p>
    <w:p w14:paraId="43F77E77" w14:textId="1D67D62E" w:rsidR="00863F6A" w:rsidRPr="00FC60C1" w:rsidRDefault="00084761" w:rsidP="000E59A4">
      <w:pPr>
        <w:pStyle w:val="Normalnumber"/>
        <w:keepNext/>
        <w:ind w:left="1253"/>
        <w:rPr>
          <w:lang w:val="fr-FR"/>
        </w:rPr>
      </w:pPr>
      <w:r>
        <w:rPr>
          <w:lang w:val="fr-FR"/>
        </w:rPr>
        <w:t>La section </w:t>
      </w:r>
      <w:r w:rsidR="00720BF5" w:rsidRPr="00FC60C1">
        <w:rPr>
          <w:lang w:val="fr-FR"/>
        </w:rPr>
        <w:t>B de l</w:t>
      </w:r>
      <w:r w:rsidR="002A6A82">
        <w:rPr>
          <w:lang w:val="fr-FR"/>
        </w:rPr>
        <w:t>’</w:t>
      </w:r>
      <w:r w:rsidR="00720BF5" w:rsidRPr="00FC60C1">
        <w:rPr>
          <w:lang w:val="fr-FR"/>
        </w:rPr>
        <w:t>annexe I de la présente proposition indique les dépenses de personnel telles que présentées dans le projet de budget de la Secrétaire exécuti</w:t>
      </w:r>
      <w:r w:rsidR="00450D9E" w:rsidRPr="00FC60C1">
        <w:rPr>
          <w:lang w:val="fr-FR"/>
        </w:rPr>
        <w:t>ve pour l</w:t>
      </w:r>
      <w:r w:rsidR="002A6A82">
        <w:rPr>
          <w:lang w:val="fr-FR"/>
        </w:rPr>
        <w:t>’</w:t>
      </w:r>
      <w:r>
        <w:rPr>
          <w:lang w:val="fr-FR"/>
        </w:rPr>
        <w:t>exercice biennal </w:t>
      </w:r>
      <w:r w:rsidR="00450D9E" w:rsidRPr="00FC60C1">
        <w:rPr>
          <w:lang w:val="fr-FR"/>
        </w:rPr>
        <w:t>2020</w:t>
      </w:r>
      <w:r w:rsidR="00450D9E" w:rsidRPr="00FC60C1">
        <w:rPr>
          <w:lang w:val="fr-FR"/>
        </w:rPr>
        <w:noBreakHyphen/>
      </w:r>
      <w:r w:rsidR="00720BF5" w:rsidRPr="00FC60C1">
        <w:rPr>
          <w:lang w:val="fr-FR"/>
        </w:rPr>
        <w:t xml:space="preserve">2021 ainsi que les coûts qui pourraient être imputés aux services partagés avec le Secrétariat </w:t>
      </w:r>
      <w:r w:rsidR="0022698D">
        <w:rPr>
          <w:lang w:val="fr-FR"/>
        </w:rPr>
        <w:t>des conventions</w:t>
      </w:r>
      <w:r w:rsidR="00720BF5" w:rsidRPr="00FC60C1">
        <w:rPr>
          <w:lang w:val="fr-FR"/>
        </w:rPr>
        <w:t xml:space="preserve"> de Bâle</w:t>
      </w:r>
      <w:r w:rsidR="00450D9E" w:rsidRPr="00FC60C1">
        <w:rPr>
          <w:lang w:val="fr-FR"/>
        </w:rPr>
        <w:t>, de Rotterdam et de Stockholm.</w:t>
      </w:r>
    </w:p>
    <w:p w14:paraId="6F88251F" w14:textId="77777777" w:rsidR="00863F6A" w:rsidRPr="00FC60C1" w:rsidRDefault="00863F6A" w:rsidP="00863F6A">
      <w:pPr>
        <w:pStyle w:val="Normal-pool"/>
        <w:ind w:left="360" w:right="108"/>
        <w:jc w:val="both"/>
        <w:rPr>
          <w:lang w:val="fr-FR"/>
        </w:rPr>
      </w:pPr>
    </w:p>
    <w:p w14:paraId="5504FCD6" w14:textId="77777777" w:rsidR="00863F6A" w:rsidRPr="00FC60C1" w:rsidRDefault="00863F6A" w:rsidP="00863F6A">
      <w:pPr>
        <w:rPr>
          <w:b/>
          <w:bCs/>
          <w:u w:val="single"/>
          <w:lang w:val="fr-FR"/>
        </w:rPr>
      </w:pPr>
      <w:r w:rsidRPr="00FC60C1">
        <w:rPr>
          <w:b/>
          <w:bCs/>
          <w:u w:val="single"/>
          <w:lang w:val="fr-FR"/>
        </w:rPr>
        <w:br w:type="page"/>
      </w:r>
    </w:p>
    <w:p w14:paraId="3B649135" w14:textId="1870B2FA" w:rsidR="00863F6A" w:rsidRPr="00FC60C1" w:rsidRDefault="000A7F53" w:rsidP="00A317D9">
      <w:pPr>
        <w:pStyle w:val="ZZAnxtitle"/>
        <w:ind w:hanging="538"/>
        <w:rPr>
          <w:lang w:val="fr-FR"/>
        </w:rPr>
      </w:pPr>
      <w:r w:rsidRPr="00FC60C1">
        <w:rPr>
          <w:lang w:val="fr-FR"/>
        </w:rPr>
        <w:lastRenderedPageBreak/>
        <w:t>B.</w:t>
      </w:r>
      <w:r w:rsidRPr="00FC60C1">
        <w:rPr>
          <w:lang w:val="fr-FR"/>
        </w:rPr>
        <w:tab/>
      </w:r>
      <w:r w:rsidRPr="0003583A">
        <w:rPr>
          <w:sz w:val="24"/>
          <w:szCs w:val="24"/>
          <w:lang w:val="fr-FR"/>
        </w:rPr>
        <w:t xml:space="preserve">Financement des postes concernés par le transfert de fonctionnaires du secrétariat de la Convention de Minamata au Secrétariat </w:t>
      </w:r>
      <w:r w:rsidR="0022698D" w:rsidRPr="0003583A">
        <w:rPr>
          <w:sz w:val="24"/>
          <w:szCs w:val="24"/>
          <w:lang w:val="fr-FR"/>
        </w:rPr>
        <w:t>des conventions</w:t>
      </w:r>
      <w:r w:rsidRPr="0003583A">
        <w:rPr>
          <w:sz w:val="24"/>
          <w:szCs w:val="24"/>
          <w:lang w:val="fr-FR"/>
        </w:rPr>
        <w:t xml:space="preserve"> de Bâle, de Rotterdam et de Stockholm</w:t>
      </w:r>
      <w:bookmarkStart w:id="29" w:name="_Toc22279026"/>
      <w:bookmarkStart w:id="30" w:name="_Toc21073447"/>
      <w:bookmarkEnd w:id="29"/>
      <w:bookmarkEnd w:id="30"/>
    </w:p>
    <w:tbl>
      <w:tblPr>
        <w:tblStyle w:val="TableGrid"/>
        <w:tblW w:w="8307"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425"/>
        <w:gridCol w:w="1174"/>
        <w:gridCol w:w="1354"/>
        <w:gridCol w:w="1354"/>
      </w:tblGrid>
      <w:tr w:rsidR="00863F6A" w:rsidRPr="0003583A" w14:paraId="43983264" w14:textId="77777777" w:rsidTr="00174DCA">
        <w:trPr>
          <w:trHeight w:val="57"/>
          <w:jc w:val="right"/>
        </w:trPr>
        <w:tc>
          <w:tcPr>
            <w:tcW w:w="4425" w:type="dxa"/>
            <w:tcBorders>
              <w:top w:val="single" w:sz="2" w:space="0" w:color="auto"/>
              <w:left w:val="dotted" w:sz="4" w:space="0" w:color="auto"/>
              <w:bottom w:val="single" w:sz="12" w:space="0" w:color="auto"/>
              <w:right w:val="dotted" w:sz="4" w:space="0" w:color="auto"/>
            </w:tcBorders>
          </w:tcPr>
          <w:p w14:paraId="19769A8B" w14:textId="7ACD3843" w:rsidR="00863F6A" w:rsidRPr="0003583A" w:rsidRDefault="00863F6A" w:rsidP="00174DCA">
            <w:pPr>
              <w:pStyle w:val="Normal-pool"/>
              <w:spacing w:before="40" w:after="40"/>
              <w:rPr>
                <w:b/>
                <w:sz w:val="18"/>
                <w:szCs w:val="18"/>
                <w:lang w:val="fr-FR"/>
              </w:rPr>
            </w:pPr>
            <w:r w:rsidRPr="0003583A">
              <w:rPr>
                <w:sz w:val="18"/>
                <w:szCs w:val="18"/>
                <w:lang w:val="fr-FR"/>
              </w:rPr>
              <w:t xml:space="preserve">A. </w:t>
            </w:r>
            <w:r w:rsidRPr="0003583A">
              <w:rPr>
                <w:b/>
                <w:bCs/>
                <w:sz w:val="18"/>
                <w:szCs w:val="18"/>
                <w:lang w:val="fr-FR"/>
              </w:rPr>
              <w:t>Financement au moyen du Fonds d</w:t>
            </w:r>
            <w:r w:rsidR="002A6A82" w:rsidRPr="0003583A">
              <w:rPr>
                <w:b/>
                <w:bCs/>
                <w:sz w:val="18"/>
                <w:szCs w:val="18"/>
                <w:lang w:val="fr-FR"/>
              </w:rPr>
              <w:t>’</w:t>
            </w:r>
            <w:r w:rsidRPr="0003583A">
              <w:rPr>
                <w:b/>
                <w:bCs/>
                <w:sz w:val="18"/>
                <w:szCs w:val="18"/>
                <w:lang w:val="fr-FR"/>
              </w:rPr>
              <w:t>affectation spéciale de la Convention de Minamata</w:t>
            </w:r>
          </w:p>
        </w:tc>
        <w:tc>
          <w:tcPr>
            <w:tcW w:w="1174" w:type="dxa"/>
            <w:tcBorders>
              <w:top w:val="single" w:sz="2" w:space="0" w:color="auto"/>
              <w:left w:val="dotted" w:sz="4" w:space="0" w:color="auto"/>
              <w:bottom w:val="single" w:sz="12" w:space="0" w:color="auto"/>
              <w:right w:val="dotted" w:sz="4" w:space="0" w:color="auto"/>
            </w:tcBorders>
          </w:tcPr>
          <w:p w14:paraId="63F05A7D" w14:textId="51BD10DD" w:rsidR="00863F6A" w:rsidRPr="0003583A" w:rsidRDefault="00863F6A" w:rsidP="00174DCA">
            <w:pPr>
              <w:pStyle w:val="Normal-pool"/>
              <w:spacing w:before="40" w:after="40"/>
              <w:jc w:val="right"/>
              <w:rPr>
                <w:i/>
                <w:sz w:val="18"/>
                <w:szCs w:val="18"/>
                <w:lang w:val="fr-FR"/>
              </w:rPr>
            </w:pPr>
            <w:r w:rsidRPr="0003583A">
              <w:rPr>
                <w:i/>
                <w:iCs/>
                <w:sz w:val="18"/>
                <w:szCs w:val="18"/>
                <w:lang w:val="fr-FR"/>
              </w:rPr>
              <w:t>Tous les postes</w:t>
            </w:r>
          </w:p>
        </w:tc>
        <w:tc>
          <w:tcPr>
            <w:tcW w:w="1354" w:type="dxa"/>
            <w:tcBorders>
              <w:top w:val="single" w:sz="2" w:space="0" w:color="auto"/>
              <w:left w:val="dotted" w:sz="4" w:space="0" w:color="auto"/>
              <w:bottom w:val="single" w:sz="12" w:space="0" w:color="auto"/>
              <w:right w:val="dotted" w:sz="4" w:space="0" w:color="auto"/>
            </w:tcBorders>
          </w:tcPr>
          <w:p w14:paraId="16CC6539" w14:textId="77777777" w:rsidR="00863F6A" w:rsidRPr="0003583A" w:rsidRDefault="00863F6A" w:rsidP="00174DCA">
            <w:pPr>
              <w:pStyle w:val="Normal-pool"/>
              <w:spacing w:before="40" w:after="40"/>
              <w:jc w:val="right"/>
              <w:rPr>
                <w:i/>
                <w:sz w:val="18"/>
                <w:szCs w:val="18"/>
                <w:lang w:val="fr-FR"/>
              </w:rPr>
            </w:pPr>
            <w:r w:rsidRPr="0003583A">
              <w:rPr>
                <w:i/>
                <w:iCs/>
                <w:sz w:val="18"/>
                <w:szCs w:val="18"/>
                <w:lang w:val="fr-FR"/>
              </w:rPr>
              <w:t>Transfert vers BRS</w:t>
            </w:r>
          </w:p>
        </w:tc>
        <w:tc>
          <w:tcPr>
            <w:tcW w:w="1354" w:type="dxa"/>
            <w:tcBorders>
              <w:top w:val="single" w:sz="2" w:space="0" w:color="auto"/>
              <w:left w:val="dotted" w:sz="4" w:space="0" w:color="auto"/>
              <w:bottom w:val="single" w:sz="12" w:space="0" w:color="auto"/>
              <w:right w:val="dotted" w:sz="4" w:space="0" w:color="auto"/>
            </w:tcBorders>
          </w:tcPr>
          <w:p w14:paraId="3A540031" w14:textId="77777777" w:rsidR="00863F6A" w:rsidRPr="0003583A" w:rsidRDefault="00863F6A" w:rsidP="00174DCA">
            <w:pPr>
              <w:pStyle w:val="Normal-pool"/>
              <w:spacing w:before="40" w:after="40"/>
              <w:jc w:val="right"/>
              <w:rPr>
                <w:i/>
                <w:sz w:val="18"/>
                <w:szCs w:val="18"/>
                <w:lang w:val="fr-FR"/>
              </w:rPr>
            </w:pPr>
            <w:r w:rsidRPr="0003583A">
              <w:rPr>
                <w:i/>
                <w:iCs/>
                <w:sz w:val="18"/>
                <w:szCs w:val="18"/>
                <w:lang w:val="fr-FR"/>
              </w:rPr>
              <w:t>Maintien à la CM</w:t>
            </w:r>
          </w:p>
        </w:tc>
      </w:tr>
      <w:tr w:rsidR="00863F6A" w:rsidRPr="0003583A" w14:paraId="6B2CF6E5" w14:textId="77777777" w:rsidTr="00174DCA">
        <w:trPr>
          <w:trHeight w:val="57"/>
          <w:jc w:val="right"/>
        </w:trPr>
        <w:tc>
          <w:tcPr>
            <w:tcW w:w="4425" w:type="dxa"/>
            <w:tcBorders>
              <w:top w:val="single" w:sz="12" w:space="0" w:color="auto"/>
            </w:tcBorders>
          </w:tcPr>
          <w:p w14:paraId="40D1F0F5" w14:textId="77777777" w:rsidR="00863F6A" w:rsidRPr="0003583A" w:rsidRDefault="00863F6A" w:rsidP="00174DCA">
            <w:pPr>
              <w:pStyle w:val="Normal-pool"/>
              <w:spacing w:before="40" w:after="40"/>
              <w:rPr>
                <w:sz w:val="18"/>
                <w:szCs w:val="18"/>
                <w:lang w:val="fr-FR"/>
              </w:rPr>
            </w:pPr>
            <w:r w:rsidRPr="0003583A">
              <w:rPr>
                <w:sz w:val="18"/>
                <w:szCs w:val="18"/>
                <w:lang w:val="fr-FR"/>
              </w:rPr>
              <w:t>D-1 - Secrétaire exécutif</w:t>
            </w:r>
          </w:p>
        </w:tc>
        <w:tc>
          <w:tcPr>
            <w:tcW w:w="1174" w:type="dxa"/>
            <w:tcBorders>
              <w:top w:val="single" w:sz="12" w:space="0" w:color="auto"/>
            </w:tcBorders>
          </w:tcPr>
          <w:p w14:paraId="5115BD8C" w14:textId="7C860E8A" w:rsidR="00863F6A" w:rsidRPr="0003583A" w:rsidRDefault="0003583A" w:rsidP="00174DCA">
            <w:pPr>
              <w:pStyle w:val="Normal-pool"/>
              <w:spacing w:before="40" w:after="40"/>
              <w:jc w:val="right"/>
              <w:rPr>
                <w:sz w:val="18"/>
                <w:szCs w:val="18"/>
                <w:lang w:val="fr-FR"/>
              </w:rPr>
            </w:pPr>
            <w:r>
              <w:rPr>
                <w:sz w:val="18"/>
                <w:szCs w:val="18"/>
                <w:lang w:val="fr-FR"/>
              </w:rPr>
              <w:t>565 </w:t>
            </w:r>
            <w:r w:rsidR="00863F6A" w:rsidRPr="0003583A">
              <w:rPr>
                <w:sz w:val="18"/>
                <w:szCs w:val="18"/>
                <w:lang w:val="fr-FR"/>
              </w:rPr>
              <w:t>496</w:t>
            </w:r>
          </w:p>
        </w:tc>
        <w:tc>
          <w:tcPr>
            <w:tcW w:w="1354" w:type="dxa"/>
            <w:tcBorders>
              <w:top w:val="single" w:sz="12" w:space="0" w:color="auto"/>
            </w:tcBorders>
          </w:tcPr>
          <w:p w14:paraId="4A1575D5" w14:textId="130C7499"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c>
          <w:tcPr>
            <w:tcW w:w="1354" w:type="dxa"/>
            <w:tcBorders>
              <w:top w:val="single" w:sz="12" w:space="0" w:color="auto"/>
            </w:tcBorders>
          </w:tcPr>
          <w:p w14:paraId="34563B48" w14:textId="4FFDCB7F" w:rsidR="00863F6A" w:rsidRPr="0003583A" w:rsidRDefault="0003583A" w:rsidP="00174DCA">
            <w:pPr>
              <w:pStyle w:val="Normal-pool"/>
              <w:spacing w:before="40" w:after="40"/>
              <w:jc w:val="right"/>
              <w:rPr>
                <w:sz w:val="18"/>
                <w:szCs w:val="18"/>
                <w:lang w:val="fr-FR"/>
              </w:rPr>
            </w:pPr>
            <w:r>
              <w:rPr>
                <w:sz w:val="18"/>
                <w:szCs w:val="18"/>
                <w:lang w:val="fr-FR"/>
              </w:rPr>
              <w:t>565 </w:t>
            </w:r>
            <w:r w:rsidR="00863F6A" w:rsidRPr="0003583A">
              <w:rPr>
                <w:sz w:val="18"/>
                <w:szCs w:val="18"/>
                <w:lang w:val="fr-FR"/>
              </w:rPr>
              <w:t>496</w:t>
            </w:r>
          </w:p>
        </w:tc>
      </w:tr>
      <w:tr w:rsidR="00863F6A" w:rsidRPr="0003583A" w14:paraId="4DDC1D71" w14:textId="77777777" w:rsidTr="00174DCA">
        <w:trPr>
          <w:trHeight w:val="57"/>
          <w:jc w:val="right"/>
        </w:trPr>
        <w:tc>
          <w:tcPr>
            <w:tcW w:w="4425" w:type="dxa"/>
          </w:tcPr>
          <w:p w14:paraId="3708A2CE" w14:textId="440A5E3A" w:rsidR="00863F6A" w:rsidRPr="0003583A" w:rsidRDefault="00863F6A" w:rsidP="00174DCA">
            <w:pPr>
              <w:pStyle w:val="Normal-pool"/>
              <w:spacing w:before="40" w:after="40"/>
              <w:rPr>
                <w:sz w:val="18"/>
                <w:szCs w:val="18"/>
                <w:lang w:val="fr-FR"/>
              </w:rPr>
            </w:pPr>
            <w:r w:rsidRPr="0003583A">
              <w:rPr>
                <w:sz w:val="18"/>
                <w:szCs w:val="18"/>
                <w:lang w:val="fr-FR"/>
              </w:rPr>
              <w:t>P-5 - Coordination et politiques</w:t>
            </w:r>
          </w:p>
        </w:tc>
        <w:tc>
          <w:tcPr>
            <w:tcW w:w="1174" w:type="dxa"/>
          </w:tcPr>
          <w:p w14:paraId="615A9D2A" w14:textId="52A87467" w:rsidR="00863F6A" w:rsidRPr="0003583A" w:rsidRDefault="0003583A" w:rsidP="00174DCA">
            <w:pPr>
              <w:pStyle w:val="Normal-pool"/>
              <w:spacing w:before="40" w:after="40"/>
              <w:jc w:val="right"/>
              <w:rPr>
                <w:sz w:val="18"/>
                <w:szCs w:val="18"/>
                <w:lang w:val="fr-FR"/>
              </w:rPr>
            </w:pPr>
            <w:r>
              <w:rPr>
                <w:sz w:val="18"/>
                <w:szCs w:val="18"/>
                <w:lang w:val="fr-FR"/>
              </w:rPr>
              <w:t>507 </w:t>
            </w:r>
            <w:r w:rsidR="00863F6A" w:rsidRPr="0003583A">
              <w:rPr>
                <w:sz w:val="18"/>
                <w:szCs w:val="18"/>
                <w:lang w:val="fr-FR"/>
              </w:rPr>
              <w:t>409</w:t>
            </w:r>
          </w:p>
        </w:tc>
        <w:tc>
          <w:tcPr>
            <w:tcW w:w="1354" w:type="dxa"/>
          </w:tcPr>
          <w:p w14:paraId="6C4C3669" w14:textId="3CED6201"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c>
          <w:tcPr>
            <w:tcW w:w="1354" w:type="dxa"/>
          </w:tcPr>
          <w:p w14:paraId="42D05866" w14:textId="3EAB2A84" w:rsidR="00863F6A" w:rsidRPr="0003583A" w:rsidRDefault="0003583A" w:rsidP="00174DCA">
            <w:pPr>
              <w:pStyle w:val="Normal-pool"/>
              <w:spacing w:before="40" w:after="40"/>
              <w:jc w:val="right"/>
              <w:rPr>
                <w:sz w:val="18"/>
                <w:szCs w:val="18"/>
                <w:lang w:val="fr-FR"/>
              </w:rPr>
            </w:pPr>
            <w:r>
              <w:rPr>
                <w:sz w:val="18"/>
                <w:szCs w:val="18"/>
                <w:lang w:val="fr-FR"/>
              </w:rPr>
              <w:t>507 </w:t>
            </w:r>
            <w:r w:rsidR="00863F6A" w:rsidRPr="0003583A">
              <w:rPr>
                <w:sz w:val="18"/>
                <w:szCs w:val="18"/>
                <w:lang w:val="fr-FR"/>
              </w:rPr>
              <w:t>409</w:t>
            </w:r>
          </w:p>
        </w:tc>
      </w:tr>
      <w:tr w:rsidR="00863F6A" w:rsidRPr="0003583A" w14:paraId="201BE9D4" w14:textId="77777777" w:rsidTr="00174DCA">
        <w:trPr>
          <w:trHeight w:val="57"/>
          <w:jc w:val="right"/>
        </w:trPr>
        <w:tc>
          <w:tcPr>
            <w:tcW w:w="4425" w:type="dxa"/>
          </w:tcPr>
          <w:p w14:paraId="10625078" w14:textId="50419529" w:rsidR="00863F6A" w:rsidRPr="0003583A" w:rsidRDefault="00863F6A" w:rsidP="00174DCA">
            <w:pPr>
              <w:pStyle w:val="Normal-pool"/>
              <w:spacing w:before="40" w:after="40"/>
              <w:rPr>
                <w:sz w:val="18"/>
                <w:szCs w:val="18"/>
                <w:lang w:val="fr-FR"/>
              </w:rPr>
            </w:pPr>
            <w:r w:rsidRPr="0003583A">
              <w:rPr>
                <w:sz w:val="18"/>
                <w:szCs w:val="18"/>
                <w:lang w:val="fr-FR"/>
              </w:rPr>
              <w:t>P-4 - Science et technologie</w:t>
            </w:r>
          </w:p>
        </w:tc>
        <w:tc>
          <w:tcPr>
            <w:tcW w:w="1174" w:type="dxa"/>
          </w:tcPr>
          <w:p w14:paraId="26B5CBF6" w14:textId="63084CA1" w:rsidR="00863F6A" w:rsidRPr="0003583A" w:rsidRDefault="0003583A" w:rsidP="00174DCA">
            <w:pPr>
              <w:pStyle w:val="Normal-pool"/>
              <w:spacing w:before="40" w:after="40"/>
              <w:jc w:val="right"/>
              <w:rPr>
                <w:sz w:val="18"/>
                <w:szCs w:val="18"/>
                <w:lang w:val="fr-FR"/>
              </w:rPr>
            </w:pPr>
            <w:r>
              <w:rPr>
                <w:sz w:val="18"/>
                <w:szCs w:val="18"/>
                <w:lang w:val="fr-FR"/>
              </w:rPr>
              <w:t>435 </w:t>
            </w:r>
            <w:r w:rsidR="00863F6A" w:rsidRPr="0003583A">
              <w:rPr>
                <w:sz w:val="18"/>
                <w:szCs w:val="18"/>
                <w:lang w:val="fr-FR"/>
              </w:rPr>
              <w:t>654</w:t>
            </w:r>
          </w:p>
        </w:tc>
        <w:tc>
          <w:tcPr>
            <w:tcW w:w="1354" w:type="dxa"/>
          </w:tcPr>
          <w:p w14:paraId="275E50F8" w14:textId="5D548F4C"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c>
          <w:tcPr>
            <w:tcW w:w="1354" w:type="dxa"/>
          </w:tcPr>
          <w:p w14:paraId="68550133" w14:textId="5311FB35" w:rsidR="00863F6A" w:rsidRPr="0003583A" w:rsidRDefault="0003583A" w:rsidP="00174DCA">
            <w:pPr>
              <w:pStyle w:val="Normal-pool"/>
              <w:spacing w:before="40" w:after="40"/>
              <w:jc w:val="right"/>
              <w:rPr>
                <w:sz w:val="18"/>
                <w:szCs w:val="18"/>
                <w:lang w:val="fr-FR"/>
              </w:rPr>
            </w:pPr>
            <w:r>
              <w:rPr>
                <w:sz w:val="18"/>
                <w:szCs w:val="18"/>
                <w:lang w:val="fr-FR"/>
              </w:rPr>
              <w:t>435 </w:t>
            </w:r>
            <w:r w:rsidR="00863F6A" w:rsidRPr="0003583A">
              <w:rPr>
                <w:sz w:val="18"/>
                <w:szCs w:val="18"/>
                <w:lang w:val="fr-FR"/>
              </w:rPr>
              <w:t>654</w:t>
            </w:r>
          </w:p>
        </w:tc>
      </w:tr>
      <w:tr w:rsidR="00863F6A" w:rsidRPr="0003583A" w14:paraId="193B83F9" w14:textId="77777777" w:rsidTr="00174DCA">
        <w:trPr>
          <w:trHeight w:val="57"/>
          <w:jc w:val="right"/>
        </w:trPr>
        <w:tc>
          <w:tcPr>
            <w:tcW w:w="4425" w:type="dxa"/>
          </w:tcPr>
          <w:p w14:paraId="69E63DDC" w14:textId="03B90935" w:rsidR="00863F6A" w:rsidRPr="0003583A" w:rsidRDefault="00863F6A" w:rsidP="00174DCA">
            <w:pPr>
              <w:pStyle w:val="Normal-pool"/>
              <w:spacing w:before="40" w:after="40"/>
              <w:rPr>
                <w:sz w:val="18"/>
                <w:szCs w:val="18"/>
                <w:lang w:val="fr-FR"/>
              </w:rPr>
            </w:pPr>
            <w:r w:rsidRPr="0003583A">
              <w:rPr>
                <w:sz w:val="18"/>
                <w:szCs w:val="18"/>
                <w:lang w:val="fr-FR"/>
              </w:rPr>
              <w:t>P-4 - Renforcement des capacités et assistance technique</w:t>
            </w:r>
          </w:p>
        </w:tc>
        <w:tc>
          <w:tcPr>
            <w:tcW w:w="1174" w:type="dxa"/>
          </w:tcPr>
          <w:p w14:paraId="40E00494" w14:textId="699BA8AD" w:rsidR="00863F6A" w:rsidRPr="0003583A" w:rsidRDefault="0003583A" w:rsidP="00174DCA">
            <w:pPr>
              <w:pStyle w:val="Normal-pool"/>
              <w:spacing w:before="40" w:after="40"/>
              <w:jc w:val="right"/>
              <w:rPr>
                <w:sz w:val="18"/>
                <w:szCs w:val="18"/>
                <w:lang w:val="fr-FR"/>
              </w:rPr>
            </w:pPr>
            <w:r>
              <w:rPr>
                <w:sz w:val="18"/>
                <w:szCs w:val="18"/>
                <w:lang w:val="fr-FR"/>
              </w:rPr>
              <w:t>435 </w:t>
            </w:r>
            <w:r w:rsidR="00863F6A" w:rsidRPr="0003583A">
              <w:rPr>
                <w:sz w:val="18"/>
                <w:szCs w:val="18"/>
                <w:lang w:val="fr-FR"/>
              </w:rPr>
              <w:t>654</w:t>
            </w:r>
          </w:p>
        </w:tc>
        <w:tc>
          <w:tcPr>
            <w:tcW w:w="1354" w:type="dxa"/>
          </w:tcPr>
          <w:p w14:paraId="6D1C6B91" w14:textId="783BB214" w:rsidR="00863F6A" w:rsidRPr="0003583A" w:rsidRDefault="0003583A" w:rsidP="00174DCA">
            <w:pPr>
              <w:pStyle w:val="Normal-pool"/>
              <w:spacing w:before="40" w:after="40"/>
              <w:jc w:val="right"/>
              <w:rPr>
                <w:sz w:val="18"/>
                <w:szCs w:val="18"/>
                <w:lang w:val="fr-FR"/>
              </w:rPr>
            </w:pPr>
            <w:r>
              <w:rPr>
                <w:sz w:val="18"/>
                <w:szCs w:val="18"/>
                <w:lang w:val="fr-FR"/>
              </w:rPr>
              <w:t>435 </w:t>
            </w:r>
            <w:r w:rsidR="00863F6A" w:rsidRPr="0003583A">
              <w:rPr>
                <w:sz w:val="18"/>
                <w:szCs w:val="18"/>
                <w:lang w:val="fr-FR"/>
              </w:rPr>
              <w:t>654</w:t>
            </w:r>
          </w:p>
        </w:tc>
        <w:tc>
          <w:tcPr>
            <w:tcW w:w="1354" w:type="dxa"/>
          </w:tcPr>
          <w:p w14:paraId="765796A7" w14:textId="3995EEF9"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r>
      <w:tr w:rsidR="00863F6A" w:rsidRPr="0003583A" w14:paraId="7F716FF1" w14:textId="77777777" w:rsidTr="001639C5">
        <w:trPr>
          <w:trHeight w:val="57"/>
          <w:jc w:val="right"/>
        </w:trPr>
        <w:tc>
          <w:tcPr>
            <w:tcW w:w="4425" w:type="dxa"/>
          </w:tcPr>
          <w:p w14:paraId="1B42B250" w14:textId="4C6A0D0D" w:rsidR="00863F6A" w:rsidRPr="0003583A" w:rsidRDefault="00863F6A" w:rsidP="00E14E7E">
            <w:pPr>
              <w:pStyle w:val="Normal-pool"/>
              <w:rPr>
                <w:sz w:val="18"/>
                <w:szCs w:val="18"/>
                <w:lang w:val="fr-FR"/>
              </w:rPr>
            </w:pPr>
            <w:r w:rsidRPr="0003583A">
              <w:rPr>
                <w:sz w:val="18"/>
                <w:szCs w:val="18"/>
                <w:lang w:val="fr-FR"/>
              </w:rPr>
              <w:t>P-4 - Administrateur(trice) de programmes</w:t>
            </w:r>
          </w:p>
        </w:tc>
        <w:tc>
          <w:tcPr>
            <w:tcW w:w="1174" w:type="dxa"/>
          </w:tcPr>
          <w:p w14:paraId="68BF6C25" w14:textId="68C4A46D" w:rsidR="00863F6A" w:rsidRPr="0003583A" w:rsidRDefault="0003583A" w:rsidP="00174DCA">
            <w:pPr>
              <w:pStyle w:val="Normal-pool"/>
              <w:spacing w:before="40" w:after="40"/>
              <w:jc w:val="right"/>
              <w:rPr>
                <w:sz w:val="18"/>
                <w:szCs w:val="18"/>
                <w:lang w:val="fr-FR"/>
              </w:rPr>
            </w:pPr>
            <w:r>
              <w:rPr>
                <w:sz w:val="18"/>
                <w:szCs w:val="18"/>
                <w:lang w:val="fr-FR"/>
              </w:rPr>
              <w:t>435 </w:t>
            </w:r>
            <w:r w:rsidR="00863F6A" w:rsidRPr="0003583A">
              <w:rPr>
                <w:sz w:val="18"/>
                <w:szCs w:val="18"/>
                <w:lang w:val="fr-FR"/>
              </w:rPr>
              <w:t>654</w:t>
            </w:r>
          </w:p>
        </w:tc>
        <w:tc>
          <w:tcPr>
            <w:tcW w:w="1354" w:type="dxa"/>
          </w:tcPr>
          <w:p w14:paraId="12A4B36B" w14:textId="79E6E0DF"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c>
          <w:tcPr>
            <w:tcW w:w="1354" w:type="dxa"/>
          </w:tcPr>
          <w:p w14:paraId="5383B988" w14:textId="68577211" w:rsidR="00863F6A" w:rsidRPr="0003583A" w:rsidRDefault="0003583A" w:rsidP="00174DCA">
            <w:pPr>
              <w:pStyle w:val="Normal-pool"/>
              <w:spacing w:before="40" w:after="40"/>
              <w:jc w:val="right"/>
              <w:rPr>
                <w:sz w:val="18"/>
                <w:szCs w:val="18"/>
                <w:lang w:val="fr-FR"/>
              </w:rPr>
            </w:pPr>
            <w:r>
              <w:rPr>
                <w:sz w:val="18"/>
                <w:szCs w:val="18"/>
                <w:lang w:val="fr-FR"/>
              </w:rPr>
              <w:t>435 </w:t>
            </w:r>
            <w:r w:rsidR="00863F6A" w:rsidRPr="0003583A">
              <w:rPr>
                <w:sz w:val="18"/>
                <w:szCs w:val="18"/>
                <w:lang w:val="fr-FR"/>
              </w:rPr>
              <w:t>654</w:t>
            </w:r>
          </w:p>
        </w:tc>
      </w:tr>
      <w:tr w:rsidR="00863F6A" w:rsidRPr="0003583A" w14:paraId="56A0B81C" w14:textId="77777777" w:rsidTr="001639C5">
        <w:trPr>
          <w:trHeight w:val="57"/>
          <w:jc w:val="right"/>
        </w:trPr>
        <w:tc>
          <w:tcPr>
            <w:tcW w:w="4425" w:type="dxa"/>
          </w:tcPr>
          <w:p w14:paraId="3DE07314" w14:textId="052EA5CA" w:rsidR="00863F6A" w:rsidRPr="0003583A" w:rsidRDefault="00863F6A" w:rsidP="00E14E7E">
            <w:pPr>
              <w:pStyle w:val="Normal-pool"/>
              <w:rPr>
                <w:sz w:val="18"/>
                <w:szCs w:val="18"/>
                <w:lang w:val="fr-FR"/>
              </w:rPr>
            </w:pPr>
            <w:r w:rsidRPr="0003583A">
              <w:rPr>
                <w:sz w:val="18"/>
                <w:szCs w:val="18"/>
                <w:lang w:val="fr-FR"/>
              </w:rPr>
              <w:t>P-3 - Juriste</w:t>
            </w:r>
          </w:p>
        </w:tc>
        <w:tc>
          <w:tcPr>
            <w:tcW w:w="1174" w:type="dxa"/>
          </w:tcPr>
          <w:p w14:paraId="66AB89ED" w14:textId="3F7FB604" w:rsidR="00863F6A" w:rsidRPr="0003583A" w:rsidRDefault="0003583A" w:rsidP="00174DCA">
            <w:pPr>
              <w:pStyle w:val="Normal-pool"/>
              <w:spacing w:before="40" w:after="40"/>
              <w:jc w:val="right"/>
              <w:rPr>
                <w:sz w:val="18"/>
                <w:szCs w:val="18"/>
                <w:lang w:val="fr-FR"/>
              </w:rPr>
            </w:pPr>
            <w:r>
              <w:rPr>
                <w:sz w:val="18"/>
                <w:szCs w:val="18"/>
                <w:lang w:val="fr-FR"/>
              </w:rPr>
              <w:t>359 </w:t>
            </w:r>
            <w:r w:rsidR="00863F6A" w:rsidRPr="0003583A">
              <w:rPr>
                <w:sz w:val="18"/>
                <w:szCs w:val="18"/>
                <w:lang w:val="fr-FR"/>
              </w:rPr>
              <w:t>628</w:t>
            </w:r>
          </w:p>
        </w:tc>
        <w:tc>
          <w:tcPr>
            <w:tcW w:w="1354" w:type="dxa"/>
          </w:tcPr>
          <w:p w14:paraId="5DD723C2" w14:textId="3C19A330" w:rsidR="00863F6A" w:rsidRPr="0003583A" w:rsidRDefault="0003583A" w:rsidP="00174DCA">
            <w:pPr>
              <w:pStyle w:val="Normal-pool"/>
              <w:spacing w:before="40" w:after="40"/>
              <w:jc w:val="right"/>
              <w:rPr>
                <w:sz w:val="18"/>
                <w:szCs w:val="18"/>
                <w:lang w:val="fr-FR"/>
              </w:rPr>
            </w:pPr>
            <w:r>
              <w:rPr>
                <w:sz w:val="18"/>
                <w:szCs w:val="18"/>
                <w:lang w:val="fr-FR"/>
              </w:rPr>
              <w:t>359 </w:t>
            </w:r>
            <w:r w:rsidR="00863F6A" w:rsidRPr="0003583A">
              <w:rPr>
                <w:sz w:val="18"/>
                <w:szCs w:val="18"/>
                <w:lang w:val="fr-FR"/>
              </w:rPr>
              <w:t>628</w:t>
            </w:r>
          </w:p>
        </w:tc>
        <w:tc>
          <w:tcPr>
            <w:tcW w:w="1354" w:type="dxa"/>
          </w:tcPr>
          <w:p w14:paraId="2183C170" w14:textId="2A68E8AE"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r>
      <w:tr w:rsidR="00863F6A" w:rsidRPr="0003583A" w14:paraId="6E9A3CE6" w14:textId="77777777" w:rsidTr="001639C5">
        <w:trPr>
          <w:trHeight w:val="57"/>
          <w:jc w:val="right"/>
        </w:trPr>
        <w:tc>
          <w:tcPr>
            <w:tcW w:w="4425" w:type="dxa"/>
          </w:tcPr>
          <w:p w14:paraId="6EC3DC84" w14:textId="67EE3AE4" w:rsidR="00863F6A" w:rsidRPr="0003583A" w:rsidRDefault="00863F6A" w:rsidP="00E14E7E">
            <w:pPr>
              <w:pStyle w:val="Normal-pool"/>
              <w:rPr>
                <w:sz w:val="18"/>
                <w:szCs w:val="18"/>
                <w:lang w:val="fr-FR"/>
              </w:rPr>
            </w:pPr>
            <w:r w:rsidRPr="0003583A">
              <w:rPr>
                <w:sz w:val="18"/>
                <w:szCs w:val="18"/>
                <w:lang w:val="fr-FR"/>
              </w:rPr>
              <w:t>P-3 - Spécialiste des communications</w:t>
            </w:r>
          </w:p>
        </w:tc>
        <w:tc>
          <w:tcPr>
            <w:tcW w:w="1174" w:type="dxa"/>
          </w:tcPr>
          <w:p w14:paraId="6AEFA5B1" w14:textId="755FE774" w:rsidR="00863F6A" w:rsidRPr="0003583A" w:rsidRDefault="0003583A" w:rsidP="00174DCA">
            <w:pPr>
              <w:pStyle w:val="Normal-pool"/>
              <w:spacing w:before="40" w:after="40"/>
              <w:jc w:val="right"/>
              <w:rPr>
                <w:sz w:val="18"/>
                <w:szCs w:val="18"/>
                <w:lang w:val="fr-FR"/>
              </w:rPr>
            </w:pPr>
            <w:r>
              <w:rPr>
                <w:sz w:val="18"/>
                <w:szCs w:val="18"/>
                <w:lang w:val="fr-FR"/>
              </w:rPr>
              <w:t>359 </w:t>
            </w:r>
            <w:r w:rsidR="00863F6A" w:rsidRPr="0003583A">
              <w:rPr>
                <w:sz w:val="18"/>
                <w:szCs w:val="18"/>
                <w:lang w:val="fr-FR"/>
              </w:rPr>
              <w:t>628</w:t>
            </w:r>
          </w:p>
        </w:tc>
        <w:tc>
          <w:tcPr>
            <w:tcW w:w="1354" w:type="dxa"/>
          </w:tcPr>
          <w:p w14:paraId="06B46D51" w14:textId="6AAB8390"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c>
          <w:tcPr>
            <w:tcW w:w="1354" w:type="dxa"/>
          </w:tcPr>
          <w:p w14:paraId="52D27333" w14:textId="0112802E" w:rsidR="00863F6A" w:rsidRPr="0003583A" w:rsidRDefault="0003583A" w:rsidP="00174DCA">
            <w:pPr>
              <w:pStyle w:val="Normal-pool"/>
              <w:spacing w:before="40" w:after="40"/>
              <w:jc w:val="right"/>
              <w:rPr>
                <w:sz w:val="18"/>
                <w:szCs w:val="18"/>
                <w:lang w:val="fr-FR"/>
              </w:rPr>
            </w:pPr>
            <w:r>
              <w:rPr>
                <w:sz w:val="18"/>
                <w:szCs w:val="18"/>
                <w:lang w:val="fr-FR"/>
              </w:rPr>
              <w:t>359 </w:t>
            </w:r>
            <w:r w:rsidR="00863F6A" w:rsidRPr="0003583A">
              <w:rPr>
                <w:sz w:val="18"/>
                <w:szCs w:val="18"/>
                <w:lang w:val="fr-FR"/>
              </w:rPr>
              <w:t>628</w:t>
            </w:r>
          </w:p>
        </w:tc>
      </w:tr>
      <w:tr w:rsidR="00863F6A" w:rsidRPr="0003583A" w14:paraId="1F2BFCCE" w14:textId="77777777" w:rsidTr="00174DCA">
        <w:trPr>
          <w:trHeight w:val="57"/>
          <w:jc w:val="right"/>
        </w:trPr>
        <w:tc>
          <w:tcPr>
            <w:tcW w:w="4425" w:type="dxa"/>
          </w:tcPr>
          <w:p w14:paraId="2E1F276F" w14:textId="71D395F7" w:rsidR="00863F6A" w:rsidRPr="0003583A" w:rsidRDefault="00863F6A" w:rsidP="00174DCA">
            <w:pPr>
              <w:pStyle w:val="Normal-pool"/>
              <w:spacing w:before="40" w:after="40"/>
              <w:rPr>
                <w:sz w:val="18"/>
                <w:szCs w:val="18"/>
                <w:lang w:val="fr-FR"/>
              </w:rPr>
            </w:pPr>
            <w:r w:rsidRPr="0003583A">
              <w:rPr>
                <w:sz w:val="18"/>
                <w:szCs w:val="18"/>
                <w:lang w:val="fr-FR"/>
              </w:rPr>
              <w:t>P-3 - Gestion du savoir</w:t>
            </w:r>
          </w:p>
        </w:tc>
        <w:tc>
          <w:tcPr>
            <w:tcW w:w="1174" w:type="dxa"/>
          </w:tcPr>
          <w:p w14:paraId="7C38AC1B" w14:textId="4DCA8E29" w:rsidR="00863F6A" w:rsidRPr="0003583A" w:rsidRDefault="0003583A" w:rsidP="00174DCA">
            <w:pPr>
              <w:pStyle w:val="Normal-pool"/>
              <w:spacing w:before="40" w:after="40"/>
              <w:jc w:val="right"/>
              <w:rPr>
                <w:sz w:val="18"/>
                <w:szCs w:val="18"/>
                <w:lang w:val="fr-FR"/>
              </w:rPr>
            </w:pPr>
            <w:r>
              <w:rPr>
                <w:sz w:val="18"/>
                <w:szCs w:val="18"/>
                <w:lang w:val="fr-FR"/>
              </w:rPr>
              <w:t>359 </w:t>
            </w:r>
            <w:r w:rsidR="00863F6A" w:rsidRPr="0003583A">
              <w:rPr>
                <w:sz w:val="18"/>
                <w:szCs w:val="18"/>
                <w:lang w:val="fr-FR"/>
              </w:rPr>
              <w:t>628</w:t>
            </w:r>
          </w:p>
        </w:tc>
        <w:tc>
          <w:tcPr>
            <w:tcW w:w="1354" w:type="dxa"/>
          </w:tcPr>
          <w:p w14:paraId="252F7F65" w14:textId="7AABCB85" w:rsidR="00863F6A" w:rsidRPr="0003583A" w:rsidRDefault="0003583A" w:rsidP="00174DCA">
            <w:pPr>
              <w:pStyle w:val="Normal-pool"/>
              <w:spacing w:before="40" w:after="40"/>
              <w:jc w:val="right"/>
              <w:rPr>
                <w:sz w:val="18"/>
                <w:szCs w:val="18"/>
                <w:lang w:val="fr-FR"/>
              </w:rPr>
            </w:pPr>
            <w:r>
              <w:rPr>
                <w:sz w:val="18"/>
                <w:szCs w:val="18"/>
                <w:lang w:val="fr-FR"/>
              </w:rPr>
              <w:t>359 </w:t>
            </w:r>
            <w:r w:rsidR="00863F6A" w:rsidRPr="0003583A">
              <w:rPr>
                <w:sz w:val="18"/>
                <w:szCs w:val="18"/>
                <w:lang w:val="fr-FR"/>
              </w:rPr>
              <w:t>628</w:t>
            </w:r>
          </w:p>
        </w:tc>
        <w:tc>
          <w:tcPr>
            <w:tcW w:w="1354" w:type="dxa"/>
          </w:tcPr>
          <w:p w14:paraId="2A371BA3" w14:textId="2DDE2651"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r>
      <w:tr w:rsidR="00863F6A" w:rsidRPr="0003583A" w14:paraId="5647745D" w14:textId="77777777" w:rsidTr="001639C5">
        <w:trPr>
          <w:trHeight w:val="57"/>
          <w:jc w:val="right"/>
        </w:trPr>
        <w:tc>
          <w:tcPr>
            <w:tcW w:w="4425" w:type="dxa"/>
          </w:tcPr>
          <w:p w14:paraId="758E3456" w14:textId="5CB11480" w:rsidR="00863F6A" w:rsidRPr="0003583A" w:rsidRDefault="00863F6A" w:rsidP="00E14E7E">
            <w:pPr>
              <w:pStyle w:val="Normal-pool"/>
              <w:rPr>
                <w:sz w:val="18"/>
                <w:szCs w:val="18"/>
                <w:lang w:val="fr-FR"/>
              </w:rPr>
            </w:pPr>
            <w:r w:rsidRPr="0003583A">
              <w:rPr>
                <w:sz w:val="18"/>
                <w:szCs w:val="18"/>
                <w:lang w:val="fr-FR"/>
              </w:rPr>
              <w:t>P-3 - Administrateur(trice) de programmes</w:t>
            </w:r>
          </w:p>
        </w:tc>
        <w:tc>
          <w:tcPr>
            <w:tcW w:w="1174" w:type="dxa"/>
          </w:tcPr>
          <w:p w14:paraId="6B7ACEB6" w14:textId="427B3D20" w:rsidR="00863F6A" w:rsidRPr="0003583A" w:rsidRDefault="0003583A" w:rsidP="00174DCA">
            <w:pPr>
              <w:pStyle w:val="Normal-pool"/>
              <w:spacing w:before="40" w:after="40"/>
              <w:jc w:val="right"/>
              <w:rPr>
                <w:sz w:val="18"/>
                <w:szCs w:val="18"/>
                <w:lang w:val="fr-FR"/>
              </w:rPr>
            </w:pPr>
            <w:r>
              <w:rPr>
                <w:sz w:val="18"/>
                <w:szCs w:val="18"/>
                <w:lang w:val="fr-FR"/>
              </w:rPr>
              <w:t>359 </w:t>
            </w:r>
            <w:r w:rsidR="00863F6A" w:rsidRPr="0003583A">
              <w:rPr>
                <w:sz w:val="18"/>
                <w:szCs w:val="18"/>
                <w:lang w:val="fr-FR"/>
              </w:rPr>
              <w:t>628</w:t>
            </w:r>
          </w:p>
        </w:tc>
        <w:tc>
          <w:tcPr>
            <w:tcW w:w="1354" w:type="dxa"/>
          </w:tcPr>
          <w:p w14:paraId="6159058A" w14:textId="074638C9"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c>
          <w:tcPr>
            <w:tcW w:w="1354" w:type="dxa"/>
          </w:tcPr>
          <w:p w14:paraId="2F366EDA" w14:textId="3EAF3B4F" w:rsidR="00863F6A" w:rsidRPr="0003583A" w:rsidRDefault="0003583A" w:rsidP="00174DCA">
            <w:pPr>
              <w:pStyle w:val="Normal-pool"/>
              <w:spacing w:before="40" w:after="40"/>
              <w:jc w:val="right"/>
              <w:rPr>
                <w:sz w:val="18"/>
                <w:szCs w:val="18"/>
                <w:lang w:val="fr-FR"/>
              </w:rPr>
            </w:pPr>
            <w:r>
              <w:rPr>
                <w:sz w:val="18"/>
                <w:szCs w:val="18"/>
                <w:lang w:val="fr-FR"/>
              </w:rPr>
              <w:t>359 </w:t>
            </w:r>
            <w:r w:rsidR="00863F6A" w:rsidRPr="0003583A">
              <w:rPr>
                <w:sz w:val="18"/>
                <w:szCs w:val="18"/>
                <w:lang w:val="fr-FR"/>
              </w:rPr>
              <w:t>628</w:t>
            </w:r>
          </w:p>
        </w:tc>
      </w:tr>
      <w:tr w:rsidR="00863F6A" w:rsidRPr="0003583A" w14:paraId="79771588" w14:textId="77777777" w:rsidTr="001639C5">
        <w:trPr>
          <w:trHeight w:val="57"/>
          <w:jc w:val="right"/>
        </w:trPr>
        <w:tc>
          <w:tcPr>
            <w:tcW w:w="4425" w:type="dxa"/>
          </w:tcPr>
          <w:p w14:paraId="0E480574" w14:textId="105A7CDB" w:rsidR="00863F6A" w:rsidRPr="0003583A" w:rsidRDefault="00863F6A" w:rsidP="00E14E7E">
            <w:pPr>
              <w:pStyle w:val="Normal-pool"/>
              <w:rPr>
                <w:sz w:val="18"/>
                <w:szCs w:val="18"/>
                <w:lang w:val="fr-FR"/>
              </w:rPr>
            </w:pPr>
            <w:r w:rsidRPr="0003583A">
              <w:rPr>
                <w:sz w:val="18"/>
                <w:szCs w:val="18"/>
                <w:lang w:val="fr-FR"/>
              </w:rPr>
              <w:t>G-6 - Assistant(e) administratif(ve)</w:t>
            </w:r>
          </w:p>
        </w:tc>
        <w:tc>
          <w:tcPr>
            <w:tcW w:w="1174" w:type="dxa"/>
          </w:tcPr>
          <w:p w14:paraId="7C05FBAB" w14:textId="6B89C551"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c>
          <w:tcPr>
            <w:tcW w:w="1354" w:type="dxa"/>
          </w:tcPr>
          <w:p w14:paraId="0C94C8BC" w14:textId="4F4D75B4"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c>
          <w:tcPr>
            <w:tcW w:w="1354" w:type="dxa"/>
          </w:tcPr>
          <w:p w14:paraId="42E58048" w14:textId="12B2DE89"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r>
      <w:tr w:rsidR="00863F6A" w:rsidRPr="0003583A" w14:paraId="739D6B69" w14:textId="77777777" w:rsidTr="001639C5">
        <w:trPr>
          <w:trHeight w:val="57"/>
          <w:jc w:val="right"/>
        </w:trPr>
        <w:tc>
          <w:tcPr>
            <w:tcW w:w="4425" w:type="dxa"/>
          </w:tcPr>
          <w:p w14:paraId="6881F844" w14:textId="4C642AF2" w:rsidR="00863F6A" w:rsidRPr="0003583A" w:rsidRDefault="00863F6A" w:rsidP="00E14E7E">
            <w:pPr>
              <w:pStyle w:val="Normal-pool"/>
              <w:rPr>
                <w:sz w:val="18"/>
                <w:szCs w:val="18"/>
                <w:lang w:val="fr-FR"/>
              </w:rPr>
            </w:pPr>
            <w:r w:rsidRPr="0003583A">
              <w:rPr>
                <w:sz w:val="18"/>
                <w:szCs w:val="18"/>
                <w:lang w:val="fr-FR"/>
              </w:rPr>
              <w:t>G-5 - Assistant(e) (gestion des programmes)</w:t>
            </w:r>
          </w:p>
        </w:tc>
        <w:tc>
          <w:tcPr>
            <w:tcW w:w="1174" w:type="dxa"/>
          </w:tcPr>
          <w:p w14:paraId="5D1E3E44" w14:textId="69E4E556"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c>
          <w:tcPr>
            <w:tcW w:w="1354" w:type="dxa"/>
          </w:tcPr>
          <w:p w14:paraId="6C479051" w14:textId="397890EA"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c>
          <w:tcPr>
            <w:tcW w:w="1354" w:type="dxa"/>
          </w:tcPr>
          <w:p w14:paraId="1078568F" w14:textId="6BBB1AE0"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r>
      <w:tr w:rsidR="00863F6A" w:rsidRPr="0003583A" w14:paraId="3600343E" w14:textId="77777777" w:rsidTr="001639C5">
        <w:trPr>
          <w:trHeight w:val="57"/>
          <w:jc w:val="right"/>
        </w:trPr>
        <w:tc>
          <w:tcPr>
            <w:tcW w:w="4425" w:type="dxa"/>
          </w:tcPr>
          <w:p w14:paraId="792E9593" w14:textId="1366E0F8" w:rsidR="00863F6A" w:rsidRPr="0003583A" w:rsidRDefault="00863F6A" w:rsidP="00E14E7E">
            <w:pPr>
              <w:pStyle w:val="Normal-pool"/>
              <w:rPr>
                <w:sz w:val="18"/>
                <w:szCs w:val="18"/>
                <w:lang w:val="fr-FR"/>
              </w:rPr>
            </w:pPr>
            <w:r w:rsidRPr="0003583A">
              <w:rPr>
                <w:sz w:val="18"/>
                <w:szCs w:val="18"/>
                <w:lang w:val="fr-FR"/>
              </w:rPr>
              <w:t>G-5 - Assistant(e) d</w:t>
            </w:r>
            <w:r w:rsidR="002A6A82" w:rsidRPr="0003583A">
              <w:rPr>
                <w:sz w:val="18"/>
                <w:szCs w:val="18"/>
                <w:lang w:val="fr-FR"/>
              </w:rPr>
              <w:t>’</w:t>
            </w:r>
            <w:r w:rsidRPr="0003583A">
              <w:rPr>
                <w:sz w:val="18"/>
                <w:szCs w:val="18"/>
                <w:lang w:val="fr-FR"/>
              </w:rPr>
              <w:t>information</w:t>
            </w:r>
          </w:p>
        </w:tc>
        <w:tc>
          <w:tcPr>
            <w:tcW w:w="1174" w:type="dxa"/>
          </w:tcPr>
          <w:p w14:paraId="0B2D211E" w14:textId="58480BDB"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c>
          <w:tcPr>
            <w:tcW w:w="1354" w:type="dxa"/>
          </w:tcPr>
          <w:p w14:paraId="5D5C20FD" w14:textId="5209B643"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c>
          <w:tcPr>
            <w:tcW w:w="1354" w:type="dxa"/>
          </w:tcPr>
          <w:p w14:paraId="326A6061" w14:textId="77F83BC2"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r>
      <w:tr w:rsidR="00863F6A" w:rsidRPr="0003583A" w14:paraId="395CFF0C" w14:textId="77777777" w:rsidTr="001639C5">
        <w:trPr>
          <w:trHeight w:val="57"/>
          <w:jc w:val="right"/>
        </w:trPr>
        <w:tc>
          <w:tcPr>
            <w:tcW w:w="4425" w:type="dxa"/>
          </w:tcPr>
          <w:p w14:paraId="40E1018B" w14:textId="31900315" w:rsidR="00863F6A" w:rsidRPr="0003583A" w:rsidRDefault="00863F6A" w:rsidP="00E14E7E">
            <w:pPr>
              <w:pStyle w:val="Normal-pool"/>
              <w:rPr>
                <w:sz w:val="18"/>
                <w:szCs w:val="18"/>
                <w:lang w:val="fr-FR"/>
              </w:rPr>
            </w:pPr>
            <w:r w:rsidRPr="0003583A">
              <w:rPr>
                <w:sz w:val="18"/>
                <w:szCs w:val="18"/>
                <w:lang w:val="fr-FR"/>
              </w:rPr>
              <w:t>G-4 - Assistant(e) d</w:t>
            </w:r>
            <w:r w:rsidR="002A6A82" w:rsidRPr="0003583A">
              <w:rPr>
                <w:sz w:val="18"/>
                <w:szCs w:val="18"/>
                <w:lang w:val="fr-FR"/>
              </w:rPr>
              <w:t>’</w:t>
            </w:r>
            <w:r w:rsidRPr="0003583A">
              <w:rPr>
                <w:sz w:val="18"/>
                <w:szCs w:val="18"/>
                <w:lang w:val="fr-FR"/>
              </w:rPr>
              <w:t>équipe</w:t>
            </w:r>
          </w:p>
        </w:tc>
        <w:tc>
          <w:tcPr>
            <w:tcW w:w="1174" w:type="dxa"/>
          </w:tcPr>
          <w:p w14:paraId="1305153B" w14:textId="1809F238"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c>
          <w:tcPr>
            <w:tcW w:w="1354" w:type="dxa"/>
          </w:tcPr>
          <w:p w14:paraId="450C22D8" w14:textId="6E5BE883"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c>
          <w:tcPr>
            <w:tcW w:w="1354" w:type="dxa"/>
          </w:tcPr>
          <w:p w14:paraId="7DA18AF6" w14:textId="37593646"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r>
      <w:tr w:rsidR="00863F6A" w:rsidRPr="0003583A" w14:paraId="1093F2D4" w14:textId="77777777" w:rsidTr="00174DCA">
        <w:trPr>
          <w:trHeight w:val="57"/>
          <w:jc w:val="right"/>
        </w:trPr>
        <w:tc>
          <w:tcPr>
            <w:tcW w:w="4425" w:type="dxa"/>
          </w:tcPr>
          <w:p w14:paraId="3FB1369E" w14:textId="49B883C4" w:rsidR="00863F6A" w:rsidRPr="0003583A" w:rsidRDefault="00863F6A" w:rsidP="00174DCA">
            <w:pPr>
              <w:pStyle w:val="Normal-pool"/>
              <w:spacing w:before="40" w:after="40"/>
              <w:rPr>
                <w:sz w:val="18"/>
                <w:szCs w:val="18"/>
                <w:lang w:val="fr-FR"/>
              </w:rPr>
            </w:pPr>
            <w:r w:rsidRPr="0003583A">
              <w:rPr>
                <w:sz w:val="18"/>
                <w:szCs w:val="18"/>
                <w:lang w:val="fr-FR"/>
              </w:rPr>
              <w:t>G-4 - Assistant(e) d</w:t>
            </w:r>
            <w:r w:rsidR="002A6A82" w:rsidRPr="0003583A">
              <w:rPr>
                <w:sz w:val="18"/>
                <w:szCs w:val="18"/>
                <w:lang w:val="fr-FR"/>
              </w:rPr>
              <w:t>’</w:t>
            </w:r>
            <w:r w:rsidRPr="0003583A">
              <w:rPr>
                <w:sz w:val="18"/>
                <w:szCs w:val="18"/>
                <w:lang w:val="fr-FR"/>
              </w:rPr>
              <w:t>équipe</w:t>
            </w:r>
          </w:p>
        </w:tc>
        <w:tc>
          <w:tcPr>
            <w:tcW w:w="1174" w:type="dxa"/>
          </w:tcPr>
          <w:p w14:paraId="0C891B47" w14:textId="1C919E0D"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c>
          <w:tcPr>
            <w:tcW w:w="1354" w:type="dxa"/>
          </w:tcPr>
          <w:p w14:paraId="02E81809" w14:textId="71B2530D"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c>
          <w:tcPr>
            <w:tcW w:w="1354" w:type="dxa"/>
          </w:tcPr>
          <w:p w14:paraId="1CEECF50" w14:textId="4D5E3DD1"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r>
      <w:tr w:rsidR="00863F6A" w:rsidRPr="0003583A" w14:paraId="278A8AF6" w14:textId="77777777" w:rsidTr="00174DCA">
        <w:trPr>
          <w:trHeight w:val="57"/>
          <w:jc w:val="right"/>
        </w:trPr>
        <w:tc>
          <w:tcPr>
            <w:tcW w:w="4425" w:type="dxa"/>
            <w:tcBorders>
              <w:bottom w:val="single" w:sz="4" w:space="0" w:color="auto"/>
            </w:tcBorders>
          </w:tcPr>
          <w:p w14:paraId="16D7736E" w14:textId="77777777" w:rsidR="00863F6A" w:rsidRPr="0003583A" w:rsidRDefault="00863F6A" w:rsidP="00174DCA">
            <w:pPr>
              <w:pStyle w:val="Normal-pool"/>
              <w:spacing w:before="40" w:after="40"/>
              <w:rPr>
                <w:sz w:val="18"/>
                <w:szCs w:val="18"/>
                <w:lang w:val="fr-FR"/>
              </w:rPr>
            </w:pPr>
            <w:r w:rsidRPr="0003583A">
              <w:rPr>
                <w:sz w:val="18"/>
                <w:szCs w:val="18"/>
                <w:lang w:val="fr-FR"/>
              </w:rPr>
              <w:t>Appui temporaire pour la CdP4</w:t>
            </w:r>
          </w:p>
        </w:tc>
        <w:tc>
          <w:tcPr>
            <w:tcW w:w="1174" w:type="dxa"/>
            <w:tcBorders>
              <w:bottom w:val="single" w:sz="4" w:space="0" w:color="auto"/>
            </w:tcBorders>
          </w:tcPr>
          <w:p w14:paraId="6273F037" w14:textId="271A179B" w:rsidR="00863F6A" w:rsidRPr="0003583A" w:rsidRDefault="0003583A" w:rsidP="00174DCA">
            <w:pPr>
              <w:pStyle w:val="Normal-pool"/>
              <w:spacing w:before="40" w:after="40"/>
              <w:jc w:val="right"/>
              <w:rPr>
                <w:sz w:val="18"/>
                <w:szCs w:val="18"/>
                <w:lang w:val="fr-FR"/>
              </w:rPr>
            </w:pPr>
            <w:r>
              <w:rPr>
                <w:sz w:val="18"/>
                <w:szCs w:val="18"/>
                <w:lang w:val="fr-FR"/>
              </w:rPr>
              <w:t>270 </w:t>
            </w:r>
            <w:r w:rsidR="00863F6A" w:rsidRPr="0003583A">
              <w:rPr>
                <w:sz w:val="18"/>
                <w:szCs w:val="18"/>
                <w:lang w:val="fr-FR"/>
              </w:rPr>
              <w:t>000</w:t>
            </w:r>
          </w:p>
        </w:tc>
        <w:tc>
          <w:tcPr>
            <w:tcW w:w="1354" w:type="dxa"/>
            <w:tcBorders>
              <w:bottom w:val="single" w:sz="4" w:space="0" w:color="auto"/>
            </w:tcBorders>
          </w:tcPr>
          <w:p w14:paraId="14D36319" w14:textId="0CE2BB82" w:rsidR="00863F6A" w:rsidRPr="0003583A" w:rsidRDefault="0003583A" w:rsidP="00174DCA">
            <w:pPr>
              <w:pStyle w:val="Normal-pool"/>
              <w:spacing w:before="40" w:after="40"/>
              <w:jc w:val="right"/>
              <w:rPr>
                <w:sz w:val="18"/>
                <w:szCs w:val="18"/>
                <w:lang w:val="fr-FR"/>
              </w:rPr>
            </w:pPr>
            <w:r>
              <w:rPr>
                <w:sz w:val="18"/>
                <w:szCs w:val="18"/>
                <w:lang w:val="fr-FR"/>
              </w:rPr>
              <w:t>270 </w:t>
            </w:r>
            <w:r w:rsidR="00863F6A" w:rsidRPr="0003583A">
              <w:rPr>
                <w:sz w:val="18"/>
                <w:szCs w:val="18"/>
                <w:lang w:val="fr-FR"/>
              </w:rPr>
              <w:t>000</w:t>
            </w:r>
          </w:p>
        </w:tc>
        <w:tc>
          <w:tcPr>
            <w:tcW w:w="1354" w:type="dxa"/>
            <w:tcBorders>
              <w:bottom w:val="single" w:sz="4" w:space="0" w:color="auto"/>
            </w:tcBorders>
          </w:tcPr>
          <w:p w14:paraId="0C8D65E4" w14:textId="0AF7D686"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r>
      <w:tr w:rsidR="00863F6A" w:rsidRPr="0003583A" w14:paraId="07B8BFA5" w14:textId="77777777" w:rsidTr="00174DCA">
        <w:trPr>
          <w:trHeight w:val="57"/>
          <w:jc w:val="right"/>
        </w:trPr>
        <w:tc>
          <w:tcPr>
            <w:tcW w:w="4425" w:type="dxa"/>
            <w:tcBorders>
              <w:top w:val="single" w:sz="4" w:space="0" w:color="auto"/>
              <w:bottom w:val="single" w:sz="4" w:space="0" w:color="auto"/>
            </w:tcBorders>
          </w:tcPr>
          <w:p w14:paraId="0901BC83" w14:textId="140C97B5" w:rsidR="00863F6A" w:rsidRPr="0003583A" w:rsidRDefault="00863F6A" w:rsidP="00174DCA">
            <w:pPr>
              <w:pStyle w:val="Normal-pool"/>
              <w:spacing w:before="40" w:after="40"/>
              <w:rPr>
                <w:b/>
                <w:sz w:val="18"/>
                <w:szCs w:val="18"/>
                <w:lang w:val="fr-FR"/>
              </w:rPr>
            </w:pPr>
            <w:r w:rsidRPr="0003583A">
              <w:rPr>
                <w:b/>
                <w:bCs/>
                <w:sz w:val="18"/>
                <w:szCs w:val="18"/>
                <w:lang w:val="fr-FR"/>
              </w:rPr>
              <w:t>SOUS-TOTAL Fonds d</w:t>
            </w:r>
            <w:r w:rsidR="002A6A82" w:rsidRPr="0003583A">
              <w:rPr>
                <w:b/>
                <w:bCs/>
                <w:sz w:val="18"/>
                <w:szCs w:val="18"/>
                <w:lang w:val="fr-FR"/>
              </w:rPr>
              <w:t>’</w:t>
            </w:r>
            <w:r w:rsidRPr="0003583A">
              <w:rPr>
                <w:b/>
                <w:bCs/>
                <w:sz w:val="18"/>
                <w:szCs w:val="18"/>
                <w:lang w:val="fr-FR"/>
              </w:rPr>
              <w:t>affectation spéciale de la Convention de Minamata</w:t>
            </w:r>
          </w:p>
        </w:tc>
        <w:tc>
          <w:tcPr>
            <w:tcW w:w="1174" w:type="dxa"/>
            <w:tcBorders>
              <w:top w:val="single" w:sz="4" w:space="0" w:color="auto"/>
              <w:bottom w:val="single" w:sz="4" w:space="0" w:color="auto"/>
            </w:tcBorders>
          </w:tcPr>
          <w:p w14:paraId="22A9A976" w14:textId="632F96AB" w:rsidR="00863F6A" w:rsidRPr="0003583A" w:rsidRDefault="0003583A" w:rsidP="00174DCA">
            <w:pPr>
              <w:pStyle w:val="Normal-pool"/>
              <w:spacing w:before="40" w:after="40"/>
              <w:jc w:val="right"/>
              <w:rPr>
                <w:b/>
                <w:sz w:val="18"/>
                <w:szCs w:val="18"/>
                <w:lang w:val="fr-FR"/>
              </w:rPr>
            </w:pPr>
            <w:r>
              <w:rPr>
                <w:b/>
                <w:bCs/>
                <w:sz w:val="18"/>
                <w:szCs w:val="18"/>
                <w:lang w:val="fr-FR"/>
              </w:rPr>
              <w:t>5 463 </w:t>
            </w:r>
            <w:r w:rsidR="00863F6A" w:rsidRPr="0003583A">
              <w:rPr>
                <w:b/>
                <w:bCs/>
                <w:sz w:val="18"/>
                <w:szCs w:val="18"/>
                <w:lang w:val="fr-FR"/>
              </w:rPr>
              <w:t>704</w:t>
            </w:r>
          </w:p>
        </w:tc>
        <w:tc>
          <w:tcPr>
            <w:tcW w:w="1354" w:type="dxa"/>
            <w:tcBorders>
              <w:top w:val="single" w:sz="4" w:space="0" w:color="auto"/>
              <w:bottom w:val="single" w:sz="4" w:space="0" w:color="auto"/>
            </w:tcBorders>
          </w:tcPr>
          <w:p w14:paraId="61D6CC5D" w14:textId="6F0E7F92" w:rsidR="00863F6A" w:rsidRPr="0003583A" w:rsidRDefault="0003583A" w:rsidP="00174DCA">
            <w:pPr>
              <w:pStyle w:val="Normal-pool"/>
              <w:spacing w:before="40" w:after="40"/>
              <w:jc w:val="right"/>
              <w:rPr>
                <w:b/>
                <w:sz w:val="18"/>
                <w:szCs w:val="18"/>
                <w:lang w:val="fr-FR"/>
              </w:rPr>
            </w:pPr>
            <w:r>
              <w:rPr>
                <w:b/>
                <w:bCs/>
                <w:sz w:val="18"/>
                <w:szCs w:val="18"/>
                <w:lang w:val="fr-FR"/>
              </w:rPr>
              <w:t>2 250 </w:t>
            </w:r>
            <w:r w:rsidR="00863F6A" w:rsidRPr="0003583A">
              <w:rPr>
                <w:b/>
                <w:bCs/>
                <w:sz w:val="18"/>
                <w:szCs w:val="18"/>
                <w:lang w:val="fr-FR"/>
              </w:rPr>
              <w:t>105</w:t>
            </w:r>
          </w:p>
        </w:tc>
        <w:tc>
          <w:tcPr>
            <w:tcW w:w="1354" w:type="dxa"/>
            <w:tcBorders>
              <w:top w:val="single" w:sz="4" w:space="0" w:color="auto"/>
              <w:bottom w:val="single" w:sz="4" w:space="0" w:color="auto"/>
            </w:tcBorders>
          </w:tcPr>
          <w:p w14:paraId="086AE3FB" w14:textId="0B47017D" w:rsidR="00863F6A" w:rsidRPr="0003583A" w:rsidRDefault="0003583A" w:rsidP="00174DCA">
            <w:pPr>
              <w:pStyle w:val="Normal-pool"/>
              <w:spacing w:before="40" w:after="40"/>
              <w:jc w:val="right"/>
              <w:rPr>
                <w:b/>
                <w:sz w:val="18"/>
                <w:szCs w:val="18"/>
                <w:lang w:val="fr-FR"/>
              </w:rPr>
            </w:pPr>
            <w:r>
              <w:rPr>
                <w:b/>
                <w:bCs/>
                <w:sz w:val="18"/>
                <w:szCs w:val="18"/>
                <w:lang w:val="fr-FR"/>
              </w:rPr>
              <w:t>3 213 </w:t>
            </w:r>
            <w:r w:rsidR="00863F6A" w:rsidRPr="0003583A">
              <w:rPr>
                <w:b/>
                <w:bCs/>
                <w:sz w:val="18"/>
                <w:szCs w:val="18"/>
                <w:lang w:val="fr-FR"/>
              </w:rPr>
              <w:t>599</w:t>
            </w:r>
          </w:p>
        </w:tc>
      </w:tr>
      <w:tr w:rsidR="00863F6A" w:rsidRPr="0003583A" w14:paraId="1798B365" w14:textId="77777777" w:rsidTr="00174DCA">
        <w:trPr>
          <w:trHeight w:val="57"/>
          <w:jc w:val="right"/>
        </w:trPr>
        <w:tc>
          <w:tcPr>
            <w:tcW w:w="4425" w:type="dxa"/>
            <w:tcBorders>
              <w:top w:val="single" w:sz="4" w:space="0" w:color="auto"/>
              <w:left w:val="dotted" w:sz="4" w:space="0" w:color="auto"/>
              <w:bottom w:val="single" w:sz="12" w:space="0" w:color="auto"/>
              <w:right w:val="dotted" w:sz="4" w:space="0" w:color="auto"/>
            </w:tcBorders>
          </w:tcPr>
          <w:p w14:paraId="7281D0FB" w14:textId="16030AAD" w:rsidR="00863F6A" w:rsidRPr="0003583A" w:rsidRDefault="00863F6A" w:rsidP="00174DCA">
            <w:pPr>
              <w:pStyle w:val="Normal-pool"/>
              <w:spacing w:before="40" w:after="40"/>
              <w:rPr>
                <w:b/>
                <w:sz w:val="18"/>
                <w:szCs w:val="18"/>
                <w:lang w:val="fr-FR"/>
              </w:rPr>
            </w:pPr>
            <w:r w:rsidRPr="0003583A">
              <w:rPr>
                <w:sz w:val="18"/>
                <w:szCs w:val="18"/>
                <w:lang w:val="fr-FR"/>
              </w:rPr>
              <w:t xml:space="preserve">B. </w:t>
            </w:r>
            <w:r w:rsidRPr="0003583A">
              <w:rPr>
                <w:b/>
                <w:bCs/>
                <w:sz w:val="18"/>
                <w:szCs w:val="18"/>
                <w:lang w:val="fr-FR"/>
              </w:rPr>
              <w:t>Financement au titre de l</w:t>
            </w:r>
            <w:r w:rsidR="002A6A82" w:rsidRPr="0003583A">
              <w:rPr>
                <w:b/>
                <w:bCs/>
                <w:sz w:val="18"/>
                <w:szCs w:val="18"/>
                <w:lang w:val="fr-FR"/>
              </w:rPr>
              <w:t>’</w:t>
            </w:r>
            <w:r w:rsidRPr="0003583A">
              <w:rPr>
                <w:b/>
                <w:bCs/>
                <w:sz w:val="18"/>
                <w:szCs w:val="18"/>
                <w:lang w:val="fr-FR"/>
              </w:rPr>
              <w:t>appui au programme</w:t>
            </w:r>
          </w:p>
        </w:tc>
        <w:tc>
          <w:tcPr>
            <w:tcW w:w="1174" w:type="dxa"/>
            <w:tcBorders>
              <w:top w:val="single" w:sz="4" w:space="0" w:color="auto"/>
              <w:left w:val="dotted" w:sz="4" w:space="0" w:color="auto"/>
              <w:bottom w:val="single" w:sz="12" w:space="0" w:color="auto"/>
              <w:right w:val="dotted" w:sz="4" w:space="0" w:color="auto"/>
            </w:tcBorders>
          </w:tcPr>
          <w:p w14:paraId="793B2896" w14:textId="77777777" w:rsidR="00863F6A" w:rsidRPr="0003583A" w:rsidRDefault="00863F6A" w:rsidP="00174DCA">
            <w:pPr>
              <w:pStyle w:val="Normal-pool"/>
              <w:spacing w:before="40" w:after="40"/>
              <w:jc w:val="right"/>
              <w:rPr>
                <w:b/>
                <w:sz w:val="18"/>
                <w:szCs w:val="18"/>
                <w:lang w:val="fr-FR"/>
              </w:rPr>
            </w:pPr>
          </w:p>
        </w:tc>
        <w:tc>
          <w:tcPr>
            <w:tcW w:w="1354" w:type="dxa"/>
            <w:tcBorders>
              <w:top w:val="single" w:sz="4" w:space="0" w:color="auto"/>
              <w:left w:val="dotted" w:sz="4" w:space="0" w:color="auto"/>
              <w:bottom w:val="single" w:sz="12" w:space="0" w:color="auto"/>
              <w:right w:val="dotted" w:sz="4" w:space="0" w:color="auto"/>
            </w:tcBorders>
          </w:tcPr>
          <w:p w14:paraId="6D9108FC" w14:textId="77777777" w:rsidR="00863F6A" w:rsidRPr="0003583A" w:rsidRDefault="00863F6A" w:rsidP="00174DCA">
            <w:pPr>
              <w:pStyle w:val="Normal-pool"/>
              <w:spacing w:before="40" w:after="40"/>
              <w:jc w:val="right"/>
              <w:rPr>
                <w:b/>
                <w:sz w:val="18"/>
                <w:szCs w:val="18"/>
                <w:lang w:val="fr-FR"/>
              </w:rPr>
            </w:pPr>
          </w:p>
        </w:tc>
        <w:tc>
          <w:tcPr>
            <w:tcW w:w="1354" w:type="dxa"/>
            <w:tcBorders>
              <w:top w:val="single" w:sz="4" w:space="0" w:color="auto"/>
              <w:left w:val="dotted" w:sz="4" w:space="0" w:color="auto"/>
              <w:bottom w:val="single" w:sz="12" w:space="0" w:color="auto"/>
              <w:right w:val="dotted" w:sz="4" w:space="0" w:color="auto"/>
            </w:tcBorders>
          </w:tcPr>
          <w:p w14:paraId="7012AD8B" w14:textId="77777777" w:rsidR="00863F6A" w:rsidRPr="0003583A" w:rsidRDefault="00863F6A" w:rsidP="00174DCA">
            <w:pPr>
              <w:pStyle w:val="Normal-pool"/>
              <w:spacing w:before="40" w:after="40"/>
              <w:jc w:val="right"/>
              <w:rPr>
                <w:b/>
                <w:sz w:val="18"/>
                <w:szCs w:val="18"/>
                <w:lang w:val="fr-FR"/>
              </w:rPr>
            </w:pPr>
          </w:p>
        </w:tc>
      </w:tr>
      <w:tr w:rsidR="00863F6A" w:rsidRPr="0003583A" w14:paraId="5CEAEBFA" w14:textId="77777777" w:rsidTr="00174DCA">
        <w:trPr>
          <w:trHeight w:val="57"/>
          <w:jc w:val="right"/>
        </w:trPr>
        <w:tc>
          <w:tcPr>
            <w:tcW w:w="4425" w:type="dxa"/>
            <w:tcBorders>
              <w:top w:val="single" w:sz="12" w:space="0" w:color="auto"/>
            </w:tcBorders>
          </w:tcPr>
          <w:p w14:paraId="5826F3F2" w14:textId="30BD3ACA" w:rsidR="00863F6A" w:rsidRPr="0003583A" w:rsidRDefault="00863F6A" w:rsidP="00174DCA">
            <w:pPr>
              <w:pStyle w:val="Normal-pool"/>
              <w:spacing w:before="40" w:after="40"/>
              <w:rPr>
                <w:sz w:val="18"/>
                <w:szCs w:val="18"/>
                <w:lang w:val="fr-FR"/>
              </w:rPr>
            </w:pPr>
            <w:r w:rsidRPr="0003583A">
              <w:rPr>
                <w:sz w:val="18"/>
                <w:szCs w:val="18"/>
                <w:lang w:val="fr-FR"/>
              </w:rPr>
              <w:t>P-4 - Fonctionnaire d</w:t>
            </w:r>
            <w:r w:rsidR="002A6A82" w:rsidRPr="0003583A">
              <w:rPr>
                <w:sz w:val="18"/>
                <w:szCs w:val="18"/>
                <w:lang w:val="fr-FR"/>
              </w:rPr>
              <w:t>’</w:t>
            </w:r>
            <w:r w:rsidRPr="0003583A">
              <w:rPr>
                <w:sz w:val="18"/>
                <w:szCs w:val="18"/>
                <w:lang w:val="fr-FR"/>
              </w:rPr>
              <w:t>administration</w:t>
            </w:r>
          </w:p>
        </w:tc>
        <w:tc>
          <w:tcPr>
            <w:tcW w:w="1174" w:type="dxa"/>
            <w:tcBorders>
              <w:top w:val="single" w:sz="12" w:space="0" w:color="auto"/>
            </w:tcBorders>
          </w:tcPr>
          <w:p w14:paraId="696964FA" w14:textId="55EB19DA" w:rsidR="00863F6A" w:rsidRPr="0003583A" w:rsidRDefault="0003583A" w:rsidP="00174DCA">
            <w:pPr>
              <w:pStyle w:val="Normal-pool"/>
              <w:spacing w:before="40" w:after="40"/>
              <w:jc w:val="right"/>
              <w:rPr>
                <w:sz w:val="18"/>
                <w:szCs w:val="18"/>
                <w:lang w:val="fr-FR"/>
              </w:rPr>
            </w:pPr>
            <w:r>
              <w:rPr>
                <w:sz w:val="18"/>
                <w:szCs w:val="18"/>
                <w:lang w:val="fr-FR"/>
              </w:rPr>
              <w:t>435 </w:t>
            </w:r>
            <w:r w:rsidR="00863F6A" w:rsidRPr="0003583A">
              <w:rPr>
                <w:sz w:val="18"/>
                <w:szCs w:val="18"/>
                <w:lang w:val="fr-FR"/>
              </w:rPr>
              <w:t>654</w:t>
            </w:r>
          </w:p>
        </w:tc>
        <w:tc>
          <w:tcPr>
            <w:tcW w:w="1354" w:type="dxa"/>
            <w:tcBorders>
              <w:top w:val="single" w:sz="12" w:space="0" w:color="auto"/>
            </w:tcBorders>
          </w:tcPr>
          <w:p w14:paraId="0B53B167" w14:textId="3AC5FF8D" w:rsidR="00863F6A" w:rsidRPr="0003583A" w:rsidRDefault="0003583A" w:rsidP="00174DCA">
            <w:pPr>
              <w:pStyle w:val="Normal-pool"/>
              <w:spacing w:before="40" w:after="40"/>
              <w:jc w:val="right"/>
              <w:rPr>
                <w:sz w:val="18"/>
                <w:szCs w:val="18"/>
                <w:lang w:val="fr-FR"/>
              </w:rPr>
            </w:pPr>
            <w:r>
              <w:rPr>
                <w:sz w:val="18"/>
                <w:szCs w:val="18"/>
                <w:lang w:val="fr-FR"/>
              </w:rPr>
              <w:t>435 </w:t>
            </w:r>
            <w:r w:rsidR="00863F6A" w:rsidRPr="0003583A">
              <w:rPr>
                <w:sz w:val="18"/>
                <w:szCs w:val="18"/>
                <w:lang w:val="fr-FR"/>
              </w:rPr>
              <w:t>654</w:t>
            </w:r>
          </w:p>
        </w:tc>
        <w:tc>
          <w:tcPr>
            <w:tcW w:w="1354" w:type="dxa"/>
            <w:tcBorders>
              <w:top w:val="single" w:sz="12" w:space="0" w:color="auto"/>
            </w:tcBorders>
          </w:tcPr>
          <w:p w14:paraId="24C96315" w14:textId="3E4CF426"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r>
      <w:tr w:rsidR="00863F6A" w:rsidRPr="0003583A" w14:paraId="5585AB32" w14:textId="77777777" w:rsidTr="00174DCA">
        <w:trPr>
          <w:trHeight w:val="57"/>
          <w:jc w:val="right"/>
        </w:trPr>
        <w:tc>
          <w:tcPr>
            <w:tcW w:w="4425" w:type="dxa"/>
            <w:tcBorders>
              <w:bottom w:val="single" w:sz="4" w:space="0" w:color="auto"/>
            </w:tcBorders>
          </w:tcPr>
          <w:p w14:paraId="3B6BBD5F" w14:textId="2B59FC51" w:rsidR="00863F6A" w:rsidRPr="0003583A" w:rsidRDefault="00863F6A" w:rsidP="00174DCA">
            <w:pPr>
              <w:pStyle w:val="Normal-pool"/>
              <w:spacing w:before="40" w:after="40"/>
              <w:rPr>
                <w:sz w:val="18"/>
                <w:szCs w:val="18"/>
                <w:lang w:val="fr-FR"/>
              </w:rPr>
            </w:pPr>
            <w:r w:rsidRPr="0003583A">
              <w:rPr>
                <w:sz w:val="18"/>
                <w:szCs w:val="18"/>
                <w:lang w:val="fr-FR"/>
              </w:rPr>
              <w:t>G-6 - Assistant(e) administratif(ve)</w:t>
            </w:r>
          </w:p>
        </w:tc>
        <w:tc>
          <w:tcPr>
            <w:tcW w:w="1174" w:type="dxa"/>
            <w:tcBorders>
              <w:bottom w:val="single" w:sz="4" w:space="0" w:color="auto"/>
            </w:tcBorders>
          </w:tcPr>
          <w:p w14:paraId="2F4CC067" w14:textId="6240DB07"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c>
          <w:tcPr>
            <w:tcW w:w="1354" w:type="dxa"/>
            <w:tcBorders>
              <w:bottom w:val="single" w:sz="4" w:space="0" w:color="auto"/>
            </w:tcBorders>
          </w:tcPr>
          <w:p w14:paraId="2E7DEF8F" w14:textId="44C24FD5" w:rsidR="00863F6A" w:rsidRPr="0003583A" w:rsidRDefault="0003583A" w:rsidP="00174DCA">
            <w:pPr>
              <w:pStyle w:val="Normal-pool"/>
              <w:spacing w:before="40" w:after="40"/>
              <w:jc w:val="right"/>
              <w:rPr>
                <w:sz w:val="18"/>
                <w:szCs w:val="18"/>
                <w:lang w:val="fr-FR"/>
              </w:rPr>
            </w:pPr>
            <w:r>
              <w:rPr>
                <w:sz w:val="18"/>
                <w:szCs w:val="18"/>
                <w:lang w:val="fr-FR"/>
              </w:rPr>
              <w:t>275 </w:t>
            </w:r>
            <w:r w:rsidR="00863F6A" w:rsidRPr="0003583A">
              <w:rPr>
                <w:sz w:val="18"/>
                <w:szCs w:val="18"/>
                <w:lang w:val="fr-FR"/>
              </w:rPr>
              <w:t>065</w:t>
            </w:r>
          </w:p>
        </w:tc>
        <w:tc>
          <w:tcPr>
            <w:tcW w:w="1354" w:type="dxa"/>
            <w:tcBorders>
              <w:bottom w:val="single" w:sz="4" w:space="0" w:color="auto"/>
            </w:tcBorders>
          </w:tcPr>
          <w:p w14:paraId="305C0702" w14:textId="55D22A2E" w:rsidR="00863F6A" w:rsidRPr="0003583A" w:rsidRDefault="00CD2C48" w:rsidP="00174DCA">
            <w:pPr>
              <w:pStyle w:val="Normal-pool"/>
              <w:spacing w:before="40" w:after="40"/>
              <w:jc w:val="right"/>
              <w:rPr>
                <w:sz w:val="18"/>
                <w:szCs w:val="18"/>
                <w:lang w:val="fr-FR"/>
              </w:rPr>
            </w:pPr>
            <w:r w:rsidRPr="0003583A">
              <w:rPr>
                <w:sz w:val="18"/>
                <w:szCs w:val="18"/>
                <w:lang w:val="fr-FR"/>
              </w:rPr>
              <w:t>–</w:t>
            </w:r>
          </w:p>
        </w:tc>
      </w:tr>
      <w:tr w:rsidR="00863F6A" w:rsidRPr="0003583A" w14:paraId="30219D33" w14:textId="77777777" w:rsidTr="00174DCA">
        <w:trPr>
          <w:trHeight w:val="57"/>
          <w:jc w:val="right"/>
        </w:trPr>
        <w:tc>
          <w:tcPr>
            <w:tcW w:w="4425" w:type="dxa"/>
            <w:tcBorders>
              <w:top w:val="single" w:sz="4" w:space="0" w:color="auto"/>
              <w:left w:val="dotted" w:sz="4" w:space="0" w:color="auto"/>
              <w:bottom w:val="single" w:sz="12" w:space="0" w:color="auto"/>
              <w:right w:val="dotted" w:sz="4" w:space="0" w:color="auto"/>
            </w:tcBorders>
          </w:tcPr>
          <w:p w14:paraId="04058458" w14:textId="7E6A0698" w:rsidR="00863F6A" w:rsidRPr="0003583A" w:rsidRDefault="00863F6A" w:rsidP="00174DCA">
            <w:pPr>
              <w:pStyle w:val="Normal-pool"/>
              <w:spacing w:before="40" w:after="40"/>
              <w:rPr>
                <w:b/>
                <w:sz w:val="18"/>
                <w:szCs w:val="18"/>
                <w:lang w:val="fr-FR"/>
              </w:rPr>
            </w:pPr>
            <w:r w:rsidRPr="0003583A">
              <w:rPr>
                <w:sz w:val="18"/>
                <w:szCs w:val="18"/>
                <w:lang w:val="fr-FR"/>
              </w:rPr>
              <w:t>SOUS-TOTAL Appui aux programmes</w:t>
            </w:r>
          </w:p>
        </w:tc>
        <w:tc>
          <w:tcPr>
            <w:tcW w:w="1174" w:type="dxa"/>
            <w:tcBorders>
              <w:top w:val="single" w:sz="4" w:space="0" w:color="auto"/>
              <w:left w:val="dotted" w:sz="4" w:space="0" w:color="auto"/>
              <w:bottom w:val="single" w:sz="12" w:space="0" w:color="auto"/>
              <w:right w:val="dotted" w:sz="4" w:space="0" w:color="auto"/>
            </w:tcBorders>
          </w:tcPr>
          <w:p w14:paraId="62B2DC03" w14:textId="442A59F2" w:rsidR="00863F6A" w:rsidRPr="0003583A" w:rsidRDefault="0003583A" w:rsidP="00174DCA">
            <w:pPr>
              <w:pStyle w:val="Normal-pool"/>
              <w:spacing w:before="40" w:after="40"/>
              <w:jc w:val="right"/>
              <w:rPr>
                <w:b/>
                <w:sz w:val="18"/>
                <w:szCs w:val="18"/>
                <w:lang w:val="fr-FR"/>
              </w:rPr>
            </w:pPr>
            <w:r>
              <w:rPr>
                <w:b/>
                <w:bCs/>
                <w:sz w:val="18"/>
                <w:szCs w:val="18"/>
                <w:lang w:val="fr-FR"/>
              </w:rPr>
              <w:t>710 </w:t>
            </w:r>
            <w:r w:rsidR="00863F6A" w:rsidRPr="0003583A">
              <w:rPr>
                <w:b/>
                <w:bCs/>
                <w:sz w:val="18"/>
                <w:szCs w:val="18"/>
                <w:lang w:val="fr-FR"/>
              </w:rPr>
              <w:t>719</w:t>
            </w:r>
          </w:p>
        </w:tc>
        <w:tc>
          <w:tcPr>
            <w:tcW w:w="1354" w:type="dxa"/>
            <w:tcBorders>
              <w:top w:val="single" w:sz="4" w:space="0" w:color="auto"/>
              <w:left w:val="dotted" w:sz="4" w:space="0" w:color="auto"/>
              <w:bottom w:val="single" w:sz="12" w:space="0" w:color="auto"/>
              <w:right w:val="dotted" w:sz="4" w:space="0" w:color="auto"/>
            </w:tcBorders>
          </w:tcPr>
          <w:p w14:paraId="02AF5A33" w14:textId="2136EB42" w:rsidR="00863F6A" w:rsidRPr="0003583A" w:rsidRDefault="0003583A" w:rsidP="00174DCA">
            <w:pPr>
              <w:pStyle w:val="Normal-pool"/>
              <w:spacing w:before="40" w:after="40"/>
              <w:jc w:val="right"/>
              <w:rPr>
                <w:b/>
                <w:sz w:val="18"/>
                <w:szCs w:val="18"/>
                <w:lang w:val="fr-FR"/>
              </w:rPr>
            </w:pPr>
            <w:r>
              <w:rPr>
                <w:b/>
                <w:bCs/>
                <w:sz w:val="18"/>
                <w:szCs w:val="18"/>
                <w:lang w:val="fr-FR"/>
              </w:rPr>
              <w:t>710 </w:t>
            </w:r>
            <w:r w:rsidR="00863F6A" w:rsidRPr="0003583A">
              <w:rPr>
                <w:b/>
                <w:bCs/>
                <w:sz w:val="18"/>
                <w:szCs w:val="18"/>
                <w:lang w:val="fr-FR"/>
              </w:rPr>
              <w:t>719</w:t>
            </w:r>
          </w:p>
        </w:tc>
        <w:tc>
          <w:tcPr>
            <w:tcW w:w="1354" w:type="dxa"/>
            <w:tcBorders>
              <w:top w:val="single" w:sz="4" w:space="0" w:color="auto"/>
              <w:left w:val="dotted" w:sz="4" w:space="0" w:color="auto"/>
              <w:bottom w:val="single" w:sz="12" w:space="0" w:color="auto"/>
              <w:right w:val="dotted" w:sz="4" w:space="0" w:color="auto"/>
            </w:tcBorders>
          </w:tcPr>
          <w:p w14:paraId="1C241AB7" w14:textId="7E0E42D2" w:rsidR="00863F6A" w:rsidRPr="0003583A" w:rsidRDefault="00CD2C48" w:rsidP="00174DCA">
            <w:pPr>
              <w:pStyle w:val="Normal-pool"/>
              <w:spacing w:before="40" w:after="40"/>
              <w:jc w:val="right"/>
              <w:rPr>
                <w:b/>
                <w:sz w:val="18"/>
                <w:szCs w:val="18"/>
                <w:lang w:val="fr-FR"/>
              </w:rPr>
            </w:pPr>
            <w:r w:rsidRPr="0003583A">
              <w:rPr>
                <w:b/>
                <w:bCs/>
                <w:sz w:val="18"/>
                <w:szCs w:val="18"/>
                <w:lang w:val="fr-FR"/>
              </w:rPr>
              <w:t>–</w:t>
            </w:r>
          </w:p>
        </w:tc>
      </w:tr>
      <w:tr w:rsidR="00863F6A" w:rsidRPr="0003583A" w14:paraId="5BF37B11" w14:textId="77777777" w:rsidTr="00174DCA">
        <w:trPr>
          <w:trHeight w:val="57"/>
          <w:jc w:val="right"/>
        </w:trPr>
        <w:tc>
          <w:tcPr>
            <w:tcW w:w="4425" w:type="dxa"/>
            <w:tcBorders>
              <w:top w:val="single" w:sz="12" w:space="0" w:color="auto"/>
              <w:bottom w:val="single" w:sz="12" w:space="0" w:color="auto"/>
            </w:tcBorders>
          </w:tcPr>
          <w:p w14:paraId="14987948" w14:textId="77777777" w:rsidR="00863F6A" w:rsidRPr="0003583A" w:rsidRDefault="00863F6A" w:rsidP="00174DCA">
            <w:pPr>
              <w:pStyle w:val="Normal-pool"/>
              <w:spacing w:before="40" w:after="40"/>
              <w:rPr>
                <w:b/>
                <w:sz w:val="18"/>
                <w:szCs w:val="18"/>
                <w:lang w:val="fr-FR"/>
              </w:rPr>
            </w:pPr>
            <w:r w:rsidRPr="0003583A">
              <w:rPr>
                <w:b/>
                <w:bCs/>
                <w:sz w:val="18"/>
                <w:szCs w:val="18"/>
                <w:lang w:val="fr-FR"/>
              </w:rPr>
              <w:t>TOTAL GÉNÉRAL</w:t>
            </w:r>
          </w:p>
        </w:tc>
        <w:tc>
          <w:tcPr>
            <w:tcW w:w="1174" w:type="dxa"/>
            <w:tcBorders>
              <w:top w:val="single" w:sz="12" w:space="0" w:color="auto"/>
              <w:bottom w:val="single" w:sz="12" w:space="0" w:color="auto"/>
            </w:tcBorders>
          </w:tcPr>
          <w:p w14:paraId="38718B22" w14:textId="4AC8B449" w:rsidR="00863F6A" w:rsidRPr="0003583A" w:rsidRDefault="0003583A" w:rsidP="00174DCA">
            <w:pPr>
              <w:pStyle w:val="Normal-pool"/>
              <w:spacing w:before="40" w:after="40"/>
              <w:jc w:val="right"/>
              <w:rPr>
                <w:b/>
                <w:sz w:val="18"/>
                <w:szCs w:val="18"/>
                <w:lang w:val="fr-FR"/>
              </w:rPr>
            </w:pPr>
            <w:r>
              <w:rPr>
                <w:b/>
                <w:bCs/>
                <w:sz w:val="18"/>
                <w:szCs w:val="18"/>
                <w:lang w:val="fr-FR"/>
              </w:rPr>
              <w:t>6 174 </w:t>
            </w:r>
            <w:r w:rsidR="00863F6A" w:rsidRPr="0003583A">
              <w:rPr>
                <w:b/>
                <w:bCs/>
                <w:sz w:val="18"/>
                <w:szCs w:val="18"/>
                <w:lang w:val="fr-FR"/>
              </w:rPr>
              <w:t>423</w:t>
            </w:r>
          </w:p>
        </w:tc>
        <w:tc>
          <w:tcPr>
            <w:tcW w:w="1354" w:type="dxa"/>
            <w:tcBorders>
              <w:top w:val="single" w:sz="12" w:space="0" w:color="auto"/>
              <w:bottom w:val="single" w:sz="12" w:space="0" w:color="auto"/>
            </w:tcBorders>
          </w:tcPr>
          <w:p w14:paraId="76F3783B" w14:textId="1E150431" w:rsidR="00863F6A" w:rsidRPr="0003583A" w:rsidRDefault="0003583A" w:rsidP="00174DCA">
            <w:pPr>
              <w:pStyle w:val="Normal-pool"/>
              <w:spacing w:before="40" w:after="40"/>
              <w:jc w:val="right"/>
              <w:rPr>
                <w:b/>
                <w:sz w:val="18"/>
                <w:szCs w:val="18"/>
                <w:lang w:val="fr-FR"/>
              </w:rPr>
            </w:pPr>
            <w:r>
              <w:rPr>
                <w:b/>
                <w:bCs/>
                <w:sz w:val="18"/>
                <w:szCs w:val="18"/>
                <w:lang w:val="fr-FR"/>
              </w:rPr>
              <w:t>2 960 </w:t>
            </w:r>
            <w:r w:rsidR="00863F6A" w:rsidRPr="0003583A">
              <w:rPr>
                <w:b/>
                <w:bCs/>
                <w:sz w:val="18"/>
                <w:szCs w:val="18"/>
                <w:lang w:val="fr-FR"/>
              </w:rPr>
              <w:t>824</w:t>
            </w:r>
          </w:p>
        </w:tc>
        <w:tc>
          <w:tcPr>
            <w:tcW w:w="1354" w:type="dxa"/>
            <w:tcBorders>
              <w:top w:val="single" w:sz="12" w:space="0" w:color="auto"/>
              <w:bottom w:val="single" w:sz="12" w:space="0" w:color="auto"/>
            </w:tcBorders>
          </w:tcPr>
          <w:p w14:paraId="75586A50" w14:textId="250A9086" w:rsidR="00863F6A" w:rsidRPr="0003583A" w:rsidRDefault="0003583A" w:rsidP="00174DCA">
            <w:pPr>
              <w:pStyle w:val="Normal-pool"/>
              <w:spacing w:before="40" w:after="40"/>
              <w:jc w:val="right"/>
              <w:rPr>
                <w:b/>
                <w:sz w:val="18"/>
                <w:szCs w:val="18"/>
                <w:lang w:val="fr-FR"/>
              </w:rPr>
            </w:pPr>
            <w:r>
              <w:rPr>
                <w:b/>
                <w:bCs/>
                <w:sz w:val="18"/>
                <w:szCs w:val="18"/>
                <w:lang w:val="fr-FR"/>
              </w:rPr>
              <w:t>3 213 </w:t>
            </w:r>
            <w:r w:rsidR="00863F6A" w:rsidRPr="0003583A">
              <w:rPr>
                <w:b/>
                <w:bCs/>
                <w:sz w:val="18"/>
                <w:szCs w:val="18"/>
                <w:lang w:val="fr-FR"/>
              </w:rPr>
              <w:t>599</w:t>
            </w:r>
          </w:p>
        </w:tc>
      </w:tr>
    </w:tbl>
    <w:p w14:paraId="26C52CB2" w14:textId="0104326C" w:rsidR="00863F6A" w:rsidRPr="00FC60C1" w:rsidRDefault="001639C5" w:rsidP="000A7F53">
      <w:pPr>
        <w:pStyle w:val="NormalNonumber"/>
        <w:spacing w:before="40"/>
        <w:rPr>
          <w:b/>
          <w:bCs/>
          <w:sz w:val="17"/>
          <w:szCs w:val="17"/>
          <w:lang w:val="fr-FR"/>
        </w:rPr>
      </w:pPr>
      <w:r w:rsidRPr="0003583A">
        <w:rPr>
          <w:i/>
          <w:iCs/>
          <w:sz w:val="18"/>
          <w:szCs w:val="18"/>
          <w:lang w:val="fr-FR"/>
        </w:rPr>
        <w:t>Abréviations</w:t>
      </w:r>
      <w:r w:rsidR="00450D9E" w:rsidRPr="0003583A">
        <w:rPr>
          <w:i/>
          <w:iCs/>
          <w:sz w:val="18"/>
          <w:szCs w:val="18"/>
          <w:lang w:val="fr-FR"/>
        </w:rPr>
        <w:t> :</w:t>
      </w:r>
      <w:r w:rsidRPr="0003583A">
        <w:rPr>
          <w:sz w:val="18"/>
          <w:szCs w:val="18"/>
          <w:lang w:val="fr-FR"/>
        </w:rPr>
        <w:t xml:space="preserve"> BRS - Conventions de Bâle, de Rotterdam et de Stockholm</w:t>
      </w:r>
      <w:r w:rsidR="00D97DA9" w:rsidRPr="0003583A">
        <w:rPr>
          <w:sz w:val="18"/>
          <w:szCs w:val="18"/>
          <w:lang w:val="fr-FR"/>
        </w:rPr>
        <w:t> ;</w:t>
      </w:r>
      <w:r w:rsidRPr="0003583A">
        <w:rPr>
          <w:sz w:val="18"/>
          <w:szCs w:val="18"/>
          <w:lang w:val="fr-FR"/>
        </w:rPr>
        <w:t xml:space="preserve"> CM - Convention de Minamata</w:t>
      </w:r>
      <w:r w:rsidR="00D97DA9" w:rsidRPr="0003583A">
        <w:rPr>
          <w:sz w:val="18"/>
          <w:szCs w:val="18"/>
          <w:lang w:val="fr-FR"/>
        </w:rPr>
        <w:t> ;</w:t>
      </w:r>
      <w:r w:rsidRPr="0003583A">
        <w:rPr>
          <w:sz w:val="18"/>
          <w:szCs w:val="18"/>
          <w:lang w:val="fr-FR"/>
        </w:rPr>
        <w:t xml:space="preserve"> CdP4 - quatrième réunion de la Conférence des Parties à la Convention de Minamata.</w:t>
      </w:r>
    </w:p>
    <w:p w14:paraId="0F9254DD" w14:textId="1799B01A" w:rsidR="00AE3AF5" w:rsidRPr="00FC60C1" w:rsidRDefault="00BD6E6D" w:rsidP="00AE3AF5">
      <w:pPr>
        <w:pStyle w:val="CommentText"/>
        <w:rPr>
          <w:lang w:val="fr-FR"/>
        </w:rPr>
      </w:pPr>
      <w:r w:rsidRPr="00FC60C1">
        <w:rPr>
          <w:lang w:val="fr-FR"/>
        </w:rPr>
        <w:br w:type="page"/>
      </w:r>
    </w:p>
    <w:p w14:paraId="2ABA4EE6" w14:textId="4A1EDC16" w:rsidR="00863F6A" w:rsidRPr="003D0B58" w:rsidRDefault="00A317D9" w:rsidP="00A317D9">
      <w:pPr>
        <w:pStyle w:val="ZZAnxtitle"/>
        <w:ind w:hanging="538"/>
        <w:rPr>
          <w:sz w:val="24"/>
          <w:szCs w:val="24"/>
          <w:lang w:val="fr-FR"/>
        </w:rPr>
      </w:pPr>
      <w:r w:rsidRPr="003D0B58">
        <w:rPr>
          <w:sz w:val="24"/>
          <w:szCs w:val="24"/>
          <w:lang w:val="fr-FR"/>
        </w:rPr>
        <w:lastRenderedPageBreak/>
        <w:t>C.</w:t>
      </w:r>
      <w:r w:rsidR="00450D9E" w:rsidRPr="003D0B58">
        <w:rPr>
          <w:sz w:val="24"/>
          <w:szCs w:val="24"/>
          <w:lang w:val="fr-FR"/>
        </w:rPr>
        <w:tab/>
      </w:r>
      <w:r w:rsidR="000A7F53" w:rsidRPr="003D0B58">
        <w:rPr>
          <w:sz w:val="24"/>
          <w:szCs w:val="24"/>
          <w:lang w:val="fr-FR"/>
        </w:rPr>
        <w:t xml:space="preserve">Répartition des postes concernés par le transfert de fonctionnaires du secrétariat de la Convention de Minamata au Secrétariat </w:t>
      </w:r>
      <w:r w:rsidR="0022698D" w:rsidRPr="003D0B58">
        <w:rPr>
          <w:sz w:val="24"/>
          <w:szCs w:val="24"/>
          <w:lang w:val="fr-FR"/>
        </w:rPr>
        <w:t>des conventions</w:t>
      </w:r>
      <w:r w:rsidR="000A7F53" w:rsidRPr="003D0B58">
        <w:rPr>
          <w:sz w:val="24"/>
          <w:szCs w:val="24"/>
          <w:lang w:val="fr-FR"/>
        </w:rPr>
        <w:t xml:space="preserve"> de Bâle, de Rotterdam et de Stockholm</w:t>
      </w:r>
      <w:bookmarkStart w:id="31" w:name="_Toc21073448"/>
      <w:bookmarkEnd w:id="31"/>
    </w:p>
    <w:tbl>
      <w:tblPr>
        <w:tblStyle w:val="TableGrid"/>
        <w:tblW w:w="8273" w:type="dxa"/>
        <w:jc w:val="right"/>
        <w:tblBorders>
          <w:top w:val="none" w:sz="0" w:space="0" w:color="auto"/>
          <w:left w:val="dotted" w:sz="4" w:space="0" w:color="auto"/>
          <w:bottom w:val="none" w:sz="0" w:space="0" w:color="auto"/>
          <w:right w:val="dotted" w:sz="4" w:space="0" w:color="auto"/>
          <w:insideH w:val="dotted" w:sz="4" w:space="0" w:color="auto"/>
          <w:insideV w:val="none" w:sz="0" w:space="0" w:color="auto"/>
        </w:tblBorders>
        <w:tblLayout w:type="fixed"/>
        <w:tblLook w:val="04A0" w:firstRow="1" w:lastRow="0" w:firstColumn="1" w:lastColumn="0" w:noHBand="0" w:noVBand="1"/>
      </w:tblPr>
      <w:tblGrid>
        <w:gridCol w:w="4330"/>
        <w:gridCol w:w="1314"/>
        <w:gridCol w:w="1314"/>
        <w:gridCol w:w="1315"/>
      </w:tblGrid>
      <w:tr w:rsidR="00863F6A" w:rsidRPr="003D0B58" w14:paraId="10634B7B" w14:textId="77777777" w:rsidTr="00174DCA">
        <w:trPr>
          <w:trHeight w:val="57"/>
          <w:jc w:val="right"/>
        </w:trPr>
        <w:tc>
          <w:tcPr>
            <w:tcW w:w="4330" w:type="dxa"/>
            <w:tcBorders>
              <w:top w:val="single" w:sz="4" w:space="0" w:color="auto"/>
              <w:bottom w:val="single" w:sz="12" w:space="0" w:color="auto"/>
            </w:tcBorders>
          </w:tcPr>
          <w:p w14:paraId="7F0C05A8" w14:textId="336DFAAA" w:rsidR="00863F6A" w:rsidRPr="003D0B58" w:rsidRDefault="00863F6A" w:rsidP="00174DCA">
            <w:pPr>
              <w:pStyle w:val="Normal-pool"/>
              <w:spacing w:before="40" w:after="40"/>
              <w:ind w:left="57" w:right="57"/>
              <w:rPr>
                <w:i/>
                <w:sz w:val="18"/>
                <w:szCs w:val="18"/>
                <w:lang w:val="fr-FR"/>
              </w:rPr>
            </w:pPr>
            <w:r w:rsidRPr="003D0B58">
              <w:rPr>
                <w:i/>
                <w:iCs/>
                <w:sz w:val="18"/>
                <w:szCs w:val="18"/>
                <w:lang w:val="fr-FR"/>
              </w:rPr>
              <w:t>Poste et classe</w:t>
            </w:r>
          </w:p>
        </w:tc>
        <w:tc>
          <w:tcPr>
            <w:tcW w:w="1314" w:type="dxa"/>
            <w:tcBorders>
              <w:top w:val="single" w:sz="4" w:space="0" w:color="auto"/>
              <w:bottom w:val="single" w:sz="12" w:space="0" w:color="auto"/>
            </w:tcBorders>
          </w:tcPr>
          <w:p w14:paraId="7D55DA74" w14:textId="1D362693" w:rsidR="00863F6A" w:rsidRPr="003D0B58" w:rsidRDefault="00863F6A" w:rsidP="00174DCA">
            <w:pPr>
              <w:pStyle w:val="Normal-pool"/>
              <w:spacing w:before="40" w:after="40"/>
              <w:ind w:left="57" w:right="57"/>
              <w:jc w:val="right"/>
              <w:rPr>
                <w:i/>
                <w:sz w:val="18"/>
                <w:szCs w:val="18"/>
                <w:lang w:val="fr-FR"/>
              </w:rPr>
            </w:pPr>
            <w:r w:rsidRPr="003D0B58">
              <w:rPr>
                <w:i/>
                <w:iCs/>
                <w:sz w:val="18"/>
                <w:szCs w:val="18"/>
                <w:lang w:val="fr-FR"/>
              </w:rPr>
              <w:t>Budgétisé CM</w:t>
            </w:r>
          </w:p>
        </w:tc>
        <w:tc>
          <w:tcPr>
            <w:tcW w:w="1314" w:type="dxa"/>
            <w:tcBorders>
              <w:top w:val="single" w:sz="4" w:space="0" w:color="auto"/>
              <w:bottom w:val="single" w:sz="12" w:space="0" w:color="auto"/>
            </w:tcBorders>
          </w:tcPr>
          <w:p w14:paraId="61AA9E02" w14:textId="0B238452" w:rsidR="00863F6A" w:rsidRPr="003D0B58" w:rsidRDefault="00863F6A" w:rsidP="00174DCA">
            <w:pPr>
              <w:pStyle w:val="Normal-pool"/>
              <w:spacing w:before="40" w:after="40"/>
              <w:ind w:left="57" w:right="57"/>
              <w:jc w:val="right"/>
              <w:rPr>
                <w:i/>
                <w:sz w:val="18"/>
                <w:szCs w:val="18"/>
                <w:lang w:val="fr-FR"/>
              </w:rPr>
            </w:pPr>
            <w:r w:rsidRPr="003D0B58">
              <w:rPr>
                <w:i/>
                <w:iCs/>
                <w:sz w:val="18"/>
                <w:szCs w:val="18"/>
                <w:lang w:val="fr-FR"/>
              </w:rPr>
              <w:t xml:space="preserve">Affecté </w:t>
            </w:r>
            <w:r w:rsidR="00303467" w:rsidRPr="003D0B58">
              <w:rPr>
                <w:i/>
                <w:iCs/>
                <w:sz w:val="18"/>
                <w:szCs w:val="18"/>
                <w:lang w:val="fr-FR"/>
              </w:rPr>
              <w:t>aux conventions</w:t>
            </w:r>
            <w:r w:rsidRPr="003D0B58">
              <w:rPr>
                <w:i/>
                <w:iCs/>
                <w:sz w:val="18"/>
                <w:szCs w:val="18"/>
                <w:lang w:val="fr-FR"/>
              </w:rPr>
              <w:t xml:space="preserve"> BRS</w:t>
            </w:r>
          </w:p>
        </w:tc>
        <w:tc>
          <w:tcPr>
            <w:tcW w:w="1315" w:type="dxa"/>
            <w:tcBorders>
              <w:top w:val="single" w:sz="4" w:space="0" w:color="auto"/>
              <w:bottom w:val="single" w:sz="12" w:space="0" w:color="auto"/>
            </w:tcBorders>
          </w:tcPr>
          <w:p w14:paraId="6B6B59DC" w14:textId="41728E93" w:rsidR="00863F6A" w:rsidRPr="003D0B58" w:rsidRDefault="00863F6A" w:rsidP="00174DCA">
            <w:pPr>
              <w:pStyle w:val="Normal-pool"/>
              <w:spacing w:before="40" w:after="40"/>
              <w:ind w:left="57" w:right="57"/>
              <w:jc w:val="right"/>
              <w:rPr>
                <w:i/>
                <w:sz w:val="18"/>
                <w:szCs w:val="18"/>
                <w:lang w:val="fr-FR"/>
              </w:rPr>
            </w:pPr>
            <w:r w:rsidRPr="003D0B58">
              <w:rPr>
                <w:i/>
                <w:iCs/>
                <w:sz w:val="18"/>
                <w:szCs w:val="18"/>
                <w:lang w:val="fr-FR"/>
              </w:rPr>
              <w:t>Maintien à la CM</w:t>
            </w:r>
            <w:r w:rsidRPr="003D0B58">
              <w:rPr>
                <w:sz w:val="18"/>
                <w:szCs w:val="18"/>
                <w:lang w:val="fr-FR"/>
              </w:rPr>
              <w:t xml:space="preserve"> </w:t>
            </w:r>
          </w:p>
        </w:tc>
      </w:tr>
      <w:tr w:rsidR="00863F6A" w:rsidRPr="003D0B58" w14:paraId="4F84F335" w14:textId="77777777" w:rsidTr="00174DCA">
        <w:trPr>
          <w:trHeight w:val="57"/>
          <w:jc w:val="right"/>
        </w:trPr>
        <w:tc>
          <w:tcPr>
            <w:tcW w:w="4330" w:type="dxa"/>
            <w:tcBorders>
              <w:top w:val="single" w:sz="12" w:space="0" w:color="auto"/>
            </w:tcBorders>
          </w:tcPr>
          <w:p w14:paraId="4C535937" w14:textId="77777777" w:rsidR="00863F6A" w:rsidRPr="003D0B58" w:rsidRDefault="00863F6A" w:rsidP="00174DCA">
            <w:pPr>
              <w:pStyle w:val="Normal-pool"/>
              <w:spacing w:before="40" w:after="40"/>
              <w:ind w:left="57" w:right="57"/>
              <w:rPr>
                <w:sz w:val="18"/>
                <w:szCs w:val="18"/>
                <w:lang w:val="fr-FR"/>
              </w:rPr>
            </w:pPr>
            <w:r w:rsidRPr="003D0B58">
              <w:rPr>
                <w:sz w:val="18"/>
                <w:szCs w:val="18"/>
                <w:lang w:val="fr-FR"/>
              </w:rPr>
              <w:t>D-1 - Secrétaire exécutif(ve)</w:t>
            </w:r>
          </w:p>
        </w:tc>
        <w:tc>
          <w:tcPr>
            <w:tcW w:w="1314" w:type="dxa"/>
            <w:tcBorders>
              <w:top w:val="single" w:sz="12" w:space="0" w:color="auto"/>
            </w:tcBorders>
          </w:tcPr>
          <w:p w14:paraId="34928147"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Borders>
              <w:top w:val="single" w:sz="12" w:space="0" w:color="auto"/>
            </w:tcBorders>
          </w:tcPr>
          <w:p w14:paraId="737642A7" w14:textId="59F69483"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c>
          <w:tcPr>
            <w:tcW w:w="1315" w:type="dxa"/>
            <w:tcBorders>
              <w:top w:val="single" w:sz="12" w:space="0" w:color="auto"/>
            </w:tcBorders>
          </w:tcPr>
          <w:p w14:paraId="1AE7F3E9"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r>
      <w:tr w:rsidR="00863F6A" w:rsidRPr="003D0B58" w14:paraId="58D1F930" w14:textId="77777777" w:rsidTr="00174DCA">
        <w:trPr>
          <w:trHeight w:val="57"/>
          <w:jc w:val="right"/>
        </w:trPr>
        <w:tc>
          <w:tcPr>
            <w:tcW w:w="4330" w:type="dxa"/>
          </w:tcPr>
          <w:p w14:paraId="3A730F9F" w14:textId="62D46794" w:rsidR="00863F6A" w:rsidRPr="003D0B58" w:rsidRDefault="00863F6A" w:rsidP="00174DCA">
            <w:pPr>
              <w:pStyle w:val="Normal-pool"/>
              <w:spacing w:before="40" w:after="40"/>
              <w:ind w:left="57" w:right="57"/>
              <w:rPr>
                <w:sz w:val="18"/>
                <w:szCs w:val="18"/>
                <w:lang w:val="fr-FR"/>
              </w:rPr>
            </w:pPr>
            <w:r w:rsidRPr="003D0B58">
              <w:rPr>
                <w:sz w:val="18"/>
                <w:szCs w:val="18"/>
                <w:lang w:val="fr-FR"/>
              </w:rPr>
              <w:t>P-5 - Coordination et politiques</w:t>
            </w:r>
          </w:p>
        </w:tc>
        <w:tc>
          <w:tcPr>
            <w:tcW w:w="1314" w:type="dxa"/>
          </w:tcPr>
          <w:p w14:paraId="6B2B18A8"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6F5DD353" w14:textId="5059E021"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c>
          <w:tcPr>
            <w:tcW w:w="1315" w:type="dxa"/>
          </w:tcPr>
          <w:p w14:paraId="7D80FF60"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r>
      <w:tr w:rsidR="00863F6A" w:rsidRPr="003D0B58" w14:paraId="6BC908DA" w14:textId="77777777" w:rsidTr="00174DCA">
        <w:trPr>
          <w:trHeight w:val="57"/>
          <w:jc w:val="right"/>
        </w:trPr>
        <w:tc>
          <w:tcPr>
            <w:tcW w:w="4330" w:type="dxa"/>
          </w:tcPr>
          <w:p w14:paraId="0A519543" w14:textId="0996923A" w:rsidR="00863F6A" w:rsidRPr="003D0B58" w:rsidRDefault="00863F6A" w:rsidP="00174DCA">
            <w:pPr>
              <w:pStyle w:val="Normal-pool"/>
              <w:spacing w:before="40" w:after="40"/>
              <w:ind w:left="57" w:right="57"/>
              <w:rPr>
                <w:sz w:val="18"/>
                <w:szCs w:val="18"/>
                <w:lang w:val="fr-FR"/>
              </w:rPr>
            </w:pPr>
            <w:r w:rsidRPr="003D0B58">
              <w:rPr>
                <w:sz w:val="18"/>
                <w:szCs w:val="18"/>
                <w:lang w:val="fr-FR"/>
              </w:rPr>
              <w:t>P-4 - Science et technologie</w:t>
            </w:r>
          </w:p>
        </w:tc>
        <w:tc>
          <w:tcPr>
            <w:tcW w:w="1314" w:type="dxa"/>
          </w:tcPr>
          <w:p w14:paraId="76D7D140"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50838101" w14:textId="2F8D7490"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c>
          <w:tcPr>
            <w:tcW w:w="1315" w:type="dxa"/>
          </w:tcPr>
          <w:p w14:paraId="5FF8EDD6"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r>
      <w:tr w:rsidR="00863F6A" w:rsidRPr="003D0B58" w14:paraId="5A29D4E4" w14:textId="77777777" w:rsidTr="00174DCA">
        <w:trPr>
          <w:trHeight w:val="57"/>
          <w:jc w:val="right"/>
        </w:trPr>
        <w:tc>
          <w:tcPr>
            <w:tcW w:w="4330" w:type="dxa"/>
          </w:tcPr>
          <w:p w14:paraId="1A65726F" w14:textId="3933C645" w:rsidR="00863F6A" w:rsidRPr="003D0B58" w:rsidRDefault="00863F6A" w:rsidP="00174DCA">
            <w:pPr>
              <w:pStyle w:val="Normal-pool"/>
              <w:spacing w:before="40" w:after="40"/>
              <w:ind w:left="57" w:right="57"/>
              <w:rPr>
                <w:sz w:val="18"/>
                <w:szCs w:val="18"/>
                <w:lang w:val="fr-FR"/>
              </w:rPr>
            </w:pPr>
            <w:r w:rsidRPr="003D0B58">
              <w:rPr>
                <w:sz w:val="18"/>
                <w:szCs w:val="18"/>
                <w:lang w:val="fr-FR"/>
              </w:rPr>
              <w:t>P-4 - Renforcement des capacités et assistance technique</w:t>
            </w:r>
          </w:p>
        </w:tc>
        <w:tc>
          <w:tcPr>
            <w:tcW w:w="1314" w:type="dxa"/>
          </w:tcPr>
          <w:p w14:paraId="40E3BAB5"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7B7E75EF"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5" w:type="dxa"/>
          </w:tcPr>
          <w:p w14:paraId="3D7F5D44" w14:textId="75B394E0"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r>
      <w:tr w:rsidR="00863F6A" w:rsidRPr="003D0B58" w14:paraId="38199501" w14:textId="77777777" w:rsidTr="00CD2C48">
        <w:tblPrEx>
          <w:jc w:val="left"/>
        </w:tblPrEx>
        <w:tc>
          <w:tcPr>
            <w:tcW w:w="4330" w:type="dxa"/>
          </w:tcPr>
          <w:p w14:paraId="11D90AD8" w14:textId="048281EE" w:rsidR="00863F6A" w:rsidRPr="003D0B58" w:rsidRDefault="00863F6A" w:rsidP="00CD2C48">
            <w:pPr>
              <w:tabs>
                <w:tab w:val="clear" w:pos="1247"/>
                <w:tab w:val="clear" w:pos="1814"/>
                <w:tab w:val="clear" w:pos="2381"/>
                <w:tab w:val="clear" w:pos="2948"/>
                <w:tab w:val="clear" w:pos="3515"/>
              </w:tabs>
              <w:spacing w:line="288" w:lineRule="auto"/>
              <w:ind w:left="57"/>
              <w:rPr>
                <w:sz w:val="18"/>
                <w:szCs w:val="18"/>
                <w:lang w:val="fr-FR"/>
              </w:rPr>
            </w:pPr>
            <w:r w:rsidRPr="003D0B58">
              <w:rPr>
                <w:sz w:val="18"/>
                <w:szCs w:val="18"/>
                <w:lang w:val="fr-FR"/>
              </w:rPr>
              <w:t>P-4 - Administrateur(trice) de programmes</w:t>
            </w:r>
          </w:p>
        </w:tc>
        <w:tc>
          <w:tcPr>
            <w:tcW w:w="1314" w:type="dxa"/>
          </w:tcPr>
          <w:p w14:paraId="4E81B60B"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613198F7" w14:textId="34DAEC65"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c>
          <w:tcPr>
            <w:tcW w:w="1315" w:type="dxa"/>
          </w:tcPr>
          <w:p w14:paraId="46C614D2"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r>
      <w:tr w:rsidR="00863F6A" w:rsidRPr="003D0B58" w14:paraId="44BF21D4" w14:textId="77777777" w:rsidTr="00174DCA">
        <w:trPr>
          <w:trHeight w:val="57"/>
          <w:jc w:val="right"/>
        </w:trPr>
        <w:tc>
          <w:tcPr>
            <w:tcW w:w="4330" w:type="dxa"/>
          </w:tcPr>
          <w:p w14:paraId="4876239A" w14:textId="1F7BE0D8" w:rsidR="00863F6A" w:rsidRPr="003D0B58" w:rsidRDefault="00863F6A" w:rsidP="00174DCA">
            <w:pPr>
              <w:pStyle w:val="Normal-pool"/>
              <w:spacing w:before="40" w:after="40"/>
              <w:ind w:left="57" w:right="57"/>
              <w:rPr>
                <w:sz w:val="18"/>
                <w:szCs w:val="18"/>
                <w:lang w:val="fr-FR"/>
              </w:rPr>
            </w:pPr>
            <w:r w:rsidRPr="003D0B58">
              <w:rPr>
                <w:sz w:val="18"/>
                <w:szCs w:val="18"/>
                <w:lang w:val="fr-FR"/>
              </w:rPr>
              <w:t>P-4 - Fonctionnaire d</w:t>
            </w:r>
            <w:r w:rsidR="002A6A82" w:rsidRPr="003D0B58">
              <w:rPr>
                <w:sz w:val="18"/>
                <w:szCs w:val="18"/>
                <w:lang w:val="fr-FR"/>
              </w:rPr>
              <w:t>’</w:t>
            </w:r>
            <w:r w:rsidRPr="003D0B58">
              <w:rPr>
                <w:sz w:val="18"/>
                <w:szCs w:val="18"/>
                <w:lang w:val="fr-FR"/>
              </w:rPr>
              <w:t>administration</w:t>
            </w:r>
          </w:p>
        </w:tc>
        <w:tc>
          <w:tcPr>
            <w:tcW w:w="1314" w:type="dxa"/>
          </w:tcPr>
          <w:p w14:paraId="7740956C"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03B13F35"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5" w:type="dxa"/>
          </w:tcPr>
          <w:p w14:paraId="41D2882E" w14:textId="6BFBDAA3"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r>
      <w:tr w:rsidR="00863F6A" w:rsidRPr="003D0B58" w14:paraId="6EDA8E36" w14:textId="77777777" w:rsidTr="00CD2C48">
        <w:tblPrEx>
          <w:jc w:val="left"/>
        </w:tblPrEx>
        <w:tc>
          <w:tcPr>
            <w:tcW w:w="4330" w:type="dxa"/>
          </w:tcPr>
          <w:p w14:paraId="7381A90A" w14:textId="537F163D" w:rsidR="00863F6A" w:rsidRPr="003D0B58" w:rsidRDefault="00863F6A" w:rsidP="00CD2C48">
            <w:pPr>
              <w:tabs>
                <w:tab w:val="clear" w:pos="1247"/>
                <w:tab w:val="clear" w:pos="1814"/>
                <w:tab w:val="clear" w:pos="2381"/>
                <w:tab w:val="clear" w:pos="2948"/>
                <w:tab w:val="clear" w:pos="3515"/>
              </w:tabs>
              <w:spacing w:line="288" w:lineRule="auto"/>
              <w:ind w:left="57"/>
              <w:rPr>
                <w:sz w:val="18"/>
                <w:szCs w:val="18"/>
                <w:lang w:val="fr-FR"/>
              </w:rPr>
            </w:pPr>
            <w:r w:rsidRPr="003D0B58">
              <w:rPr>
                <w:sz w:val="18"/>
                <w:szCs w:val="18"/>
                <w:lang w:val="fr-FR"/>
              </w:rPr>
              <w:t>P-3 - Juriste</w:t>
            </w:r>
          </w:p>
        </w:tc>
        <w:tc>
          <w:tcPr>
            <w:tcW w:w="1314" w:type="dxa"/>
          </w:tcPr>
          <w:p w14:paraId="503EDB78"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167667BC"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5" w:type="dxa"/>
          </w:tcPr>
          <w:p w14:paraId="5776424E" w14:textId="7A47BBD6"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r>
      <w:tr w:rsidR="00863F6A" w:rsidRPr="003D0B58" w14:paraId="1FD66434" w14:textId="77777777" w:rsidTr="00CD2C48">
        <w:tblPrEx>
          <w:jc w:val="left"/>
        </w:tblPrEx>
        <w:tc>
          <w:tcPr>
            <w:tcW w:w="4330" w:type="dxa"/>
          </w:tcPr>
          <w:p w14:paraId="518EB2B0" w14:textId="68700AC5" w:rsidR="00863F6A" w:rsidRPr="003D0B58" w:rsidRDefault="00863F6A" w:rsidP="00CD2C48">
            <w:pPr>
              <w:tabs>
                <w:tab w:val="clear" w:pos="1247"/>
                <w:tab w:val="clear" w:pos="1814"/>
                <w:tab w:val="clear" w:pos="2381"/>
                <w:tab w:val="clear" w:pos="2948"/>
                <w:tab w:val="clear" w:pos="3515"/>
              </w:tabs>
              <w:spacing w:line="288" w:lineRule="auto"/>
              <w:ind w:left="57"/>
              <w:rPr>
                <w:sz w:val="18"/>
                <w:szCs w:val="18"/>
                <w:lang w:val="fr-FR"/>
              </w:rPr>
            </w:pPr>
            <w:r w:rsidRPr="003D0B58">
              <w:rPr>
                <w:sz w:val="18"/>
                <w:szCs w:val="18"/>
                <w:lang w:val="fr-FR"/>
              </w:rPr>
              <w:t>P-3 - Spécialiste des communications</w:t>
            </w:r>
          </w:p>
        </w:tc>
        <w:tc>
          <w:tcPr>
            <w:tcW w:w="1314" w:type="dxa"/>
          </w:tcPr>
          <w:p w14:paraId="6A69FA8D"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7EBDF3A5" w14:textId="31CF970D"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c>
          <w:tcPr>
            <w:tcW w:w="1315" w:type="dxa"/>
          </w:tcPr>
          <w:p w14:paraId="58390DE1"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r>
      <w:tr w:rsidR="00863F6A" w:rsidRPr="003D0B58" w14:paraId="20FF7BEA" w14:textId="77777777" w:rsidTr="00174DCA">
        <w:trPr>
          <w:trHeight w:val="57"/>
          <w:jc w:val="right"/>
        </w:trPr>
        <w:tc>
          <w:tcPr>
            <w:tcW w:w="4330" w:type="dxa"/>
          </w:tcPr>
          <w:p w14:paraId="7ECEF534" w14:textId="124A21D5" w:rsidR="00863F6A" w:rsidRPr="003D0B58" w:rsidRDefault="00863F6A" w:rsidP="00174DCA">
            <w:pPr>
              <w:pStyle w:val="Normal-pool"/>
              <w:spacing w:before="40" w:after="40"/>
              <w:ind w:left="57" w:right="57"/>
              <w:rPr>
                <w:sz w:val="18"/>
                <w:szCs w:val="18"/>
                <w:lang w:val="fr-FR"/>
              </w:rPr>
            </w:pPr>
            <w:r w:rsidRPr="003D0B58">
              <w:rPr>
                <w:sz w:val="18"/>
                <w:szCs w:val="18"/>
                <w:lang w:val="fr-FR"/>
              </w:rPr>
              <w:t>P-3 - Gestion du savoir</w:t>
            </w:r>
          </w:p>
        </w:tc>
        <w:tc>
          <w:tcPr>
            <w:tcW w:w="1314" w:type="dxa"/>
          </w:tcPr>
          <w:p w14:paraId="64A1D5AF"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2F8F75EA"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5" w:type="dxa"/>
          </w:tcPr>
          <w:p w14:paraId="2DAB5598" w14:textId="7C30F1F7"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r>
      <w:tr w:rsidR="00863F6A" w:rsidRPr="003D0B58" w14:paraId="11DAF2A4" w14:textId="77777777" w:rsidTr="00CD2C48">
        <w:tblPrEx>
          <w:jc w:val="left"/>
        </w:tblPrEx>
        <w:tc>
          <w:tcPr>
            <w:tcW w:w="4330" w:type="dxa"/>
          </w:tcPr>
          <w:p w14:paraId="044195BB" w14:textId="1DC5CAEC" w:rsidR="00863F6A" w:rsidRPr="003D0B58" w:rsidRDefault="00863F6A" w:rsidP="00CD2C48">
            <w:pPr>
              <w:tabs>
                <w:tab w:val="clear" w:pos="1247"/>
                <w:tab w:val="clear" w:pos="1814"/>
                <w:tab w:val="clear" w:pos="2381"/>
                <w:tab w:val="clear" w:pos="2948"/>
                <w:tab w:val="clear" w:pos="3515"/>
              </w:tabs>
              <w:spacing w:line="288" w:lineRule="auto"/>
              <w:ind w:left="57"/>
              <w:rPr>
                <w:sz w:val="18"/>
                <w:szCs w:val="18"/>
                <w:lang w:val="fr-FR"/>
              </w:rPr>
            </w:pPr>
            <w:r w:rsidRPr="003D0B58">
              <w:rPr>
                <w:sz w:val="18"/>
                <w:szCs w:val="18"/>
                <w:lang w:val="fr-FR"/>
              </w:rPr>
              <w:t>P-3 - Administrateur(trice) de programmes</w:t>
            </w:r>
          </w:p>
        </w:tc>
        <w:tc>
          <w:tcPr>
            <w:tcW w:w="1314" w:type="dxa"/>
          </w:tcPr>
          <w:p w14:paraId="6319D29D"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70B1CD43" w14:textId="6B813617"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c>
          <w:tcPr>
            <w:tcW w:w="1315" w:type="dxa"/>
          </w:tcPr>
          <w:p w14:paraId="701C89AF"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r>
      <w:tr w:rsidR="00863F6A" w:rsidRPr="003D0B58" w14:paraId="206077EA" w14:textId="77777777" w:rsidTr="00CD2C48">
        <w:tblPrEx>
          <w:jc w:val="left"/>
        </w:tblPrEx>
        <w:tc>
          <w:tcPr>
            <w:tcW w:w="4330" w:type="dxa"/>
          </w:tcPr>
          <w:p w14:paraId="179B3EFE" w14:textId="0380E56D" w:rsidR="00863F6A" w:rsidRPr="003D0B58" w:rsidRDefault="00863F6A" w:rsidP="00CD2C48">
            <w:pPr>
              <w:tabs>
                <w:tab w:val="clear" w:pos="1247"/>
                <w:tab w:val="clear" w:pos="1814"/>
                <w:tab w:val="clear" w:pos="2381"/>
                <w:tab w:val="clear" w:pos="2948"/>
                <w:tab w:val="clear" w:pos="3515"/>
              </w:tabs>
              <w:spacing w:line="288" w:lineRule="auto"/>
              <w:ind w:left="57"/>
              <w:rPr>
                <w:sz w:val="18"/>
                <w:szCs w:val="18"/>
                <w:lang w:val="fr-FR"/>
              </w:rPr>
            </w:pPr>
            <w:r w:rsidRPr="003D0B58">
              <w:rPr>
                <w:sz w:val="18"/>
                <w:szCs w:val="18"/>
                <w:lang w:val="fr-FR"/>
              </w:rPr>
              <w:t>G-6 - Assistant(e) administratif(ve)</w:t>
            </w:r>
          </w:p>
        </w:tc>
        <w:tc>
          <w:tcPr>
            <w:tcW w:w="1314" w:type="dxa"/>
          </w:tcPr>
          <w:p w14:paraId="39CC5FB4"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2</w:t>
            </w:r>
          </w:p>
        </w:tc>
        <w:tc>
          <w:tcPr>
            <w:tcW w:w="1314" w:type="dxa"/>
          </w:tcPr>
          <w:p w14:paraId="70805687"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5" w:type="dxa"/>
          </w:tcPr>
          <w:p w14:paraId="06846698"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r>
      <w:tr w:rsidR="00863F6A" w:rsidRPr="003D0B58" w14:paraId="7C9EAEC0" w14:textId="77777777" w:rsidTr="00CD2C48">
        <w:tblPrEx>
          <w:jc w:val="left"/>
        </w:tblPrEx>
        <w:tc>
          <w:tcPr>
            <w:tcW w:w="4330" w:type="dxa"/>
          </w:tcPr>
          <w:p w14:paraId="2FE5034E" w14:textId="0766C27F" w:rsidR="00863F6A" w:rsidRPr="003D0B58" w:rsidRDefault="00863F6A" w:rsidP="00CD2C48">
            <w:pPr>
              <w:tabs>
                <w:tab w:val="clear" w:pos="1247"/>
                <w:tab w:val="clear" w:pos="1814"/>
                <w:tab w:val="clear" w:pos="2381"/>
                <w:tab w:val="clear" w:pos="2948"/>
                <w:tab w:val="clear" w:pos="3515"/>
              </w:tabs>
              <w:spacing w:line="288" w:lineRule="auto"/>
              <w:ind w:left="57"/>
              <w:rPr>
                <w:sz w:val="18"/>
                <w:szCs w:val="18"/>
                <w:lang w:val="fr-FR"/>
              </w:rPr>
            </w:pPr>
            <w:r w:rsidRPr="003D0B58">
              <w:rPr>
                <w:sz w:val="18"/>
                <w:szCs w:val="18"/>
                <w:lang w:val="fr-FR"/>
              </w:rPr>
              <w:t>G-5 - Assistant(e) (gestion des programmes)</w:t>
            </w:r>
          </w:p>
        </w:tc>
        <w:tc>
          <w:tcPr>
            <w:tcW w:w="1314" w:type="dxa"/>
          </w:tcPr>
          <w:p w14:paraId="7FBCA31F"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02CAC9A9" w14:textId="7E1E1F73"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c>
          <w:tcPr>
            <w:tcW w:w="1315" w:type="dxa"/>
          </w:tcPr>
          <w:p w14:paraId="38A7135D"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r>
      <w:tr w:rsidR="00863F6A" w:rsidRPr="003D0B58" w14:paraId="41EA0083" w14:textId="77777777" w:rsidTr="00CD2C48">
        <w:tblPrEx>
          <w:jc w:val="left"/>
        </w:tblPrEx>
        <w:tc>
          <w:tcPr>
            <w:tcW w:w="4330" w:type="dxa"/>
          </w:tcPr>
          <w:p w14:paraId="6EA2F608" w14:textId="7CE36718" w:rsidR="00863F6A" w:rsidRPr="003D0B58" w:rsidRDefault="00863F6A" w:rsidP="00CD2C48">
            <w:pPr>
              <w:tabs>
                <w:tab w:val="clear" w:pos="1247"/>
                <w:tab w:val="clear" w:pos="1814"/>
                <w:tab w:val="clear" w:pos="2381"/>
                <w:tab w:val="clear" w:pos="2948"/>
                <w:tab w:val="clear" w:pos="3515"/>
              </w:tabs>
              <w:spacing w:line="288" w:lineRule="auto"/>
              <w:ind w:left="57"/>
              <w:rPr>
                <w:sz w:val="18"/>
                <w:szCs w:val="18"/>
                <w:lang w:val="fr-FR"/>
              </w:rPr>
            </w:pPr>
            <w:r w:rsidRPr="003D0B58">
              <w:rPr>
                <w:sz w:val="18"/>
                <w:szCs w:val="18"/>
                <w:lang w:val="fr-FR"/>
              </w:rPr>
              <w:t>G-5 - Assistant(e) d</w:t>
            </w:r>
            <w:r w:rsidR="002A6A82" w:rsidRPr="003D0B58">
              <w:rPr>
                <w:sz w:val="18"/>
                <w:szCs w:val="18"/>
                <w:lang w:val="fr-FR"/>
              </w:rPr>
              <w:t>’</w:t>
            </w:r>
            <w:r w:rsidRPr="003D0B58">
              <w:rPr>
                <w:sz w:val="18"/>
                <w:szCs w:val="18"/>
                <w:lang w:val="fr-FR"/>
              </w:rPr>
              <w:t>information</w:t>
            </w:r>
          </w:p>
        </w:tc>
        <w:tc>
          <w:tcPr>
            <w:tcW w:w="1314" w:type="dxa"/>
          </w:tcPr>
          <w:p w14:paraId="7CC57B87"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4" w:type="dxa"/>
          </w:tcPr>
          <w:p w14:paraId="3F20D62A"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1</w:t>
            </w:r>
          </w:p>
        </w:tc>
        <w:tc>
          <w:tcPr>
            <w:tcW w:w="1315" w:type="dxa"/>
          </w:tcPr>
          <w:p w14:paraId="69C4E74A" w14:textId="4E71432C"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r>
      <w:tr w:rsidR="00863F6A" w:rsidRPr="003D0B58" w14:paraId="4D188E7C" w14:textId="77777777" w:rsidTr="00CD2C48">
        <w:tblPrEx>
          <w:jc w:val="left"/>
        </w:tblPrEx>
        <w:tc>
          <w:tcPr>
            <w:tcW w:w="4330" w:type="dxa"/>
            <w:tcBorders>
              <w:bottom w:val="single" w:sz="4" w:space="0" w:color="auto"/>
            </w:tcBorders>
          </w:tcPr>
          <w:p w14:paraId="49227A61" w14:textId="2EF1626B" w:rsidR="00863F6A" w:rsidRPr="003D0B58" w:rsidRDefault="00863F6A" w:rsidP="00CD2C48">
            <w:pPr>
              <w:tabs>
                <w:tab w:val="clear" w:pos="1247"/>
                <w:tab w:val="clear" w:pos="1814"/>
                <w:tab w:val="clear" w:pos="2381"/>
                <w:tab w:val="clear" w:pos="2948"/>
                <w:tab w:val="clear" w:pos="3515"/>
              </w:tabs>
              <w:spacing w:line="288" w:lineRule="auto"/>
              <w:ind w:left="57"/>
              <w:rPr>
                <w:sz w:val="18"/>
                <w:szCs w:val="18"/>
                <w:lang w:val="fr-FR"/>
              </w:rPr>
            </w:pPr>
            <w:r w:rsidRPr="003D0B58">
              <w:rPr>
                <w:sz w:val="18"/>
                <w:szCs w:val="18"/>
                <w:lang w:val="fr-FR"/>
              </w:rPr>
              <w:t>G-4 - Assistant(e) d</w:t>
            </w:r>
            <w:r w:rsidR="002A6A82" w:rsidRPr="003D0B58">
              <w:rPr>
                <w:sz w:val="18"/>
                <w:szCs w:val="18"/>
                <w:lang w:val="fr-FR"/>
              </w:rPr>
              <w:t>’</w:t>
            </w:r>
            <w:r w:rsidRPr="003D0B58">
              <w:rPr>
                <w:sz w:val="18"/>
                <w:szCs w:val="18"/>
                <w:lang w:val="fr-FR"/>
              </w:rPr>
              <w:t>équipe</w:t>
            </w:r>
          </w:p>
        </w:tc>
        <w:tc>
          <w:tcPr>
            <w:tcW w:w="1314" w:type="dxa"/>
            <w:tcBorders>
              <w:bottom w:val="single" w:sz="4" w:space="0" w:color="auto"/>
            </w:tcBorders>
          </w:tcPr>
          <w:p w14:paraId="4ABDBE71"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2</w:t>
            </w:r>
          </w:p>
        </w:tc>
        <w:tc>
          <w:tcPr>
            <w:tcW w:w="1314" w:type="dxa"/>
            <w:tcBorders>
              <w:bottom w:val="single" w:sz="4" w:space="0" w:color="auto"/>
            </w:tcBorders>
          </w:tcPr>
          <w:p w14:paraId="6C3FE1C5" w14:textId="77777777" w:rsidR="00863F6A" w:rsidRPr="003D0B58" w:rsidRDefault="00863F6A" w:rsidP="00174DCA">
            <w:pPr>
              <w:pStyle w:val="Normal-pool"/>
              <w:spacing w:before="40" w:after="40"/>
              <w:ind w:left="57" w:right="57"/>
              <w:jc w:val="right"/>
              <w:rPr>
                <w:sz w:val="18"/>
                <w:szCs w:val="18"/>
                <w:lang w:val="fr-FR"/>
              </w:rPr>
            </w:pPr>
            <w:r w:rsidRPr="003D0B58">
              <w:rPr>
                <w:sz w:val="18"/>
                <w:szCs w:val="18"/>
                <w:lang w:val="fr-FR"/>
              </w:rPr>
              <w:t>2</w:t>
            </w:r>
          </w:p>
        </w:tc>
        <w:tc>
          <w:tcPr>
            <w:tcW w:w="1315" w:type="dxa"/>
            <w:tcBorders>
              <w:bottom w:val="single" w:sz="4" w:space="0" w:color="auto"/>
            </w:tcBorders>
          </w:tcPr>
          <w:p w14:paraId="69C531E8" w14:textId="5A2CB029" w:rsidR="00863F6A" w:rsidRPr="003D0B58" w:rsidRDefault="00CD2C48" w:rsidP="00174DCA">
            <w:pPr>
              <w:pStyle w:val="Normal-pool"/>
              <w:spacing w:before="40" w:after="40"/>
              <w:ind w:left="57" w:right="57"/>
              <w:jc w:val="right"/>
              <w:rPr>
                <w:sz w:val="18"/>
                <w:szCs w:val="18"/>
                <w:lang w:val="fr-FR"/>
              </w:rPr>
            </w:pPr>
            <w:r w:rsidRPr="003D0B58">
              <w:rPr>
                <w:sz w:val="18"/>
                <w:szCs w:val="18"/>
                <w:lang w:val="fr-FR"/>
              </w:rPr>
              <w:t>–</w:t>
            </w:r>
          </w:p>
        </w:tc>
      </w:tr>
      <w:tr w:rsidR="00863F6A" w:rsidRPr="003D0B58" w14:paraId="563F408B" w14:textId="77777777" w:rsidTr="00174DCA">
        <w:trPr>
          <w:trHeight w:val="57"/>
          <w:jc w:val="right"/>
        </w:trPr>
        <w:tc>
          <w:tcPr>
            <w:tcW w:w="4330" w:type="dxa"/>
            <w:tcBorders>
              <w:top w:val="single" w:sz="4" w:space="0" w:color="auto"/>
              <w:bottom w:val="single" w:sz="12" w:space="0" w:color="auto"/>
            </w:tcBorders>
          </w:tcPr>
          <w:p w14:paraId="421F18E4" w14:textId="77777777" w:rsidR="00863F6A" w:rsidRPr="003D0B58" w:rsidRDefault="00863F6A" w:rsidP="00174DCA">
            <w:pPr>
              <w:pStyle w:val="Normal-pool"/>
              <w:spacing w:before="40" w:after="40"/>
              <w:ind w:left="57" w:right="57"/>
              <w:rPr>
                <w:b/>
                <w:sz w:val="18"/>
                <w:szCs w:val="18"/>
                <w:lang w:val="fr-FR"/>
              </w:rPr>
            </w:pPr>
            <w:r w:rsidRPr="003D0B58">
              <w:rPr>
                <w:b/>
                <w:bCs/>
                <w:sz w:val="18"/>
                <w:szCs w:val="18"/>
                <w:lang w:val="fr-FR"/>
              </w:rPr>
              <w:t>Total</w:t>
            </w:r>
          </w:p>
        </w:tc>
        <w:tc>
          <w:tcPr>
            <w:tcW w:w="1314" w:type="dxa"/>
            <w:tcBorders>
              <w:top w:val="single" w:sz="4" w:space="0" w:color="auto"/>
              <w:bottom w:val="single" w:sz="12" w:space="0" w:color="auto"/>
            </w:tcBorders>
          </w:tcPr>
          <w:p w14:paraId="3E0AC79B" w14:textId="77777777" w:rsidR="00863F6A" w:rsidRPr="003D0B58" w:rsidRDefault="00863F6A" w:rsidP="00174DCA">
            <w:pPr>
              <w:pStyle w:val="Normal-pool"/>
              <w:spacing w:before="40" w:after="40"/>
              <w:ind w:left="57" w:right="57"/>
              <w:jc w:val="right"/>
              <w:rPr>
                <w:b/>
                <w:sz w:val="18"/>
                <w:szCs w:val="18"/>
                <w:lang w:val="fr-FR"/>
              </w:rPr>
            </w:pPr>
            <w:r w:rsidRPr="003D0B58">
              <w:rPr>
                <w:b/>
                <w:bCs/>
                <w:sz w:val="18"/>
                <w:szCs w:val="18"/>
                <w:lang w:val="fr-FR"/>
              </w:rPr>
              <w:t>16</w:t>
            </w:r>
          </w:p>
        </w:tc>
        <w:tc>
          <w:tcPr>
            <w:tcW w:w="1314" w:type="dxa"/>
            <w:tcBorders>
              <w:top w:val="single" w:sz="4" w:space="0" w:color="auto"/>
              <w:bottom w:val="single" w:sz="12" w:space="0" w:color="auto"/>
            </w:tcBorders>
          </w:tcPr>
          <w:p w14:paraId="3E986AE9" w14:textId="77777777" w:rsidR="00863F6A" w:rsidRPr="003D0B58" w:rsidRDefault="00863F6A" w:rsidP="00174DCA">
            <w:pPr>
              <w:pStyle w:val="Normal-pool"/>
              <w:spacing w:before="40" w:after="40"/>
              <w:ind w:left="57" w:right="57"/>
              <w:jc w:val="right"/>
              <w:rPr>
                <w:b/>
                <w:sz w:val="18"/>
                <w:szCs w:val="18"/>
                <w:lang w:val="fr-FR"/>
              </w:rPr>
            </w:pPr>
            <w:r w:rsidRPr="003D0B58">
              <w:rPr>
                <w:b/>
                <w:bCs/>
                <w:sz w:val="18"/>
                <w:szCs w:val="18"/>
                <w:lang w:val="fr-FR"/>
              </w:rPr>
              <w:t>8</w:t>
            </w:r>
          </w:p>
        </w:tc>
        <w:tc>
          <w:tcPr>
            <w:tcW w:w="1315" w:type="dxa"/>
            <w:tcBorders>
              <w:top w:val="single" w:sz="4" w:space="0" w:color="auto"/>
              <w:bottom w:val="single" w:sz="12" w:space="0" w:color="auto"/>
            </w:tcBorders>
          </w:tcPr>
          <w:p w14:paraId="784A522B" w14:textId="77777777" w:rsidR="00863F6A" w:rsidRPr="003D0B58" w:rsidRDefault="00863F6A" w:rsidP="00174DCA">
            <w:pPr>
              <w:pStyle w:val="Normal-pool"/>
              <w:spacing w:before="40" w:after="40"/>
              <w:ind w:left="57" w:right="57"/>
              <w:jc w:val="right"/>
              <w:rPr>
                <w:b/>
                <w:sz w:val="18"/>
                <w:szCs w:val="18"/>
                <w:lang w:val="fr-FR"/>
              </w:rPr>
            </w:pPr>
            <w:r w:rsidRPr="003D0B58">
              <w:rPr>
                <w:b/>
                <w:bCs/>
                <w:sz w:val="18"/>
                <w:szCs w:val="18"/>
                <w:lang w:val="fr-FR"/>
              </w:rPr>
              <w:t>8</w:t>
            </w:r>
          </w:p>
        </w:tc>
      </w:tr>
    </w:tbl>
    <w:p w14:paraId="4B63CF47" w14:textId="1441A42C" w:rsidR="00863F6A" w:rsidRPr="003D0B58" w:rsidRDefault="001639C5" w:rsidP="00174DCA">
      <w:pPr>
        <w:pStyle w:val="NormalNonumber"/>
        <w:spacing w:before="40"/>
        <w:rPr>
          <w:sz w:val="18"/>
          <w:szCs w:val="18"/>
          <w:lang w:val="fr-FR"/>
        </w:rPr>
      </w:pPr>
      <w:r w:rsidRPr="003D0B58">
        <w:rPr>
          <w:i/>
          <w:iCs/>
          <w:sz w:val="18"/>
          <w:szCs w:val="18"/>
          <w:lang w:val="fr-FR"/>
        </w:rPr>
        <w:t>Abréviations</w:t>
      </w:r>
      <w:r w:rsidR="00450D9E" w:rsidRPr="003D0B58">
        <w:rPr>
          <w:i/>
          <w:iCs/>
          <w:sz w:val="18"/>
          <w:szCs w:val="18"/>
          <w:lang w:val="fr-FR"/>
        </w:rPr>
        <w:t> :</w:t>
      </w:r>
      <w:r w:rsidRPr="003D0B58">
        <w:rPr>
          <w:sz w:val="18"/>
          <w:szCs w:val="18"/>
          <w:lang w:val="fr-FR"/>
        </w:rPr>
        <w:t xml:space="preserve"> BRS - </w:t>
      </w:r>
      <w:r w:rsidR="003D0B58">
        <w:rPr>
          <w:sz w:val="18"/>
          <w:szCs w:val="18"/>
          <w:lang w:val="fr-FR"/>
        </w:rPr>
        <w:t>C</w:t>
      </w:r>
      <w:r w:rsidRPr="003D0B58">
        <w:rPr>
          <w:sz w:val="18"/>
          <w:szCs w:val="18"/>
          <w:lang w:val="fr-FR"/>
        </w:rPr>
        <w:t>onventions de Bâle, de Rotterdam et de Stockholm</w:t>
      </w:r>
      <w:r w:rsidR="00A22EBC" w:rsidRPr="003D0B58">
        <w:rPr>
          <w:sz w:val="18"/>
          <w:szCs w:val="18"/>
          <w:lang w:val="fr-FR"/>
        </w:rPr>
        <w:t> ;</w:t>
      </w:r>
      <w:r w:rsidRPr="003D0B58">
        <w:rPr>
          <w:sz w:val="18"/>
          <w:szCs w:val="18"/>
          <w:lang w:val="fr-FR"/>
        </w:rPr>
        <w:t xml:space="preserve"> CM - Convention de Minamata.</w:t>
      </w:r>
    </w:p>
    <w:p w14:paraId="4F13AB9C" w14:textId="77777777" w:rsidR="00863F6A" w:rsidRPr="00FC60C1" w:rsidRDefault="00863F6A" w:rsidP="00174DCA">
      <w:pPr>
        <w:pStyle w:val="Normal-pool"/>
        <w:rPr>
          <w:lang w:val="fr-FR"/>
        </w:rPr>
      </w:pPr>
      <w:r w:rsidRPr="00FC60C1">
        <w:rPr>
          <w:lang w:val="fr-FR"/>
        </w:rPr>
        <w:br w:type="page"/>
      </w:r>
    </w:p>
    <w:p w14:paraId="1CC1CF12" w14:textId="41721EFC" w:rsidR="00183C35" w:rsidRPr="00FC60C1" w:rsidRDefault="00A317D9" w:rsidP="00174DCA">
      <w:pPr>
        <w:pStyle w:val="ZZAnxheader"/>
        <w:rPr>
          <w:lang w:val="fr-FR"/>
        </w:rPr>
      </w:pPr>
      <w:bookmarkStart w:id="32" w:name="_Toc24985773"/>
      <w:r>
        <w:rPr>
          <w:lang w:val="fr-FR"/>
        </w:rPr>
        <w:lastRenderedPageBreak/>
        <w:t>Annexe </w:t>
      </w:r>
      <w:r w:rsidR="00863F6A" w:rsidRPr="00FC60C1">
        <w:rPr>
          <w:lang w:val="fr-FR"/>
        </w:rPr>
        <w:t>II</w:t>
      </w:r>
      <w:bookmarkEnd w:id="32"/>
    </w:p>
    <w:p w14:paraId="40AB7130" w14:textId="69776D4D" w:rsidR="00863F6A" w:rsidRPr="00FC60C1" w:rsidRDefault="00863F6A" w:rsidP="00174DCA">
      <w:pPr>
        <w:pStyle w:val="ZZAnxtitle"/>
        <w:rPr>
          <w:lang w:val="fr-FR"/>
        </w:rPr>
      </w:pPr>
      <w:bookmarkStart w:id="33" w:name="_Toc21073449"/>
      <w:r w:rsidRPr="00FC60C1">
        <w:rPr>
          <w:lang w:val="fr-FR"/>
        </w:rPr>
        <w:t>Services d</w:t>
      </w:r>
      <w:r w:rsidR="002A6A82">
        <w:rPr>
          <w:lang w:val="fr-FR"/>
        </w:rPr>
        <w:t>’</w:t>
      </w:r>
      <w:r w:rsidRPr="00FC60C1">
        <w:rPr>
          <w:lang w:val="fr-FR"/>
        </w:rPr>
        <w:t>appui à la Convention de Minamata pour les réunions de la Conférence des Parties</w:t>
      </w:r>
      <w:bookmarkEnd w:id="33"/>
    </w:p>
    <w:p w14:paraId="141B412F" w14:textId="1EFC2E38" w:rsidR="00863F6A" w:rsidRPr="00FC60C1" w:rsidRDefault="00863F6A" w:rsidP="00174DCA">
      <w:pPr>
        <w:pStyle w:val="NormalNonumber"/>
        <w:rPr>
          <w:lang w:val="fr-FR"/>
        </w:rPr>
      </w:pPr>
      <w:r w:rsidRPr="00FC60C1">
        <w:rPr>
          <w:lang w:val="fr-FR"/>
        </w:rPr>
        <w:t>Le tableau ci-après présente la liste des activités prévues dans le projet de programme de travail de la Convention de Minamata pour l</w:t>
      </w:r>
      <w:r w:rsidR="002A6A82">
        <w:rPr>
          <w:lang w:val="fr-FR"/>
        </w:rPr>
        <w:t>’</w:t>
      </w:r>
      <w:r w:rsidR="0012244D">
        <w:rPr>
          <w:lang w:val="fr-FR"/>
        </w:rPr>
        <w:t>exercice biennal </w:t>
      </w:r>
      <w:r w:rsidRPr="00FC60C1">
        <w:rPr>
          <w:lang w:val="fr-FR"/>
        </w:rPr>
        <w:t>2020</w:t>
      </w:r>
      <w:r w:rsidR="001A6CF8">
        <w:rPr>
          <w:bCs/>
          <w:lang w:val="fr-FR"/>
        </w:rPr>
        <w:t>–</w:t>
      </w:r>
      <w:r w:rsidRPr="00FC60C1">
        <w:rPr>
          <w:lang w:val="fr-FR"/>
        </w:rPr>
        <w:t xml:space="preserve">2021, qui respecte la structure des programmes du Secrétariat </w:t>
      </w:r>
      <w:r w:rsidR="0022698D">
        <w:rPr>
          <w:lang w:val="fr-FR"/>
        </w:rPr>
        <w:t>des conventions</w:t>
      </w:r>
      <w:r w:rsidRPr="00FC60C1">
        <w:rPr>
          <w:lang w:val="fr-FR"/>
        </w:rPr>
        <w:t xml:space="preserve"> de Bâle, de Rotterdam et de Stockholm et les dispositions du règlement financier de la Convention de Minamata. Il indique l</w:t>
      </w:r>
      <w:r w:rsidR="002A6A82">
        <w:rPr>
          <w:lang w:val="fr-FR"/>
        </w:rPr>
        <w:t>’</w:t>
      </w:r>
      <w:r w:rsidRPr="00FC60C1">
        <w:rPr>
          <w:lang w:val="fr-FR"/>
        </w:rPr>
        <w:t xml:space="preserve">augmentation des coûts qui serait encourue pour les réunions biennales de la Conférence des Parties selon a) le modèle de regroupement et </w:t>
      </w:r>
      <w:r w:rsidR="0012244D">
        <w:rPr>
          <w:lang w:val="fr-FR"/>
        </w:rPr>
        <w:br/>
      </w:r>
      <w:r w:rsidRPr="00FC60C1">
        <w:rPr>
          <w:lang w:val="fr-FR"/>
        </w:rPr>
        <w:t>b) les modèles de redéploiement du personne</w:t>
      </w:r>
      <w:r w:rsidR="00450D9E" w:rsidRPr="00FC60C1">
        <w:rPr>
          <w:lang w:val="fr-FR"/>
        </w:rPr>
        <w:t>l et de recouvrement des coûts.</w:t>
      </w:r>
    </w:p>
    <w:tbl>
      <w:tblPr>
        <w:tblW w:w="8307" w:type="dxa"/>
        <w:jc w:val="right"/>
        <w:tblBorders>
          <w:top w:val="single" w:sz="4" w:space="0" w:color="auto"/>
          <w:left w:val="dotted" w:sz="4" w:space="0" w:color="auto"/>
          <w:bottom w:val="single" w:sz="12" w:space="0" w:color="auto"/>
          <w:right w:val="dotted" w:sz="4" w:space="0" w:color="auto"/>
        </w:tblBorders>
        <w:tblLayout w:type="fixed"/>
        <w:tblLook w:val="04A0" w:firstRow="1" w:lastRow="0" w:firstColumn="1" w:lastColumn="0" w:noHBand="0" w:noVBand="1"/>
      </w:tblPr>
      <w:tblGrid>
        <w:gridCol w:w="487"/>
        <w:gridCol w:w="3975"/>
        <w:gridCol w:w="1922"/>
        <w:gridCol w:w="1923"/>
      </w:tblGrid>
      <w:tr w:rsidR="00183C35" w:rsidRPr="0012244D" w14:paraId="65F56CD8" w14:textId="77777777" w:rsidTr="00174DCA">
        <w:trPr>
          <w:trHeight w:val="57"/>
          <w:jc w:val="right"/>
        </w:trPr>
        <w:tc>
          <w:tcPr>
            <w:tcW w:w="487" w:type="dxa"/>
            <w:tcBorders>
              <w:top w:val="single" w:sz="4" w:space="0" w:color="auto"/>
              <w:bottom w:val="single" w:sz="12" w:space="0" w:color="auto"/>
              <w:right w:val="dotted" w:sz="4" w:space="0" w:color="auto"/>
            </w:tcBorders>
            <w:shd w:val="clear" w:color="auto" w:fill="auto"/>
            <w:noWrap/>
          </w:tcPr>
          <w:p w14:paraId="09FE9DCC" w14:textId="77777777" w:rsidR="00183C35" w:rsidRPr="0012244D" w:rsidRDefault="00183C35" w:rsidP="00174DCA">
            <w:pPr>
              <w:pStyle w:val="Normal-pool"/>
              <w:spacing w:before="40" w:after="40"/>
              <w:rPr>
                <w:i/>
                <w:sz w:val="18"/>
                <w:szCs w:val="18"/>
                <w:lang w:val="fr-FR"/>
              </w:rPr>
            </w:pPr>
          </w:p>
        </w:tc>
        <w:tc>
          <w:tcPr>
            <w:tcW w:w="3975" w:type="dxa"/>
            <w:tcBorders>
              <w:top w:val="single" w:sz="4" w:space="0" w:color="auto"/>
              <w:left w:val="dotted" w:sz="4" w:space="0" w:color="auto"/>
              <w:bottom w:val="single" w:sz="12" w:space="0" w:color="auto"/>
            </w:tcBorders>
          </w:tcPr>
          <w:p w14:paraId="07F846B9" w14:textId="77777777" w:rsidR="00183C35" w:rsidRPr="0012244D" w:rsidRDefault="00183C35" w:rsidP="00174DCA">
            <w:pPr>
              <w:pStyle w:val="Normal-pool"/>
              <w:spacing w:before="40" w:after="40"/>
              <w:rPr>
                <w:i/>
                <w:sz w:val="18"/>
                <w:szCs w:val="18"/>
                <w:lang w:val="fr-FR"/>
              </w:rPr>
            </w:pPr>
            <w:r w:rsidRPr="0012244D">
              <w:rPr>
                <w:i/>
                <w:iCs/>
                <w:sz w:val="18"/>
                <w:szCs w:val="18"/>
                <w:lang w:val="fr-FR"/>
              </w:rPr>
              <w:t>Activités</w:t>
            </w:r>
          </w:p>
        </w:tc>
        <w:tc>
          <w:tcPr>
            <w:tcW w:w="1922" w:type="dxa"/>
            <w:tcBorders>
              <w:top w:val="single" w:sz="4" w:space="0" w:color="auto"/>
              <w:bottom w:val="single" w:sz="12" w:space="0" w:color="auto"/>
              <w:right w:val="dotted" w:sz="4" w:space="0" w:color="auto"/>
            </w:tcBorders>
          </w:tcPr>
          <w:p w14:paraId="6EC10F3D" w14:textId="12BE6BF8" w:rsidR="00183C35" w:rsidRPr="0012244D" w:rsidRDefault="00183C35" w:rsidP="00174DCA">
            <w:pPr>
              <w:pStyle w:val="Normal-pool"/>
              <w:spacing w:before="40" w:after="40"/>
              <w:jc w:val="right"/>
              <w:rPr>
                <w:i/>
                <w:sz w:val="18"/>
                <w:szCs w:val="18"/>
                <w:lang w:val="fr-FR"/>
              </w:rPr>
            </w:pPr>
            <w:r w:rsidRPr="0012244D">
              <w:rPr>
                <w:i/>
                <w:iCs/>
                <w:sz w:val="18"/>
                <w:szCs w:val="18"/>
                <w:lang w:val="fr-FR"/>
              </w:rPr>
              <w:t>Regroupement</w:t>
            </w:r>
          </w:p>
        </w:tc>
        <w:tc>
          <w:tcPr>
            <w:tcW w:w="1923" w:type="dxa"/>
            <w:tcBorders>
              <w:top w:val="single" w:sz="4" w:space="0" w:color="auto"/>
              <w:left w:val="dotted" w:sz="4" w:space="0" w:color="auto"/>
              <w:bottom w:val="single" w:sz="12" w:space="0" w:color="auto"/>
            </w:tcBorders>
            <w:shd w:val="clear" w:color="auto" w:fill="auto"/>
            <w:noWrap/>
          </w:tcPr>
          <w:p w14:paraId="7F727B69" w14:textId="7D2CED1F" w:rsidR="00183C35" w:rsidRPr="0012244D" w:rsidRDefault="00183C35" w:rsidP="00174DCA">
            <w:pPr>
              <w:pStyle w:val="Normal-pool"/>
              <w:spacing w:before="40" w:after="40"/>
              <w:jc w:val="right"/>
              <w:rPr>
                <w:i/>
                <w:sz w:val="18"/>
                <w:szCs w:val="18"/>
                <w:lang w:val="fr-FR"/>
              </w:rPr>
            </w:pPr>
            <w:r w:rsidRPr="0012244D">
              <w:rPr>
                <w:i/>
                <w:iCs/>
                <w:sz w:val="18"/>
                <w:szCs w:val="18"/>
                <w:lang w:val="fr-FR"/>
              </w:rPr>
              <w:t>Redéploiement du personnel et recouvrement des coûts</w:t>
            </w:r>
          </w:p>
        </w:tc>
      </w:tr>
      <w:tr w:rsidR="00183C35" w:rsidRPr="0012244D" w14:paraId="1F4519EF" w14:textId="77777777" w:rsidTr="00174DCA">
        <w:trPr>
          <w:trHeight w:val="57"/>
          <w:jc w:val="right"/>
        </w:trPr>
        <w:tc>
          <w:tcPr>
            <w:tcW w:w="487" w:type="dxa"/>
            <w:tcBorders>
              <w:top w:val="single" w:sz="12" w:space="0" w:color="auto"/>
              <w:bottom w:val="single" w:sz="4" w:space="0" w:color="auto"/>
              <w:right w:val="dotted" w:sz="4" w:space="0" w:color="auto"/>
            </w:tcBorders>
            <w:shd w:val="clear" w:color="auto" w:fill="auto"/>
            <w:noWrap/>
          </w:tcPr>
          <w:p w14:paraId="135D847F" w14:textId="77777777" w:rsidR="00183C35" w:rsidRPr="0012244D" w:rsidRDefault="00183C35" w:rsidP="00174DCA">
            <w:pPr>
              <w:pStyle w:val="Normal-pool"/>
              <w:spacing w:before="40" w:after="40"/>
              <w:rPr>
                <w:b/>
                <w:bCs/>
                <w:sz w:val="18"/>
                <w:szCs w:val="18"/>
                <w:lang w:val="fr-FR"/>
              </w:rPr>
            </w:pPr>
            <w:r w:rsidRPr="0012244D">
              <w:rPr>
                <w:b/>
                <w:bCs/>
                <w:sz w:val="18"/>
                <w:szCs w:val="18"/>
                <w:lang w:val="fr-FR"/>
              </w:rPr>
              <w:t>A</w:t>
            </w:r>
          </w:p>
        </w:tc>
        <w:tc>
          <w:tcPr>
            <w:tcW w:w="3975" w:type="dxa"/>
            <w:tcBorders>
              <w:top w:val="single" w:sz="12" w:space="0" w:color="auto"/>
              <w:left w:val="dotted" w:sz="4" w:space="0" w:color="auto"/>
              <w:bottom w:val="single" w:sz="4" w:space="0" w:color="auto"/>
            </w:tcBorders>
          </w:tcPr>
          <w:p w14:paraId="05B0B071" w14:textId="77777777" w:rsidR="00183C35" w:rsidRPr="0012244D" w:rsidRDefault="00183C35" w:rsidP="00174DCA">
            <w:pPr>
              <w:pStyle w:val="Normal-pool"/>
              <w:spacing w:before="40" w:after="40"/>
              <w:rPr>
                <w:b/>
                <w:bCs/>
                <w:sz w:val="18"/>
                <w:szCs w:val="18"/>
                <w:lang w:val="fr-FR"/>
              </w:rPr>
            </w:pPr>
            <w:r w:rsidRPr="0012244D">
              <w:rPr>
                <w:b/>
                <w:bCs/>
                <w:sz w:val="18"/>
                <w:szCs w:val="18"/>
                <w:lang w:val="fr-FR"/>
              </w:rPr>
              <w:t>Contrôle de la gestion</w:t>
            </w:r>
          </w:p>
        </w:tc>
        <w:tc>
          <w:tcPr>
            <w:tcW w:w="1922" w:type="dxa"/>
            <w:tcBorders>
              <w:top w:val="single" w:sz="12" w:space="0" w:color="auto"/>
              <w:bottom w:val="single" w:sz="4" w:space="0" w:color="auto"/>
              <w:right w:val="dotted" w:sz="4" w:space="0" w:color="auto"/>
            </w:tcBorders>
          </w:tcPr>
          <w:p w14:paraId="135EE4F2" w14:textId="0A687298" w:rsidR="00183C35" w:rsidRPr="0012244D" w:rsidRDefault="00FE1627" w:rsidP="00174DCA">
            <w:pPr>
              <w:pStyle w:val="Normal-pool"/>
              <w:spacing w:before="40" w:after="40"/>
              <w:jc w:val="right"/>
              <w:rPr>
                <w:b/>
                <w:bCs/>
                <w:sz w:val="18"/>
                <w:szCs w:val="18"/>
                <w:lang w:val="fr-FR"/>
              </w:rPr>
            </w:pPr>
            <w:r w:rsidRPr="0012244D">
              <w:rPr>
                <w:sz w:val="18"/>
                <w:szCs w:val="18"/>
                <w:lang w:val="fr-FR"/>
              </w:rPr>
              <w:t>–</w:t>
            </w:r>
          </w:p>
        </w:tc>
        <w:tc>
          <w:tcPr>
            <w:tcW w:w="1923" w:type="dxa"/>
            <w:tcBorders>
              <w:top w:val="single" w:sz="12" w:space="0" w:color="auto"/>
              <w:left w:val="dotted" w:sz="4" w:space="0" w:color="auto"/>
              <w:bottom w:val="single" w:sz="4" w:space="0" w:color="auto"/>
            </w:tcBorders>
            <w:shd w:val="clear" w:color="auto" w:fill="auto"/>
            <w:noWrap/>
            <w:hideMark/>
          </w:tcPr>
          <w:p w14:paraId="3A81C3E6" w14:textId="277BBE61" w:rsidR="00183C35" w:rsidRPr="0012244D" w:rsidRDefault="0012244D" w:rsidP="00174DCA">
            <w:pPr>
              <w:pStyle w:val="Normal-pool"/>
              <w:spacing w:before="40" w:after="40"/>
              <w:jc w:val="right"/>
              <w:rPr>
                <w:b/>
                <w:bCs/>
                <w:sz w:val="18"/>
                <w:szCs w:val="18"/>
                <w:lang w:val="fr-FR"/>
              </w:rPr>
            </w:pPr>
            <w:r>
              <w:rPr>
                <w:b/>
                <w:bCs/>
                <w:sz w:val="18"/>
                <w:szCs w:val="18"/>
                <w:lang w:val="fr-FR"/>
              </w:rPr>
              <w:t>8 </w:t>
            </w:r>
            <w:r w:rsidR="00183C35" w:rsidRPr="0012244D">
              <w:rPr>
                <w:b/>
                <w:bCs/>
                <w:sz w:val="18"/>
                <w:szCs w:val="18"/>
                <w:lang w:val="fr-FR"/>
              </w:rPr>
              <w:t>500</w:t>
            </w:r>
          </w:p>
        </w:tc>
      </w:tr>
      <w:tr w:rsidR="00183C35" w:rsidRPr="0012244D" w14:paraId="47F614F0"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0E0E9ABD" w14:textId="77777777" w:rsidR="00183C35" w:rsidRPr="0012244D" w:rsidRDefault="00183C35" w:rsidP="00174DCA">
            <w:pPr>
              <w:pStyle w:val="Normal-pool"/>
              <w:spacing w:before="40" w:after="40"/>
              <w:rPr>
                <w:b/>
                <w:bCs/>
                <w:sz w:val="18"/>
                <w:szCs w:val="18"/>
                <w:lang w:val="fr-FR"/>
              </w:rPr>
            </w:pPr>
            <w:r w:rsidRPr="0012244D">
              <w:rPr>
                <w:b/>
                <w:bCs/>
                <w:sz w:val="18"/>
                <w:szCs w:val="18"/>
                <w:lang w:val="fr-FR"/>
              </w:rPr>
              <w:t>B</w:t>
            </w:r>
          </w:p>
        </w:tc>
        <w:tc>
          <w:tcPr>
            <w:tcW w:w="3975" w:type="dxa"/>
            <w:tcBorders>
              <w:top w:val="single" w:sz="4" w:space="0" w:color="auto"/>
              <w:left w:val="dotted" w:sz="4" w:space="0" w:color="auto"/>
              <w:bottom w:val="single" w:sz="4" w:space="0" w:color="auto"/>
            </w:tcBorders>
          </w:tcPr>
          <w:p w14:paraId="6152FC55" w14:textId="7FB83817" w:rsidR="00183C35" w:rsidRPr="0012244D" w:rsidRDefault="00183C35" w:rsidP="00174DCA">
            <w:pPr>
              <w:pStyle w:val="Normal-pool"/>
              <w:spacing w:before="40" w:after="40"/>
              <w:rPr>
                <w:b/>
                <w:bCs/>
                <w:sz w:val="18"/>
                <w:szCs w:val="18"/>
                <w:lang w:val="fr-FR"/>
              </w:rPr>
            </w:pPr>
            <w:r w:rsidRPr="0012244D">
              <w:rPr>
                <w:b/>
                <w:bCs/>
                <w:sz w:val="18"/>
                <w:szCs w:val="18"/>
                <w:lang w:val="fr-FR"/>
              </w:rPr>
              <w:t>Inscription et voyages</w:t>
            </w:r>
          </w:p>
        </w:tc>
        <w:tc>
          <w:tcPr>
            <w:tcW w:w="1922" w:type="dxa"/>
            <w:tcBorders>
              <w:top w:val="single" w:sz="4" w:space="0" w:color="auto"/>
              <w:bottom w:val="single" w:sz="4" w:space="0" w:color="auto"/>
              <w:right w:val="dotted" w:sz="4" w:space="0" w:color="auto"/>
            </w:tcBorders>
          </w:tcPr>
          <w:p w14:paraId="71AF613B" w14:textId="339F61F1" w:rsidR="00183C35" w:rsidRPr="0012244D" w:rsidRDefault="00183C35" w:rsidP="00174DCA">
            <w:pPr>
              <w:pStyle w:val="Normal-pool"/>
              <w:spacing w:before="40" w:after="40"/>
              <w:jc w:val="right"/>
              <w:rPr>
                <w:b/>
                <w:bCs/>
                <w:sz w:val="18"/>
                <w:szCs w:val="18"/>
                <w:lang w:val="fr-FR"/>
              </w:rPr>
            </w:pPr>
          </w:p>
        </w:tc>
        <w:tc>
          <w:tcPr>
            <w:tcW w:w="1923" w:type="dxa"/>
            <w:tcBorders>
              <w:top w:val="single" w:sz="4" w:space="0" w:color="auto"/>
              <w:left w:val="dotted" w:sz="4" w:space="0" w:color="auto"/>
              <w:bottom w:val="single" w:sz="4" w:space="0" w:color="auto"/>
            </w:tcBorders>
            <w:shd w:val="clear" w:color="auto" w:fill="auto"/>
            <w:noWrap/>
          </w:tcPr>
          <w:p w14:paraId="7031F7A3" w14:textId="55D9D82F" w:rsidR="00183C35" w:rsidRPr="0012244D" w:rsidRDefault="00183C35" w:rsidP="00174DCA">
            <w:pPr>
              <w:pStyle w:val="Normal-pool"/>
              <w:spacing w:before="40" w:after="40"/>
              <w:jc w:val="right"/>
              <w:rPr>
                <w:b/>
                <w:bCs/>
                <w:sz w:val="18"/>
                <w:szCs w:val="18"/>
                <w:lang w:val="fr-FR"/>
              </w:rPr>
            </w:pPr>
          </w:p>
        </w:tc>
      </w:tr>
      <w:tr w:rsidR="00183C35" w:rsidRPr="0012244D" w14:paraId="3E9E0585" w14:textId="77777777" w:rsidTr="00174DCA">
        <w:trPr>
          <w:trHeight w:val="57"/>
          <w:jc w:val="right"/>
        </w:trPr>
        <w:tc>
          <w:tcPr>
            <w:tcW w:w="487" w:type="dxa"/>
            <w:tcBorders>
              <w:top w:val="single" w:sz="4" w:space="0" w:color="auto"/>
              <w:bottom w:val="dotted" w:sz="4" w:space="0" w:color="auto"/>
              <w:right w:val="dotted" w:sz="4" w:space="0" w:color="auto"/>
            </w:tcBorders>
            <w:shd w:val="clear" w:color="auto" w:fill="auto"/>
            <w:noWrap/>
          </w:tcPr>
          <w:p w14:paraId="468E043E" w14:textId="77777777" w:rsidR="00183C35" w:rsidRPr="0012244D" w:rsidRDefault="00183C35" w:rsidP="00174DCA">
            <w:pPr>
              <w:pStyle w:val="Normal-pool"/>
              <w:spacing w:before="40" w:after="40"/>
              <w:rPr>
                <w:b/>
                <w:bCs/>
                <w:sz w:val="18"/>
                <w:szCs w:val="18"/>
                <w:lang w:val="fr-FR"/>
              </w:rPr>
            </w:pPr>
          </w:p>
        </w:tc>
        <w:tc>
          <w:tcPr>
            <w:tcW w:w="3975" w:type="dxa"/>
            <w:tcBorders>
              <w:top w:val="single" w:sz="4" w:space="0" w:color="auto"/>
              <w:left w:val="dotted" w:sz="4" w:space="0" w:color="auto"/>
              <w:bottom w:val="dotted" w:sz="4" w:space="0" w:color="auto"/>
            </w:tcBorders>
          </w:tcPr>
          <w:p w14:paraId="51459C2F" w14:textId="77777777" w:rsidR="00183C35" w:rsidRPr="0012244D" w:rsidRDefault="00183C35" w:rsidP="00174DCA">
            <w:pPr>
              <w:pStyle w:val="Normal-pool"/>
              <w:spacing w:before="40" w:after="40"/>
              <w:rPr>
                <w:sz w:val="18"/>
                <w:szCs w:val="18"/>
                <w:lang w:val="fr-FR"/>
              </w:rPr>
            </w:pPr>
            <w:r w:rsidRPr="0012244D">
              <w:rPr>
                <w:sz w:val="18"/>
                <w:szCs w:val="18"/>
                <w:lang w:val="fr-FR"/>
              </w:rPr>
              <w:t>Coordination de la gestion des participants</w:t>
            </w:r>
          </w:p>
        </w:tc>
        <w:tc>
          <w:tcPr>
            <w:tcW w:w="1922" w:type="dxa"/>
            <w:tcBorders>
              <w:top w:val="single" w:sz="4" w:space="0" w:color="auto"/>
              <w:bottom w:val="dotted" w:sz="4" w:space="0" w:color="auto"/>
              <w:right w:val="dotted" w:sz="4" w:space="0" w:color="auto"/>
            </w:tcBorders>
          </w:tcPr>
          <w:p w14:paraId="7D5FEF50" w14:textId="674FAABB" w:rsidR="00183C35" w:rsidRPr="0012244D" w:rsidRDefault="00FE1627" w:rsidP="00174DCA">
            <w:pPr>
              <w:pStyle w:val="Normal-pool"/>
              <w:spacing w:before="40" w:after="40"/>
              <w:jc w:val="right"/>
              <w:rPr>
                <w:sz w:val="18"/>
                <w:szCs w:val="18"/>
                <w:lang w:val="fr-FR"/>
              </w:rPr>
            </w:pPr>
            <w:r w:rsidRPr="0012244D">
              <w:rPr>
                <w:sz w:val="18"/>
                <w:szCs w:val="18"/>
                <w:lang w:val="fr-FR"/>
              </w:rPr>
              <w:t>–</w:t>
            </w:r>
          </w:p>
        </w:tc>
        <w:tc>
          <w:tcPr>
            <w:tcW w:w="1923" w:type="dxa"/>
            <w:tcBorders>
              <w:top w:val="single" w:sz="4" w:space="0" w:color="auto"/>
              <w:left w:val="dotted" w:sz="4" w:space="0" w:color="auto"/>
              <w:bottom w:val="dotted" w:sz="4" w:space="0" w:color="auto"/>
            </w:tcBorders>
            <w:shd w:val="clear" w:color="auto" w:fill="auto"/>
            <w:noWrap/>
          </w:tcPr>
          <w:p w14:paraId="646CD7C1" w14:textId="41C866E0" w:rsidR="00183C35" w:rsidRPr="0012244D" w:rsidRDefault="0012244D" w:rsidP="00174DCA">
            <w:pPr>
              <w:pStyle w:val="Normal-pool"/>
              <w:spacing w:before="40" w:after="40"/>
              <w:jc w:val="right"/>
              <w:rPr>
                <w:sz w:val="18"/>
                <w:szCs w:val="18"/>
                <w:lang w:val="fr-FR"/>
              </w:rPr>
            </w:pPr>
            <w:r>
              <w:rPr>
                <w:sz w:val="18"/>
                <w:szCs w:val="18"/>
                <w:lang w:val="fr-FR"/>
              </w:rPr>
              <w:t>13 </w:t>
            </w:r>
            <w:r w:rsidR="00183C35" w:rsidRPr="0012244D">
              <w:rPr>
                <w:sz w:val="18"/>
                <w:szCs w:val="18"/>
                <w:lang w:val="fr-FR"/>
              </w:rPr>
              <w:t>453</w:t>
            </w:r>
          </w:p>
        </w:tc>
      </w:tr>
      <w:tr w:rsidR="00183C35" w:rsidRPr="0012244D" w14:paraId="7E568B72"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4F468333" w14:textId="77777777" w:rsidR="00183C35" w:rsidRPr="0012244D" w:rsidRDefault="00183C35" w:rsidP="00174DCA">
            <w:pPr>
              <w:pStyle w:val="Normal-pool"/>
              <w:spacing w:before="40" w:after="40"/>
              <w:rPr>
                <w:b/>
                <w:bCs/>
                <w:sz w:val="18"/>
                <w:szCs w:val="18"/>
                <w:lang w:val="fr-FR"/>
              </w:rPr>
            </w:pPr>
          </w:p>
        </w:tc>
        <w:tc>
          <w:tcPr>
            <w:tcW w:w="3975" w:type="dxa"/>
            <w:tcBorders>
              <w:top w:val="dotted" w:sz="4" w:space="0" w:color="auto"/>
              <w:left w:val="dotted" w:sz="4" w:space="0" w:color="auto"/>
              <w:bottom w:val="dotted" w:sz="4" w:space="0" w:color="auto"/>
            </w:tcBorders>
          </w:tcPr>
          <w:p w14:paraId="5F242B18" w14:textId="34D83FDC" w:rsidR="00183C35" w:rsidRPr="0012244D" w:rsidRDefault="00183C35" w:rsidP="00174DCA">
            <w:pPr>
              <w:pStyle w:val="Normal-pool"/>
              <w:spacing w:before="40" w:after="40"/>
              <w:rPr>
                <w:sz w:val="18"/>
                <w:szCs w:val="18"/>
                <w:lang w:val="fr-FR"/>
              </w:rPr>
            </w:pPr>
            <w:r w:rsidRPr="0012244D">
              <w:rPr>
                <w:sz w:val="18"/>
                <w:szCs w:val="18"/>
                <w:lang w:val="fr-FR"/>
              </w:rPr>
              <w:t>Inscription pour les gouvernements</w:t>
            </w:r>
          </w:p>
        </w:tc>
        <w:tc>
          <w:tcPr>
            <w:tcW w:w="1922" w:type="dxa"/>
            <w:tcBorders>
              <w:top w:val="dotted" w:sz="4" w:space="0" w:color="auto"/>
              <w:bottom w:val="dotted" w:sz="4" w:space="0" w:color="auto"/>
              <w:right w:val="dotted" w:sz="4" w:space="0" w:color="auto"/>
            </w:tcBorders>
          </w:tcPr>
          <w:p w14:paraId="5FD5ADF8" w14:textId="74A592B2" w:rsidR="00183C35" w:rsidRPr="0012244D" w:rsidRDefault="0012244D" w:rsidP="00174DCA">
            <w:pPr>
              <w:pStyle w:val="Normal-pool"/>
              <w:spacing w:before="40" w:after="40"/>
              <w:jc w:val="right"/>
              <w:rPr>
                <w:sz w:val="18"/>
                <w:szCs w:val="18"/>
                <w:lang w:val="fr-FR"/>
              </w:rPr>
            </w:pPr>
            <w:r>
              <w:rPr>
                <w:sz w:val="18"/>
                <w:szCs w:val="18"/>
                <w:lang w:val="fr-FR"/>
              </w:rPr>
              <w:t>67 </w:t>
            </w:r>
            <w:r w:rsidR="00183C35" w:rsidRPr="0012244D">
              <w:rPr>
                <w:sz w:val="18"/>
                <w:szCs w:val="18"/>
                <w:lang w:val="fr-FR"/>
              </w:rPr>
              <w:t>265</w:t>
            </w:r>
          </w:p>
        </w:tc>
        <w:tc>
          <w:tcPr>
            <w:tcW w:w="1923" w:type="dxa"/>
            <w:tcBorders>
              <w:top w:val="dotted" w:sz="4" w:space="0" w:color="auto"/>
              <w:left w:val="dotted" w:sz="4" w:space="0" w:color="auto"/>
              <w:bottom w:val="dotted" w:sz="4" w:space="0" w:color="auto"/>
            </w:tcBorders>
            <w:shd w:val="clear" w:color="auto" w:fill="auto"/>
            <w:noWrap/>
          </w:tcPr>
          <w:p w14:paraId="237FF13E" w14:textId="0F11CBE9" w:rsidR="00183C35" w:rsidRPr="0012244D" w:rsidRDefault="0012244D" w:rsidP="00174DCA">
            <w:pPr>
              <w:pStyle w:val="Normal-pool"/>
              <w:spacing w:before="40" w:after="40"/>
              <w:jc w:val="right"/>
              <w:rPr>
                <w:sz w:val="18"/>
                <w:szCs w:val="18"/>
                <w:lang w:val="fr-FR"/>
              </w:rPr>
            </w:pPr>
            <w:r>
              <w:rPr>
                <w:sz w:val="18"/>
                <w:szCs w:val="18"/>
                <w:lang w:val="fr-FR"/>
              </w:rPr>
              <w:t>67 </w:t>
            </w:r>
            <w:r w:rsidR="00183C35" w:rsidRPr="0012244D">
              <w:rPr>
                <w:sz w:val="18"/>
                <w:szCs w:val="18"/>
                <w:lang w:val="fr-FR"/>
              </w:rPr>
              <w:t>265</w:t>
            </w:r>
          </w:p>
        </w:tc>
      </w:tr>
      <w:tr w:rsidR="00183C35" w:rsidRPr="0012244D" w14:paraId="6CB31C2B"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59308FE5" w14:textId="77777777" w:rsidR="00183C35" w:rsidRPr="0012244D" w:rsidRDefault="00183C35" w:rsidP="00174DCA">
            <w:pPr>
              <w:pStyle w:val="Normal-pool"/>
              <w:spacing w:before="40" w:after="40"/>
              <w:rPr>
                <w:b/>
                <w:bCs/>
                <w:sz w:val="18"/>
                <w:szCs w:val="18"/>
                <w:lang w:val="fr-FR"/>
              </w:rPr>
            </w:pPr>
          </w:p>
        </w:tc>
        <w:tc>
          <w:tcPr>
            <w:tcW w:w="3975" w:type="dxa"/>
            <w:tcBorders>
              <w:top w:val="dotted" w:sz="4" w:space="0" w:color="auto"/>
              <w:left w:val="dotted" w:sz="4" w:space="0" w:color="auto"/>
              <w:bottom w:val="dotted" w:sz="4" w:space="0" w:color="auto"/>
            </w:tcBorders>
          </w:tcPr>
          <w:p w14:paraId="370D2B38" w14:textId="77777777" w:rsidR="00183C35" w:rsidRPr="0012244D" w:rsidRDefault="00183C35" w:rsidP="00174DCA">
            <w:pPr>
              <w:pStyle w:val="Normal-pool"/>
              <w:spacing w:before="40" w:after="40"/>
              <w:rPr>
                <w:sz w:val="18"/>
                <w:szCs w:val="18"/>
                <w:lang w:val="fr-FR"/>
              </w:rPr>
            </w:pPr>
            <w:r w:rsidRPr="0012244D">
              <w:rPr>
                <w:sz w:val="18"/>
                <w:szCs w:val="18"/>
                <w:lang w:val="fr-FR"/>
              </w:rPr>
              <w:t>Inscription pour les observateurs</w:t>
            </w:r>
          </w:p>
        </w:tc>
        <w:tc>
          <w:tcPr>
            <w:tcW w:w="1922" w:type="dxa"/>
            <w:tcBorders>
              <w:top w:val="dotted" w:sz="4" w:space="0" w:color="auto"/>
              <w:bottom w:val="dotted" w:sz="4" w:space="0" w:color="auto"/>
              <w:right w:val="dotted" w:sz="4" w:space="0" w:color="auto"/>
            </w:tcBorders>
          </w:tcPr>
          <w:p w14:paraId="1EADD5EA" w14:textId="13BA1E1B" w:rsidR="00183C35" w:rsidRPr="0012244D" w:rsidRDefault="0012244D" w:rsidP="00174DCA">
            <w:pPr>
              <w:pStyle w:val="Normal-pool"/>
              <w:spacing w:before="40" w:after="40"/>
              <w:jc w:val="right"/>
              <w:rPr>
                <w:sz w:val="18"/>
                <w:szCs w:val="18"/>
                <w:lang w:val="fr-FR"/>
              </w:rPr>
            </w:pPr>
            <w:r>
              <w:rPr>
                <w:sz w:val="18"/>
                <w:szCs w:val="18"/>
                <w:lang w:val="fr-FR"/>
              </w:rPr>
              <w:t>47 </w:t>
            </w:r>
            <w:r w:rsidR="00183C35" w:rsidRPr="0012244D">
              <w:rPr>
                <w:sz w:val="18"/>
                <w:szCs w:val="18"/>
                <w:lang w:val="fr-FR"/>
              </w:rPr>
              <w:t>086</w:t>
            </w:r>
          </w:p>
        </w:tc>
        <w:tc>
          <w:tcPr>
            <w:tcW w:w="1923" w:type="dxa"/>
            <w:tcBorders>
              <w:top w:val="dotted" w:sz="4" w:space="0" w:color="auto"/>
              <w:left w:val="dotted" w:sz="4" w:space="0" w:color="auto"/>
              <w:bottom w:val="dotted" w:sz="4" w:space="0" w:color="auto"/>
            </w:tcBorders>
            <w:shd w:val="clear" w:color="auto" w:fill="auto"/>
            <w:noWrap/>
          </w:tcPr>
          <w:p w14:paraId="0DF43572" w14:textId="63E95BE4" w:rsidR="00183C35" w:rsidRPr="0012244D" w:rsidRDefault="0012244D" w:rsidP="00174DCA">
            <w:pPr>
              <w:pStyle w:val="Normal-pool"/>
              <w:spacing w:before="40" w:after="40"/>
              <w:jc w:val="right"/>
              <w:rPr>
                <w:sz w:val="18"/>
                <w:szCs w:val="18"/>
                <w:lang w:val="fr-FR"/>
              </w:rPr>
            </w:pPr>
            <w:r>
              <w:rPr>
                <w:sz w:val="18"/>
                <w:szCs w:val="18"/>
                <w:lang w:val="fr-FR"/>
              </w:rPr>
              <w:t>47 </w:t>
            </w:r>
            <w:r w:rsidR="00183C35" w:rsidRPr="0012244D">
              <w:rPr>
                <w:sz w:val="18"/>
                <w:szCs w:val="18"/>
                <w:lang w:val="fr-FR"/>
              </w:rPr>
              <w:t>086</w:t>
            </w:r>
          </w:p>
        </w:tc>
      </w:tr>
      <w:tr w:rsidR="00183C35" w:rsidRPr="0012244D" w14:paraId="71D513EF"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2E4CA1F2" w14:textId="77777777" w:rsidR="00183C35" w:rsidRPr="0012244D" w:rsidRDefault="00183C35" w:rsidP="00174DCA">
            <w:pPr>
              <w:pStyle w:val="Normal-pool"/>
              <w:spacing w:before="40" w:after="40"/>
              <w:rPr>
                <w:b/>
                <w:bCs/>
                <w:sz w:val="18"/>
                <w:szCs w:val="18"/>
                <w:lang w:val="fr-FR"/>
              </w:rPr>
            </w:pPr>
          </w:p>
        </w:tc>
        <w:tc>
          <w:tcPr>
            <w:tcW w:w="3975" w:type="dxa"/>
            <w:tcBorders>
              <w:top w:val="dotted" w:sz="4" w:space="0" w:color="auto"/>
              <w:left w:val="dotted" w:sz="4" w:space="0" w:color="auto"/>
              <w:bottom w:val="dotted" w:sz="4" w:space="0" w:color="auto"/>
            </w:tcBorders>
          </w:tcPr>
          <w:p w14:paraId="4CED925C" w14:textId="78D7CDE5" w:rsidR="00183C35" w:rsidRPr="0012244D" w:rsidRDefault="00183C35" w:rsidP="00174DCA">
            <w:pPr>
              <w:pStyle w:val="Normal-pool"/>
              <w:spacing w:before="40" w:after="40"/>
              <w:rPr>
                <w:sz w:val="18"/>
                <w:szCs w:val="18"/>
                <w:lang w:val="fr-FR"/>
              </w:rPr>
            </w:pPr>
            <w:r w:rsidRPr="0012244D">
              <w:rPr>
                <w:sz w:val="18"/>
                <w:szCs w:val="18"/>
                <w:lang w:val="fr-FR"/>
              </w:rPr>
              <w:t>Organisation des voyages et indemnité journalière de subsistance</w:t>
            </w:r>
          </w:p>
        </w:tc>
        <w:tc>
          <w:tcPr>
            <w:tcW w:w="1922" w:type="dxa"/>
            <w:tcBorders>
              <w:top w:val="dotted" w:sz="4" w:space="0" w:color="auto"/>
              <w:bottom w:val="dotted" w:sz="4" w:space="0" w:color="auto"/>
              <w:right w:val="dotted" w:sz="4" w:space="0" w:color="auto"/>
            </w:tcBorders>
          </w:tcPr>
          <w:p w14:paraId="23D437A8" w14:textId="5978FB2B" w:rsidR="00183C35" w:rsidRPr="0012244D" w:rsidRDefault="0012244D" w:rsidP="00174DCA">
            <w:pPr>
              <w:pStyle w:val="Normal-pool"/>
              <w:spacing w:before="40" w:after="40"/>
              <w:jc w:val="right"/>
              <w:rPr>
                <w:sz w:val="18"/>
                <w:szCs w:val="18"/>
                <w:lang w:val="fr-FR"/>
              </w:rPr>
            </w:pPr>
            <w:r>
              <w:rPr>
                <w:sz w:val="18"/>
                <w:szCs w:val="18"/>
                <w:lang w:val="fr-FR"/>
              </w:rPr>
              <w:t>8 </w:t>
            </w:r>
            <w:r w:rsidR="00183C35" w:rsidRPr="0012244D">
              <w:rPr>
                <w:sz w:val="18"/>
                <w:szCs w:val="18"/>
                <w:lang w:val="fr-FR"/>
              </w:rPr>
              <w:t>745</w:t>
            </w:r>
          </w:p>
        </w:tc>
        <w:tc>
          <w:tcPr>
            <w:tcW w:w="1923" w:type="dxa"/>
            <w:tcBorders>
              <w:top w:val="dotted" w:sz="4" w:space="0" w:color="auto"/>
              <w:left w:val="dotted" w:sz="4" w:space="0" w:color="auto"/>
              <w:bottom w:val="dotted" w:sz="4" w:space="0" w:color="auto"/>
            </w:tcBorders>
            <w:shd w:val="clear" w:color="auto" w:fill="auto"/>
            <w:noWrap/>
          </w:tcPr>
          <w:p w14:paraId="1F67F2AA" w14:textId="41D1857C" w:rsidR="00183C35" w:rsidRPr="0012244D" w:rsidRDefault="0012244D" w:rsidP="00174DCA">
            <w:pPr>
              <w:pStyle w:val="Normal-pool"/>
              <w:spacing w:before="40" w:after="40"/>
              <w:jc w:val="right"/>
              <w:rPr>
                <w:sz w:val="18"/>
                <w:szCs w:val="18"/>
                <w:lang w:val="fr-FR"/>
              </w:rPr>
            </w:pPr>
            <w:r>
              <w:rPr>
                <w:sz w:val="18"/>
                <w:szCs w:val="18"/>
                <w:lang w:val="fr-FR"/>
              </w:rPr>
              <w:t>8 </w:t>
            </w:r>
            <w:r w:rsidR="00183C35" w:rsidRPr="0012244D">
              <w:rPr>
                <w:sz w:val="18"/>
                <w:szCs w:val="18"/>
                <w:lang w:val="fr-FR"/>
              </w:rPr>
              <w:t>745</w:t>
            </w:r>
          </w:p>
        </w:tc>
      </w:tr>
      <w:tr w:rsidR="00183C35" w:rsidRPr="0012244D" w14:paraId="346294EB" w14:textId="77777777" w:rsidTr="00174DCA">
        <w:trPr>
          <w:trHeight w:val="57"/>
          <w:jc w:val="right"/>
        </w:trPr>
        <w:tc>
          <w:tcPr>
            <w:tcW w:w="487" w:type="dxa"/>
            <w:tcBorders>
              <w:top w:val="dotted" w:sz="4" w:space="0" w:color="auto"/>
              <w:bottom w:val="single" w:sz="4" w:space="0" w:color="auto"/>
              <w:right w:val="dotted" w:sz="4" w:space="0" w:color="auto"/>
            </w:tcBorders>
            <w:shd w:val="clear" w:color="auto" w:fill="auto"/>
            <w:noWrap/>
          </w:tcPr>
          <w:p w14:paraId="166AB029" w14:textId="77777777" w:rsidR="00183C35" w:rsidRPr="0012244D" w:rsidRDefault="00183C35" w:rsidP="00174DCA">
            <w:pPr>
              <w:pStyle w:val="Normal-pool"/>
              <w:spacing w:before="40" w:after="40"/>
              <w:rPr>
                <w:b/>
                <w:bCs/>
                <w:sz w:val="18"/>
                <w:szCs w:val="18"/>
                <w:lang w:val="fr-FR"/>
              </w:rPr>
            </w:pPr>
          </w:p>
        </w:tc>
        <w:tc>
          <w:tcPr>
            <w:tcW w:w="3975" w:type="dxa"/>
            <w:tcBorders>
              <w:top w:val="dotted" w:sz="4" w:space="0" w:color="auto"/>
              <w:left w:val="dotted" w:sz="4" w:space="0" w:color="auto"/>
              <w:bottom w:val="single" w:sz="4" w:space="0" w:color="auto"/>
            </w:tcBorders>
          </w:tcPr>
          <w:p w14:paraId="15F4E3F2" w14:textId="499C97EB" w:rsidR="00183C35" w:rsidRPr="0012244D" w:rsidRDefault="00183C35" w:rsidP="00174DCA">
            <w:pPr>
              <w:pStyle w:val="Normal-pool"/>
              <w:spacing w:before="40" w:after="40"/>
              <w:rPr>
                <w:sz w:val="18"/>
                <w:szCs w:val="18"/>
                <w:lang w:val="fr-FR"/>
              </w:rPr>
            </w:pPr>
            <w:r w:rsidRPr="0012244D">
              <w:rPr>
                <w:sz w:val="18"/>
                <w:szCs w:val="18"/>
                <w:lang w:val="fr-FR"/>
              </w:rPr>
              <w:t>Données (gestion des relations clients, Indico)</w:t>
            </w:r>
          </w:p>
        </w:tc>
        <w:tc>
          <w:tcPr>
            <w:tcW w:w="1922" w:type="dxa"/>
            <w:tcBorders>
              <w:top w:val="dotted" w:sz="4" w:space="0" w:color="auto"/>
              <w:bottom w:val="single" w:sz="4" w:space="0" w:color="auto"/>
              <w:right w:val="dotted" w:sz="4" w:space="0" w:color="auto"/>
            </w:tcBorders>
          </w:tcPr>
          <w:p w14:paraId="2A0D3A3B" w14:textId="68496218" w:rsidR="00183C35" w:rsidRPr="0012244D" w:rsidRDefault="0012244D" w:rsidP="00174DCA">
            <w:pPr>
              <w:pStyle w:val="Normal-pool"/>
              <w:spacing w:before="40" w:after="40"/>
              <w:jc w:val="right"/>
              <w:rPr>
                <w:sz w:val="18"/>
                <w:szCs w:val="18"/>
                <w:lang w:val="fr-FR"/>
              </w:rPr>
            </w:pPr>
            <w:r>
              <w:rPr>
                <w:sz w:val="18"/>
                <w:szCs w:val="18"/>
                <w:lang w:val="fr-FR"/>
              </w:rPr>
              <w:t>28 </w:t>
            </w:r>
            <w:r w:rsidR="00183C35" w:rsidRPr="0012244D">
              <w:rPr>
                <w:sz w:val="18"/>
                <w:szCs w:val="18"/>
                <w:lang w:val="fr-FR"/>
              </w:rPr>
              <w:t>251</w:t>
            </w:r>
          </w:p>
        </w:tc>
        <w:tc>
          <w:tcPr>
            <w:tcW w:w="1923" w:type="dxa"/>
            <w:tcBorders>
              <w:top w:val="dotted" w:sz="4" w:space="0" w:color="auto"/>
              <w:left w:val="dotted" w:sz="4" w:space="0" w:color="auto"/>
              <w:bottom w:val="single" w:sz="4" w:space="0" w:color="auto"/>
            </w:tcBorders>
            <w:shd w:val="clear" w:color="auto" w:fill="auto"/>
            <w:noWrap/>
          </w:tcPr>
          <w:p w14:paraId="587FA826" w14:textId="031AAD34" w:rsidR="00183C35" w:rsidRPr="0012244D" w:rsidRDefault="0012244D" w:rsidP="00174DCA">
            <w:pPr>
              <w:pStyle w:val="Normal-pool"/>
              <w:spacing w:before="40" w:after="40"/>
              <w:jc w:val="right"/>
              <w:rPr>
                <w:sz w:val="18"/>
                <w:szCs w:val="18"/>
                <w:lang w:val="fr-FR"/>
              </w:rPr>
            </w:pPr>
            <w:r>
              <w:rPr>
                <w:sz w:val="18"/>
                <w:szCs w:val="18"/>
                <w:lang w:val="fr-FR"/>
              </w:rPr>
              <w:t>28 </w:t>
            </w:r>
            <w:r w:rsidR="00183C35" w:rsidRPr="0012244D">
              <w:rPr>
                <w:sz w:val="18"/>
                <w:szCs w:val="18"/>
                <w:lang w:val="fr-FR"/>
              </w:rPr>
              <w:t>251</w:t>
            </w:r>
          </w:p>
        </w:tc>
      </w:tr>
      <w:tr w:rsidR="00183C35" w:rsidRPr="0012244D" w14:paraId="2CC9AFE0"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44F7D06A" w14:textId="77777777" w:rsidR="00183C35" w:rsidRPr="0012244D" w:rsidRDefault="00183C35" w:rsidP="00174DCA">
            <w:pPr>
              <w:pStyle w:val="Normal-pool"/>
              <w:spacing w:before="40" w:after="40"/>
              <w:rPr>
                <w:b/>
                <w:bCs/>
                <w:sz w:val="18"/>
                <w:szCs w:val="18"/>
                <w:lang w:val="fr-FR"/>
              </w:rPr>
            </w:pPr>
          </w:p>
        </w:tc>
        <w:tc>
          <w:tcPr>
            <w:tcW w:w="3975" w:type="dxa"/>
            <w:tcBorders>
              <w:top w:val="single" w:sz="4" w:space="0" w:color="auto"/>
              <w:left w:val="dotted" w:sz="4" w:space="0" w:color="auto"/>
              <w:bottom w:val="single" w:sz="4" w:space="0" w:color="auto"/>
            </w:tcBorders>
          </w:tcPr>
          <w:p w14:paraId="72035290" w14:textId="77777777" w:rsidR="00183C35" w:rsidRPr="0012244D" w:rsidRDefault="00183C35" w:rsidP="00174DCA">
            <w:pPr>
              <w:pStyle w:val="Normal-pool"/>
              <w:spacing w:before="40" w:after="40"/>
              <w:rPr>
                <w:b/>
                <w:bCs/>
                <w:sz w:val="18"/>
                <w:szCs w:val="18"/>
                <w:lang w:val="fr-FR"/>
              </w:rPr>
            </w:pPr>
          </w:p>
        </w:tc>
        <w:tc>
          <w:tcPr>
            <w:tcW w:w="1922" w:type="dxa"/>
            <w:tcBorders>
              <w:top w:val="single" w:sz="4" w:space="0" w:color="auto"/>
              <w:bottom w:val="single" w:sz="4" w:space="0" w:color="auto"/>
              <w:right w:val="dotted" w:sz="4" w:space="0" w:color="auto"/>
            </w:tcBorders>
          </w:tcPr>
          <w:p w14:paraId="3E0488C1" w14:textId="18F162F0" w:rsidR="00183C35" w:rsidRPr="0012244D" w:rsidRDefault="0012244D" w:rsidP="00174DCA">
            <w:pPr>
              <w:pStyle w:val="Normal-pool"/>
              <w:spacing w:before="40" w:after="40"/>
              <w:jc w:val="right"/>
              <w:rPr>
                <w:b/>
                <w:bCs/>
                <w:sz w:val="18"/>
                <w:szCs w:val="18"/>
                <w:lang w:val="fr-FR"/>
              </w:rPr>
            </w:pPr>
            <w:r>
              <w:rPr>
                <w:b/>
                <w:bCs/>
                <w:sz w:val="18"/>
                <w:szCs w:val="18"/>
                <w:lang w:val="fr-FR"/>
              </w:rPr>
              <w:t>151 </w:t>
            </w:r>
            <w:r w:rsidR="00183C35" w:rsidRPr="0012244D">
              <w:rPr>
                <w:b/>
                <w:bCs/>
                <w:sz w:val="18"/>
                <w:szCs w:val="18"/>
                <w:lang w:val="fr-FR"/>
              </w:rPr>
              <w:t>347</w:t>
            </w:r>
          </w:p>
        </w:tc>
        <w:tc>
          <w:tcPr>
            <w:tcW w:w="1923" w:type="dxa"/>
            <w:tcBorders>
              <w:top w:val="single" w:sz="4" w:space="0" w:color="auto"/>
              <w:left w:val="dotted" w:sz="4" w:space="0" w:color="auto"/>
              <w:bottom w:val="single" w:sz="4" w:space="0" w:color="auto"/>
            </w:tcBorders>
            <w:shd w:val="clear" w:color="auto" w:fill="auto"/>
            <w:noWrap/>
          </w:tcPr>
          <w:p w14:paraId="4EFF220A" w14:textId="21D22F07" w:rsidR="00183C35" w:rsidRPr="0012244D" w:rsidRDefault="0012244D" w:rsidP="00174DCA">
            <w:pPr>
              <w:pStyle w:val="Normal-pool"/>
              <w:spacing w:before="40" w:after="40"/>
              <w:jc w:val="right"/>
              <w:rPr>
                <w:b/>
                <w:bCs/>
                <w:sz w:val="18"/>
                <w:szCs w:val="18"/>
                <w:lang w:val="fr-FR"/>
              </w:rPr>
            </w:pPr>
            <w:r>
              <w:rPr>
                <w:b/>
                <w:bCs/>
                <w:sz w:val="18"/>
                <w:szCs w:val="18"/>
                <w:lang w:val="fr-FR"/>
              </w:rPr>
              <w:t>164 </w:t>
            </w:r>
            <w:r w:rsidR="00183C35" w:rsidRPr="0012244D">
              <w:rPr>
                <w:b/>
                <w:bCs/>
                <w:sz w:val="18"/>
                <w:szCs w:val="18"/>
                <w:lang w:val="fr-FR"/>
              </w:rPr>
              <w:t>800</w:t>
            </w:r>
          </w:p>
        </w:tc>
      </w:tr>
      <w:tr w:rsidR="00183C35" w:rsidRPr="0012244D" w14:paraId="59D9430E"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0103F770" w14:textId="77777777" w:rsidR="00183C35" w:rsidRPr="0012244D" w:rsidRDefault="00183C35" w:rsidP="00174DCA">
            <w:pPr>
              <w:pStyle w:val="Normal-pool"/>
              <w:spacing w:before="40" w:after="40"/>
              <w:rPr>
                <w:b/>
                <w:bCs/>
                <w:sz w:val="18"/>
                <w:szCs w:val="18"/>
                <w:lang w:val="fr-FR"/>
              </w:rPr>
            </w:pPr>
            <w:r w:rsidRPr="0012244D">
              <w:rPr>
                <w:b/>
                <w:bCs/>
                <w:sz w:val="18"/>
                <w:szCs w:val="18"/>
                <w:lang w:val="fr-FR"/>
              </w:rPr>
              <w:t>C</w:t>
            </w:r>
          </w:p>
        </w:tc>
        <w:tc>
          <w:tcPr>
            <w:tcW w:w="3975" w:type="dxa"/>
            <w:tcBorders>
              <w:top w:val="single" w:sz="4" w:space="0" w:color="auto"/>
              <w:left w:val="dotted" w:sz="4" w:space="0" w:color="auto"/>
              <w:bottom w:val="single" w:sz="4" w:space="0" w:color="auto"/>
            </w:tcBorders>
          </w:tcPr>
          <w:p w14:paraId="10382269" w14:textId="77777777" w:rsidR="00183C35" w:rsidRPr="0012244D" w:rsidRDefault="00183C35" w:rsidP="00174DCA">
            <w:pPr>
              <w:pStyle w:val="Normal-pool"/>
              <w:spacing w:before="40" w:after="40"/>
              <w:rPr>
                <w:b/>
                <w:bCs/>
                <w:sz w:val="18"/>
                <w:szCs w:val="18"/>
                <w:lang w:val="fr-FR"/>
              </w:rPr>
            </w:pPr>
            <w:r w:rsidRPr="0012244D">
              <w:rPr>
                <w:b/>
                <w:bCs/>
                <w:sz w:val="18"/>
                <w:szCs w:val="18"/>
                <w:lang w:val="fr-FR"/>
              </w:rPr>
              <w:t>Coordination logistique</w:t>
            </w:r>
          </w:p>
        </w:tc>
        <w:tc>
          <w:tcPr>
            <w:tcW w:w="1922" w:type="dxa"/>
            <w:tcBorders>
              <w:top w:val="single" w:sz="4" w:space="0" w:color="auto"/>
              <w:bottom w:val="single" w:sz="4" w:space="0" w:color="auto"/>
              <w:right w:val="dotted" w:sz="4" w:space="0" w:color="auto"/>
            </w:tcBorders>
          </w:tcPr>
          <w:p w14:paraId="3AD756A4" w14:textId="4C64A6D7" w:rsidR="00183C35" w:rsidRPr="0012244D" w:rsidRDefault="0012244D" w:rsidP="00174DCA">
            <w:pPr>
              <w:pStyle w:val="Normal-pool"/>
              <w:spacing w:before="40" w:after="40"/>
              <w:jc w:val="right"/>
              <w:rPr>
                <w:b/>
                <w:bCs/>
                <w:sz w:val="18"/>
                <w:szCs w:val="18"/>
                <w:lang w:val="fr-FR"/>
              </w:rPr>
            </w:pPr>
            <w:r>
              <w:rPr>
                <w:b/>
                <w:bCs/>
                <w:sz w:val="18"/>
                <w:szCs w:val="18"/>
                <w:lang w:val="fr-FR"/>
              </w:rPr>
              <w:t>38 </w:t>
            </w:r>
            <w:r w:rsidR="00183C35" w:rsidRPr="0012244D">
              <w:rPr>
                <w:b/>
                <w:bCs/>
                <w:sz w:val="18"/>
                <w:szCs w:val="18"/>
                <w:lang w:val="fr-FR"/>
              </w:rPr>
              <w:t>678</w:t>
            </w:r>
          </w:p>
        </w:tc>
        <w:tc>
          <w:tcPr>
            <w:tcW w:w="1923" w:type="dxa"/>
            <w:tcBorders>
              <w:top w:val="single" w:sz="4" w:space="0" w:color="auto"/>
              <w:left w:val="dotted" w:sz="4" w:space="0" w:color="auto"/>
              <w:bottom w:val="single" w:sz="4" w:space="0" w:color="auto"/>
            </w:tcBorders>
            <w:shd w:val="clear" w:color="auto" w:fill="auto"/>
            <w:noWrap/>
          </w:tcPr>
          <w:p w14:paraId="7223935D" w14:textId="1D0270AB" w:rsidR="00183C35" w:rsidRPr="0012244D" w:rsidRDefault="0012244D" w:rsidP="00174DCA">
            <w:pPr>
              <w:pStyle w:val="Normal-pool"/>
              <w:spacing w:before="40" w:after="40"/>
              <w:jc w:val="right"/>
              <w:rPr>
                <w:b/>
                <w:bCs/>
                <w:sz w:val="18"/>
                <w:szCs w:val="18"/>
                <w:lang w:val="fr-FR"/>
              </w:rPr>
            </w:pPr>
            <w:r>
              <w:rPr>
                <w:b/>
                <w:bCs/>
                <w:sz w:val="18"/>
                <w:szCs w:val="18"/>
                <w:lang w:val="fr-FR"/>
              </w:rPr>
              <w:t>38 </w:t>
            </w:r>
            <w:r w:rsidR="00183C35" w:rsidRPr="0012244D">
              <w:rPr>
                <w:b/>
                <w:bCs/>
                <w:sz w:val="18"/>
                <w:szCs w:val="18"/>
                <w:lang w:val="fr-FR"/>
              </w:rPr>
              <w:t>678</w:t>
            </w:r>
          </w:p>
        </w:tc>
      </w:tr>
      <w:tr w:rsidR="00183C35" w:rsidRPr="0012244D" w14:paraId="5726024E"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2774498D" w14:textId="77777777" w:rsidR="00183C35" w:rsidRPr="0012244D" w:rsidRDefault="00183C35" w:rsidP="00174DCA">
            <w:pPr>
              <w:pStyle w:val="Normal-pool"/>
              <w:spacing w:before="40" w:after="40"/>
              <w:rPr>
                <w:b/>
                <w:bCs/>
                <w:sz w:val="18"/>
                <w:szCs w:val="18"/>
                <w:lang w:val="fr-FR"/>
              </w:rPr>
            </w:pPr>
            <w:r w:rsidRPr="0012244D">
              <w:rPr>
                <w:b/>
                <w:bCs/>
                <w:sz w:val="18"/>
                <w:szCs w:val="18"/>
                <w:lang w:val="fr-FR"/>
              </w:rPr>
              <w:t>D</w:t>
            </w:r>
          </w:p>
        </w:tc>
        <w:tc>
          <w:tcPr>
            <w:tcW w:w="3975" w:type="dxa"/>
            <w:tcBorders>
              <w:top w:val="single" w:sz="4" w:space="0" w:color="auto"/>
              <w:left w:val="dotted" w:sz="4" w:space="0" w:color="auto"/>
              <w:bottom w:val="single" w:sz="4" w:space="0" w:color="auto"/>
            </w:tcBorders>
          </w:tcPr>
          <w:p w14:paraId="333678A5" w14:textId="60C3D6F8" w:rsidR="00183C35" w:rsidRPr="0012244D" w:rsidRDefault="00D8019A" w:rsidP="00174DCA">
            <w:pPr>
              <w:pStyle w:val="Normal-pool"/>
              <w:spacing w:before="40" w:after="40"/>
              <w:rPr>
                <w:b/>
                <w:bCs/>
                <w:sz w:val="18"/>
                <w:szCs w:val="18"/>
                <w:lang w:val="fr-FR"/>
              </w:rPr>
            </w:pPr>
            <w:r w:rsidRPr="0012244D">
              <w:rPr>
                <w:b/>
                <w:bCs/>
                <w:sz w:val="18"/>
                <w:szCs w:val="18"/>
                <w:lang w:val="fr-FR"/>
              </w:rPr>
              <w:t>Services informatiques et sans papier</w:t>
            </w:r>
          </w:p>
        </w:tc>
        <w:tc>
          <w:tcPr>
            <w:tcW w:w="1922" w:type="dxa"/>
            <w:tcBorders>
              <w:top w:val="single" w:sz="4" w:space="0" w:color="auto"/>
              <w:bottom w:val="single" w:sz="4" w:space="0" w:color="auto"/>
              <w:right w:val="dotted" w:sz="4" w:space="0" w:color="auto"/>
            </w:tcBorders>
          </w:tcPr>
          <w:p w14:paraId="7EDFF642" w14:textId="1093D8BB" w:rsidR="00183C35" w:rsidRPr="0012244D" w:rsidRDefault="0012244D" w:rsidP="00174DCA">
            <w:pPr>
              <w:pStyle w:val="Normal-pool"/>
              <w:spacing w:before="40" w:after="40"/>
              <w:jc w:val="right"/>
              <w:rPr>
                <w:b/>
                <w:bCs/>
                <w:sz w:val="18"/>
                <w:szCs w:val="18"/>
                <w:lang w:val="fr-FR"/>
              </w:rPr>
            </w:pPr>
            <w:r>
              <w:rPr>
                <w:b/>
                <w:bCs/>
                <w:sz w:val="18"/>
                <w:szCs w:val="18"/>
                <w:lang w:val="fr-FR"/>
              </w:rPr>
              <w:t>28 </w:t>
            </w:r>
            <w:r w:rsidR="00183C35" w:rsidRPr="0012244D">
              <w:rPr>
                <w:b/>
                <w:bCs/>
                <w:sz w:val="18"/>
                <w:szCs w:val="18"/>
                <w:lang w:val="fr-FR"/>
              </w:rPr>
              <w:t>699</w:t>
            </w:r>
          </w:p>
        </w:tc>
        <w:tc>
          <w:tcPr>
            <w:tcW w:w="1923" w:type="dxa"/>
            <w:tcBorders>
              <w:top w:val="single" w:sz="4" w:space="0" w:color="auto"/>
              <w:left w:val="dotted" w:sz="4" w:space="0" w:color="auto"/>
              <w:bottom w:val="single" w:sz="4" w:space="0" w:color="auto"/>
            </w:tcBorders>
            <w:shd w:val="clear" w:color="auto" w:fill="auto"/>
            <w:noWrap/>
          </w:tcPr>
          <w:p w14:paraId="70F737D6" w14:textId="7B4FD480" w:rsidR="00183C35" w:rsidRPr="0012244D" w:rsidRDefault="0012244D" w:rsidP="00174DCA">
            <w:pPr>
              <w:pStyle w:val="Normal-pool"/>
              <w:spacing w:before="40" w:after="40"/>
              <w:jc w:val="right"/>
              <w:rPr>
                <w:b/>
                <w:bCs/>
                <w:sz w:val="18"/>
                <w:szCs w:val="18"/>
                <w:lang w:val="fr-FR"/>
              </w:rPr>
            </w:pPr>
            <w:r>
              <w:rPr>
                <w:b/>
                <w:bCs/>
                <w:sz w:val="18"/>
                <w:szCs w:val="18"/>
                <w:lang w:val="fr-FR"/>
              </w:rPr>
              <w:t>28 </w:t>
            </w:r>
            <w:r w:rsidR="00183C35" w:rsidRPr="0012244D">
              <w:rPr>
                <w:b/>
                <w:bCs/>
                <w:sz w:val="18"/>
                <w:szCs w:val="18"/>
                <w:lang w:val="fr-FR"/>
              </w:rPr>
              <w:t>699</w:t>
            </w:r>
          </w:p>
        </w:tc>
      </w:tr>
      <w:tr w:rsidR="00183C35" w:rsidRPr="0012244D" w14:paraId="32857C1D"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5170C055" w14:textId="77777777" w:rsidR="00183C35" w:rsidRPr="0012244D" w:rsidRDefault="00183C35" w:rsidP="00174DCA">
            <w:pPr>
              <w:pStyle w:val="Normal-pool"/>
              <w:spacing w:before="40" w:after="40"/>
              <w:rPr>
                <w:b/>
                <w:bCs/>
                <w:sz w:val="18"/>
                <w:szCs w:val="18"/>
                <w:lang w:val="fr-FR"/>
              </w:rPr>
            </w:pPr>
            <w:r w:rsidRPr="0012244D">
              <w:rPr>
                <w:b/>
                <w:bCs/>
                <w:sz w:val="18"/>
                <w:szCs w:val="18"/>
                <w:lang w:val="fr-FR"/>
              </w:rPr>
              <w:t>E</w:t>
            </w:r>
          </w:p>
        </w:tc>
        <w:tc>
          <w:tcPr>
            <w:tcW w:w="3975" w:type="dxa"/>
            <w:tcBorders>
              <w:top w:val="single" w:sz="4" w:space="0" w:color="auto"/>
              <w:left w:val="dotted" w:sz="4" w:space="0" w:color="auto"/>
              <w:bottom w:val="single" w:sz="4" w:space="0" w:color="auto"/>
            </w:tcBorders>
          </w:tcPr>
          <w:p w14:paraId="6D8F4E40" w14:textId="3B4E61C0" w:rsidR="00183C35" w:rsidRPr="0012244D" w:rsidRDefault="00183C35" w:rsidP="00174DCA">
            <w:pPr>
              <w:pStyle w:val="Normal-pool"/>
              <w:spacing w:before="40" w:after="40"/>
              <w:rPr>
                <w:b/>
                <w:bCs/>
                <w:sz w:val="18"/>
                <w:szCs w:val="18"/>
                <w:lang w:val="fr-FR"/>
              </w:rPr>
            </w:pPr>
            <w:r w:rsidRPr="0012244D">
              <w:rPr>
                <w:b/>
                <w:bCs/>
                <w:sz w:val="18"/>
                <w:szCs w:val="18"/>
                <w:lang w:val="fr-FR"/>
              </w:rPr>
              <w:t>Contrôle des documents et approbation juridique</w:t>
            </w:r>
          </w:p>
        </w:tc>
        <w:tc>
          <w:tcPr>
            <w:tcW w:w="1922" w:type="dxa"/>
            <w:tcBorders>
              <w:top w:val="single" w:sz="4" w:space="0" w:color="auto"/>
              <w:bottom w:val="single" w:sz="4" w:space="0" w:color="auto"/>
              <w:right w:val="dotted" w:sz="4" w:space="0" w:color="auto"/>
            </w:tcBorders>
          </w:tcPr>
          <w:p w14:paraId="4C98BDC6" w14:textId="77777777" w:rsidR="00183C35" w:rsidRPr="0012244D" w:rsidRDefault="00183C35" w:rsidP="00174DCA">
            <w:pPr>
              <w:pStyle w:val="Normal-pool"/>
              <w:spacing w:before="40" w:after="40"/>
              <w:jc w:val="right"/>
              <w:rPr>
                <w:b/>
                <w:bCs/>
                <w:sz w:val="18"/>
                <w:szCs w:val="18"/>
                <w:lang w:val="fr-FR"/>
              </w:rPr>
            </w:pPr>
          </w:p>
        </w:tc>
        <w:tc>
          <w:tcPr>
            <w:tcW w:w="1923" w:type="dxa"/>
            <w:tcBorders>
              <w:top w:val="single" w:sz="4" w:space="0" w:color="auto"/>
              <w:left w:val="dotted" w:sz="4" w:space="0" w:color="auto"/>
              <w:bottom w:val="single" w:sz="4" w:space="0" w:color="auto"/>
            </w:tcBorders>
            <w:shd w:val="clear" w:color="auto" w:fill="auto"/>
            <w:noWrap/>
          </w:tcPr>
          <w:p w14:paraId="1AB52628" w14:textId="77777777" w:rsidR="00183C35" w:rsidRPr="0012244D" w:rsidRDefault="00183C35" w:rsidP="00174DCA">
            <w:pPr>
              <w:pStyle w:val="Normal-pool"/>
              <w:spacing w:before="40" w:after="40"/>
              <w:jc w:val="right"/>
              <w:rPr>
                <w:b/>
                <w:bCs/>
                <w:sz w:val="18"/>
                <w:szCs w:val="18"/>
                <w:lang w:val="fr-FR"/>
              </w:rPr>
            </w:pPr>
          </w:p>
        </w:tc>
      </w:tr>
      <w:tr w:rsidR="00183C35" w:rsidRPr="0012244D" w14:paraId="2BB1208F" w14:textId="77777777" w:rsidTr="00174DCA">
        <w:trPr>
          <w:trHeight w:val="57"/>
          <w:jc w:val="right"/>
        </w:trPr>
        <w:tc>
          <w:tcPr>
            <w:tcW w:w="487" w:type="dxa"/>
            <w:tcBorders>
              <w:top w:val="single" w:sz="4" w:space="0" w:color="auto"/>
              <w:bottom w:val="dotted" w:sz="4" w:space="0" w:color="auto"/>
              <w:right w:val="dotted" w:sz="4" w:space="0" w:color="auto"/>
            </w:tcBorders>
            <w:shd w:val="clear" w:color="auto" w:fill="auto"/>
            <w:noWrap/>
          </w:tcPr>
          <w:p w14:paraId="45F72520" w14:textId="77777777" w:rsidR="00183C35" w:rsidRPr="0012244D" w:rsidRDefault="00183C35" w:rsidP="00174DCA">
            <w:pPr>
              <w:pStyle w:val="Normal-pool"/>
              <w:spacing w:before="40" w:after="40"/>
              <w:rPr>
                <w:b/>
                <w:bCs/>
                <w:sz w:val="18"/>
                <w:szCs w:val="18"/>
                <w:lang w:val="fr-FR"/>
              </w:rPr>
            </w:pPr>
          </w:p>
        </w:tc>
        <w:tc>
          <w:tcPr>
            <w:tcW w:w="3975" w:type="dxa"/>
            <w:tcBorders>
              <w:top w:val="single" w:sz="4" w:space="0" w:color="auto"/>
              <w:left w:val="dotted" w:sz="4" w:space="0" w:color="auto"/>
              <w:bottom w:val="dotted" w:sz="4" w:space="0" w:color="auto"/>
            </w:tcBorders>
          </w:tcPr>
          <w:p w14:paraId="35580621" w14:textId="77777777" w:rsidR="00183C35" w:rsidRPr="0012244D" w:rsidRDefault="00183C35" w:rsidP="00174DCA">
            <w:pPr>
              <w:pStyle w:val="Normal-pool"/>
              <w:spacing w:before="40" w:after="40"/>
              <w:rPr>
                <w:sz w:val="18"/>
                <w:szCs w:val="18"/>
                <w:lang w:val="fr-FR"/>
              </w:rPr>
            </w:pPr>
            <w:r w:rsidRPr="0012244D">
              <w:rPr>
                <w:sz w:val="18"/>
                <w:szCs w:val="18"/>
                <w:lang w:val="fr-FR"/>
              </w:rPr>
              <w:t>Gestion des documents</w:t>
            </w:r>
          </w:p>
        </w:tc>
        <w:tc>
          <w:tcPr>
            <w:tcW w:w="1922" w:type="dxa"/>
            <w:tcBorders>
              <w:top w:val="single" w:sz="4" w:space="0" w:color="auto"/>
              <w:bottom w:val="dotted" w:sz="4" w:space="0" w:color="auto"/>
              <w:right w:val="dotted" w:sz="4" w:space="0" w:color="auto"/>
            </w:tcBorders>
          </w:tcPr>
          <w:p w14:paraId="6E66DF24" w14:textId="5CF0A7F3" w:rsidR="00183C35" w:rsidRPr="0012244D" w:rsidRDefault="00FE1627" w:rsidP="00174DCA">
            <w:pPr>
              <w:pStyle w:val="Normal-pool"/>
              <w:spacing w:before="40" w:after="40"/>
              <w:jc w:val="right"/>
              <w:rPr>
                <w:sz w:val="18"/>
                <w:szCs w:val="18"/>
                <w:lang w:val="fr-FR"/>
              </w:rPr>
            </w:pPr>
            <w:r w:rsidRPr="0012244D">
              <w:rPr>
                <w:sz w:val="18"/>
                <w:szCs w:val="18"/>
                <w:lang w:val="fr-FR"/>
              </w:rPr>
              <w:t>–</w:t>
            </w:r>
          </w:p>
        </w:tc>
        <w:tc>
          <w:tcPr>
            <w:tcW w:w="1923" w:type="dxa"/>
            <w:tcBorders>
              <w:top w:val="single" w:sz="4" w:space="0" w:color="auto"/>
              <w:left w:val="dotted" w:sz="4" w:space="0" w:color="auto"/>
              <w:bottom w:val="dotted" w:sz="4" w:space="0" w:color="auto"/>
            </w:tcBorders>
            <w:shd w:val="clear" w:color="auto" w:fill="auto"/>
            <w:noWrap/>
          </w:tcPr>
          <w:p w14:paraId="7B8B57B8" w14:textId="0D319DFE" w:rsidR="00183C35" w:rsidRPr="0012244D" w:rsidRDefault="0012244D" w:rsidP="00174DCA">
            <w:pPr>
              <w:pStyle w:val="Normal-pool"/>
              <w:spacing w:before="40" w:after="40"/>
              <w:jc w:val="right"/>
              <w:rPr>
                <w:sz w:val="18"/>
                <w:szCs w:val="18"/>
                <w:lang w:val="fr-FR"/>
              </w:rPr>
            </w:pPr>
            <w:r>
              <w:rPr>
                <w:sz w:val="18"/>
                <w:szCs w:val="18"/>
                <w:lang w:val="fr-FR"/>
              </w:rPr>
              <w:t>4 </w:t>
            </w:r>
            <w:r w:rsidR="00183C35" w:rsidRPr="0012244D">
              <w:rPr>
                <w:sz w:val="18"/>
                <w:szCs w:val="18"/>
                <w:lang w:val="fr-FR"/>
              </w:rPr>
              <w:t>443</w:t>
            </w:r>
          </w:p>
        </w:tc>
      </w:tr>
      <w:tr w:rsidR="00183C35" w:rsidRPr="0012244D" w14:paraId="21BD55B1"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453AEB63" w14:textId="77777777" w:rsidR="00183C35" w:rsidRPr="0012244D" w:rsidRDefault="00183C35" w:rsidP="00174DCA">
            <w:pPr>
              <w:pStyle w:val="Normal-pool"/>
              <w:spacing w:before="40" w:after="40"/>
              <w:rPr>
                <w:b/>
                <w:bCs/>
                <w:sz w:val="18"/>
                <w:szCs w:val="18"/>
                <w:lang w:val="fr-FR"/>
              </w:rPr>
            </w:pPr>
          </w:p>
        </w:tc>
        <w:tc>
          <w:tcPr>
            <w:tcW w:w="3975" w:type="dxa"/>
            <w:tcBorders>
              <w:top w:val="dotted" w:sz="4" w:space="0" w:color="auto"/>
              <w:left w:val="dotted" w:sz="4" w:space="0" w:color="auto"/>
              <w:bottom w:val="dotted" w:sz="4" w:space="0" w:color="auto"/>
            </w:tcBorders>
          </w:tcPr>
          <w:p w14:paraId="0064FBDA" w14:textId="77777777" w:rsidR="00183C35" w:rsidRPr="0012244D" w:rsidRDefault="00183C35" w:rsidP="00174DCA">
            <w:pPr>
              <w:pStyle w:val="Normal-pool"/>
              <w:spacing w:before="40" w:after="40"/>
              <w:rPr>
                <w:sz w:val="18"/>
                <w:szCs w:val="18"/>
                <w:lang w:val="fr-FR"/>
              </w:rPr>
            </w:pPr>
            <w:r w:rsidRPr="0012244D">
              <w:rPr>
                <w:sz w:val="18"/>
                <w:szCs w:val="18"/>
                <w:lang w:val="fr-FR"/>
              </w:rPr>
              <w:t>Gestion des rapports</w:t>
            </w:r>
          </w:p>
        </w:tc>
        <w:tc>
          <w:tcPr>
            <w:tcW w:w="1922" w:type="dxa"/>
            <w:tcBorders>
              <w:top w:val="dotted" w:sz="4" w:space="0" w:color="auto"/>
              <w:bottom w:val="dotted" w:sz="4" w:space="0" w:color="auto"/>
              <w:right w:val="dotted" w:sz="4" w:space="0" w:color="auto"/>
            </w:tcBorders>
          </w:tcPr>
          <w:p w14:paraId="57369C47" w14:textId="4ECF4B48" w:rsidR="00183C35" w:rsidRPr="0012244D" w:rsidRDefault="00FE1627" w:rsidP="00174DCA">
            <w:pPr>
              <w:pStyle w:val="Normal-pool"/>
              <w:spacing w:before="40" w:after="40"/>
              <w:jc w:val="right"/>
              <w:rPr>
                <w:sz w:val="18"/>
                <w:szCs w:val="18"/>
                <w:lang w:val="fr-FR"/>
              </w:rPr>
            </w:pPr>
            <w:r w:rsidRPr="0012244D">
              <w:rPr>
                <w:sz w:val="18"/>
                <w:szCs w:val="18"/>
                <w:lang w:val="fr-FR"/>
              </w:rPr>
              <w:t>–</w:t>
            </w:r>
          </w:p>
        </w:tc>
        <w:tc>
          <w:tcPr>
            <w:tcW w:w="1923" w:type="dxa"/>
            <w:tcBorders>
              <w:top w:val="dotted" w:sz="4" w:space="0" w:color="auto"/>
              <w:left w:val="dotted" w:sz="4" w:space="0" w:color="auto"/>
              <w:bottom w:val="dotted" w:sz="4" w:space="0" w:color="auto"/>
            </w:tcBorders>
            <w:shd w:val="clear" w:color="auto" w:fill="auto"/>
            <w:noWrap/>
          </w:tcPr>
          <w:p w14:paraId="651640B5" w14:textId="3FC992F9" w:rsidR="00183C35" w:rsidRPr="0012244D" w:rsidRDefault="0012244D" w:rsidP="00174DCA">
            <w:pPr>
              <w:pStyle w:val="Normal-pool"/>
              <w:spacing w:before="40" w:after="40"/>
              <w:jc w:val="right"/>
              <w:rPr>
                <w:sz w:val="18"/>
                <w:szCs w:val="18"/>
                <w:lang w:val="fr-FR"/>
              </w:rPr>
            </w:pPr>
            <w:r>
              <w:rPr>
                <w:sz w:val="18"/>
                <w:szCs w:val="18"/>
                <w:lang w:val="fr-FR"/>
              </w:rPr>
              <w:t>4 </w:t>
            </w:r>
            <w:r w:rsidR="00183C35" w:rsidRPr="0012244D">
              <w:rPr>
                <w:sz w:val="18"/>
                <w:szCs w:val="18"/>
                <w:lang w:val="fr-FR"/>
              </w:rPr>
              <w:t>443</w:t>
            </w:r>
          </w:p>
        </w:tc>
      </w:tr>
      <w:tr w:rsidR="00183C35" w:rsidRPr="0012244D" w14:paraId="0F2E6E3A"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778D3D64" w14:textId="77777777" w:rsidR="00183C35" w:rsidRPr="0012244D" w:rsidRDefault="00183C35" w:rsidP="00174DCA">
            <w:pPr>
              <w:pStyle w:val="Normal-pool"/>
              <w:spacing w:before="40" w:after="40"/>
              <w:rPr>
                <w:b/>
                <w:bCs/>
                <w:sz w:val="18"/>
                <w:szCs w:val="18"/>
                <w:lang w:val="fr-FR"/>
              </w:rPr>
            </w:pPr>
          </w:p>
        </w:tc>
        <w:tc>
          <w:tcPr>
            <w:tcW w:w="3975" w:type="dxa"/>
            <w:tcBorders>
              <w:top w:val="dotted" w:sz="4" w:space="0" w:color="auto"/>
              <w:left w:val="dotted" w:sz="4" w:space="0" w:color="auto"/>
              <w:bottom w:val="dotted" w:sz="4" w:space="0" w:color="auto"/>
            </w:tcBorders>
          </w:tcPr>
          <w:p w14:paraId="00791A38" w14:textId="629570E8" w:rsidR="00183C35" w:rsidRPr="0012244D" w:rsidRDefault="00183C35" w:rsidP="00174DCA">
            <w:pPr>
              <w:pStyle w:val="Normal-pool"/>
              <w:spacing w:before="40" w:after="40"/>
              <w:rPr>
                <w:sz w:val="18"/>
                <w:szCs w:val="18"/>
                <w:lang w:val="fr-FR"/>
              </w:rPr>
            </w:pPr>
            <w:r w:rsidRPr="0012244D">
              <w:rPr>
                <w:sz w:val="18"/>
                <w:szCs w:val="18"/>
                <w:lang w:val="fr-FR"/>
              </w:rPr>
              <w:t>Contrôle des documents</w:t>
            </w:r>
          </w:p>
        </w:tc>
        <w:tc>
          <w:tcPr>
            <w:tcW w:w="1922" w:type="dxa"/>
            <w:tcBorders>
              <w:top w:val="dotted" w:sz="4" w:space="0" w:color="auto"/>
              <w:bottom w:val="dotted" w:sz="4" w:space="0" w:color="auto"/>
              <w:right w:val="dotted" w:sz="4" w:space="0" w:color="auto"/>
            </w:tcBorders>
          </w:tcPr>
          <w:p w14:paraId="4297F72B" w14:textId="29B87138" w:rsidR="00183C35" w:rsidRPr="0012244D" w:rsidRDefault="00FE1627" w:rsidP="00174DCA">
            <w:pPr>
              <w:pStyle w:val="Normal-pool"/>
              <w:spacing w:before="40" w:after="40"/>
              <w:jc w:val="right"/>
              <w:rPr>
                <w:sz w:val="18"/>
                <w:szCs w:val="18"/>
                <w:lang w:val="fr-FR"/>
              </w:rPr>
            </w:pPr>
            <w:r w:rsidRPr="0012244D">
              <w:rPr>
                <w:sz w:val="18"/>
                <w:szCs w:val="18"/>
                <w:lang w:val="fr-FR"/>
              </w:rPr>
              <w:t>–</w:t>
            </w:r>
          </w:p>
        </w:tc>
        <w:tc>
          <w:tcPr>
            <w:tcW w:w="1923" w:type="dxa"/>
            <w:tcBorders>
              <w:top w:val="dotted" w:sz="4" w:space="0" w:color="auto"/>
              <w:left w:val="dotted" w:sz="4" w:space="0" w:color="auto"/>
              <w:bottom w:val="dotted" w:sz="4" w:space="0" w:color="auto"/>
            </w:tcBorders>
            <w:shd w:val="clear" w:color="auto" w:fill="auto"/>
            <w:noWrap/>
          </w:tcPr>
          <w:p w14:paraId="5AF1F41A" w14:textId="54A8A1AA" w:rsidR="00183C35" w:rsidRPr="0012244D" w:rsidRDefault="0012244D" w:rsidP="00174DCA">
            <w:pPr>
              <w:pStyle w:val="Normal-pool"/>
              <w:spacing w:before="40" w:after="40"/>
              <w:jc w:val="right"/>
              <w:rPr>
                <w:sz w:val="18"/>
                <w:szCs w:val="18"/>
                <w:lang w:val="fr-FR"/>
              </w:rPr>
            </w:pPr>
            <w:r>
              <w:rPr>
                <w:sz w:val="18"/>
                <w:szCs w:val="18"/>
                <w:lang w:val="fr-FR"/>
              </w:rPr>
              <w:t>6 </w:t>
            </w:r>
            <w:r w:rsidR="00183C35" w:rsidRPr="0012244D">
              <w:rPr>
                <w:sz w:val="18"/>
                <w:szCs w:val="18"/>
                <w:lang w:val="fr-FR"/>
              </w:rPr>
              <w:t>727</w:t>
            </w:r>
          </w:p>
        </w:tc>
      </w:tr>
      <w:tr w:rsidR="00183C35" w:rsidRPr="0012244D" w14:paraId="0939B45E" w14:textId="77777777" w:rsidTr="00174DCA">
        <w:trPr>
          <w:trHeight w:val="57"/>
          <w:jc w:val="right"/>
        </w:trPr>
        <w:tc>
          <w:tcPr>
            <w:tcW w:w="487" w:type="dxa"/>
            <w:tcBorders>
              <w:top w:val="dotted" w:sz="4" w:space="0" w:color="auto"/>
              <w:bottom w:val="dotted" w:sz="4" w:space="0" w:color="auto"/>
              <w:right w:val="dotted" w:sz="4" w:space="0" w:color="auto"/>
            </w:tcBorders>
            <w:shd w:val="clear" w:color="auto" w:fill="auto"/>
            <w:noWrap/>
          </w:tcPr>
          <w:p w14:paraId="03476650" w14:textId="77777777" w:rsidR="00183C35" w:rsidRPr="0012244D" w:rsidRDefault="00183C35" w:rsidP="00174DCA">
            <w:pPr>
              <w:pStyle w:val="Normal-pool"/>
              <w:spacing w:before="40" w:after="40"/>
              <w:rPr>
                <w:b/>
                <w:bCs/>
                <w:sz w:val="18"/>
                <w:szCs w:val="18"/>
                <w:lang w:val="fr-FR"/>
              </w:rPr>
            </w:pPr>
          </w:p>
        </w:tc>
        <w:tc>
          <w:tcPr>
            <w:tcW w:w="3975" w:type="dxa"/>
            <w:tcBorders>
              <w:top w:val="dotted" w:sz="4" w:space="0" w:color="auto"/>
              <w:left w:val="dotted" w:sz="4" w:space="0" w:color="auto"/>
              <w:bottom w:val="dotted" w:sz="4" w:space="0" w:color="auto"/>
            </w:tcBorders>
          </w:tcPr>
          <w:p w14:paraId="652CCA3A" w14:textId="77777777" w:rsidR="00183C35" w:rsidRPr="0012244D" w:rsidRDefault="00183C35" w:rsidP="00174DCA">
            <w:pPr>
              <w:pStyle w:val="Normal-pool"/>
              <w:spacing w:before="40" w:after="40"/>
              <w:rPr>
                <w:sz w:val="18"/>
                <w:szCs w:val="18"/>
                <w:lang w:val="fr-FR"/>
              </w:rPr>
            </w:pPr>
            <w:r w:rsidRPr="0012244D">
              <w:rPr>
                <w:sz w:val="18"/>
                <w:szCs w:val="18"/>
                <w:lang w:val="fr-FR"/>
              </w:rPr>
              <w:t>Approbation juridique</w:t>
            </w:r>
          </w:p>
        </w:tc>
        <w:tc>
          <w:tcPr>
            <w:tcW w:w="1922" w:type="dxa"/>
            <w:tcBorders>
              <w:top w:val="dotted" w:sz="4" w:space="0" w:color="auto"/>
              <w:bottom w:val="dotted" w:sz="4" w:space="0" w:color="auto"/>
              <w:right w:val="dotted" w:sz="4" w:space="0" w:color="auto"/>
            </w:tcBorders>
          </w:tcPr>
          <w:p w14:paraId="5C80A72C" w14:textId="67903075" w:rsidR="00183C35" w:rsidRPr="0012244D" w:rsidRDefault="00FE1627" w:rsidP="00174DCA">
            <w:pPr>
              <w:pStyle w:val="Normal-pool"/>
              <w:spacing w:before="40" w:after="40"/>
              <w:jc w:val="right"/>
              <w:rPr>
                <w:sz w:val="18"/>
                <w:szCs w:val="18"/>
                <w:lang w:val="fr-FR"/>
              </w:rPr>
            </w:pPr>
            <w:r w:rsidRPr="0012244D">
              <w:rPr>
                <w:sz w:val="18"/>
                <w:szCs w:val="18"/>
                <w:lang w:val="fr-FR"/>
              </w:rPr>
              <w:t>–</w:t>
            </w:r>
          </w:p>
        </w:tc>
        <w:tc>
          <w:tcPr>
            <w:tcW w:w="1923" w:type="dxa"/>
            <w:tcBorders>
              <w:top w:val="dotted" w:sz="4" w:space="0" w:color="auto"/>
              <w:left w:val="dotted" w:sz="4" w:space="0" w:color="auto"/>
              <w:bottom w:val="dotted" w:sz="4" w:space="0" w:color="auto"/>
            </w:tcBorders>
            <w:shd w:val="clear" w:color="auto" w:fill="auto"/>
            <w:noWrap/>
          </w:tcPr>
          <w:p w14:paraId="4E9A1C3A" w14:textId="0C4804BA" w:rsidR="00183C35" w:rsidRPr="0012244D" w:rsidRDefault="0012244D" w:rsidP="00174DCA">
            <w:pPr>
              <w:pStyle w:val="Normal-pool"/>
              <w:spacing w:before="40" w:after="40"/>
              <w:jc w:val="right"/>
              <w:rPr>
                <w:sz w:val="18"/>
                <w:szCs w:val="18"/>
                <w:lang w:val="fr-FR"/>
              </w:rPr>
            </w:pPr>
            <w:r>
              <w:rPr>
                <w:sz w:val="18"/>
                <w:szCs w:val="18"/>
                <w:lang w:val="fr-FR"/>
              </w:rPr>
              <w:t>4 </w:t>
            </w:r>
            <w:r w:rsidR="00183C35" w:rsidRPr="0012244D">
              <w:rPr>
                <w:sz w:val="18"/>
                <w:szCs w:val="18"/>
                <w:lang w:val="fr-FR"/>
              </w:rPr>
              <w:t>443</w:t>
            </w:r>
          </w:p>
        </w:tc>
      </w:tr>
      <w:tr w:rsidR="00183C35" w:rsidRPr="0012244D" w14:paraId="515EAFBF" w14:textId="77777777" w:rsidTr="00174DCA">
        <w:trPr>
          <w:trHeight w:val="57"/>
          <w:jc w:val="right"/>
        </w:trPr>
        <w:tc>
          <w:tcPr>
            <w:tcW w:w="487" w:type="dxa"/>
            <w:tcBorders>
              <w:top w:val="dotted" w:sz="4" w:space="0" w:color="auto"/>
              <w:bottom w:val="single" w:sz="4" w:space="0" w:color="auto"/>
              <w:right w:val="dotted" w:sz="4" w:space="0" w:color="auto"/>
            </w:tcBorders>
            <w:shd w:val="clear" w:color="auto" w:fill="auto"/>
            <w:noWrap/>
          </w:tcPr>
          <w:p w14:paraId="05C91EB8" w14:textId="77777777" w:rsidR="00183C35" w:rsidRPr="0012244D" w:rsidRDefault="00183C35" w:rsidP="00174DCA">
            <w:pPr>
              <w:pStyle w:val="Normal-pool"/>
              <w:spacing w:before="40" w:after="40"/>
              <w:rPr>
                <w:b/>
                <w:bCs/>
                <w:sz w:val="18"/>
                <w:szCs w:val="18"/>
                <w:lang w:val="fr-FR"/>
              </w:rPr>
            </w:pPr>
          </w:p>
        </w:tc>
        <w:tc>
          <w:tcPr>
            <w:tcW w:w="3975" w:type="dxa"/>
            <w:tcBorders>
              <w:top w:val="dotted" w:sz="4" w:space="0" w:color="auto"/>
              <w:left w:val="dotted" w:sz="4" w:space="0" w:color="auto"/>
              <w:bottom w:val="single" w:sz="4" w:space="0" w:color="auto"/>
            </w:tcBorders>
          </w:tcPr>
          <w:p w14:paraId="0FAC1E89" w14:textId="77777777" w:rsidR="00183C35" w:rsidRPr="0012244D" w:rsidRDefault="00183C35" w:rsidP="00174DCA">
            <w:pPr>
              <w:pStyle w:val="Normal-pool"/>
              <w:spacing w:before="40" w:after="40"/>
              <w:rPr>
                <w:sz w:val="18"/>
                <w:szCs w:val="18"/>
                <w:lang w:val="fr-FR"/>
              </w:rPr>
            </w:pPr>
            <w:r w:rsidRPr="0012244D">
              <w:rPr>
                <w:sz w:val="18"/>
                <w:szCs w:val="18"/>
                <w:lang w:val="fr-FR"/>
              </w:rPr>
              <w:t>Imprévus</w:t>
            </w:r>
          </w:p>
        </w:tc>
        <w:tc>
          <w:tcPr>
            <w:tcW w:w="1922" w:type="dxa"/>
            <w:tcBorders>
              <w:top w:val="dotted" w:sz="4" w:space="0" w:color="auto"/>
              <w:bottom w:val="single" w:sz="4" w:space="0" w:color="auto"/>
              <w:right w:val="dotted" w:sz="4" w:space="0" w:color="auto"/>
            </w:tcBorders>
          </w:tcPr>
          <w:p w14:paraId="294DC760" w14:textId="2E5E082E" w:rsidR="00183C35" w:rsidRPr="0012244D" w:rsidRDefault="0012244D" w:rsidP="00174DCA">
            <w:pPr>
              <w:pStyle w:val="Normal-pool"/>
              <w:spacing w:before="40" w:after="40"/>
              <w:jc w:val="right"/>
              <w:rPr>
                <w:sz w:val="18"/>
                <w:szCs w:val="18"/>
                <w:lang w:val="fr-FR"/>
              </w:rPr>
            </w:pPr>
            <w:r>
              <w:rPr>
                <w:sz w:val="18"/>
                <w:szCs w:val="18"/>
                <w:lang w:val="fr-FR"/>
              </w:rPr>
              <w:t>9 </w:t>
            </w:r>
            <w:r w:rsidR="00183C35" w:rsidRPr="0012244D">
              <w:rPr>
                <w:sz w:val="18"/>
                <w:szCs w:val="18"/>
                <w:lang w:val="fr-FR"/>
              </w:rPr>
              <w:t>267</w:t>
            </w:r>
          </w:p>
        </w:tc>
        <w:tc>
          <w:tcPr>
            <w:tcW w:w="1923" w:type="dxa"/>
            <w:tcBorders>
              <w:top w:val="dotted" w:sz="4" w:space="0" w:color="auto"/>
              <w:left w:val="dotted" w:sz="4" w:space="0" w:color="auto"/>
              <w:bottom w:val="single" w:sz="4" w:space="0" w:color="auto"/>
            </w:tcBorders>
            <w:shd w:val="clear" w:color="auto" w:fill="auto"/>
            <w:noWrap/>
          </w:tcPr>
          <w:p w14:paraId="27E683E5" w14:textId="394A0245" w:rsidR="00183C35" w:rsidRPr="0012244D" w:rsidRDefault="0012244D" w:rsidP="00174DCA">
            <w:pPr>
              <w:pStyle w:val="Normal-pool"/>
              <w:spacing w:before="40" w:after="40"/>
              <w:jc w:val="right"/>
              <w:rPr>
                <w:sz w:val="18"/>
                <w:szCs w:val="18"/>
                <w:lang w:val="fr-FR"/>
              </w:rPr>
            </w:pPr>
            <w:r>
              <w:rPr>
                <w:sz w:val="18"/>
                <w:szCs w:val="18"/>
                <w:lang w:val="fr-FR"/>
              </w:rPr>
              <w:t>9 </w:t>
            </w:r>
            <w:r w:rsidR="00183C35" w:rsidRPr="0012244D">
              <w:rPr>
                <w:sz w:val="18"/>
                <w:szCs w:val="18"/>
                <w:lang w:val="fr-FR"/>
              </w:rPr>
              <w:t>267</w:t>
            </w:r>
          </w:p>
        </w:tc>
      </w:tr>
      <w:tr w:rsidR="00183C35" w:rsidRPr="0012244D" w14:paraId="7A1B5556" w14:textId="77777777" w:rsidTr="00174DCA">
        <w:trPr>
          <w:trHeight w:val="57"/>
          <w:jc w:val="right"/>
        </w:trPr>
        <w:tc>
          <w:tcPr>
            <w:tcW w:w="487" w:type="dxa"/>
            <w:tcBorders>
              <w:top w:val="single" w:sz="4" w:space="0" w:color="auto"/>
              <w:bottom w:val="single" w:sz="4" w:space="0" w:color="auto"/>
              <w:right w:val="dotted" w:sz="4" w:space="0" w:color="auto"/>
            </w:tcBorders>
            <w:shd w:val="clear" w:color="auto" w:fill="auto"/>
            <w:noWrap/>
          </w:tcPr>
          <w:p w14:paraId="38891E22" w14:textId="77777777" w:rsidR="00183C35" w:rsidRPr="0012244D" w:rsidRDefault="00183C35" w:rsidP="00174DCA">
            <w:pPr>
              <w:pStyle w:val="Normal-pool"/>
              <w:spacing w:before="40" w:after="40"/>
              <w:rPr>
                <w:b/>
                <w:bCs/>
                <w:sz w:val="18"/>
                <w:szCs w:val="18"/>
                <w:lang w:val="fr-FR"/>
              </w:rPr>
            </w:pPr>
          </w:p>
        </w:tc>
        <w:tc>
          <w:tcPr>
            <w:tcW w:w="3975" w:type="dxa"/>
            <w:tcBorders>
              <w:top w:val="single" w:sz="4" w:space="0" w:color="auto"/>
              <w:left w:val="dotted" w:sz="4" w:space="0" w:color="auto"/>
              <w:bottom w:val="single" w:sz="4" w:space="0" w:color="auto"/>
            </w:tcBorders>
          </w:tcPr>
          <w:p w14:paraId="7F55DFD4" w14:textId="77777777" w:rsidR="00183C35" w:rsidRPr="0012244D" w:rsidRDefault="00183C35" w:rsidP="00174DCA">
            <w:pPr>
              <w:pStyle w:val="Normal-pool"/>
              <w:spacing w:before="40" w:after="40"/>
              <w:rPr>
                <w:b/>
                <w:bCs/>
                <w:sz w:val="18"/>
                <w:szCs w:val="18"/>
                <w:lang w:val="fr-FR"/>
              </w:rPr>
            </w:pPr>
          </w:p>
        </w:tc>
        <w:tc>
          <w:tcPr>
            <w:tcW w:w="1922" w:type="dxa"/>
            <w:tcBorders>
              <w:top w:val="single" w:sz="4" w:space="0" w:color="auto"/>
              <w:bottom w:val="single" w:sz="4" w:space="0" w:color="auto"/>
              <w:right w:val="dotted" w:sz="4" w:space="0" w:color="auto"/>
            </w:tcBorders>
          </w:tcPr>
          <w:p w14:paraId="6274A931" w14:textId="61389597" w:rsidR="00183C35" w:rsidRPr="0012244D" w:rsidRDefault="0012244D" w:rsidP="00174DCA">
            <w:pPr>
              <w:pStyle w:val="Normal-pool"/>
              <w:spacing w:before="40" w:after="40"/>
              <w:jc w:val="right"/>
              <w:rPr>
                <w:b/>
                <w:bCs/>
                <w:sz w:val="18"/>
                <w:szCs w:val="18"/>
                <w:lang w:val="fr-FR"/>
              </w:rPr>
            </w:pPr>
            <w:r>
              <w:rPr>
                <w:b/>
                <w:bCs/>
                <w:sz w:val="18"/>
                <w:szCs w:val="18"/>
                <w:lang w:val="fr-FR"/>
              </w:rPr>
              <w:t>9 </w:t>
            </w:r>
            <w:r w:rsidR="00183C35" w:rsidRPr="0012244D">
              <w:rPr>
                <w:b/>
                <w:bCs/>
                <w:sz w:val="18"/>
                <w:szCs w:val="18"/>
                <w:lang w:val="fr-FR"/>
              </w:rPr>
              <w:t>267</w:t>
            </w:r>
          </w:p>
        </w:tc>
        <w:tc>
          <w:tcPr>
            <w:tcW w:w="1923" w:type="dxa"/>
            <w:tcBorders>
              <w:top w:val="single" w:sz="4" w:space="0" w:color="auto"/>
              <w:left w:val="dotted" w:sz="4" w:space="0" w:color="auto"/>
              <w:bottom w:val="single" w:sz="4" w:space="0" w:color="auto"/>
            </w:tcBorders>
            <w:shd w:val="clear" w:color="auto" w:fill="auto"/>
            <w:noWrap/>
          </w:tcPr>
          <w:p w14:paraId="308BB13E" w14:textId="2DE57CB2" w:rsidR="00183C35" w:rsidRPr="0012244D" w:rsidRDefault="0012244D" w:rsidP="00174DCA">
            <w:pPr>
              <w:pStyle w:val="Normal-pool"/>
              <w:spacing w:before="40" w:after="40"/>
              <w:jc w:val="right"/>
              <w:rPr>
                <w:b/>
                <w:bCs/>
                <w:sz w:val="18"/>
                <w:szCs w:val="18"/>
                <w:lang w:val="fr-FR"/>
              </w:rPr>
            </w:pPr>
            <w:r>
              <w:rPr>
                <w:b/>
                <w:bCs/>
                <w:sz w:val="18"/>
                <w:szCs w:val="18"/>
                <w:lang w:val="fr-FR"/>
              </w:rPr>
              <w:t>29 </w:t>
            </w:r>
            <w:r w:rsidR="00183C35" w:rsidRPr="0012244D">
              <w:rPr>
                <w:b/>
                <w:bCs/>
                <w:sz w:val="18"/>
                <w:szCs w:val="18"/>
                <w:lang w:val="fr-FR"/>
              </w:rPr>
              <w:t>323</w:t>
            </w:r>
          </w:p>
        </w:tc>
      </w:tr>
      <w:tr w:rsidR="00183C35" w:rsidRPr="0012244D" w14:paraId="46C4A7D4" w14:textId="77777777" w:rsidTr="00174DCA">
        <w:trPr>
          <w:trHeight w:val="57"/>
          <w:jc w:val="right"/>
        </w:trPr>
        <w:tc>
          <w:tcPr>
            <w:tcW w:w="487" w:type="dxa"/>
            <w:tcBorders>
              <w:top w:val="single" w:sz="4" w:space="0" w:color="auto"/>
              <w:bottom w:val="single" w:sz="12" w:space="0" w:color="auto"/>
              <w:right w:val="dotted" w:sz="4" w:space="0" w:color="auto"/>
            </w:tcBorders>
            <w:shd w:val="clear" w:color="auto" w:fill="auto"/>
            <w:noWrap/>
          </w:tcPr>
          <w:p w14:paraId="40C58BDF" w14:textId="77777777" w:rsidR="00183C35" w:rsidRPr="0012244D" w:rsidRDefault="00183C35" w:rsidP="00174DCA">
            <w:pPr>
              <w:pStyle w:val="Normal-pool"/>
              <w:spacing w:before="40" w:after="40"/>
              <w:rPr>
                <w:b/>
                <w:bCs/>
                <w:sz w:val="18"/>
                <w:szCs w:val="18"/>
                <w:lang w:val="fr-FR"/>
              </w:rPr>
            </w:pPr>
          </w:p>
        </w:tc>
        <w:tc>
          <w:tcPr>
            <w:tcW w:w="3975" w:type="dxa"/>
            <w:tcBorders>
              <w:top w:val="single" w:sz="4" w:space="0" w:color="auto"/>
              <w:left w:val="dotted" w:sz="4" w:space="0" w:color="auto"/>
              <w:bottom w:val="single" w:sz="12" w:space="0" w:color="auto"/>
            </w:tcBorders>
          </w:tcPr>
          <w:p w14:paraId="7593AF64" w14:textId="7EE7813A" w:rsidR="00183C35" w:rsidRPr="0012244D" w:rsidRDefault="00183C35" w:rsidP="00174DCA">
            <w:pPr>
              <w:pStyle w:val="Normal-pool"/>
              <w:spacing w:before="40" w:after="40"/>
              <w:rPr>
                <w:b/>
                <w:bCs/>
                <w:sz w:val="18"/>
                <w:szCs w:val="18"/>
                <w:lang w:val="fr-FR"/>
              </w:rPr>
            </w:pPr>
            <w:r w:rsidRPr="0012244D">
              <w:rPr>
                <w:b/>
                <w:bCs/>
                <w:sz w:val="18"/>
                <w:szCs w:val="18"/>
                <w:lang w:val="fr-FR"/>
              </w:rPr>
              <w:t>TOTAL GÉNÉRAL</w:t>
            </w:r>
          </w:p>
        </w:tc>
        <w:tc>
          <w:tcPr>
            <w:tcW w:w="1922" w:type="dxa"/>
            <w:tcBorders>
              <w:top w:val="single" w:sz="4" w:space="0" w:color="auto"/>
              <w:bottom w:val="single" w:sz="12" w:space="0" w:color="auto"/>
              <w:right w:val="dotted" w:sz="4" w:space="0" w:color="auto"/>
            </w:tcBorders>
          </w:tcPr>
          <w:p w14:paraId="070058F7" w14:textId="7A3435A1" w:rsidR="00183C35" w:rsidRPr="0012244D" w:rsidRDefault="0012244D" w:rsidP="00174DCA">
            <w:pPr>
              <w:pStyle w:val="Normal-pool"/>
              <w:spacing w:before="40" w:after="40"/>
              <w:jc w:val="right"/>
              <w:rPr>
                <w:b/>
                <w:bCs/>
                <w:sz w:val="18"/>
                <w:szCs w:val="18"/>
                <w:lang w:val="fr-FR"/>
              </w:rPr>
            </w:pPr>
            <w:r>
              <w:rPr>
                <w:b/>
                <w:bCs/>
                <w:sz w:val="18"/>
                <w:szCs w:val="18"/>
                <w:lang w:val="fr-FR"/>
              </w:rPr>
              <w:t>227 </w:t>
            </w:r>
            <w:r w:rsidR="00183C35" w:rsidRPr="0012244D">
              <w:rPr>
                <w:b/>
                <w:bCs/>
                <w:sz w:val="18"/>
                <w:szCs w:val="18"/>
                <w:lang w:val="fr-FR"/>
              </w:rPr>
              <w:t>991</w:t>
            </w:r>
          </w:p>
        </w:tc>
        <w:tc>
          <w:tcPr>
            <w:tcW w:w="1923" w:type="dxa"/>
            <w:tcBorders>
              <w:top w:val="single" w:sz="4" w:space="0" w:color="auto"/>
              <w:left w:val="dotted" w:sz="4" w:space="0" w:color="auto"/>
              <w:bottom w:val="single" w:sz="12" w:space="0" w:color="auto"/>
            </w:tcBorders>
            <w:shd w:val="clear" w:color="auto" w:fill="auto"/>
            <w:noWrap/>
          </w:tcPr>
          <w:p w14:paraId="3361B760" w14:textId="7D6F878A" w:rsidR="00183C35" w:rsidRPr="0012244D" w:rsidRDefault="0012244D" w:rsidP="00174DCA">
            <w:pPr>
              <w:pStyle w:val="Normal-pool"/>
              <w:spacing w:before="40" w:after="40"/>
              <w:jc w:val="right"/>
              <w:rPr>
                <w:b/>
                <w:bCs/>
                <w:sz w:val="18"/>
                <w:szCs w:val="18"/>
                <w:lang w:val="fr-FR"/>
              </w:rPr>
            </w:pPr>
            <w:r>
              <w:rPr>
                <w:b/>
                <w:bCs/>
                <w:sz w:val="18"/>
                <w:szCs w:val="18"/>
                <w:lang w:val="fr-FR"/>
              </w:rPr>
              <w:t>270 </w:t>
            </w:r>
            <w:r w:rsidR="00183C35" w:rsidRPr="0012244D">
              <w:rPr>
                <w:b/>
                <w:bCs/>
                <w:sz w:val="18"/>
                <w:szCs w:val="18"/>
                <w:lang w:val="fr-FR"/>
              </w:rPr>
              <w:t>000</w:t>
            </w:r>
          </w:p>
        </w:tc>
      </w:tr>
    </w:tbl>
    <w:p w14:paraId="5A34962D" w14:textId="77777777" w:rsidR="00BD6E6D" w:rsidRPr="0012244D" w:rsidRDefault="00BD6E6D" w:rsidP="00174DCA">
      <w:pPr>
        <w:pStyle w:val="Normal-pool"/>
        <w:rPr>
          <w:sz w:val="18"/>
          <w:szCs w:val="18"/>
          <w:lang w:val="fr-FR"/>
        </w:rPr>
      </w:pPr>
    </w:p>
    <w:p w14:paraId="74C29BAD" w14:textId="72F5070F" w:rsidR="00BD6E6D" w:rsidRPr="00FC60C1" w:rsidRDefault="00BD6E6D" w:rsidP="00174DCA">
      <w:pPr>
        <w:pStyle w:val="Normal-pool"/>
        <w:rPr>
          <w:lang w:val="fr-FR"/>
        </w:rPr>
      </w:pPr>
      <w:r w:rsidRPr="00FC60C1">
        <w:rPr>
          <w:lang w:val="fr-FR"/>
        </w:rPr>
        <w:br w:type="page"/>
      </w:r>
    </w:p>
    <w:p w14:paraId="60F214A1" w14:textId="10C480BB" w:rsidR="000B269A" w:rsidRPr="00FC60C1" w:rsidRDefault="00A317D9" w:rsidP="00174DCA">
      <w:pPr>
        <w:pStyle w:val="ZZAnxheader"/>
        <w:rPr>
          <w:lang w:val="fr-FR"/>
        </w:rPr>
      </w:pPr>
      <w:bookmarkStart w:id="34" w:name="_Toc24985774"/>
      <w:r>
        <w:rPr>
          <w:lang w:val="fr-FR"/>
        </w:rPr>
        <w:lastRenderedPageBreak/>
        <w:t>Annexe </w:t>
      </w:r>
      <w:r w:rsidR="00863F6A" w:rsidRPr="00FC60C1">
        <w:rPr>
          <w:lang w:val="fr-FR"/>
        </w:rPr>
        <w:t>III</w:t>
      </w:r>
      <w:bookmarkEnd w:id="34"/>
    </w:p>
    <w:p w14:paraId="2A71044E" w14:textId="37D09B09" w:rsidR="00863F6A" w:rsidRPr="00FC60C1" w:rsidRDefault="00863F6A" w:rsidP="00174DCA">
      <w:pPr>
        <w:pStyle w:val="ZZAnxtitle"/>
        <w:rPr>
          <w:lang w:val="fr-FR"/>
        </w:rPr>
      </w:pPr>
      <w:bookmarkStart w:id="35" w:name="_Toc21073450"/>
      <w:r w:rsidRPr="00FC60C1">
        <w:rPr>
          <w:lang w:val="fr-FR"/>
        </w:rPr>
        <w:t>Services administratifs du PNUE à l</w:t>
      </w:r>
      <w:r w:rsidR="002A6A82">
        <w:rPr>
          <w:lang w:val="fr-FR"/>
        </w:rPr>
        <w:t>’</w:t>
      </w:r>
      <w:r w:rsidRPr="00FC60C1">
        <w:rPr>
          <w:lang w:val="fr-FR"/>
        </w:rPr>
        <w:t>appui de la Convention de Minamata</w:t>
      </w:r>
      <w:bookmarkEnd w:id="35"/>
    </w:p>
    <w:p w14:paraId="51EE26C6" w14:textId="6E7554DA" w:rsidR="00863F6A" w:rsidRPr="006716AB" w:rsidRDefault="00B538A9" w:rsidP="00CF135E">
      <w:pPr>
        <w:pStyle w:val="ZZAnxtitle"/>
        <w:numPr>
          <w:ilvl w:val="0"/>
          <w:numId w:val="9"/>
        </w:numPr>
        <w:tabs>
          <w:tab w:val="clear" w:pos="1247"/>
          <w:tab w:val="left" w:pos="1276"/>
        </w:tabs>
        <w:ind w:left="1276" w:hanging="567"/>
        <w:rPr>
          <w:sz w:val="24"/>
          <w:szCs w:val="24"/>
          <w:lang w:val="fr-FR"/>
        </w:rPr>
      </w:pPr>
      <w:r w:rsidRPr="006716AB">
        <w:rPr>
          <w:sz w:val="24"/>
          <w:szCs w:val="24"/>
          <w:lang w:val="fr-FR"/>
        </w:rPr>
        <w:t>Politiques, directives et procédures</w:t>
      </w:r>
    </w:p>
    <w:p w14:paraId="4C303E09" w14:textId="50A087A6" w:rsidR="00863F6A" w:rsidRPr="00FC60C1" w:rsidRDefault="00863F6A" w:rsidP="00CF135E">
      <w:pPr>
        <w:pStyle w:val="Normalnumber"/>
        <w:numPr>
          <w:ilvl w:val="0"/>
          <w:numId w:val="7"/>
        </w:numPr>
        <w:tabs>
          <w:tab w:val="clear" w:pos="597"/>
        </w:tabs>
        <w:ind w:left="1247"/>
        <w:rPr>
          <w:lang w:val="fr-FR"/>
        </w:rPr>
      </w:pPr>
      <w:r w:rsidRPr="00FC60C1">
        <w:rPr>
          <w:lang w:val="fr-FR"/>
        </w:rPr>
        <w:t>Toutes les politiques relatives aux accords administratifs sont régies par les résolutions de l</w:t>
      </w:r>
      <w:r w:rsidR="002A6A82">
        <w:rPr>
          <w:lang w:val="fr-FR"/>
        </w:rPr>
        <w:t>’</w:t>
      </w:r>
      <w:r w:rsidRPr="00FC60C1">
        <w:rPr>
          <w:lang w:val="fr-FR"/>
        </w:rPr>
        <w:t>Assemblée générale des Nations Unies et celles de l</w:t>
      </w:r>
      <w:r w:rsidR="002A6A82">
        <w:rPr>
          <w:lang w:val="fr-FR"/>
        </w:rPr>
        <w:t>’</w:t>
      </w:r>
      <w:r w:rsidRPr="00FC60C1">
        <w:rPr>
          <w:lang w:val="fr-FR"/>
        </w:rPr>
        <w:t>organe directeur du Programme des Nations Unies pour l</w:t>
      </w:r>
      <w:r w:rsidR="002A6A82">
        <w:rPr>
          <w:lang w:val="fr-FR"/>
        </w:rPr>
        <w:t>’</w:t>
      </w:r>
      <w:r w:rsidRPr="00FC60C1">
        <w:rPr>
          <w:lang w:val="fr-FR"/>
        </w:rPr>
        <w:t>environnement. Le Règlement financier et les règles de gestion financière de l</w:t>
      </w:r>
      <w:r w:rsidR="002A6A82">
        <w:rPr>
          <w:lang w:val="fr-FR"/>
        </w:rPr>
        <w:t>’</w:t>
      </w:r>
      <w:r w:rsidRPr="00FC60C1">
        <w:rPr>
          <w:lang w:val="fr-FR"/>
        </w:rPr>
        <w:t>ONU, complétés par les procédures et règles financières des accords multilatéraux sur l</w:t>
      </w:r>
      <w:r w:rsidR="002A6A82">
        <w:rPr>
          <w:lang w:val="fr-FR"/>
        </w:rPr>
        <w:t>’</w:t>
      </w:r>
      <w:r w:rsidRPr="00FC60C1">
        <w:rPr>
          <w:lang w:val="fr-FR"/>
        </w:rPr>
        <w:t>environnement, garantissent que les fonds sont utilisés de manière efficace et rationnelle, conformément aux buts pour lesquels ils sont fournis et dans les limites autorisées et les ressources disponibles. Le Règlement financier et les règles de gestion financière de l</w:t>
      </w:r>
      <w:r w:rsidR="002A6A82">
        <w:rPr>
          <w:lang w:val="fr-FR"/>
        </w:rPr>
        <w:t>’</w:t>
      </w:r>
      <w:r w:rsidRPr="00FC60C1">
        <w:rPr>
          <w:lang w:val="fr-FR"/>
        </w:rPr>
        <w:t>ONU régissent également les achats.</w:t>
      </w:r>
    </w:p>
    <w:p w14:paraId="3DD3C8F0" w14:textId="192FBE0B" w:rsidR="00863F6A" w:rsidRPr="00FC60C1" w:rsidRDefault="004F09E7" w:rsidP="00CF135E">
      <w:pPr>
        <w:pStyle w:val="Normalnumber"/>
        <w:numPr>
          <w:ilvl w:val="0"/>
          <w:numId w:val="7"/>
        </w:numPr>
        <w:ind w:left="1247"/>
        <w:rPr>
          <w:lang w:val="fr-FR"/>
        </w:rPr>
      </w:pPr>
      <w:r w:rsidRPr="00FC60C1">
        <w:rPr>
          <w:lang w:val="fr-FR"/>
        </w:rPr>
        <w:t>Le Statut et le Règlement du personnel de l</w:t>
      </w:r>
      <w:r w:rsidR="002A6A82">
        <w:rPr>
          <w:lang w:val="fr-FR"/>
        </w:rPr>
        <w:t>’</w:t>
      </w:r>
      <w:r w:rsidRPr="00FC60C1">
        <w:rPr>
          <w:lang w:val="fr-FR"/>
        </w:rPr>
        <w:t>ONU régissent le recrutement et la gestion du personnel du PNUE, y compris les différentes catégories de fonctionnaires, les consultants et les vacataires. Les politiques du Secrétariat de l</w:t>
      </w:r>
      <w:r w:rsidR="002A6A82">
        <w:rPr>
          <w:lang w:val="fr-FR"/>
        </w:rPr>
        <w:t>’</w:t>
      </w:r>
      <w:r w:rsidRPr="00FC60C1">
        <w:rPr>
          <w:lang w:val="fr-FR"/>
        </w:rPr>
        <w:t xml:space="preserve">ONU complètent et détaillent la mise en </w:t>
      </w:r>
      <w:r w:rsidR="00FC60C1" w:rsidRPr="00FC60C1">
        <w:rPr>
          <w:lang w:val="fr-FR"/>
        </w:rPr>
        <w:t>œuvre</w:t>
      </w:r>
      <w:r w:rsidRPr="00FC60C1">
        <w:rPr>
          <w:lang w:val="fr-FR"/>
        </w:rPr>
        <w:t xml:space="preserve"> des résolutions et des </w:t>
      </w:r>
      <w:r w:rsidR="00FC60C1" w:rsidRPr="00FC60C1">
        <w:rPr>
          <w:lang w:val="fr-FR"/>
        </w:rPr>
        <w:t>règlements</w:t>
      </w:r>
      <w:r w:rsidRPr="00FC60C1">
        <w:rPr>
          <w:lang w:val="fr-FR"/>
        </w:rPr>
        <w:t>. Elles sont consacrées dans des documents administratifs de l</w:t>
      </w:r>
      <w:r w:rsidR="002A6A82">
        <w:rPr>
          <w:lang w:val="fr-FR"/>
        </w:rPr>
        <w:t>’</w:t>
      </w:r>
      <w:r w:rsidRPr="00FC60C1">
        <w:rPr>
          <w:lang w:val="fr-FR"/>
        </w:rPr>
        <w:t>ONU, par exemple les bulletins du Secrétaire général, les instructions administratives et les circulaires, lesquels peuvent être interprétés et donner naissance à des directives et procédures gouvernant les activités quotidiennes.</w:t>
      </w:r>
    </w:p>
    <w:p w14:paraId="36BB96D6" w14:textId="36D5B7CA" w:rsidR="00863F6A" w:rsidRPr="006716AB" w:rsidRDefault="00B538A9" w:rsidP="00CF135E">
      <w:pPr>
        <w:pStyle w:val="ZZAnxtitle"/>
        <w:numPr>
          <w:ilvl w:val="0"/>
          <w:numId w:val="9"/>
        </w:numPr>
        <w:tabs>
          <w:tab w:val="clear" w:pos="1247"/>
          <w:tab w:val="left" w:pos="1276"/>
        </w:tabs>
        <w:ind w:left="1276" w:hanging="567"/>
        <w:rPr>
          <w:sz w:val="24"/>
          <w:szCs w:val="24"/>
          <w:lang w:val="fr-FR"/>
        </w:rPr>
      </w:pPr>
      <w:r w:rsidRPr="006716AB">
        <w:rPr>
          <w:sz w:val="24"/>
          <w:szCs w:val="24"/>
          <w:lang w:val="fr-FR"/>
        </w:rPr>
        <w:t>Ressources humaines</w:t>
      </w:r>
    </w:p>
    <w:p w14:paraId="05B0D290" w14:textId="77777777" w:rsidR="00863F6A" w:rsidRPr="00FC60C1" w:rsidRDefault="00863F6A" w:rsidP="00CF135E">
      <w:pPr>
        <w:pStyle w:val="Normalnumber"/>
        <w:numPr>
          <w:ilvl w:val="0"/>
          <w:numId w:val="7"/>
        </w:numPr>
        <w:ind w:left="1247"/>
        <w:rPr>
          <w:lang w:val="fr-FR"/>
        </w:rPr>
      </w:pPr>
      <w:r w:rsidRPr="00FC60C1">
        <w:rPr>
          <w:lang w:val="fr-FR"/>
        </w:rPr>
        <w:t>Recrutement, gestion du personnel, formation et gestion de la performance</w:t>
      </w:r>
    </w:p>
    <w:p w14:paraId="6B8AA26C" w14:textId="5C134B2D" w:rsidR="00863F6A" w:rsidRPr="00FC60C1" w:rsidRDefault="00863F6A" w:rsidP="001D0FB8">
      <w:pPr>
        <w:pStyle w:val="Normalnumber"/>
        <w:numPr>
          <w:ilvl w:val="1"/>
          <w:numId w:val="4"/>
        </w:numPr>
        <w:tabs>
          <w:tab w:val="clear" w:pos="1758"/>
        </w:tabs>
        <w:ind w:left="1247" w:firstLine="624"/>
        <w:rPr>
          <w:lang w:val="fr-FR"/>
        </w:rPr>
      </w:pPr>
      <w:r w:rsidRPr="00FC60C1">
        <w:rPr>
          <w:i/>
          <w:iCs/>
          <w:lang w:val="fr-FR"/>
        </w:rPr>
        <w:t>Recrutement et gestion des compétences</w:t>
      </w:r>
      <w:r w:rsidR="00450D9E" w:rsidRPr="00FC60C1">
        <w:rPr>
          <w:i/>
          <w:iCs/>
          <w:lang w:val="fr-FR"/>
        </w:rPr>
        <w:t> :</w:t>
      </w:r>
      <w:r w:rsidRPr="00FC60C1">
        <w:rPr>
          <w:lang w:val="fr-FR"/>
        </w:rPr>
        <w:t xml:space="preserve"> mettre au point des plans de dotation en personnel et exécuter des activités de recrutement connexes, à savoir le classement, la publication d</w:t>
      </w:r>
      <w:r w:rsidR="002A6A82">
        <w:rPr>
          <w:lang w:val="fr-FR"/>
        </w:rPr>
        <w:t>’</w:t>
      </w:r>
      <w:r w:rsidRPr="00FC60C1">
        <w:rPr>
          <w:lang w:val="fr-FR"/>
        </w:rPr>
        <w:t>avis de vacance de poste, les évaluations, le contrôle et la sélection.</w:t>
      </w:r>
    </w:p>
    <w:p w14:paraId="4085E758" w14:textId="78D90496" w:rsidR="00863F6A" w:rsidRPr="00FC60C1" w:rsidRDefault="00863F6A" w:rsidP="001D0FB8">
      <w:pPr>
        <w:pStyle w:val="Normalnumber"/>
        <w:numPr>
          <w:ilvl w:val="1"/>
          <w:numId w:val="4"/>
        </w:numPr>
        <w:tabs>
          <w:tab w:val="clear" w:pos="1758"/>
        </w:tabs>
        <w:ind w:left="1247" w:firstLine="624"/>
        <w:rPr>
          <w:lang w:val="fr-FR"/>
        </w:rPr>
      </w:pPr>
      <w:r w:rsidRPr="00FC60C1">
        <w:rPr>
          <w:i/>
          <w:iCs/>
          <w:lang w:val="fr-FR"/>
        </w:rPr>
        <w:t>Administration du personnel</w:t>
      </w:r>
      <w:r w:rsidR="00450D9E" w:rsidRPr="00FC60C1">
        <w:rPr>
          <w:lang w:val="fr-FR"/>
        </w:rPr>
        <w:t> :</w:t>
      </w:r>
      <w:r w:rsidRPr="00FC60C1">
        <w:rPr>
          <w:lang w:val="fr-FR"/>
        </w:rPr>
        <w:t xml:space="preserve"> exécution des formalités d</w:t>
      </w:r>
      <w:r w:rsidR="002A6A82">
        <w:rPr>
          <w:lang w:val="fr-FR"/>
        </w:rPr>
        <w:t>’</w:t>
      </w:r>
      <w:r w:rsidRPr="00FC60C1">
        <w:rPr>
          <w:lang w:val="fr-FR"/>
        </w:rPr>
        <w:t>entrée en fonctions, gestion des contrats, traitement des droit à prestations et avantages</w:t>
      </w:r>
      <w:r w:rsidR="00450D9E" w:rsidRPr="00FC60C1">
        <w:rPr>
          <w:lang w:val="fr-FR"/>
        </w:rPr>
        <w:t> ;</w:t>
      </w:r>
      <w:r w:rsidRPr="00FC60C1">
        <w:rPr>
          <w:lang w:val="fr-FR"/>
        </w:rPr>
        <w:t xml:space="preserve"> examen et mise à jour de la situation de famille et des relevés de congés</w:t>
      </w:r>
      <w:r w:rsidR="00450D9E" w:rsidRPr="00FC60C1">
        <w:rPr>
          <w:lang w:val="fr-FR"/>
        </w:rPr>
        <w:t> ;</w:t>
      </w:r>
      <w:r w:rsidRPr="00FC60C1">
        <w:rPr>
          <w:lang w:val="fr-FR"/>
        </w:rPr>
        <w:t xml:space="preserve"> mouvements latéraux, cessation d</w:t>
      </w:r>
      <w:r w:rsidR="00450D9E" w:rsidRPr="00FC60C1">
        <w:rPr>
          <w:lang w:val="fr-FR"/>
        </w:rPr>
        <w:t>e service et fonctions connexes ;</w:t>
      </w:r>
      <w:r w:rsidRPr="00FC60C1">
        <w:rPr>
          <w:lang w:val="fr-FR"/>
        </w:rPr>
        <w:t xml:space="preserve"> administrer les prestations dues à la cessation de service et après le départ à la retraite, y compris les cotisations à la Caisse des pensions et le régime d</w:t>
      </w:r>
      <w:r w:rsidR="002A6A82">
        <w:rPr>
          <w:lang w:val="fr-FR"/>
        </w:rPr>
        <w:t>’</w:t>
      </w:r>
      <w:r w:rsidRPr="00FC60C1">
        <w:rPr>
          <w:lang w:val="fr-FR"/>
        </w:rPr>
        <w:t>assurance maladie après la cessation de service.</w:t>
      </w:r>
    </w:p>
    <w:p w14:paraId="6C08FA33" w14:textId="0A4A027F" w:rsidR="00863F6A" w:rsidRPr="00FC60C1" w:rsidRDefault="00863F6A" w:rsidP="001D0FB8">
      <w:pPr>
        <w:pStyle w:val="Normalnumber"/>
        <w:numPr>
          <w:ilvl w:val="1"/>
          <w:numId w:val="4"/>
        </w:numPr>
        <w:tabs>
          <w:tab w:val="clear" w:pos="1758"/>
        </w:tabs>
        <w:ind w:left="1247" w:firstLine="624"/>
        <w:rPr>
          <w:lang w:val="fr-FR"/>
        </w:rPr>
      </w:pPr>
      <w:r w:rsidRPr="00DD66F5">
        <w:rPr>
          <w:i/>
          <w:lang w:val="fr-FR"/>
        </w:rPr>
        <w:t>Perfectionnement du personnel et formation</w:t>
      </w:r>
      <w:r w:rsidR="00450D9E" w:rsidRPr="00FC60C1">
        <w:rPr>
          <w:lang w:val="fr-FR"/>
        </w:rPr>
        <w:t> :</w:t>
      </w:r>
      <w:r w:rsidRPr="00FC60C1">
        <w:rPr>
          <w:lang w:val="fr-FR"/>
        </w:rPr>
        <w:t xml:space="preserve"> formation obligatoire du personnel sur des questions telles que la sécurité, la déontologie et l</w:t>
      </w:r>
      <w:r w:rsidR="002A6A82">
        <w:rPr>
          <w:lang w:val="fr-FR"/>
        </w:rPr>
        <w:t>’</w:t>
      </w:r>
      <w:r w:rsidRPr="00FC60C1">
        <w:rPr>
          <w:lang w:val="fr-FR"/>
        </w:rPr>
        <w:t>intégrité, les techniques d</w:t>
      </w:r>
      <w:r w:rsidR="002A6A82">
        <w:rPr>
          <w:lang w:val="fr-FR"/>
        </w:rPr>
        <w:t>’</w:t>
      </w:r>
      <w:r w:rsidRPr="00FC60C1">
        <w:rPr>
          <w:lang w:val="fr-FR"/>
        </w:rPr>
        <w:t>entretien axé sur les compétences, le Programme de renforcement des capacités de gestion et les fonctions connexes; recensement des besoins en matière de renforcement des capacités afin de permettre la formation continue des fonctionnaires en vue de constituer des effectifs polyvalents et de favoriser l</w:t>
      </w:r>
      <w:r w:rsidR="002A6A82">
        <w:rPr>
          <w:lang w:val="fr-FR"/>
        </w:rPr>
        <w:t>’</w:t>
      </w:r>
      <w:r w:rsidRPr="00FC60C1">
        <w:rPr>
          <w:lang w:val="fr-FR"/>
        </w:rPr>
        <w:t>évolution professionnelle du personnel.</w:t>
      </w:r>
    </w:p>
    <w:p w14:paraId="2F737190" w14:textId="1A6C9769" w:rsidR="00863F6A" w:rsidRPr="00FC60C1" w:rsidRDefault="00863F6A" w:rsidP="001D0FB8">
      <w:pPr>
        <w:pStyle w:val="Normalnumber"/>
        <w:numPr>
          <w:ilvl w:val="1"/>
          <w:numId w:val="4"/>
        </w:numPr>
        <w:tabs>
          <w:tab w:val="clear" w:pos="1758"/>
        </w:tabs>
        <w:ind w:left="1247" w:firstLine="624"/>
        <w:rPr>
          <w:lang w:val="fr-FR"/>
        </w:rPr>
      </w:pPr>
      <w:r w:rsidRPr="00FC60C1">
        <w:rPr>
          <w:i/>
          <w:iCs/>
          <w:lang w:val="fr-FR"/>
        </w:rPr>
        <w:t>Gestion de la performance</w:t>
      </w:r>
      <w:r w:rsidR="00450D9E" w:rsidRPr="00FC60C1">
        <w:rPr>
          <w:lang w:val="fr-FR"/>
        </w:rPr>
        <w:t> :</w:t>
      </w:r>
      <w:r w:rsidRPr="00FC60C1">
        <w:rPr>
          <w:lang w:val="fr-FR"/>
        </w:rPr>
        <w:t xml:space="preserve"> assurer et contrôler le respect des politiques, processus et outils de gestion de la performance (Inspira) afin de récompenser, distinguer et retenir les fonctionnaires et s</w:t>
      </w:r>
      <w:r w:rsidR="002A6A82">
        <w:rPr>
          <w:lang w:val="fr-FR"/>
        </w:rPr>
        <w:t>’</w:t>
      </w:r>
      <w:r w:rsidRPr="00FC60C1">
        <w:rPr>
          <w:lang w:val="fr-FR"/>
        </w:rPr>
        <w:t>attaquer aux problèmes de performance</w:t>
      </w:r>
      <w:r w:rsidR="00450D9E" w:rsidRPr="00FC60C1">
        <w:rPr>
          <w:lang w:val="fr-FR"/>
        </w:rPr>
        <w:t> ;</w:t>
      </w:r>
      <w:r w:rsidRPr="00FC60C1">
        <w:rPr>
          <w:lang w:val="fr-FR"/>
        </w:rPr>
        <w:t xml:space="preserve"> suivre les orientations dans le cadre des procédures d</w:t>
      </w:r>
      <w:r w:rsidR="002A6A82">
        <w:rPr>
          <w:lang w:val="fr-FR"/>
        </w:rPr>
        <w:t>’</w:t>
      </w:r>
      <w:r w:rsidRPr="00FC60C1">
        <w:rPr>
          <w:lang w:val="fr-FR"/>
        </w:rPr>
        <w:t>objection et mener des séances de formation sur la rédaction des plans de travail et les évaluations de la performance</w:t>
      </w:r>
      <w:r w:rsidR="00450D9E" w:rsidRPr="00FC60C1">
        <w:rPr>
          <w:lang w:val="fr-FR"/>
        </w:rPr>
        <w:t> ;</w:t>
      </w:r>
      <w:r w:rsidRPr="00FC60C1">
        <w:rPr>
          <w:lang w:val="fr-FR"/>
        </w:rPr>
        <w:t xml:space="preserve"> gérer le dispositif de transparence financière.</w:t>
      </w:r>
    </w:p>
    <w:p w14:paraId="114CDB32" w14:textId="1B67BCA4" w:rsidR="00863F6A" w:rsidRPr="006716AB" w:rsidRDefault="00B538A9" w:rsidP="00CF135E">
      <w:pPr>
        <w:pStyle w:val="ZZAnxtitle"/>
        <w:numPr>
          <w:ilvl w:val="0"/>
          <w:numId w:val="9"/>
        </w:numPr>
        <w:tabs>
          <w:tab w:val="clear" w:pos="1247"/>
          <w:tab w:val="left" w:pos="1276"/>
        </w:tabs>
        <w:ind w:left="1276" w:hanging="567"/>
        <w:rPr>
          <w:sz w:val="24"/>
          <w:szCs w:val="24"/>
          <w:lang w:val="fr-FR"/>
        </w:rPr>
      </w:pPr>
      <w:r w:rsidRPr="006716AB">
        <w:rPr>
          <w:sz w:val="24"/>
          <w:szCs w:val="24"/>
          <w:lang w:val="fr-FR"/>
        </w:rPr>
        <w:t>Finances</w:t>
      </w:r>
    </w:p>
    <w:p w14:paraId="2ACAAE1A" w14:textId="798795EC" w:rsidR="00863F6A" w:rsidRPr="00FC60C1" w:rsidRDefault="00DD66F5" w:rsidP="00CF135E">
      <w:pPr>
        <w:pStyle w:val="Normalnumber"/>
        <w:numPr>
          <w:ilvl w:val="0"/>
          <w:numId w:val="7"/>
        </w:numPr>
        <w:ind w:left="1247"/>
        <w:rPr>
          <w:lang w:val="fr-FR"/>
        </w:rPr>
      </w:pPr>
      <w:r w:rsidRPr="00DD66F5">
        <w:rPr>
          <w:i/>
          <w:lang w:val="fr-FR"/>
        </w:rPr>
        <w:t>É</w:t>
      </w:r>
      <w:r w:rsidR="00863F6A" w:rsidRPr="00DD66F5">
        <w:rPr>
          <w:i/>
          <w:lang w:val="fr-FR"/>
        </w:rPr>
        <w:t>tablissement du budget/gestion des fonds</w:t>
      </w:r>
      <w:r w:rsidR="00450D9E" w:rsidRPr="00FC60C1">
        <w:rPr>
          <w:lang w:val="fr-FR"/>
        </w:rPr>
        <w:t> :</w:t>
      </w:r>
      <w:r w:rsidR="00863F6A" w:rsidRPr="00FC60C1">
        <w:rPr>
          <w:lang w:val="fr-FR"/>
        </w:rPr>
        <w:t xml:space="preserve"> examen des documents budgétaire</w:t>
      </w:r>
      <w:r w:rsidR="00450D9E" w:rsidRPr="00FC60C1">
        <w:rPr>
          <w:lang w:val="fr-FR"/>
        </w:rPr>
        <w:t>s</w:t>
      </w:r>
      <w:r w:rsidR="00C45064">
        <w:rPr>
          <w:lang w:val="fr-FR"/>
        </w:rPr>
        <w:t xml:space="preserve"> soumis aux </w:t>
      </w:r>
      <w:r w:rsidR="00450D9E" w:rsidRPr="00FC60C1">
        <w:rPr>
          <w:lang w:val="fr-FR"/>
        </w:rPr>
        <w:t>organes directeurs ;</w:t>
      </w:r>
      <w:r w:rsidR="00863F6A" w:rsidRPr="00FC60C1">
        <w:rPr>
          <w:lang w:val="fr-FR"/>
        </w:rPr>
        <w:t xml:space="preserve"> donner des conseils au personnel, à la direction et aux organes directeurs concernant l</w:t>
      </w:r>
      <w:r w:rsidR="002A6A82">
        <w:rPr>
          <w:lang w:val="fr-FR"/>
        </w:rPr>
        <w:t>’</w:t>
      </w:r>
      <w:r w:rsidR="00863F6A" w:rsidRPr="00FC60C1">
        <w:rPr>
          <w:lang w:val="fr-FR"/>
        </w:rPr>
        <w:t>utilisation des ressources financières</w:t>
      </w:r>
      <w:r w:rsidR="00450D9E" w:rsidRPr="00FC60C1">
        <w:rPr>
          <w:lang w:val="fr-FR"/>
        </w:rPr>
        <w:t> ;</w:t>
      </w:r>
      <w:r w:rsidR="00863F6A" w:rsidRPr="00FC60C1">
        <w:rPr>
          <w:lang w:val="fr-FR"/>
        </w:rPr>
        <w:t xml:space="preserve"> créer, gérer et </w:t>
      </w:r>
      <w:r w:rsidR="00AC326A" w:rsidRPr="00FC60C1">
        <w:rPr>
          <w:lang w:val="fr-FR"/>
        </w:rPr>
        <w:t>clôturer</w:t>
      </w:r>
      <w:r w:rsidR="00863F6A" w:rsidRPr="00FC60C1">
        <w:rPr>
          <w:lang w:val="fr-FR"/>
        </w:rPr>
        <w:t xml:space="preserve"> des fonds d</w:t>
      </w:r>
      <w:r w:rsidR="002A6A82">
        <w:rPr>
          <w:lang w:val="fr-FR"/>
        </w:rPr>
        <w:t>’</w:t>
      </w:r>
      <w:r w:rsidR="00863F6A" w:rsidRPr="00FC60C1">
        <w:rPr>
          <w:lang w:val="fr-FR"/>
        </w:rPr>
        <w:t>affectation spéciale.</w:t>
      </w:r>
    </w:p>
    <w:p w14:paraId="78BE3318" w14:textId="751B0295" w:rsidR="00863F6A" w:rsidRPr="00FC60C1" w:rsidRDefault="00863F6A" w:rsidP="00CF135E">
      <w:pPr>
        <w:pStyle w:val="Normalnumber"/>
        <w:numPr>
          <w:ilvl w:val="0"/>
          <w:numId w:val="7"/>
        </w:numPr>
        <w:ind w:left="1247"/>
        <w:rPr>
          <w:lang w:val="fr-FR"/>
        </w:rPr>
      </w:pPr>
      <w:r w:rsidRPr="00FC60C1">
        <w:rPr>
          <w:i/>
          <w:iCs/>
          <w:lang w:val="fr-FR"/>
        </w:rPr>
        <w:t>Comptabilité générale/états financiers</w:t>
      </w:r>
      <w:r w:rsidR="00450D9E" w:rsidRPr="00FC60C1">
        <w:rPr>
          <w:lang w:val="fr-FR"/>
        </w:rPr>
        <w:t> :</w:t>
      </w:r>
      <w:r w:rsidRPr="00FC60C1">
        <w:rPr>
          <w:lang w:val="fr-FR"/>
        </w:rPr>
        <w:t xml:space="preserve"> signer les états financiers consolidés (Directeur ex</w:t>
      </w:r>
      <w:bookmarkStart w:id="36" w:name="_GoBack"/>
      <w:bookmarkEnd w:id="36"/>
      <w:r w:rsidRPr="00FC60C1">
        <w:rPr>
          <w:lang w:val="fr-FR"/>
        </w:rPr>
        <w:t>écutif du PNUE)</w:t>
      </w:r>
      <w:r w:rsidR="00450D9E" w:rsidRPr="00FC60C1">
        <w:rPr>
          <w:lang w:val="fr-FR"/>
        </w:rPr>
        <w:t> ;</w:t>
      </w:r>
      <w:r w:rsidRPr="00FC60C1">
        <w:rPr>
          <w:lang w:val="fr-FR"/>
        </w:rPr>
        <w:t xml:space="preserve"> signer les relevés des états financiers consolidés (fonctionnaires de l</w:t>
      </w:r>
      <w:r w:rsidR="002A6A82">
        <w:rPr>
          <w:lang w:val="fr-FR"/>
        </w:rPr>
        <w:t>’</w:t>
      </w:r>
      <w:r w:rsidRPr="00FC60C1">
        <w:rPr>
          <w:lang w:val="fr-FR"/>
        </w:rPr>
        <w:t>Office des Nations Unies à Nairobi)</w:t>
      </w:r>
      <w:r w:rsidR="00450D9E" w:rsidRPr="00FC60C1">
        <w:rPr>
          <w:lang w:val="fr-FR"/>
        </w:rPr>
        <w:t> ;</w:t>
      </w:r>
      <w:r w:rsidRPr="00FC60C1">
        <w:rPr>
          <w:lang w:val="fr-FR"/>
        </w:rPr>
        <w:t xml:space="preserve"> gestion des comptes et établissement des états financiers, y compris le compte d</w:t>
      </w:r>
      <w:r w:rsidR="002A6A82">
        <w:rPr>
          <w:lang w:val="fr-FR"/>
        </w:rPr>
        <w:t>’</w:t>
      </w:r>
      <w:r w:rsidRPr="00FC60C1">
        <w:rPr>
          <w:lang w:val="fr-FR"/>
        </w:rPr>
        <w:t>appui aux programmes</w:t>
      </w:r>
      <w:r w:rsidR="00C45064">
        <w:rPr>
          <w:lang w:val="fr-FR"/>
        </w:rPr>
        <w:t> </w:t>
      </w:r>
      <w:r w:rsidRPr="00FC60C1">
        <w:rPr>
          <w:lang w:val="fr-FR"/>
        </w:rPr>
        <w:t>; effectuer les écritures et ajustements comptables, y compris le remboursement des donateurs</w:t>
      </w:r>
      <w:r w:rsidR="00C45064">
        <w:rPr>
          <w:lang w:val="fr-FR"/>
        </w:rPr>
        <w:t> </w:t>
      </w:r>
      <w:r w:rsidRPr="00FC60C1">
        <w:rPr>
          <w:lang w:val="fr-FR"/>
        </w:rPr>
        <w:t>; procéder à la régularisation de fin d</w:t>
      </w:r>
      <w:r w:rsidR="002A6A82">
        <w:rPr>
          <w:lang w:val="fr-FR"/>
        </w:rPr>
        <w:t>’</w:t>
      </w:r>
      <w:r w:rsidRPr="00FC60C1">
        <w:rPr>
          <w:lang w:val="fr-FR"/>
        </w:rPr>
        <w:t>exercice</w:t>
      </w:r>
      <w:r w:rsidR="00C45064">
        <w:rPr>
          <w:lang w:val="fr-FR"/>
        </w:rPr>
        <w:t> </w:t>
      </w:r>
      <w:r w:rsidRPr="00FC60C1">
        <w:rPr>
          <w:lang w:val="fr-FR"/>
        </w:rPr>
        <w:t>; établir les rapports prescrits et faciliter l</w:t>
      </w:r>
      <w:r w:rsidR="002A6A82">
        <w:rPr>
          <w:lang w:val="fr-FR"/>
        </w:rPr>
        <w:t>’</w:t>
      </w:r>
      <w:r w:rsidRPr="00FC60C1">
        <w:rPr>
          <w:lang w:val="fr-FR"/>
        </w:rPr>
        <w:t>audit externe annuel.</w:t>
      </w:r>
    </w:p>
    <w:p w14:paraId="2DEC853D" w14:textId="5320B44A" w:rsidR="00863F6A" w:rsidRPr="00FC60C1" w:rsidRDefault="00863F6A" w:rsidP="00CF135E">
      <w:pPr>
        <w:pStyle w:val="Normalnumber"/>
        <w:numPr>
          <w:ilvl w:val="0"/>
          <w:numId w:val="7"/>
        </w:numPr>
        <w:ind w:left="1247"/>
        <w:rPr>
          <w:lang w:val="fr-FR"/>
        </w:rPr>
      </w:pPr>
      <w:r w:rsidRPr="00DD66F5">
        <w:rPr>
          <w:i/>
          <w:lang w:val="fr-FR"/>
        </w:rPr>
        <w:lastRenderedPageBreak/>
        <w:t>Paiements/dépenses</w:t>
      </w:r>
      <w:r w:rsidR="00450D9E" w:rsidRPr="00FC60C1">
        <w:rPr>
          <w:lang w:val="fr-FR"/>
        </w:rPr>
        <w:t> :</w:t>
      </w:r>
      <w:r w:rsidRPr="00FC60C1">
        <w:rPr>
          <w:lang w:val="fr-FR"/>
        </w:rPr>
        <w:t xml:space="preserve"> procéder au paiement des partenaires d</w:t>
      </w:r>
      <w:r w:rsidR="002A6A82">
        <w:rPr>
          <w:lang w:val="fr-FR"/>
        </w:rPr>
        <w:t>’</w:t>
      </w:r>
      <w:r w:rsidRPr="00FC60C1">
        <w:rPr>
          <w:lang w:val="fr-FR"/>
        </w:rPr>
        <w:t>exécution, des consultants, des fournisseurs et des participants aux réunions</w:t>
      </w:r>
      <w:r w:rsidR="00450D9E" w:rsidRPr="00FC60C1">
        <w:rPr>
          <w:lang w:val="fr-FR"/>
        </w:rPr>
        <w:t> ;</w:t>
      </w:r>
      <w:r w:rsidRPr="00FC60C1">
        <w:rPr>
          <w:lang w:val="fr-FR"/>
        </w:rPr>
        <w:t xml:space="preserve"> contrôler les paiements anticipés et inscrire les dépenses extraites des rapports financiers reçus des partenaires d</w:t>
      </w:r>
      <w:r w:rsidR="002A6A82">
        <w:rPr>
          <w:lang w:val="fr-FR"/>
        </w:rPr>
        <w:t>’</w:t>
      </w:r>
      <w:r w:rsidRPr="00FC60C1">
        <w:rPr>
          <w:lang w:val="fr-FR"/>
        </w:rPr>
        <w:t>exécution.</w:t>
      </w:r>
    </w:p>
    <w:p w14:paraId="198A53E1" w14:textId="3C54506B" w:rsidR="00863F6A" w:rsidRPr="00FC60C1" w:rsidRDefault="00863F6A" w:rsidP="00CF135E">
      <w:pPr>
        <w:pStyle w:val="Normalnumber"/>
        <w:numPr>
          <w:ilvl w:val="0"/>
          <w:numId w:val="7"/>
        </w:numPr>
        <w:ind w:left="1247"/>
        <w:rPr>
          <w:lang w:val="fr-FR"/>
        </w:rPr>
      </w:pPr>
      <w:r w:rsidRPr="00FC60C1">
        <w:rPr>
          <w:i/>
          <w:iCs/>
          <w:lang w:val="fr-FR"/>
        </w:rPr>
        <w:t>Paie</w:t>
      </w:r>
      <w:r w:rsidR="00450D9E" w:rsidRPr="00FC60C1">
        <w:rPr>
          <w:lang w:val="fr-FR"/>
        </w:rPr>
        <w:t> :</w:t>
      </w:r>
      <w:r w:rsidRPr="00FC60C1">
        <w:rPr>
          <w:lang w:val="fr-FR"/>
        </w:rPr>
        <w:t xml:space="preserve"> payer les salaires, les prestations et les avances et gérer les comptes correspondants</w:t>
      </w:r>
      <w:r w:rsidR="00450D9E" w:rsidRPr="00FC60C1">
        <w:rPr>
          <w:lang w:val="fr-FR"/>
        </w:rPr>
        <w:t> ;</w:t>
      </w:r>
    </w:p>
    <w:p w14:paraId="79D86C96" w14:textId="5B71BE6C" w:rsidR="00863F6A" w:rsidRPr="00FC60C1" w:rsidRDefault="00863F6A" w:rsidP="00CF135E">
      <w:pPr>
        <w:pStyle w:val="Normalnumber"/>
        <w:numPr>
          <w:ilvl w:val="0"/>
          <w:numId w:val="7"/>
        </w:numPr>
        <w:ind w:left="1247"/>
        <w:rPr>
          <w:lang w:val="fr-FR"/>
        </w:rPr>
      </w:pPr>
      <w:r w:rsidRPr="00FC60C1">
        <w:rPr>
          <w:i/>
          <w:iCs/>
          <w:lang w:val="fr-FR"/>
        </w:rPr>
        <w:t>Contributions/gestion de la trésorerie</w:t>
      </w:r>
      <w:r w:rsidR="00450D9E" w:rsidRPr="00FC60C1">
        <w:rPr>
          <w:lang w:val="fr-FR"/>
        </w:rPr>
        <w:t> :</w:t>
      </w:r>
      <w:r w:rsidRPr="00FC60C1">
        <w:rPr>
          <w:lang w:val="fr-FR"/>
        </w:rPr>
        <w:t xml:space="preserve"> accepter les contributions des Parties (Directeur exécutif du PNUE)</w:t>
      </w:r>
      <w:r w:rsidR="00450D9E" w:rsidRPr="00FC60C1">
        <w:rPr>
          <w:lang w:val="fr-FR"/>
        </w:rPr>
        <w:t> ;</w:t>
      </w:r>
      <w:r w:rsidRPr="00FC60C1">
        <w:rPr>
          <w:lang w:val="fr-FR"/>
        </w:rPr>
        <w:t xml:space="preserve"> délivrer des factures aux Parties</w:t>
      </w:r>
      <w:r w:rsidR="00450D9E" w:rsidRPr="00FC60C1">
        <w:rPr>
          <w:lang w:val="fr-FR"/>
        </w:rPr>
        <w:t> ;</w:t>
      </w:r>
      <w:r w:rsidRPr="00FC60C1">
        <w:rPr>
          <w:lang w:val="fr-FR"/>
        </w:rPr>
        <w:t xml:space="preserve"> enregistrer et contrôler les contributions à recevoir, traiter les contributions dès réception des paiements</w:t>
      </w:r>
      <w:r w:rsidR="00450D9E" w:rsidRPr="00FC60C1">
        <w:rPr>
          <w:lang w:val="fr-FR"/>
        </w:rPr>
        <w:t> ;</w:t>
      </w:r>
      <w:r w:rsidRPr="00FC60C1">
        <w:rPr>
          <w:lang w:val="fr-FR"/>
        </w:rPr>
        <w:t xml:space="preserve"> rapprocher les comptes de dépôt.</w:t>
      </w:r>
    </w:p>
    <w:p w14:paraId="429BB34E" w14:textId="2862E31B" w:rsidR="00863F6A" w:rsidRPr="00FC60C1" w:rsidRDefault="00863F6A" w:rsidP="00CF135E">
      <w:pPr>
        <w:pStyle w:val="Normalnumber"/>
        <w:numPr>
          <w:ilvl w:val="0"/>
          <w:numId w:val="7"/>
        </w:numPr>
        <w:ind w:left="1247"/>
        <w:rPr>
          <w:lang w:val="fr-FR"/>
        </w:rPr>
      </w:pPr>
      <w:r w:rsidRPr="00FC60C1">
        <w:rPr>
          <w:i/>
          <w:iCs/>
          <w:lang w:val="fr-FR"/>
        </w:rPr>
        <w:t>Fonctions de trésorerie</w:t>
      </w:r>
      <w:r w:rsidR="00450D9E" w:rsidRPr="00FC60C1">
        <w:rPr>
          <w:lang w:val="fr-FR"/>
        </w:rPr>
        <w:t> :</w:t>
      </w:r>
      <w:r w:rsidRPr="00FC60C1">
        <w:rPr>
          <w:lang w:val="fr-FR"/>
        </w:rPr>
        <w:t xml:space="preserve"> recevoir et décaisser des fonds</w:t>
      </w:r>
      <w:r w:rsidR="00450D9E" w:rsidRPr="00FC60C1">
        <w:rPr>
          <w:lang w:val="fr-FR"/>
        </w:rPr>
        <w:t> ;</w:t>
      </w:r>
      <w:r w:rsidRPr="00FC60C1">
        <w:rPr>
          <w:lang w:val="fr-FR"/>
        </w:rPr>
        <w:t xml:space="preserve"> assurer la gestion de la banque attitrée et effectuer les rapprochements bancaires</w:t>
      </w:r>
      <w:r w:rsidR="00450D9E" w:rsidRPr="00FC60C1">
        <w:rPr>
          <w:lang w:val="fr-FR"/>
        </w:rPr>
        <w:t> ;</w:t>
      </w:r>
      <w:r w:rsidRPr="00FC60C1">
        <w:rPr>
          <w:lang w:val="fr-FR"/>
        </w:rPr>
        <w:t xml:space="preserve"> tenir à jour les coordonnées bancaires du personnel, des fournisseurs, des partenaires d</w:t>
      </w:r>
      <w:r w:rsidR="002A6A82">
        <w:rPr>
          <w:lang w:val="fr-FR"/>
        </w:rPr>
        <w:t>’</w:t>
      </w:r>
      <w:r w:rsidRPr="00FC60C1">
        <w:rPr>
          <w:lang w:val="fr-FR"/>
        </w:rPr>
        <w:t>exécution et des consultants</w:t>
      </w:r>
      <w:r w:rsidR="00450D9E" w:rsidRPr="00FC60C1">
        <w:rPr>
          <w:lang w:val="fr-FR"/>
        </w:rPr>
        <w:t> ;</w:t>
      </w:r>
      <w:r w:rsidRPr="00FC60C1">
        <w:rPr>
          <w:lang w:val="fr-FR"/>
        </w:rPr>
        <w:t xml:space="preserve"> investir des fonds du PNUE dans les produits appropriés (trésorerie au Siège de l</w:t>
      </w:r>
      <w:r w:rsidR="002A6A82">
        <w:rPr>
          <w:lang w:val="fr-FR"/>
        </w:rPr>
        <w:t>’</w:t>
      </w:r>
      <w:r w:rsidRPr="00FC60C1">
        <w:rPr>
          <w:lang w:val="fr-FR"/>
        </w:rPr>
        <w:t>ONU).</w:t>
      </w:r>
    </w:p>
    <w:p w14:paraId="5E0FD983" w14:textId="4ED13E91" w:rsidR="00863F6A" w:rsidRPr="006716AB" w:rsidRDefault="00B538A9" w:rsidP="00CF135E">
      <w:pPr>
        <w:pStyle w:val="ZZAnxtitle"/>
        <w:numPr>
          <w:ilvl w:val="0"/>
          <w:numId w:val="9"/>
        </w:numPr>
        <w:tabs>
          <w:tab w:val="clear" w:pos="1247"/>
          <w:tab w:val="left" w:pos="1276"/>
        </w:tabs>
        <w:ind w:left="1276" w:hanging="567"/>
        <w:rPr>
          <w:sz w:val="24"/>
          <w:szCs w:val="24"/>
          <w:lang w:val="fr-FR"/>
        </w:rPr>
      </w:pPr>
      <w:r w:rsidRPr="006716AB">
        <w:rPr>
          <w:sz w:val="24"/>
          <w:szCs w:val="24"/>
          <w:lang w:val="fr-FR"/>
        </w:rPr>
        <w:t>Contrôle</w:t>
      </w:r>
    </w:p>
    <w:p w14:paraId="3EB827C7" w14:textId="1D0EA352" w:rsidR="00863F6A" w:rsidRPr="00FC60C1" w:rsidRDefault="00863F6A" w:rsidP="00CF135E">
      <w:pPr>
        <w:pStyle w:val="Normalnumber"/>
        <w:numPr>
          <w:ilvl w:val="0"/>
          <w:numId w:val="7"/>
        </w:numPr>
        <w:ind w:left="1247"/>
        <w:rPr>
          <w:lang w:val="fr-FR"/>
        </w:rPr>
      </w:pPr>
      <w:r w:rsidRPr="00FC60C1">
        <w:rPr>
          <w:lang w:val="fr-FR"/>
        </w:rPr>
        <w:t>Coordonner les audits internes, les enquêtes et les inspections et audits externes</w:t>
      </w:r>
      <w:r w:rsidR="00450D9E" w:rsidRPr="00FC60C1">
        <w:rPr>
          <w:lang w:val="fr-FR"/>
        </w:rPr>
        <w:t>.</w:t>
      </w:r>
    </w:p>
    <w:p w14:paraId="1A87B005" w14:textId="079C0CC4" w:rsidR="00863F6A" w:rsidRPr="00FC60C1" w:rsidRDefault="00863F6A" w:rsidP="00CF135E">
      <w:pPr>
        <w:pStyle w:val="Normalnumber"/>
        <w:numPr>
          <w:ilvl w:val="0"/>
          <w:numId w:val="7"/>
        </w:numPr>
        <w:ind w:left="1247"/>
        <w:rPr>
          <w:lang w:val="fr-FR"/>
        </w:rPr>
      </w:pPr>
      <w:r w:rsidRPr="00FC60C1">
        <w:rPr>
          <w:lang w:val="fr-FR"/>
        </w:rPr>
        <w:t>Coordonner les audits, les inspections et les évaluations entrepris par le Bureau des services de contrôle interne.</w:t>
      </w:r>
    </w:p>
    <w:p w14:paraId="5A651D17" w14:textId="5042D59A" w:rsidR="00863F6A" w:rsidRPr="00C45064" w:rsidRDefault="00B538A9" w:rsidP="00CF135E">
      <w:pPr>
        <w:pStyle w:val="ZZAnxtitle"/>
        <w:numPr>
          <w:ilvl w:val="0"/>
          <w:numId w:val="9"/>
        </w:numPr>
        <w:tabs>
          <w:tab w:val="clear" w:pos="1247"/>
          <w:tab w:val="left" w:pos="1276"/>
        </w:tabs>
        <w:ind w:left="1276" w:hanging="567"/>
        <w:rPr>
          <w:sz w:val="24"/>
          <w:szCs w:val="24"/>
          <w:lang w:val="fr-FR"/>
        </w:rPr>
      </w:pPr>
      <w:r w:rsidRPr="00C45064">
        <w:rPr>
          <w:sz w:val="24"/>
          <w:szCs w:val="24"/>
          <w:lang w:val="fr-FR"/>
        </w:rPr>
        <w:t>Juridique</w:t>
      </w:r>
    </w:p>
    <w:p w14:paraId="1FC3DD70" w14:textId="47781CBF" w:rsidR="00863F6A" w:rsidRPr="00FC60C1" w:rsidRDefault="00863F6A" w:rsidP="00CF135E">
      <w:pPr>
        <w:pStyle w:val="Normalnumber"/>
        <w:numPr>
          <w:ilvl w:val="0"/>
          <w:numId w:val="7"/>
        </w:numPr>
        <w:ind w:left="1247"/>
        <w:rPr>
          <w:lang w:val="fr-FR"/>
        </w:rPr>
      </w:pPr>
      <w:r w:rsidRPr="00FC60C1">
        <w:rPr>
          <w:lang w:val="fr-FR"/>
        </w:rPr>
        <w:t>Conseils, avis et représentation juridiques par l</w:t>
      </w:r>
      <w:r w:rsidR="002A6A82">
        <w:rPr>
          <w:lang w:val="fr-FR"/>
        </w:rPr>
        <w:t>’</w:t>
      </w:r>
      <w:r w:rsidRPr="00FC60C1">
        <w:rPr>
          <w:lang w:val="fr-FR"/>
        </w:rPr>
        <w:t>intermédiaire d</w:t>
      </w:r>
      <w:r w:rsidR="00CD5014">
        <w:rPr>
          <w:lang w:val="fr-FR"/>
        </w:rPr>
        <w:t>u système de justice interne, y </w:t>
      </w:r>
      <w:r w:rsidRPr="00FC60C1">
        <w:rPr>
          <w:lang w:val="fr-FR"/>
        </w:rPr>
        <w:t>compris les services consultatifs et la représentation</w:t>
      </w:r>
      <w:r w:rsidR="00450D9E" w:rsidRPr="00FC60C1">
        <w:rPr>
          <w:lang w:val="fr-FR"/>
        </w:rPr>
        <w:t> ;</w:t>
      </w:r>
      <w:r w:rsidRPr="00FC60C1">
        <w:rPr>
          <w:lang w:val="fr-FR"/>
        </w:rPr>
        <w:t xml:space="preserve"> conseil juridique et appui institutionnels</w:t>
      </w:r>
      <w:r w:rsidR="00450D9E" w:rsidRPr="00FC60C1">
        <w:rPr>
          <w:lang w:val="fr-FR"/>
        </w:rPr>
        <w:t> ;</w:t>
      </w:r>
      <w:r w:rsidRPr="00FC60C1">
        <w:rPr>
          <w:lang w:val="fr-FR"/>
        </w:rPr>
        <w:t xml:space="preserve"> Représentation de l</w:t>
      </w:r>
      <w:r w:rsidR="002A6A82">
        <w:rPr>
          <w:lang w:val="fr-FR"/>
        </w:rPr>
        <w:t>’</w:t>
      </w:r>
      <w:r w:rsidRPr="00FC60C1">
        <w:rPr>
          <w:lang w:val="fr-FR"/>
        </w:rPr>
        <w:t>Organisation devant le Groupe du contrôle hiérarchique s</w:t>
      </w:r>
      <w:r w:rsidR="002A6A82">
        <w:rPr>
          <w:lang w:val="fr-FR"/>
        </w:rPr>
        <w:t>’</w:t>
      </w:r>
      <w:r w:rsidRPr="00FC60C1">
        <w:rPr>
          <w:lang w:val="fr-FR"/>
        </w:rPr>
        <w:t>agissant des demandes déposées par des fonctionnaires.</w:t>
      </w:r>
    </w:p>
    <w:p w14:paraId="482A73FE" w14:textId="420E8AC4" w:rsidR="00863F6A" w:rsidRPr="00FC60C1" w:rsidRDefault="00863F6A" w:rsidP="00CF135E">
      <w:pPr>
        <w:pStyle w:val="Normalnumber"/>
        <w:numPr>
          <w:ilvl w:val="0"/>
          <w:numId w:val="7"/>
        </w:numPr>
        <w:ind w:left="1247"/>
        <w:rPr>
          <w:lang w:val="fr-FR"/>
        </w:rPr>
      </w:pPr>
      <w:r w:rsidRPr="00FC60C1">
        <w:rPr>
          <w:lang w:val="fr-FR"/>
        </w:rPr>
        <w:t>Représentation de l</w:t>
      </w:r>
      <w:r w:rsidR="002A6A82">
        <w:rPr>
          <w:lang w:val="fr-FR"/>
        </w:rPr>
        <w:t>’</w:t>
      </w:r>
      <w:r w:rsidRPr="00FC60C1">
        <w:rPr>
          <w:lang w:val="fr-FR"/>
        </w:rPr>
        <w:t>Organisation devant le Tribunal du contentieux administratif et fourniture d</w:t>
      </w:r>
      <w:r w:rsidR="002A6A82">
        <w:rPr>
          <w:lang w:val="fr-FR"/>
        </w:rPr>
        <w:t>’</w:t>
      </w:r>
      <w:r w:rsidRPr="00FC60C1">
        <w:rPr>
          <w:lang w:val="fr-FR"/>
        </w:rPr>
        <w:t>un appui au Bureau des affaires juridiques s</w:t>
      </w:r>
      <w:r w:rsidR="002A6A82">
        <w:rPr>
          <w:lang w:val="fr-FR"/>
        </w:rPr>
        <w:t>’</w:t>
      </w:r>
      <w:r w:rsidRPr="00FC60C1">
        <w:rPr>
          <w:lang w:val="fr-FR"/>
        </w:rPr>
        <w:t>agissant des appels déposés auprès du Trib</w:t>
      </w:r>
      <w:r w:rsidR="00450D9E" w:rsidRPr="00FC60C1">
        <w:rPr>
          <w:lang w:val="fr-FR"/>
        </w:rPr>
        <w:t>unal d</w:t>
      </w:r>
      <w:r w:rsidR="002A6A82">
        <w:rPr>
          <w:lang w:val="fr-FR"/>
        </w:rPr>
        <w:t>’</w:t>
      </w:r>
      <w:r w:rsidR="00450D9E" w:rsidRPr="00FC60C1">
        <w:rPr>
          <w:lang w:val="fr-FR"/>
        </w:rPr>
        <w:t>appel des Nations Unies.</w:t>
      </w:r>
    </w:p>
    <w:p w14:paraId="57BE4042" w14:textId="4AE000EC" w:rsidR="00863F6A" w:rsidRPr="00FC60C1" w:rsidRDefault="00863F6A" w:rsidP="00CF135E">
      <w:pPr>
        <w:pStyle w:val="Normalnumber"/>
        <w:numPr>
          <w:ilvl w:val="0"/>
          <w:numId w:val="7"/>
        </w:numPr>
        <w:ind w:left="1247"/>
        <w:rPr>
          <w:lang w:val="fr-FR"/>
        </w:rPr>
      </w:pPr>
      <w:r w:rsidRPr="00FC60C1">
        <w:rPr>
          <w:lang w:val="fr-FR"/>
        </w:rPr>
        <w:t>Négociation aux fins du règlements des demandes</w:t>
      </w:r>
      <w:r w:rsidR="00450D9E" w:rsidRPr="00FC60C1">
        <w:rPr>
          <w:lang w:val="fr-FR"/>
        </w:rPr>
        <w:t> ;</w:t>
      </w:r>
      <w:r w:rsidRPr="00FC60C1">
        <w:rPr>
          <w:lang w:val="fr-FR"/>
        </w:rPr>
        <w:t xml:space="preserve"> appui et conseil juridiques en matière de médiation, de conciliation et d</w:t>
      </w:r>
      <w:r w:rsidR="002A6A82">
        <w:rPr>
          <w:lang w:val="fr-FR"/>
        </w:rPr>
        <w:t>’</w:t>
      </w:r>
      <w:r w:rsidRPr="00FC60C1">
        <w:rPr>
          <w:lang w:val="fr-FR"/>
        </w:rPr>
        <w:t>arbitrage</w:t>
      </w:r>
      <w:r w:rsidR="00AC326A">
        <w:rPr>
          <w:lang w:val="fr-FR"/>
        </w:rPr>
        <w:t> </w:t>
      </w:r>
      <w:r w:rsidRPr="00FC60C1">
        <w:rPr>
          <w:lang w:val="fr-FR"/>
        </w:rPr>
        <w:t>; appui juridique et institutionnel dans le cadre des procédures disciplinaires</w:t>
      </w:r>
      <w:r w:rsidR="00AC326A">
        <w:rPr>
          <w:lang w:val="fr-FR"/>
        </w:rPr>
        <w:t> </w:t>
      </w:r>
      <w:r w:rsidRPr="00FC60C1">
        <w:rPr>
          <w:lang w:val="fr-FR"/>
        </w:rPr>
        <w:t>; fourniture de conseils juridiques dans des cas de faute présumée et pendant les enquêtes correspondantes.</w:t>
      </w:r>
    </w:p>
    <w:p w14:paraId="6F086AF8" w14:textId="2245442F" w:rsidR="00863F6A" w:rsidRPr="00FC60C1" w:rsidRDefault="00863F6A" w:rsidP="00CF135E">
      <w:pPr>
        <w:pStyle w:val="Normalnumber"/>
        <w:numPr>
          <w:ilvl w:val="0"/>
          <w:numId w:val="7"/>
        </w:numPr>
        <w:ind w:left="1247"/>
        <w:rPr>
          <w:lang w:val="fr-FR"/>
        </w:rPr>
      </w:pPr>
      <w:r w:rsidRPr="00FC60C1">
        <w:rPr>
          <w:lang w:val="fr-FR"/>
        </w:rPr>
        <w:t>Examiner et approuver les accords de siège et les instruments juridiques conformément à la politique et au cadre de délégation des pouvoirs du PNUE relatifs à la gestion et à l</w:t>
      </w:r>
      <w:r w:rsidR="002A6A82">
        <w:rPr>
          <w:lang w:val="fr-FR"/>
        </w:rPr>
        <w:t>’</w:t>
      </w:r>
      <w:r w:rsidRPr="00FC60C1">
        <w:rPr>
          <w:lang w:val="fr-FR"/>
        </w:rPr>
        <w:t>administration des secrétariats des accords multilatéraux sur l</w:t>
      </w:r>
      <w:r w:rsidR="002A6A82">
        <w:rPr>
          <w:lang w:val="fr-FR"/>
        </w:rPr>
        <w:t>’</w:t>
      </w:r>
      <w:r w:rsidRPr="00FC60C1">
        <w:rPr>
          <w:lang w:val="fr-FR"/>
        </w:rPr>
        <w:t>environnement.</w:t>
      </w:r>
    </w:p>
    <w:p w14:paraId="68C0ED79" w14:textId="28A7EAEC" w:rsidR="00863F6A" w:rsidRPr="00FC60C1" w:rsidRDefault="00863F6A" w:rsidP="00CF135E">
      <w:pPr>
        <w:pStyle w:val="Normalnumber"/>
        <w:numPr>
          <w:ilvl w:val="0"/>
          <w:numId w:val="7"/>
        </w:numPr>
        <w:ind w:left="1247"/>
        <w:rPr>
          <w:lang w:val="fr-FR"/>
        </w:rPr>
      </w:pPr>
      <w:r w:rsidRPr="00FC60C1">
        <w:rPr>
          <w:lang w:val="fr-FR"/>
        </w:rPr>
        <w:t>Fournir des conseils juridiques dans le domaine des ressources humaines, notamment pour l</w:t>
      </w:r>
      <w:r w:rsidR="002A6A82">
        <w:rPr>
          <w:lang w:val="fr-FR"/>
        </w:rPr>
        <w:t>’</w:t>
      </w:r>
      <w:r w:rsidRPr="00FC60C1">
        <w:rPr>
          <w:lang w:val="fr-FR"/>
        </w:rPr>
        <w:t>interprétation du Statut et du Règlement du personnel, les activités extérieures, la cessation de service et la liquidation des droits.</w:t>
      </w:r>
    </w:p>
    <w:p w14:paraId="61951A04" w14:textId="69EF4B3E" w:rsidR="00863F6A" w:rsidRPr="006716AB" w:rsidRDefault="00B538A9" w:rsidP="00CF135E">
      <w:pPr>
        <w:pStyle w:val="ZZAnxtitle"/>
        <w:numPr>
          <w:ilvl w:val="0"/>
          <w:numId w:val="9"/>
        </w:numPr>
        <w:tabs>
          <w:tab w:val="clear" w:pos="1247"/>
          <w:tab w:val="left" w:pos="1276"/>
        </w:tabs>
        <w:ind w:left="1276" w:hanging="567"/>
        <w:rPr>
          <w:sz w:val="24"/>
          <w:szCs w:val="24"/>
          <w:lang w:val="fr-FR"/>
        </w:rPr>
      </w:pPr>
      <w:r w:rsidRPr="006716AB">
        <w:rPr>
          <w:sz w:val="24"/>
          <w:szCs w:val="24"/>
          <w:lang w:val="fr-FR"/>
        </w:rPr>
        <w:t>Services d</w:t>
      </w:r>
      <w:r w:rsidR="002A6A82" w:rsidRPr="006716AB">
        <w:rPr>
          <w:sz w:val="24"/>
          <w:szCs w:val="24"/>
          <w:lang w:val="fr-FR"/>
        </w:rPr>
        <w:t>’</w:t>
      </w:r>
      <w:r w:rsidRPr="006716AB">
        <w:rPr>
          <w:sz w:val="24"/>
          <w:szCs w:val="24"/>
          <w:lang w:val="fr-FR"/>
        </w:rPr>
        <w:t>appui</w:t>
      </w:r>
    </w:p>
    <w:p w14:paraId="08CE6336" w14:textId="191AEEA3" w:rsidR="00863F6A" w:rsidRPr="00FC60C1" w:rsidRDefault="00863F6A" w:rsidP="00CF135E">
      <w:pPr>
        <w:pStyle w:val="Normalnumber"/>
        <w:numPr>
          <w:ilvl w:val="0"/>
          <w:numId w:val="7"/>
        </w:numPr>
        <w:ind w:left="1247"/>
        <w:rPr>
          <w:lang w:val="fr-FR"/>
        </w:rPr>
      </w:pPr>
      <w:r w:rsidRPr="00FC60C1">
        <w:rPr>
          <w:i/>
          <w:iCs/>
          <w:lang w:val="fr-FR"/>
        </w:rPr>
        <w:t>Marchés et achats</w:t>
      </w:r>
      <w:r w:rsidR="00450D9E" w:rsidRPr="00FC60C1">
        <w:rPr>
          <w:lang w:val="fr-FR"/>
        </w:rPr>
        <w:t> :</w:t>
      </w:r>
      <w:r w:rsidRPr="00FC60C1">
        <w:rPr>
          <w:lang w:val="fr-FR"/>
        </w:rPr>
        <w:t xml:space="preserve"> superviser les fonctions liées aux achats et donner des conseils concernant les propositions d</w:t>
      </w:r>
      <w:r w:rsidR="002A6A82">
        <w:rPr>
          <w:lang w:val="fr-FR"/>
        </w:rPr>
        <w:t>’</w:t>
      </w:r>
      <w:r w:rsidRPr="00FC60C1">
        <w:rPr>
          <w:lang w:val="fr-FR"/>
        </w:rPr>
        <w:t>achats ayant d</w:t>
      </w:r>
      <w:r w:rsidR="002A6A82">
        <w:rPr>
          <w:lang w:val="fr-FR"/>
        </w:rPr>
        <w:t>’</w:t>
      </w:r>
      <w:r w:rsidRPr="00FC60C1">
        <w:rPr>
          <w:lang w:val="fr-FR"/>
        </w:rPr>
        <w:t>importantes répercussions financières ou opérationnelles; examiner la stratégie ou la démarche proposée au regard de l</w:t>
      </w:r>
      <w:r w:rsidR="002A6A82">
        <w:rPr>
          <w:lang w:val="fr-FR"/>
        </w:rPr>
        <w:t>’</w:t>
      </w:r>
      <w:r w:rsidRPr="00FC60C1">
        <w:rPr>
          <w:lang w:val="fr-FR"/>
        </w:rPr>
        <w:t>intérêt du programme; superviser les prestataires de services</w:t>
      </w:r>
      <w:r w:rsidR="00450D9E" w:rsidRPr="00FC60C1">
        <w:rPr>
          <w:lang w:val="fr-FR"/>
        </w:rPr>
        <w:t> ;</w:t>
      </w:r>
      <w:r w:rsidRPr="00FC60C1">
        <w:rPr>
          <w:lang w:val="fr-FR"/>
        </w:rPr>
        <w:t xml:space="preserve"> assurer la représentation au Réseau achats du Comité de haut niveau sur la gestion en ce qui concerne l</w:t>
      </w:r>
      <w:r w:rsidR="002A6A82">
        <w:rPr>
          <w:lang w:val="fr-FR"/>
        </w:rPr>
        <w:t>’</w:t>
      </w:r>
      <w:r w:rsidRPr="00FC60C1">
        <w:rPr>
          <w:lang w:val="fr-FR"/>
        </w:rPr>
        <w:t>élaboration des politiques et procédure; assurer la liaison avec le Comité des marchés en vue de préparer et de présenter des dossiers pour approbation et répondre aux demandes de suivi</w:t>
      </w:r>
      <w:r w:rsidR="00450D9E" w:rsidRPr="00FC60C1">
        <w:rPr>
          <w:lang w:val="fr-FR"/>
        </w:rPr>
        <w:t> ;</w:t>
      </w:r>
      <w:r w:rsidRPr="00FC60C1">
        <w:rPr>
          <w:lang w:val="fr-FR"/>
        </w:rPr>
        <w:t xml:space="preserve"> assurer les services généraux d</w:t>
      </w:r>
      <w:r w:rsidR="002A6A82">
        <w:rPr>
          <w:lang w:val="fr-FR"/>
        </w:rPr>
        <w:t>’</w:t>
      </w:r>
      <w:r w:rsidRPr="00FC60C1">
        <w:rPr>
          <w:lang w:val="fr-FR"/>
        </w:rPr>
        <w:t>administration des marchés, y compris la modification, la prorogation ou la dénonciation des contrats.</w:t>
      </w:r>
    </w:p>
    <w:p w14:paraId="782E71FE" w14:textId="40181909" w:rsidR="00863F6A" w:rsidRPr="00FC60C1" w:rsidRDefault="00863F6A" w:rsidP="00CF135E">
      <w:pPr>
        <w:pStyle w:val="Normalnumber"/>
        <w:numPr>
          <w:ilvl w:val="0"/>
          <w:numId w:val="7"/>
        </w:numPr>
        <w:ind w:left="1247"/>
        <w:rPr>
          <w:lang w:val="fr-FR"/>
        </w:rPr>
      </w:pPr>
      <w:r w:rsidRPr="00FC60C1">
        <w:rPr>
          <w:i/>
          <w:iCs/>
          <w:lang w:val="fr-FR"/>
        </w:rPr>
        <w:t>Gestion des stocks et des biens</w:t>
      </w:r>
      <w:r w:rsidR="00450D9E" w:rsidRPr="00FC60C1">
        <w:rPr>
          <w:lang w:val="fr-FR"/>
        </w:rPr>
        <w:t> :</w:t>
      </w:r>
      <w:r w:rsidRPr="00FC60C1">
        <w:rPr>
          <w:lang w:val="fr-FR"/>
        </w:rPr>
        <w:t xml:space="preserve"> fournir des services de gestion des stocks d</w:t>
      </w:r>
      <w:r w:rsidR="002A6A82">
        <w:rPr>
          <w:lang w:val="fr-FR"/>
        </w:rPr>
        <w:t>’</w:t>
      </w:r>
      <w:r w:rsidRPr="00FC60C1">
        <w:rPr>
          <w:lang w:val="fr-FR"/>
        </w:rPr>
        <w:t>équipement et de biens, y compris la gestion d</w:t>
      </w:r>
      <w:r w:rsidR="002A6A82">
        <w:rPr>
          <w:lang w:val="fr-FR"/>
        </w:rPr>
        <w:t>’</w:t>
      </w:r>
      <w:r w:rsidRPr="00FC60C1">
        <w:rPr>
          <w:lang w:val="fr-FR"/>
        </w:rPr>
        <w:t>un système de codes à barres, la tenue de registres et le suivi des mouvements d</w:t>
      </w:r>
      <w:r w:rsidR="002A6A82">
        <w:rPr>
          <w:lang w:val="fr-FR"/>
        </w:rPr>
        <w:t>’</w:t>
      </w:r>
      <w:r w:rsidRPr="00FC60C1">
        <w:rPr>
          <w:lang w:val="fr-FR"/>
        </w:rPr>
        <w:t>articles, la réalisation d</w:t>
      </w:r>
      <w:r w:rsidR="002A6A82">
        <w:rPr>
          <w:lang w:val="fr-FR"/>
        </w:rPr>
        <w:t>’</w:t>
      </w:r>
      <w:r w:rsidRPr="00FC60C1">
        <w:rPr>
          <w:lang w:val="fr-FR"/>
        </w:rPr>
        <w:t>inventaires physiques et le traitement de l</w:t>
      </w:r>
      <w:r w:rsidR="002A6A82">
        <w:rPr>
          <w:lang w:val="fr-FR"/>
        </w:rPr>
        <w:t>’</w:t>
      </w:r>
      <w:r w:rsidRPr="00FC60C1">
        <w:rPr>
          <w:lang w:val="fr-FR"/>
        </w:rPr>
        <w:t>élimination des articles périmés et inutilisables.</w:t>
      </w:r>
    </w:p>
    <w:p w14:paraId="28D81469" w14:textId="62DF1DE2" w:rsidR="00863F6A" w:rsidRPr="00FC60C1" w:rsidRDefault="00863F6A" w:rsidP="00CF135E">
      <w:pPr>
        <w:pStyle w:val="Normalnumber"/>
        <w:numPr>
          <w:ilvl w:val="0"/>
          <w:numId w:val="7"/>
        </w:numPr>
        <w:ind w:left="1247"/>
        <w:rPr>
          <w:lang w:val="fr-FR"/>
        </w:rPr>
      </w:pPr>
      <w:r w:rsidRPr="00FC60C1">
        <w:rPr>
          <w:i/>
          <w:iCs/>
          <w:lang w:val="fr-FR"/>
        </w:rPr>
        <w:t>Voyages, expéditions et visas</w:t>
      </w:r>
      <w:r w:rsidRPr="00FC60C1">
        <w:rPr>
          <w:lang w:val="fr-FR"/>
        </w:rPr>
        <w:t>: donner des conseils en ce qui concerne l</w:t>
      </w:r>
      <w:r w:rsidR="002A6A82">
        <w:rPr>
          <w:lang w:val="fr-FR"/>
        </w:rPr>
        <w:t>’</w:t>
      </w:r>
      <w:r w:rsidRPr="00FC60C1">
        <w:rPr>
          <w:lang w:val="fr-FR"/>
        </w:rPr>
        <w:t>évolution des politiques et procédures du Secrétariat dans le domaine des voyages; gérer les contrats avec les agences de voyage et les négociations avec les compagnies aériennes; gérer les services d</w:t>
      </w:r>
      <w:r w:rsidR="002A6A82">
        <w:rPr>
          <w:lang w:val="fr-FR"/>
        </w:rPr>
        <w:t>’</w:t>
      </w:r>
      <w:r w:rsidRPr="00FC60C1">
        <w:rPr>
          <w:lang w:val="fr-FR"/>
        </w:rPr>
        <w:t xml:space="preserve">expédition, </w:t>
      </w:r>
      <w:r w:rsidRPr="00FC60C1">
        <w:rPr>
          <w:lang w:val="fr-FR"/>
        </w:rPr>
        <w:lastRenderedPageBreak/>
        <w:t>qui sont assurés par l</w:t>
      </w:r>
      <w:r w:rsidR="002A6A82">
        <w:rPr>
          <w:lang w:val="fr-FR"/>
        </w:rPr>
        <w:t>’</w:t>
      </w:r>
      <w:r w:rsidRPr="00FC60C1">
        <w:rPr>
          <w:lang w:val="fr-FR"/>
        </w:rPr>
        <w:t>intermédiaire de fournisseurs externes et qui comprennent tous les aspects des expéditions officielles entrantes et sortantes de biens et articles institutionnels ainsi que des effets personnels des fonctionnaires au moment du recrutement, du transfert et de la cessation de service.</w:t>
      </w:r>
    </w:p>
    <w:p w14:paraId="360A76A3" w14:textId="0AED789C" w:rsidR="00863F6A" w:rsidRPr="00FC60C1" w:rsidRDefault="00863F6A" w:rsidP="00CF135E">
      <w:pPr>
        <w:pStyle w:val="Normalnumber"/>
        <w:numPr>
          <w:ilvl w:val="0"/>
          <w:numId w:val="7"/>
        </w:numPr>
        <w:ind w:left="1247"/>
        <w:rPr>
          <w:lang w:val="fr-FR"/>
        </w:rPr>
      </w:pPr>
      <w:r w:rsidRPr="00FC60C1">
        <w:rPr>
          <w:i/>
          <w:iCs/>
          <w:lang w:val="fr-FR"/>
        </w:rPr>
        <w:t>Relations avec le pays hôte</w:t>
      </w:r>
      <w:r w:rsidR="00450D9E" w:rsidRPr="00FC60C1">
        <w:rPr>
          <w:lang w:val="fr-FR"/>
        </w:rPr>
        <w:t> :</w:t>
      </w:r>
      <w:r w:rsidRPr="00FC60C1">
        <w:rPr>
          <w:lang w:val="fr-FR"/>
        </w:rPr>
        <w:t xml:space="preserve"> administrer la convention d</w:t>
      </w:r>
      <w:r w:rsidR="002A6A82">
        <w:rPr>
          <w:lang w:val="fr-FR"/>
        </w:rPr>
        <w:t>’</w:t>
      </w:r>
      <w:r w:rsidRPr="00FC60C1">
        <w:rPr>
          <w:lang w:val="fr-FR"/>
        </w:rPr>
        <w:t>accueil avec le pays du lieu d</w:t>
      </w:r>
      <w:r w:rsidR="002A6A82">
        <w:rPr>
          <w:lang w:val="fr-FR"/>
        </w:rPr>
        <w:t>’</w:t>
      </w:r>
      <w:r w:rsidRPr="00FC60C1">
        <w:rPr>
          <w:lang w:val="fr-FR"/>
        </w:rPr>
        <w:t>affectation</w:t>
      </w:r>
      <w:r w:rsidR="00450D9E" w:rsidRPr="00FC60C1">
        <w:rPr>
          <w:lang w:val="fr-FR"/>
        </w:rPr>
        <w:t> ;</w:t>
      </w:r>
      <w:r w:rsidRPr="00FC60C1">
        <w:rPr>
          <w:lang w:val="fr-FR"/>
        </w:rPr>
        <w:t xml:space="preserve"> délivrer des visas de retour aux fonctionnaires et aux personnes à leur charge, aux consultants et aux stagiaires</w:t>
      </w:r>
      <w:r w:rsidR="00450D9E" w:rsidRPr="00FC60C1">
        <w:rPr>
          <w:lang w:val="fr-FR"/>
        </w:rPr>
        <w:t> ;</w:t>
      </w:r>
      <w:r w:rsidRPr="00FC60C1">
        <w:rPr>
          <w:lang w:val="fr-FR"/>
        </w:rPr>
        <w:t xml:space="preserve"> encadrer l</w:t>
      </w:r>
      <w:r w:rsidR="002A6A82">
        <w:rPr>
          <w:lang w:val="fr-FR"/>
        </w:rPr>
        <w:t>’</w:t>
      </w:r>
      <w:r w:rsidRPr="00FC60C1">
        <w:rPr>
          <w:lang w:val="fr-FR"/>
        </w:rPr>
        <w:t>importation en franchise des biens et du carburant; administrer les exonérations fiscales; assurer l</w:t>
      </w:r>
      <w:r w:rsidR="002A6A82">
        <w:rPr>
          <w:lang w:val="fr-FR"/>
        </w:rPr>
        <w:t>’</w:t>
      </w:r>
      <w:r w:rsidRPr="00FC60C1">
        <w:rPr>
          <w:lang w:val="fr-FR"/>
        </w:rPr>
        <w:t>immatriculation des véhicules, la délivrance ou le renouvellement des permis de conduire et les transferts de propriété; traiter les demandes spéciales de visa en cas d</w:t>
      </w:r>
      <w:r w:rsidR="002A6A82">
        <w:rPr>
          <w:lang w:val="fr-FR"/>
        </w:rPr>
        <w:t>’</w:t>
      </w:r>
      <w:r w:rsidRPr="00FC60C1">
        <w:rPr>
          <w:lang w:val="fr-FR"/>
        </w:rPr>
        <w:t>urgence et pour les personnalités importantes.</w:t>
      </w:r>
    </w:p>
    <w:p w14:paraId="2D734A0F" w14:textId="3F0EAC8A" w:rsidR="00863F6A" w:rsidRPr="00FC60C1" w:rsidRDefault="00863F6A" w:rsidP="00CF135E">
      <w:pPr>
        <w:pStyle w:val="Normalnumber"/>
        <w:numPr>
          <w:ilvl w:val="0"/>
          <w:numId w:val="7"/>
        </w:numPr>
        <w:ind w:left="1247"/>
        <w:rPr>
          <w:lang w:val="fr-FR"/>
        </w:rPr>
      </w:pPr>
      <w:r w:rsidRPr="00FC60C1">
        <w:rPr>
          <w:i/>
          <w:iCs/>
          <w:lang w:val="fr-FR"/>
        </w:rPr>
        <w:t>Gestion des installations</w:t>
      </w:r>
      <w:r w:rsidR="00450D9E" w:rsidRPr="00FC60C1">
        <w:rPr>
          <w:i/>
          <w:iCs/>
          <w:lang w:val="fr-FR"/>
        </w:rPr>
        <w:t> :</w:t>
      </w:r>
      <w:r w:rsidRPr="00FC60C1">
        <w:rPr>
          <w:lang w:val="fr-FR"/>
        </w:rPr>
        <w:t xml:space="preserve"> assurer un environnement confortable et efficace aux fonctionnaires et aux visiteurs en entretenant les locaux, y compris les jardins et les parcs de stationnement</w:t>
      </w:r>
      <w:r w:rsidR="00450D9E" w:rsidRPr="00FC60C1">
        <w:rPr>
          <w:lang w:val="fr-FR"/>
        </w:rPr>
        <w:t> ;</w:t>
      </w:r>
      <w:r w:rsidRPr="00FC60C1">
        <w:rPr>
          <w:lang w:val="fr-FR"/>
        </w:rPr>
        <w:t xml:space="preserve"> gérer les services publics de distribution et l</w:t>
      </w:r>
      <w:r w:rsidR="002A6A82">
        <w:rPr>
          <w:lang w:val="fr-FR"/>
        </w:rPr>
        <w:t>’</w:t>
      </w:r>
      <w:r w:rsidRPr="00FC60C1">
        <w:rPr>
          <w:lang w:val="fr-FR"/>
        </w:rPr>
        <w:t>entretien des systèmes de sécurité.</w:t>
      </w:r>
    </w:p>
    <w:p w14:paraId="2D40BC49" w14:textId="725E230F" w:rsidR="00863F6A" w:rsidRPr="00FC60C1" w:rsidRDefault="00863F6A" w:rsidP="00CF135E">
      <w:pPr>
        <w:pStyle w:val="Normalnumber"/>
        <w:numPr>
          <w:ilvl w:val="0"/>
          <w:numId w:val="7"/>
        </w:numPr>
        <w:ind w:left="1247"/>
        <w:rPr>
          <w:lang w:val="fr-FR"/>
        </w:rPr>
      </w:pPr>
      <w:r w:rsidRPr="00FC60C1">
        <w:rPr>
          <w:i/>
          <w:iCs/>
          <w:lang w:val="fr-FR"/>
        </w:rPr>
        <w:t>Gestion des archives et des documents</w:t>
      </w:r>
      <w:r w:rsidR="00450D9E" w:rsidRPr="00FC60C1">
        <w:rPr>
          <w:i/>
          <w:iCs/>
          <w:lang w:val="fr-FR"/>
        </w:rPr>
        <w:t> :</w:t>
      </w:r>
      <w:r w:rsidRPr="00FC60C1">
        <w:rPr>
          <w:lang w:val="fr-FR"/>
        </w:rPr>
        <w:t xml:space="preserve"> donner des conseils sur la mise en </w:t>
      </w:r>
      <w:r w:rsidR="00AC326A" w:rsidRPr="00FC60C1">
        <w:rPr>
          <w:lang w:val="fr-FR"/>
        </w:rPr>
        <w:t>œuvre</w:t>
      </w:r>
      <w:r w:rsidRPr="00FC60C1">
        <w:rPr>
          <w:lang w:val="fr-FR"/>
        </w:rPr>
        <w:t xml:space="preserve"> des politiques de gestion des archives conformément aux normes et pratiques établies en la matière et veiller à la mise en </w:t>
      </w:r>
      <w:r w:rsidR="00450D9E" w:rsidRPr="00FC60C1">
        <w:rPr>
          <w:lang w:val="fr-FR"/>
        </w:rPr>
        <w:t>œuvre</w:t>
      </w:r>
      <w:r w:rsidRPr="00FC60C1">
        <w:rPr>
          <w:lang w:val="fr-FR"/>
        </w:rPr>
        <w:t xml:space="preserve"> de ces politiques.</w:t>
      </w:r>
    </w:p>
    <w:p w14:paraId="38B94F51" w14:textId="49046E99" w:rsidR="00863F6A" w:rsidRPr="006716AB" w:rsidRDefault="00B538A9" w:rsidP="00CF135E">
      <w:pPr>
        <w:pStyle w:val="ZZAnxtitle"/>
        <w:numPr>
          <w:ilvl w:val="0"/>
          <w:numId w:val="9"/>
        </w:numPr>
        <w:tabs>
          <w:tab w:val="clear" w:pos="1247"/>
          <w:tab w:val="left" w:pos="1276"/>
        </w:tabs>
        <w:ind w:left="1276" w:hanging="567"/>
        <w:rPr>
          <w:sz w:val="24"/>
          <w:szCs w:val="24"/>
          <w:lang w:val="fr-FR"/>
        </w:rPr>
      </w:pPr>
      <w:r w:rsidRPr="006716AB">
        <w:rPr>
          <w:sz w:val="24"/>
          <w:szCs w:val="24"/>
          <w:lang w:val="fr-FR"/>
        </w:rPr>
        <w:t>Progiciel de gestion intégré Umoja</w:t>
      </w:r>
    </w:p>
    <w:p w14:paraId="1F65779A" w14:textId="30B317F8" w:rsidR="00CA0BD4" w:rsidRPr="00FC60C1" w:rsidRDefault="00863F6A" w:rsidP="00CF135E">
      <w:pPr>
        <w:pStyle w:val="Normalnumber"/>
        <w:numPr>
          <w:ilvl w:val="0"/>
          <w:numId w:val="7"/>
        </w:numPr>
        <w:ind w:left="1260"/>
        <w:rPr>
          <w:lang w:val="fr-FR"/>
        </w:rPr>
      </w:pPr>
      <w:r w:rsidRPr="00FC60C1">
        <w:rPr>
          <w:lang w:val="fr-FR"/>
        </w:rPr>
        <w:t>Donner des conseils sur tous les aspects de l</w:t>
      </w:r>
      <w:r w:rsidR="002A6A82">
        <w:rPr>
          <w:lang w:val="fr-FR"/>
        </w:rPr>
        <w:t>’</w:t>
      </w:r>
      <w:r w:rsidRPr="00FC60C1">
        <w:rPr>
          <w:lang w:val="fr-FR"/>
        </w:rPr>
        <w:t xml:space="preserve">analyse des flux de travail, la réorganisation des processus métier et la transformation organisationnelle; gérer les activités transformationnelles de base qui sont liées à la mise en </w:t>
      </w:r>
      <w:r w:rsidR="00AC326A" w:rsidRPr="00FC60C1">
        <w:rPr>
          <w:lang w:val="fr-FR"/>
        </w:rPr>
        <w:t>œuvre</w:t>
      </w:r>
      <w:r w:rsidRPr="00FC60C1">
        <w:rPr>
          <w:lang w:val="fr-FR"/>
        </w:rPr>
        <w:t xml:space="preserve"> d</w:t>
      </w:r>
      <w:r w:rsidR="002A6A82">
        <w:rPr>
          <w:lang w:val="fr-FR"/>
        </w:rPr>
        <w:t>’</w:t>
      </w:r>
      <w:r w:rsidRPr="00FC60C1">
        <w:rPr>
          <w:lang w:val="fr-FR"/>
        </w:rPr>
        <w:t>Umoja et au cycle de vie du système; fournir des formations et des orientations quant aux fonctionnalités d</w:t>
      </w:r>
      <w:r w:rsidR="002A6A82">
        <w:rPr>
          <w:lang w:val="fr-FR"/>
        </w:rPr>
        <w:t>’</w:t>
      </w:r>
      <w:r w:rsidRPr="00FC60C1">
        <w:rPr>
          <w:lang w:val="fr-FR"/>
        </w:rPr>
        <w:t>Umoja, à l</w:t>
      </w:r>
      <w:r w:rsidR="002A6A82">
        <w:rPr>
          <w:lang w:val="fr-FR"/>
        </w:rPr>
        <w:t>’</w:t>
      </w:r>
      <w:r w:rsidRPr="00FC60C1">
        <w:rPr>
          <w:lang w:val="fr-FR"/>
        </w:rPr>
        <w:t>accès et aux modalités d</w:t>
      </w:r>
      <w:r w:rsidR="002A6A82">
        <w:rPr>
          <w:lang w:val="fr-FR"/>
        </w:rPr>
        <w:t>’</w:t>
      </w:r>
      <w:r w:rsidRPr="00FC60C1">
        <w:rPr>
          <w:lang w:val="fr-FR"/>
        </w:rPr>
        <w:t>exécution des processus administratifs; gérer les frais d</w:t>
      </w:r>
      <w:r w:rsidR="002A6A82">
        <w:rPr>
          <w:lang w:val="fr-FR"/>
        </w:rPr>
        <w:t>’</w:t>
      </w:r>
      <w:r w:rsidRPr="00FC60C1">
        <w:rPr>
          <w:lang w:val="fr-FR"/>
        </w:rPr>
        <w:t>administration associés aux services fournis par l</w:t>
      </w:r>
      <w:r w:rsidR="002A6A82">
        <w:rPr>
          <w:lang w:val="fr-FR"/>
        </w:rPr>
        <w:t>’</w:t>
      </w:r>
      <w:r w:rsidRPr="00FC60C1">
        <w:rPr>
          <w:lang w:val="fr-FR"/>
        </w:rPr>
        <w:t>Office des Nations Unies à Nairobi et l</w:t>
      </w:r>
      <w:r w:rsidR="002A6A82">
        <w:rPr>
          <w:lang w:val="fr-FR"/>
        </w:rPr>
        <w:t>’</w:t>
      </w:r>
      <w:r w:rsidRPr="00FC60C1">
        <w:rPr>
          <w:lang w:val="fr-FR"/>
        </w:rPr>
        <w:t>Office des Nations Unies à Genève, en particulier les services auparavant fournis par l</w:t>
      </w:r>
      <w:r w:rsidR="002A6A82">
        <w:rPr>
          <w:lang w:val="fr-FR"/>
        </w:rPr>
        <w:t>’</w:t>
      </w:r>
      <w:r w:rsidRPr="00FC60C1">
        <w:rPr>
          <w:lang w:val="fr-FR"/>
        </w:rPr>
        <w:t>intermédiaire du centre de services des opérations, qui n</w:t>
      </w:r>
      <w:r w:rsidR="002A6A82">
        <w:rPr>
          <w:lang w:val="fr-FR"/>
        </w:rPr>
        <w:t>’</w:t>
      </w:r>
      <w:r w:rsidRPr="00FC60C1">
        <w:rPr>
          <w:lang w:val="fr-FR"/>
        </w:rPr>
        <w:t>existe plus (voyages, règlement des factures, ressources humaines et services de consultants).</w:t>
      </w:r>
    </w:p>
    <w:p w14:paraId="5E80AEDE" w14:textId="38CF9293" w:rsidR="00863F6A" w:rsidRPr="006716AB" w:rsidRDefault="00B538A9" w:rsidP="00CF135E">
      <w:pPr>
        <w:pStyle w:val="ZZAnxtitle"/>
        <w:numPr>
          <w:ilvl w:val="0"/>
          <w:numId w:val="9"/>
        </w:numPr>
        <w:tabs>
          <w:tab w:val="clear" w:pos="1247"/>
          <w:tab w:val="left" w:pos="1276"/>
        </w:tabs>
        <w:ind w:left="1276" w:hanging="567"/>
        <w:rPr>
          <w:sz w:val="24"/>
          <w:szCs w:val="24"/>
          <w:lang w:val="fr-FR"/>
        </w:rPr>
      </w:pPr>
      <w:r w:rsidRPr="006716AB">
        <w:rPr>
          <w:sz w:val="24"/>
          <w:szCs w:val="24"/>
          <w:lang w:val="fr-FR"/>
        </w:rPr>
        <w:t>Gestion du risque institutionnel et dispositif de contrôle interne</w:t>
      </w:r>
    </w:p>
    <w:p w14:paraId="58EA100C" w14:textId="17269A4F" w:rsidR="00863F6A" w:rsidRPr="00FC60C1" w:rsidRDefault="00863F6A" w:rsidP="00CF135E">
      <w:pPr>
        <w:pStyle w:val="Normalnumber"/>
        <w:numPr>
          <w:ilvl w:val="0"/>
          <w:numId w:val="7"/>
        </w:numPr>
        <w:ind w:left="1247"/>
        <w:rPr>
          <w:lang w:val="fr-FR"/>
        </w:rPr>
      </w:pPr>
      <w:r w:rsidRPr="00FC60C1">
        <w:rPr>
          <w:lang w:val="fr-FR"/>
        </w:rPr>
        <w:t>Assurer la mise en œuvre, le suivi et l</w:t>
      </w:r>
      <w:r w:rsidR="002A6A82">
        <w:rPr>
          <w:lang w:val="fr-FR"/>
        </w:rPr>
        <w:t>’</w:t>
      </w:r>
      <w:r w:rsidRPr="00FC60C1">
        <w:rPr>
          <w:lang w:val="fr-FR"/>
        </w:rPr>
        <w:t>élaboration de la politique et du cadre de gestion du risque institutionnel du Secrétariat de l</w:t>
      </w:r>
      <w:r w:rsidR="002A6A82">
        <w:rPr>
          <w:lang w:val="fr-FR"/>
        </w:rPr>
        <w:t>’</w:t>
      </w:r>
      <w:r w:rsidRPr="00FC60C1">
        <w:rPr>
          <w:lang w:val="fr-FR"/>
        </w:rPr>
        <w:t>ONU; donner des conseils sur l</w:t>
      </w:r>
      <w:r w:rsidR="002A6A82">
        <w:rPr>
          <w:lang w:val="fr-FR"/>
        </w:rPr>
        <w:t>’</w:t>
      </w:r>
      <w:r w:rsidRPr="00FC60C1">
        <w:rPr>
          <w:lang w:val="fr-FR"/>
        </w:rPr>
        <w:t>évolution et les activités liées au cycle de vie de la gestion du risque institutionnel</w:t>
      </w:r>
      <w:r w:rsidR="00450D9E" w:rsidRPr="00FC60C1">
        <w:rPr>
          <w:lang w:val="fr-FR"/>
        </w:rPr>
        <w:t> ;</w:t>
      </w:r>
      <w:r w:rsidRPr="00FC60C1">
        <w:rPr>
          <w:lang w:val="fr-FR"/>
        </w:rPr>
        <w:t xml:space="preserve"> assurer la liaison avec le Département de la gestion du Siège de l</w:t>
      </w:r>
      <w:r w:rsidR="002A6A82">
        <w:rPr>
          <w:lang w:val="fr-FR"/>
        </w:rPr>
        <w:t>’</w:t>
      </w:r>
      <w:r w:rsidRPr="00FC60C1">
        <w:rPr>
          <w:lang w:val="fr-FR"/>
        </w:rPr>
        <w:t>ONU pour toutes les questions relatives à la gesti</w:t>
      </w:r>
      <w:r w:rsidR="006716AB">
        <w:rPr>
          <w:lang w:val="fr-FR"/>
        </w:rPr>
        <w:t>on du risque institutionnel, au </w:t>
      </w:r>
      <w:r w:rsidRPr="00FC60C1">
        <w:rPr>
          <w:lang w:val="fr-FR"/>
        </w:rPr>
        <w:t>dispositif de contrôle interne et à la mise en œuvre et à l</w:t>
      </w:r>
      <w:r w:rsidR="002A6A82">
        <w:rPr>
          <w:lang w:val="fr-FR"/>
        </w:rPr>
        <w:t>’</w:t>
      </w:r>
      <w:r w:rsidRPr="00FC60C1">
        <w:rPr>
          <w:lang w:val="fr-FR"/>
        </w:rPr>
        <w:t>actualisation des plans connexes.</w:t>
      </w:r>
    </w:p>
    <w:p w14:paraId="1B4F4EB4" w14:textId="0FED2FD9" w:rsidR="00863F6A" w:rsidRPr="00CD5014" w:rsidRDefault="00B538A9" w:rsidP="00CF135E">
      <w:pPr>
        <w:pStyle w:val="ZZAnxtitle"/>
        <w:numPr>
          <w:ilvl w:val="0"/>
          <w:numId w:val="9"/>
        </w:numPr>
        <w:tabs>
          <w:tab w:val="clear" w:pos="1247"/>
          <w:tab w:val="left" w:pos="1276"/>
        </w:tabs>
        <w:ind w:left="1276" w:hanging="567"/>
        <w:rPr>
          <w:sz w:val="24"/>
          <w:szCs w:val="24"/>
          <w:lang w:val="fr-FR"/>
        </w:rPr>
      </w:pPr>
      <w:r w:rsidRPr="00CD5014">
        <w:rPr>
          <w:sz w:val="24"/>
          <w:szCs w:val="24"/>
          <w:lang w:val="fr-FR"/>
        </w:rPr>
        <w:t>Informatique et communications</w:t>
      </w:r>
    </w:p>
    <w:p w14:paraId="0DF0D9B1" w14:textId="6FB28E82" w:rsidR="00863F6A" w:rsidRPr="00FC60C1" w:rsidRDefault="00863F6A" w:rsidP="00CF135E">
      <w:pPr>
        <w:pStyle w:val="Normalnumber"/>
        <w:numPr>
          <w:ilvl w:val="0"/>
          <w:numId w:val="7"/>
        </w:numPr>
        <w:ind w:left="1247"/>
        <w:rPr>
          <w:lang w:val="fr-FR"/>
        </w:rPr>
      </w:pPr>
      <w:r w:rsidRPr="00FC60C1">
        <w:rPr>
          <w:lang w:val="fr-FR"/>
        </w:rPr>
        <w:t>Vérifier le respect des politiques et normes en vigueur dans les domaines de l</w:t>
      </w:r>
      <w:r w:rsidR="002A6A82">
        <w:rPr>
          <w:lang w:val="fr-FR"/>
        </w:rPr>
        <w:t>’</w:t>
      </w:r>
      <w:r w:rsidRPr="00FC60C1">
        <w:rPr>
          <w:lang w:val="fr-FR"/>
        </w:rPr>
        <w:t>informatique et des communications.</w:t>
      </w:r>
    </w:p>
    <w:p w14:paraId="75468D6B" w14:textId="4630D7D5" w:rsidR="00863F6A" w:rsidRPr="00FC60C1" w:rsidRDefault="00863F6A" w:rsidP="00CF135E">
      <w:pPr>
        <w:pStyle w:val="Normalnumber"/>
        <w:numPr>
          <w:ilvl w:val="0"/>
          <w:numId w:val="7"/>
        </w:numPr>
        <w:ind w:left="1247"/>
        <w:rPr>
          <w:lang w:val="fr-FR"/>
        </w:rPr>
      </w:pPr>
      <w:r w:rsidRPr="00FC60C1">
        <w:rPr>
          <w:lang w:val="fr-FR"/>
        </w:rPr>
        <w:t>Appui à l</w:t>
      </w:r>
      <w:r w:rsidR="002A6A82">
        <w:rPr>
          <w:lang w:val="fr-FR"/>
        </w:rPr>
        <w:t>’</w:t>
      </w:r>
      <w:r w:rsidRPr="00FC60C1">
        <w:rPr>
          <w:lang w:val="fr-FR"/>
        </w:rPr>
        <w:t>informatique, aux télécommunications, à la bureautique et aux in</w:t>
      </w:r>
      <w:r w:rsidR="00C45064">
        <w:rPr>
          <w:lang w:val="fr-FR"/>
        </w:rPr>
        <w:t>frastructures, y </w:t>
      </w:r>
      <w:r w:rsidRPr="00FC60C1">
        <w:rPr>
          <w:lang w:val="fr-FR"/>
        </w:rPr>
        <w:t>compris pour le système de courrier électronique et les services de conseil et d</w:t>
      </w:r>
      <w:r w:rsidR="002A6A82">
        <w:rPr>
          <w:lang w:val="fr-FR"/>
        </w:rPr>
        <w:t>’</w:t>
      </w:r>
      <w:r w:rsidRPr="00FC60C1">
        <w:rPr>
          <w:lang w:val="fr-FR"/>
        </w:rPr>
        <w:t>assistance informatique.</w:t>
      </w:r>
    </w:p>
    <w:p w14:paraId="1EF7411A" w14:textId="181DF4C4" w:rsidR="00863F6A" w:rsidRPr="00FC60C1" w:rsidRDefault="00CA0BD4" w:rsidP="00CF135E">
      <w:pPr>
        <w:pStyle w:val="Normalnumber"/>
        <w:numPr>
          <w:ilvl w:val="0"/>
          <w:numId w:val="7"/>
        </w:numPr>
        <w:ind w:left="1247"/>
        <w:rPr>
          <w:lang w:val="fr-FR"/>
        </w:rPr>
      </w:pPr>
      <w:r w:rsidRPr="00FC60C1">
        <w:rPr>
          <w:lang w:val="fr-FR"/>
        </w:rPr>
        <w:t>Gérer l</w:t>
      </w:r>
      <w:r w:rsidR="002A6A82">
        <w:rPr>
          <w:lang w:val="fr-FR"/>
        </w:rPr>
        <w:t>’</w:t>
      </w:r>
      <w:r w:rsidRPr="00FC60C1">
        <w:rPr>
          <w:lang w:val="fr-FR"/>
        </w:rPr>
        <w:t>infrastructure et les services des technologies de l</w:t>
      </w:r>
      <w:r w:rsidR="002A6A82">
        <w:rPr>
          <w:lang w:val="fr-FR"/>
        </w:rPr>
        <w:t>’</w:t>
      </w:r>
      <w:r w:rsidRPr="00FC60C1">
        <w:rPr>
          <w:lang w:val="fr-FR"/>
        </w:rPr>
        <w:t>information et des communications, notamment en facilitant l</w:t>
      </w:r>
      <w:r w:rsidR="002A6A82">
        <w:rPr>
          <w:lang w:val="fr-FR"/>
        </w:rPr>
        <w:t>’</w:t>
      </w:r>
      <w:r w:rsidRPr="00FC60C1">
        <w:rPr>
          <w:lang w:val="fr-FR"/>
        </w:rPr>
        <w:t>achat de matériel et de licences de logiciels et l</w:t>
      </w:r>
      <w:r w:rsidR="002A6A82">
        <w:rPr>
          <w:lang w:val="fr-FR"/>
        </w:rPr>
        <w:t>’</w:t>
      </w:r>
      <w:r w:rsidRPr="00FC60C1">
        <w:rPr>
          <w:lang w:val="fr-FR"/>
        </w:rPr>
        <w:t>application des politiques pertinentes</w:t>
      </w:r>
      <w:r w:rsidR="00450D9E" w:rsidRPr="00FC60C1">
        <w:rPr>
          <w:lang w:val="fr-FR"/>
        </w:rPr>
        <w:t> ;</w:t>
      </w:r>
      <w:r w:rsidRPr="00FC60C1">
        <w:rPr>
          <w:lang w:val="fr-FR"/>
        </w:rPr>
        <w:t xml:space="preserve"> assurer l</w:t>
      </w:r>
      <w:r w:rsidR="002A6A82">
        <w:rPr>
          <w:lang w:val="fr-FR"/>
        </w:rPr>
        <w:t>’</w:t>
      </w:r>
      <w:r w:rsidRPr="00FC60C1">
        <w:rPr>
          <w:lang w:val="fr-FR"/>
        </w:rPr>
        <w:t>accès aux réseaux internet et intranet et aux systèmes de courrier électronique.</w:t>
      </w:r>
    </w:p>
    <w:p w14:paraId="4583DB41" w14:textId="36CFFAB2" w:rsidR="00863F6A" w:rsidRPr="00FC60C1" w:rsidRDefault="00863F6A" w:rsidP="00CF135E">
      <w:pPr>
        <w:pStyle w:val="Normalnumber"/>
        <w:numPr>
          <w:ilvl w:val="0"/>
          <w:numId w:val="7"/>
        </w:numPr>
        <w:ind w:left="1247"/>
        <w:rPr>
          <w:lang w:val="fr-FR"/>
        </w:rPr>
      </w:pPr>
      <w:r w:rsidRPr="00FC60C1">
        <w:rPr>
          <w:lang w:val="fr-FR"/>
        </w:rPr>
        <w:t>Assurer le développement et la mise à jour des logiciels, notamment donner des conseils tactiques, opérationnels et stratégiques tout en tenant compte des besoins particuliers du bureau</w:t>
      </w:r>
      <w:r w:rsidR="00450D9E" w:rsidRPr="00FC60C1">
        <w:rPr>
          <w:lang w:val="fr-FR"/>
        </w:rPr>
        <w:t> ;</w:t>
      </w:r>
      <w:r w:rsidRPr="00FC60C1">
        <w:rPr>
          <w:lang w:val="fr-FR"/>
        </w:rPr>
        <w:t xml:space="preserve"> gérer le rapport coût-efficacité des services externalisés et assurés sur place</w:t>
      </w:r>
      <w:r w:rsidR="00450D9E" w:rsidRPr="00FC60C1">
        <w:rPr>
          <w:lang w:val="fr-FR"/>
        </w:rPr>
        <w:t> ;</w:t>
      </w:r>
      <w:r w:rsidRPr="00FC60C1">
        <w:rPr>
          <w:lang w:val="fr-FR"/>
        </w:rPr>
        <w:t xml:space="preserve"> fournir des logiciels personnalisés ou commerciaux pour répondre aux besoins particuliers.</w:t>
      </w:r>
    </w:p>
    <w:p w14:paraId="0A291C20" w14:textId="794A03E3" w:rsidR="00353EC0" w:rsidRPr="00FC60C1" w:rsidRDefault="00863F6A" w:rsidP="00CF135E">
      <w:pPr>
        <w:pStyle w:val="Normalnumber"/>
        <w:numPr>
          <w:ilvl w:val="0"/>
          <w:numId w:val="7"/>
        </w:numPr>
        <w:tabs>
          <w:tab w:val="clear" w:pos="597"/>
        </w:tabs>
        <w:ind w:left="1247"/>
        <w:rPr>
          <w:lang w:val="fr-FR"/>
        </w:rPr>
      </w:pPr>
      <w:r w:rsidRPr="00FC60C1">
        <w:rPr>
          <w:lang w:val="fr-FR"/>
        </w:rPr>
        <w:t>Gérer des services d</w:t>
      </w:r>
      <w:r w:rsidR="002A6A82">
        <w:rPr>
          <w:lang w:val="fr-FR"/>
        </w:rPr>
        <w:t>’</w:t>
      </w:r>
      <w:r w:rsidRPr="00FC60C1">
        <w:rPr>
          <w:lang w:val="fr-FR"/>
        </w:rPr>
        <w:t>assistance technique, y compris l</w:t>
      </w:r>
      <w:r w:rsidR="002A6A82">
        <w:rPr>
          <w:lang w:val="fr-FR"/>
        </w:rPr>
        <w:t>’</w:t>
      </w:r>
      <w:r w:rsidRPr="00FC60C1">
        <w:rPr>
          <w:lang w:val="fr-FR"/>
        </w:rPr>
        <w:t>appui au personnel local et mondial pour résoudre les problèmes informatiques liés à l</w:t>
      </w:r>
      <w:r w:rsidR="002A6A82">
        <w:rPr>
          <w:lang w:val="fr-FR"/>
        </w:rPr>
        <w:t>’</w:t>
      </w:r>
      <w:r w:rsidRPr="00FC60C1">
        <w:rPr>
          <w:lang w:val="fr-FR"/>
        </w:rPr>
        <w:t>utilisation des applications de l</w:t>
      </w:r>
      <w:r w:rsidR="002A6A82">
        <w:rPr>
          <w:lang w:val="fr-FR"/>
        </w:rPr>
        <w:t>’</w:t>
      </w:r>
      <w:r w:rsidRPr="00FC60C1">
        <w:rPr>
          <w:lang w:val="fr-FR"/>
        </w:rPr>
        <w:t>organisation.</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3A1D64" w14:paraId="6DB0CABC" w14:textId="77777777" w:rsidTr="00990918">
        <w:tc>
          <w:tcPr>
            <w:tcW w:w="1942" w:type="dxa"/>
            <w:shd w:val="clear" w:color="auto" w:fill="auto"/>
          </w:tcPr>
          <w:p w14:paraId="6D3F7C2C" w14:textId="77777777" w:rsidR="00E976AB" w:rsidRPr="00FC60C1" w:rsidRDefault="00E976AB" w:rsidP="00990918">
            <w:pPr>
              <w:pStyle w:val="Normal-pool"/>
              <w:spacing w:before="520"/>
              <w:rPr>
                <w:lang w:val="fr-FR"/>
              </w:rPr>
            </w:pPr>
          </w:p>
        </w:tc>
        <w:tc>
          <w:tcPr>
            <w:tcW w:w="1942" w:type="dxa"/>
            <w:shd w:val="clear" w:color="auto" w:fill="auto"/>
          </w:tcPr>
          <w:p w14:paraId="378BA037" w14:textId="77777777" w:rsidR="00E976AB" w:rsidRPr="00FC60C1" w:rsidRDefault="00E976AB" w:rsidP="00990918">
            <w:pPr>
              <w:pStyle w:val="Normal-pool"/>
              <w:spacing w:before="520"/>
              <w:rPr>
                <w:lang w:val="fr-FR"/>
              </w:rPr>
            </w:pPr>
          </w:p>
        </w:tc>
        <w:tc>
          <w:tcPr>
            <w:tcW w:w="1942" w:type="dxa"/>
            <w:tcBorders>
              <w:bottom w:val="single" w:sz="4" w:space="0" w:color="auto"/>
            </w:tcBorders>
            <w:shd w:val="clear" w:color="auto" w:fill="auto"/>
          </w:tcPr>
          <w:p w14:paraId="028E3E1E" w14:textId="77777777" w:rsidR="00E976AB" w:rsidRPr="00FC60C1" w:rsidRDefault="00E976AB" w:rsidP="00990918">
            <w:pPr>
              <w:pStyle w:val="Normal-pool"/>
              <w:spacing w:before="520"/>
              <w:rPr>
                <w:lang w:val="fr-FR"/>
              </w:rPr>
            </w:pPr>
          </w:p>
        </w:tc>
        <w:tc>
          <w:tcPr>
            <w:tcW w:w="1943" w:type="dxa"/>
            <w:shd w:val="clear" w:color="auto" w:fill="auto"/>
          </w:tcPr>
          <w:p w14:paraId="25F1BA19" w14:textId="77777777" w:rsidR="00E976AB" w:rsidRPr="00FC60C1" w:rsidRDefault="00E976AB" w:rsidP="00990918">
            <w:pPr>
              <w:pStyle w:val="Normal-pool"/>
              <w:spacing w:before="520"/>
              <w:rPr>
                <w:lang w:val="fr-FR"/>
              </w:rPr>
            </w:pPr>
          </w:p>
        </w:tc>
        <w:tc>
          <w:tcPr>
            <w:tcW w:w="1943" w:type="dxa"/>
            <w:shd w:val="clear" w:color="auto" w:fill="auto"/>
          </w:tcPr>
          <w:p w14:paraId="457D2993" w14:textId="77777777" w:rsidR="00E976AB" w:rsidRPr="00FC60C1" w:rsidRDefault="00E976AB" w:rsidP="00990918">
            <w:pPr>
              <w:pStyle w:val="Normal-pool"/>
              <w:spacing w:before="520"/>
              <w:rPr>
                <w:lang w:val="fr-FR"/>
              </w:rPr>
            </w:pPr>
          </w:p>
        </w:tc>
      </w:tr>
    </w:tbl>
    <w:p w14:paraId="29F01CA0" w14:textId="77777777" w:rsidR="00634E0D" w:rsidRPr="00FC60C1" w:rsidRDefault="00634E0D" w:rsidP="00A317D9">
      <w:pPr>
        <w:pStyle w:val="Normal-pool"/>
        <w:rPr>
          <w:lang w:val="fr-FR"/>
        </w:rPr>
      </w:pPr>
    </w:p>
    <w:sectPr w:rsidR="00634E0D" w:rsidRPr="00FC60C1" w:rsidSect="009E0757">
      <w:headerReference w:type="even" r:id="rId20"/>
      <w:headerReference w:type="default" r:id="rId21"/>
      <w:headerReference w:type="first" r:id="rId22"/>
      <w:footerReference w:type="first" r:id="rId23"/>
      <w:footnotePr>
        <w:numRestart w:val="eachSect"/>
      </w:footnotePr>
      <w:pgSz w:w="11907" w:h="16840" w:code="9"/>
      <w:pgMar w:top="907" w:right="992" w:bottom="1418" w:left="1418" w:header="539" w:footer="975" w:gutter="0"/>
      <w:cols w:space="539"/>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4B736C" w16cid:durableId="215AE2BD"/>
  <w16cid:commentId w16cid:paraId="4F8E33AE" w16cid:durableId="215D3F11"/>
  <w16cid:commentId w16cid:paraId="7098E6E0" w16cid:durableId="215AE400"/>
  <w16cid:commentId w16cid:paraId="0D9EF80D" w16cid:durableId="215B38E2"/>
  <w16cid:commentId w16cid:paraId="0B0DE6E0" w16cid:durableId="215AE2BF"/>
  <w16cid:commentId w16cid:paraId="05FB9ECD" w16cid:durableId="215AE724"/>
  <w16cid:commentId w16cid:paraId="0D59569A" w16cid:durableId="215D3F16"/>
  <w16cid:commentId w16cid:paraId="37788D41" w16cid:durableId="215AE2C0"/>
  <w16cid:commentId w16cid:paraId="27B2F24E" w16cid:durableId="215AEB2F"/>
  <w16cid:commentId w16cid:paraId="23E9BB8E" w16cid:durableId="215AEBF2"/>
  <w16cid:commentId w16cid:paraId="7371BE78" w16cid:durableId="215D3F1A"/>
  <w16cid:commentId w16cid:paraId="463F4C2C" w16cid:durableId="215AF08C"/>
  <w16cid:commentId w16cid:paraId="6D0D4173" w16cid:durableId="215D3F1C"/>
  <w16cid:commentId w16cid:paraId="02706328" w16cid:durableId="215AE2C5"/>
  <w16cid:commentId w16cid:paraId="32C9D0E5" w16cid:durableId="215AED81"/>
  <w16cid:commentId w16cid:paraId="12AA1887" w16cid:durableId="215AE2C6"/>
  <w16cid:commentId w16cid:paraId="1F9790E2" w16cid:durableId="215AEE1F"/>
  <w16cid:commentId w16cid:paraId="704F7BFA" w16cid:durableId="215AE2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4D043" w14:textId="77777777" w:rsidR="003A1D64" w:rsidRDefault="003A1D64">
      <w:r>
        <w:separator/>
      </w:r>
    </w:p>
  </w:endnote>
  <w:endnote w:type="continuationSeparator" w:id="0">
    <w:p w14:paraId="68BEB820" w14:textId="77777777" w:rsidR="003A1D64" w:rsidRDefault="003A1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851203"/>
      <w:docPartObj>
        <w:docPartGallery w:val="Page Numbers (Bottom of Page)"/>
        <w:docPartUnique/>
      </w:docPartObj>
    </w:sdtPr>
    <w:sdtEndPr>
      <w:rPr>
        <w:noProof/>
      </w:rPr>
    </w:sdtEndPr>
    <w:sdtContent>
      <w:p w14:paraId="4CFA1464" w14:textId="5D003148" w:rsidR="003A1D64" w:rsidRDefault="003A1D64">
        <w:pPr>
          <w:pStyle w:val="Footer"/>
        </w:pPr>
        <w:r>
          <w:fldChar w:fldCharType="begin"/>
        </w:r>
        <w:r>
          <w:instrText xml:space="preserve"> PAGE   \* MERGEFORMAT </w:instrText>
        </w:r>
        <w:r>
          <w:fldChar w:fldCharType="separate"/>
        </w:r>
        <w:r w:rsidR="00F52F7C">
          <w:rPr>
            <w:noProof/>
          </w:rPr>
          <w:t>4</w:t>
        </w:r>
        <w:r>
          <w:rPr>
            <w:noProof/>
          </w:rPr>
          <w:fldChar w:fldCharType="end"/>
        </w:r>
      </w:p>
    </w:sdtContent>
  </w:sdt>
  <w:p w14:paraId="116815C2" w14:textId="77777777" w:rsidR="003A1D64" w:rsidRDefault="003A1D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4664C" w14:textId="31DAE3EF" w:rsidR="003A1D64" w:rsidRPr="002A6A82" w:rsidRDefault="003A1D64" w:rsidP="00035EDE">
    <w:pPr>
      <w:pStyle w:val="Footer"/>
      <w:jc w:val="right"/>
      <w:rPr>
        <w:b/>
      </w:rPr>
    </w:pPr>
    <w:r w:rsidRPr="002A6A82">
      <w:rPr>
        <w:rStyle w:val="PageNumber"/>
        <w:b w:val="0"/>
      </w:rPr>
      <w:fldChar w:fldCharType="begin"/>
    </w:r>
    <w:r w:rsidRPr="002A6A82">
      <w:rPr>
        <w:rStyle w:val="PageNumber"/>
        <w:b w:val="0"/>
      </w:rPr>
      <w:instrText xml:space="preserve"> PAGE </w:instrText>
    </w:r>
    <w:r w:rsidRPr="002A6A82">
      <w:rPr>
        <w:rStyle w:val="PageNumber"/>
        <w:b w:val="0"/>
      </w:rPr>
      <w:fldChar w:fldCharType="separate"/>
    </w:r>
    <w:r w:rsidR="00F52F7C">
      <w:rPr>
        <w:rStyle w:val="PageNumber"/>
        <w:b w:val="0"/>
        <w:noProof/>
      </w:rPr>
      <w:t>5</w:t>
    </w:r>
    <w:r w:rsidRPr="002A6A82">
      <w:rPr>
        <w:rStyle w:val="PageNumbe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539255"/>
      <w:docPartObj>
        <w:docPartGallery w:val="Page Numbers (Bottom of Page)"/>
        <w:docPartUnique/>
      </w:docPartObj>
    </w:sdtPr>
    <w:sdtEndPr>
      <w:rPr>
        <w:b w:val="0"/>
        <w:noProof/>
      </w:rPr>
    </w:sdtEndPr>
    <w:sdtContent>
      <w:p w14:paraId="14AEA514" w14:textId="7822BE9C" w:rsidR="003A1D64" w:rsidRPr="002A6A82" w:rsidRDefault="003A1D64" w:rsidP="00174DCA">
        <w:pPr>
          <w:pStyle w:val="Footer-pool"/>
          <w:rPr>
            <w:b w:val="0"/>
          </w:rPr>
        </w:pPr>
        <w:r>
          <w:rPr>
            <w:b w:val="0"/>
          </w:rPr>
          <w:t>K1904259</w:t>
        </w:r>
        <w:r>
          <w:rPr>
            <w:b w:val="0"/>
          </w:rPr>
          <w:tab/>
          <w:t>181119</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371454"/>
      <w:docPartObj>
        <w:docPartGallery w:val="Page Numbers (Bottom of Page)"/>
        <w:docPartUnique/>
      </w:docPartObj>
    </w:sdtPr>
    <w:sdtEndPr>
      <w:rPr>
        <w:noProof/>
      </w:rPr>
    </w:sdtEndPr>
    <w:sdtContent>
      <w:p w14:paraId="0649769A" w14:textId="2E9A623B" w:rsidR="003A1D64" w:rsidRDefault="003A1D64" w:rsidP="00174DCA">
        <w:pPr>
          <w:pStyle w:val="Footer-pool"/>
        </w:pPr>
        <w:r>
          <w:fldChar w:fldCharType="begin"/>
        </w:r>
        <w:r>
          <w:instrText xml:space="preserve"> PAGE   \* MERGEFORMAT </w:instrText>
        </w:r>
        <w:r>
          <w:fldChar w:fldCharType="separate"/>
        </w:r>
        <w:r w:rsidR="000542DC">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01044" w14:textId="77777777" w:rsidR="003A1D64" w:rsidRPr="00174DCA" w:rsidRDefault="003A1D64" w:rsidP="00174DCA">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174DCA">
        <w:rPr>
          <w:sz w:val="18"/>
          <w:szCs w:val="18"/>
        </w:rPr>
        <w:separator/>
      </w:r>
    </w:p>
  </w:footnote>
  <w:footnote w:type="continuationSeparator" w:id="0">
    <w:p w14:paraId="642F1EB0" w14:textId="77777777" w:rsidR="003A1D64" w:rsidRDefault="003A1D64">
      <w:r>
        <w:continuationSeparator/>
      </w:r>
    </w:p>
  </w:footnote>
  <w:footnote w:id="1">
    <w:p w14:paraId="64947AE8" w14:textId="77777777" w:rsidR="003A1D64" w:rsidRPr="002A6A82" w:rsidRDefault="003A1D64" w:rsidP="001D0FB8">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2A6A82">
        <w:rPr>
          <w:sz w:val="18"/>
          <w:szCs w:val="18"/>
          <w:lang w:val="fr-FR"/>
        </w:rPr>
        <w:t>* UNEP/MC/COP.3/1.</w:t>
      </w:r>
    </w:p>
  </w:footnote>
  <w:footnote w:id="2">
    <w:p w14:paraId="2F3BF5AB" w14:textId="1C3F4C72" w:rsidR="003A1D64" w:rsidRPr="0023219C" w:rsidRDefault="003A1D64" w:rsidP="00174DCA">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23219C">
        <w:rPr>
          <w:sz w:val="18"/>
          <w:szCs w:val="18"/>
          <w:vertAlign w:val="superscript"/>
          <w:lang w:val="fr-FR"/>
        </w:rPr>
        <w:footnoteRef/>
      </w:r>
      <w:r w:rsidR="00C37F47">
        <w:rPr>
          <w:sz w:val="18"/>
          <w:szCs w:val="18"/>
          <w:lang w:val="fr-FR"/>
        </w:rPr>
        <w:t xml:space="preserve"> BC-13/24, par. </w:t>
      </w:r>
      <w:r w:rsidRPr="0023219C">
        <w:rPr>
          <w:sz w:val="18"/>
          <w:szCs w:val="18"/>
          <w:lang w:val="fr-FR"/>
        </w:rPr>
        <w:t>13</w:t>
      </w:r>
      <w:r w:rsidR="00F77388">
        <w:rPr>
          <w:sz w:val="18"/>
          <w:szCs w:val="18"/>
          <w:lang w:val="fr-FR"/>
        </w:rPr>
        <w:t> </w:t>
      </w:r>
      <w:r w:rsidR="00C37F47">
        <w:rPr>
          <w:sz w:val="18"/>
          <w:szCs w:val="18"/>
          <w:lang w:val="fr-FR"/>
        </w:rPr>
        <w:t>; RC-8/17, par. </w:t>
      </w:r>
      <w:r w:rsidRPr="0023219C">
        <w:rPr>
          <w:sz w:val="18"/>
          <w:szCs w:val="18"/>
          <w:lang w:val="fr-FR"/>
        </w:rPr>
        <w:t>17</w:t>
      </w:r>
      <w:r w:rsidR="00F77388">
        <w:rPr>
          <w:sz w:val="18"/>
          <w:szCs w:val="18"/>
          <w:lang w:val="fr-FR"/>
        </w:rPr>
        <w:t> </w:t>
      </w:r>
      <w:r w:rsidR="00C37F47">
        <w:rPr>
          <w:sz w:val="18"/>
          <w:szCs w:val="18"/>
          <w:lang w:val="fr-FR"/>
        </w:rPr>
        <w:t>; SC-8/27, par. </w:t>
      </w:r>
      <w:r w:rsidRPr="0023219C">
        <w:rPr>
          <w:sz w:val="18"/>
          <w:szCs w:val="18"/>
          <w:lang w:val="fr-FR"/>
        </w:rPr>
        <w:t>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639BF" w14:textId="2F884592" w:rsidR="003A1D64" w:rsidRPr="005F2B12" w:rsidRDefault="003A1D64" w:rsidP="005F2B12">
    <w:pPr>
      <w:pStyle w:val="Header"/>
      <w:rPr>
        <w:szCs w:val="18"/>
      </w:rPr>
    </w:pPr>
    <w:r w:rsidRPr="00353EC0">
      <w:rPr>
        <w:bCs/>
        <w:szCs w:val="18"/>
      </w:rPr>
      <w:t>UNEP</w:t>
    </w:r>
    <w:r w:rsidRPr="00353EC0">
      <w:rPr>
        <w:szCs w:val="18"/>
      </w:rPr>
      <w:t>/MC/COP.3/</w:t>
    </w:r>
    <w:r>
      <w:rPr>
        <w:szCs w:val="18"/>
      </w:rPr>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F0998" w14:textId="5F3B5368" w:rsidR="003A1D64" w:rsidRPr="00CA5CA9" w:rsidRDefault="003A1D64" w:rsidP="00F7137B">
    <w:pPr>
      <w:pStyle w:val="Header"/>
      <w:jc w:val="right"/>
      <w:rPr>
        <w:szCs w:val="18"/>
      </w:rPr>
    </w:pPr>
    <w:r w:rsidRPr="00353EC0">
      <w:rPr>
        <w:bCs/>
        <w:szCs w:val="18"/>
      </w:rPr>
      <w:t>UNEP</w:t>
    </w:r>
    <w:r w:rsidRPr="00353EC0">
      <w:rPr>
        <w:szCs w:val="18"/>
      </w:rPr>
      <w:t>/MC/COP.3/</w:t>
    </w:r>
    <w:r>
      <w:rPr>
        <w:szCs w:val="18"/>
      </w:rPr>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0B05C" w14:textId="70BD7552" w:rsidR="003A1D64" w:rsidRPr="009E0757" w:rsidRDefault="003A1D64" w:rsidP="007F2E64">
    <w:pPr>
      <w:pStyle w:val="Header"/>
      <w:pBdr>
        <w:bottom w:val="none" w:sz="0" w:space="0" w:color="auto"/>
      </w:pBdr>
      <w:rPr>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E07E" w14:textId="162BC279" w:rsidR="003A1D64" w:rsidRPr="005F2B12" w:rsidRDefault="003A1D64" w:rsidP="005F2B12">
    <w:pPr>
      <w:pStyle w:val="Header"/>
      <w:rPr>
        <w:szCs w:val="18"/>
      </w:rPr>
    </w:pPr>
    <w:r w:rsidRPr="00353EC0">
      <w:rPr>
        <w:bCs/>
        <w:szCs w:val="18"/>
      </w:rPr>
      <w:t>UNEP</w:t>
    </w:r>
    <w:r w:rsidRPr="00353EC0">
      <w:rPr>
        <w:szCs w:val="18"/>
      </w:rPr>
      <w:t>/MC/COP.3/</w:t>
    </w:r>
    <w:r>
      <w:rPr>
        <w:szCs w:val="18"/>
      </w:rPr>
      <w:t>16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0EACC" w14:textId="17DE5631" w:rsidR="003A1D64" w:rsidRPr="005F2B12" w:rsidRDefault="003A1D64" w:rsidP="005F2B12">
    <w:pPr>
      <w:pStyle w:val="Header"/>
      <w:jc w:val="right"/>
      <w:rPr>
        <w:szCs w:val="18"/>
      </w:rPr>
    </w:pPr>
    <w:r w:rsidRPr="00353EC0">
      <w:rPr>
        <w:bCs/>
        <w:szCs w:val="18"/>
      </w:rPr>
      <w:t>UNEP</w:t>
    </w:r>
    <w:r w:rsidRPr="00353EC0">
      <w:rPr>
        <w:szCs w:val="18"/>
      </w:rPr>
      <w:t>/MC/COP.3/</w:t>
    </w:r>
    <w:r>
      <w:rPr>
        <w:szCs w:val="18"/>
      </w:rPr>
      <w:t>16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06380" w14:textId="01FBA66F" w:rsidR="003A1D64" w:rsidRPr="009E0757" w:rsidRDefault="003A1D64" w:rsidP="009E0757">
    <w:pPr>
      <w:pStyle w:val="Header"/>
      <w:rPr>
        <w:szCs w:val="18"/>
      </w:rPr>
    </w:pPr>
    <w:r w:rsidRPr="00353EC0">
      <w:rPr>
        <w:bCs/>
        <w:szCs w:val="18"/>
      </w:rPr>
      <w:t>UNEP</w:t>
    </w:r>
    <w:r w:rsidRPr="00353EC0">
      <w:rPr>
        <w:szCs w:val="18"/>
      </w:rPr>
      <w:t>/MC/COP.3/</w:t>
    </w:r>
    <w:r>
      <w:rPr>
        <w:szCs w:val="18"/>
      </w:rPr>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C14"/>
    <w:multiLevelType w:val="multilevel"/>
    <w:tmpl w:val="6A3AB504"/>
    <w:lvl w:ilvl="0">
      <w:start w:val="1"/>
      <w:numFmt w:val="lowerLetter"/>
      <w:lvlText w:val="%1)"/>
      <w:lvlJc w:val="left"/>
      <w:pPr>
        <w:tabs>
          <w:tab w:val="num" w:pos="1758"/>
        </w:tabs>
        <w:ind w:left="1871" w:firstLine="0"/>
      </w:pPr>
      <w:rPr>
        <w:rFonts w:hint="default"/>
      </w:rPr>
    </w:lvl>
    <w:lvl w:ilvl="1">
      <w:start w:val="1"/>
      <w:numFmt w:val="lowerLetter"/>
      <w:lvlText w:val="(%2)"/>
      <w:lvlJc w:val="left"/>
      <w:pPr>
        <w:tabs>
          <w:tab w:val="num" w:pos="1758"/>
        </w:tabs>
        <w:ind w:left="1871" w:firstLine="567"/>
      </w:pPr>
      <w:rPr>
        <w:rFonts w:hint="default"/>
      </w:rPr>
    </w:lvl>
    <w:lvl w:ilvl="2">
      <w:start w:val="1"/>
      <w:numFmt w:val="lowerRoman"/>
      <w:lvlText w:val="(%3)"/>
      <w:lvlJc w:val="left"/>
      <w:pPr>
        <w:tabs>
          <w:tab w:val="num" w:pos="1758"/>
        </w:tabs>
        <w:ind w:left="3572" w:hanging="567"/>
      </w:pPr>
      <w:rPr>
        <w:rFonts w:hint="default"/>
      </w:rPr>
    </w:lvl>
    <w:lvl w:ilvl="3">
      <w:start w:val="1"/>
      <w:numFmt w:val="lowerLetter"/>
      <w:lvlText w:val="%4."/>
      <w:lvlJc w:val="left"/>
      <w:pPr>
        <w:tabs>
          <w:tab w:val="num" w:pos="1758"/>
        </w:tabs>
        <w:ind w:left="4139" w:hanging="567"/>
      </w:pPr>
      <w:rPr>
        <w:rFonts w:hint="default"/>
      </w:rPr>
    </w:lvl>
    <w:lvl w:ilvl="4">
      <w:start w:val="1"/>
      <w:numFmt w:val="lowerRoman"/>
      <w:lvlText w:val="%5."/>
      <w:lvlJc w:val="left"/>
      <w:pPr>
        <w:tabs>
          <w:tab w:val="num" w:pos="1758"/>
        </w:tabs>
        <w:ind w:left="4706" w:hanging="567"/>
      </w:pPr>
      <w:rPr>
        <w:rFonts w:hint="default"/>
      </w:rPr>
    </w:lvl>
    <w:lvl w:ilvl="5">
      <w:start w:val="1"/>
      <w:numFmt w:val="lowerRoman"/>
      <w:lvlText w:val="%6."/>
      <w:lvlJc w:val="right"/>
      <w:pPr>
        <w:tabs>
          <w:tab w:val="num" w:pos="8459"/>
        </w:tabs>
        <w:ind w:left="8459" w:hanging="180"/>
      </w:pPr>
      <w:rPr>
        <w:rFonts w:hint="default"/>
      </w:rPr>
    </w:lvl>
    <w:lvl w:ilvl="6">
      <w:start w:val="1"/>
      <w:numFmt w:val="decimal"/>
      <w:lvlText w:val="%7."/>
      <w:lvlJc w:val="left"/>
      <w:pPr>
        <w:tabs>
          <w:tab w:val="num" w:pos="9179"/>
        </w:tabs>
        <w:ind w:left="9179" w:hanging="360"/>
      </w:pPr>
      <w:rPr>
        <w:rFonts w:hint="default"/>
      </w:rPr>
    </w:lvl>
    <w:lvl w:ilvl="7">
      <w:start w:val="1"/>
      <w:numFmt w:val="lowerLetter"/>
      <w:lvlText w:val="%8."/>
      <w:lvlJc w:val="left"/>
      <w:pPr>
        <w:tabs>
          <w:tab w:val="num" w:pos="9899"/>
        </w:tabs>
        <w:ind w:left="9899" w:hanging="360"/>
      </w:pPr>
      <w:rPr>
        <w:rFonts w:hint="default"/>
      </w:rPr>
    </w:lvl>
    <w:lvl w:ilvl="8">
      <w:start w:val="1"/>
      <w:numFmt w:val="lowerRoman"/>
      <w:lvlText w:val="%9."/>
      <w:lvlJc w:val="right"/>
      <w:pPr>
        <w:tabs>
          <w:tab w:val="num" w:pos="10619"/>
        </w:tabs>
        <w:ind w:left="10619"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6444693"/>
    <w:multiLevelType w:val="hybridMultilevel"/>
    <w:tmpl w:val="62AA7558"/>
    <w:lvl w:ilvl="0" w:tplc="33DA8208">
      <w:start w:val="1"/>
      <w:numFmt w:val="upperLetter"/>
      <w:lvlText w:val="%1."/>
      <w:lvlJc w:val="left"/>
      <w:pPr>
        <w:ind w:left="3479" w:hanging="360"/>
      </w:pPr>
      <w:rPr>
        <w:rFonts w:hint="default"/>
        <w:sz w:val="24"/>
        <w:szCs w:val="24"/>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5B27B6"/>
    <w:multiLevelType w:val="hybridMultilevel"/>
    <w:tmpl w:val="CE2859F4"/>
    <w:lvl w:ilvl="0" w:tplc="D0168A4A">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52A66A9D"/>
    <w:multiLevelType w:val="multilevel"/>
    <w:tmpl w:val="ADE0072A"/>
    <w:styleLink w:val="Normallist"/>
    <w:lvl w:ilvl="0">
      <w:start w:val="1"/>
      <w:numFmt w:val="decimal"/>
      <w:pStyle w:val="Normalnumber"/>
      <w:lvlText w:val="%1."/>
      <w:lvlJc w:val="left"/>
      <w:pPr>
        <w:tabs>
          <w:tab w:val="num" w:pos="597"/>
        </w:tabs>
        <w:ind w:left="710" w:firstLine="0"/>
      </w:pPr>
      <w:rPr>
        <w:rFonts w:hint="default"/>
      </w:rPr>
    </w:lvl>
    <w:lvl w:ilvl="1">
      <w:start w:val="1"/>
      <w:numFmt w:val="lowerLetter"/>
      <w:lvlText w:val="%2)"/>
      <w:lvlJc w:val="left"/>
      <w:pPr>
        <w:tabs>
          <w:tab w:val="num" w:pos="1758"/>
        </w:tabs>
        <w:ind w:left="1871" w:firstLine="567"/>
      </w:pPr>
      <w:rPr>
        <w:rFonts w:ascii="Times New Roman" w:eastAsia="Times New Roman" w:hAnsi="Times New Roman" w:cs="Times New Roman"/>
      </w:rPr>
    </w:lvl>
    <w:lvl w:ilvl="2">
      <w:start w:val="1"/>
      <w:numFmt w:val="lowerRoman"/>
      <w:lvlText w:val="(%3)"/>
      <w:lvlJc w:val="left"/>
      <w:pPr>
        <w:tabs>
          <w:tab w:val="num" w:pos="1758"/>
        </w:tabs>
        <w:ind w:left="3572" w:hanging="567"/>
      </w:pPr>
      <w:rPr>
        <w:rFonts w:hint="default"/>
      </w:rPr>
    </w:lvl>
    <w:lvl w:ilvl="3">
      <w:start w:val="1"/>
      <w:numFmt w:val="lowerLetter"/>
      <w:lvlText w:val="%4."/>
      <w:lvlJc w:val="left"/>
      <w:pPr>
        <w:tabs>
          <w:tab w:val="num" w:pos="1758"/>
        </w:tabs>
        <w:ind w:left="4139" w:hanging="567"/>
      </w:pPr>
      <w:rPr>
        <w:rFonts w:hint="default"/>
      </w:rPr>
    </w:lvl>
    <w:lvl w:ilvl="4">
      <w:start w:val="1"/>
      <w:numFmt w:val="lowerRoman"/>
      <w:lvlText w:val="%5."/>
      <w:lvlJc w:val="left"/>
      <w:pPr>
        <w:tabs>
          <w:tab w:val="num" w:pos="1758"/>
        </w:tabs>
        <w:ind w:left="4706" w:hanging="567"/>
      </w:pPr>
      <w:rPr>
        <w:rFonts w:hint="default"/>
      </w:rPr>
    </w:lvl>
    <w:lvl w:ilvl="5">
      <w:start w:val="1"/>
      <w:numFmt w:val="lowerRoman"/>
      <w:lvlText w:val="%6."/>
      <w:lvlJc w:val="right"/>
      <w:pPr>
        <w:tabs>
          <w:tab w:val="num" w:pos="8459"/>
        </w:tabs>
        <w:ind w:left="8459" w:hanging="180"/>
      </w:pPr>
      <w:rPr>
        <w:rFonts w:hint="default"/>
      </w:rPr>
    </w:lvl>
    <w:lvl w:ilvl="6">
      <w:start w:val="1"/>
      <w:numFmt w:val="decimal"/>
      <w:lvlText w:val="%7."/>
      <w:lvlJc w:val="left"/>
      <w:pPr>
        <w:tabs>
          <w:tab w:val="num" w:pos="9179"/>
        </w:tabs>
        <w:ind w:left="9179" w:hanging="360"/>
      </w:pPr>
      <w:rPr>
        <w:rFonts w:hint="default"/>
      </w:rPr>
    </w:lvl>
    <w:lvl w:ilvl="7">
      <w:start w:val="1"/>
      <w:numFmt w:val="lowerLetter"/>
      <w:lvlText w:val="%8."/>
      <w:lvlJc w:val="left"/>
      <w:pPr>
        <w:tabs>
          <w:tab w:val="num" w:pos="9899"/>
        </w:tabs>
        <w:ind w:left="9899" w:hanging="360"/>
      </w:pPr>
      <w:rPr>
        <w:rFonts w:hint="default"/>
      </w:rPr>
    </w:lvl>
    <w:lvl w:ilvl="8">
      <w:start w:val="1"/>
      <w:numFmt w:val="lowerRoman"/>
      <w:lvlText w:val="%9."/>
      <w:lvlJc w:val="right"/>
      <w:pPr>
        <w:tabs>
          <w:tab w:val="num" w:pos="10619"/>
        </w:tabs>
        <w:ind w:left="10619" w:hanging="180"/>
      </w:pPr>
      <w:rPr>
        <w:rFonts w:hint="default"/>
      </w:rPr>
    </w:lvl>
  </w:abstractNum>
  <w:num w:numId="1">
    <w:abstractNumId w:val="5"/>
  </w:num>
  <w:num w:numId="2">
    <w:abstractNumId w:val="1"/>
  </w:num>
  <w:num w:numId="3">
    <w:abstractNumId w:val="3"/>
  </w:num>
  <w:num w:numId="4">
    <w:abstractNumId w:val="5"/>
    <w:lvlOverride w:ilvl="0">
      <w:lvl w:ilvl="0">
        <w:start w:val="1"/>
        <w:numFmt w:val="decimal"/>
        <w:pStyle w:val="Normalnumber"/>
        <w:lvlText w:val="%1."/>
        <w:lvlJc w:val="left"/>
        <w:pPr>
          <w:tabs>
            <w:tab w:val="num" w:pos="597"/>
          </w:tabs>
          <w:ind w:left="710" w:firstLine="0"/>
        </w:pPr>
        <w:rPr>
          <w:rFonts w:hint="default"/>
        </w:rPr>
      </w:lvl>
    </w:lvlOverride>
    <w:lvlOverride w:ilvl="1">
      <w:lvl w:ilvl="1">
        <w:start w:val="1"/>
        <w:numFmt w:val="lowerLetter"/>
        <w:lvlText w:val="%2)"/>
        <w:lvlJc w:val="left"/>
        <w:pPr>
          <w:tabs>
            <w:tab w:val="num" w:pos="1758"/>
          </w:tabs>
          <w:ind w:left="1871" w:firstLine="567"/>
        </w:pPr>
        <w:rPr>
          <w:rFonts w:ascii="Times New Roman" w:eastAsia="Times New Roman" w:hAnsi="Times New Roman" w:cs="Times New Roman"/>
        </w:rPr>
      </w:lvl>
    </w:lvlOverride>
    <w:lvlOverride w:ilvl="2">
      <w:lvl w:ilvl="2">
        <w:start w:val="1"/>
        <w:numFmt w:val="lowerRoman"/>
        <w:lvlText w:val="(%3)"/>
        <w:lvlJc w:val="left"/>
        <w:pPr>
          <w:tabs>
            <w:tab w:val="num" w:pos="1758"/>
          </w:tabs>
          <w:ind w:left="3572" w:hanging="567"/>
        </w:pPr>
        <w:rPr>
          <w:rFonts w:hint="default"/>
        </w:rPr>
      </w:lvl>
    </w:lvlOverride>
    <w:lvlOverride w:ilvl="3">
      <w:lvl w:ilvl="3">
        <w:start w:val="1"/>
        <w:numFmt w:val="lowerLetter"/>
        <w:lvlText w:val="%4."/>
        <w:lvlJc w:val="left"/>
        <w:pPr>
          <w:tabs>
            <w:tab w:val="num" w:pos="1758"/>
          </w:tabs>
          <w:ind w:left="4139" w:hanging="567"/>
        </w:pPr>
        <w:rPr>
          <w:rFonts w:hint="default"/>
        </w:rPr>
      </w:lvl>
    </w:lvlOverride>
    <w:lvlOverride w:ilvl="4">
      <w:lvl w:ilvl="4">
        <w:start w:val="1"/>
        <w:numFmt w:val="lowerRoman"/>
        <w:lvlText w:val="%5."/>
        <w:lvlJc w:val="left"/>
        <w:pPr>
          <w:tabs>
            <w:tab w:val="num" w:pos="1758"/>
          </w:tabs>
          <w:ind w:left="4706" w:hanging="567"/>
        </w:pPr>
        <w:rPr>
          <w:rFonts w:hint="default"/>
        </w:rPr>
      </w:lvl>
    </w:lvlOverride>
    <w:lvlOverride w:ilvl="5">
      <w:lvl w:ilvl="5">
        <w:start w:val="1"/>
        <w:numFmt w:val="lowerRoman"/>
        <w:lvlText w:val="%6."/>
        <w:lvlJc w:val="right"/>
        <w:pPr>
          <w:tabs>
            <w:tab w:val="num" w:pos="8459"/>
          </w:tabs>
          <w:ind w:left="8459" w:hanging="180"/>
        </w:pPr>
        <w:rPr>
          <w:rFonts w:hint="default"/>
        </w:rPr>
      </w:lvl>
    </w:lvlOverride>
    <w:lvlOverride w:ilvl="6">
      <w:lvl w:ilvl="6">
        <w:start w:val="1"/>
        <w:numFmt w:val="decimal"/>
        <w:lvlText w:val="%7."/>
        <w:lvlJc w:val="left"/>
        <w:pPr>
          <w:tabs>
            <w:tab w:val="num" w:pos="9179"/>
          </w:tabs>
          <w:ind w:left="9179" w:hanging="360"/>
        </w:pPr>
        <w:rPr>
          <w:rFonts w:hint="default"/>
        </w:rPr>
      </w:lvl>
    </w:lvlOverride>
    <w:lvlOverride w:ilvl="7">
      <w:lvl w:ilvl="7">
        <w:start w:val="1"/>
        <w:numFmt w:val="lowerLetter"/>
        <w:lvlText w:val="%8."/>
        <w:lvlJc w:val="left"/>
        <w:pPr>
          <w:tabs>
            <w:tab w:val="num" w:pos="9899"/>
          </w:tabs>
          <w:ind w:left="9899" w:hanging="360"/>
        </w:pPr>
        <w:rPr>
          <w:rFonts w:hint="default"/>
        </w:rPr>
      </w:lvl>
    </w:lvlOverride>
    <w:lvlOverride w:ilvl="8">
      <w:lvl w:ilvl="8">
        <w:start w:val="1"/>
        <w:numFmt w:val="lowerRoman"/>
        <w:lvlText w:val="%9."/>
        <w:lvlJc w:val="right"/>
        <w:pPr>
          <w:tabs>
            <w:tab w:val="num" w:pos="10619"/>
          </w:tabs>
          <w:ind w:left="10619" w:hanging="180"/>
        </w:pPr>
        <w:rPr>
          <w:rFonts w:hint="default"/>
        </w:rPr>
      </w:lvl>
    </w:lvlOverride>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 w:ilvl="0">
        <w:start w:val="1"/>
        <w:numFmt w:val="decimal"/>
        <w:pStyle w:val="Normalnumber"/>
        <w:lvlText w:val="%1."/>
        <w:lvlJc w:val="left"/>
        <w:pPr>
          <w:tabs>
            <w:tab w:val="num" w:pos="597"/>
          </w:tabs>
          <w:ind w:left="710"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8">
    <w:abstractNumId w:val="4"/>
  </w:num>
  <w:num w:numId="9">
    <w:abstractNumId w:val="2"/>
  </w:num>
  <w:num w:numId="10">
    <w:abstractNumId w:val="5"/>
    <w:lvlOverride w:ilvl="0">
      <w:startOverride w:val="1"/>
      <w:lvl w:ilvl="0">
        <w:start w:val="1"/>
        <w:numFmt w:val="decimal"/>
        <w:pStyle w:val="Normalnumber"/>
        <w:lvlText w:val="%1."/>
        <w:lvlJc w:val="left"/>
        <w:pPr>
          <w:tabs>
            <w:tab w:val="num" w:pos="597"/>
          </w:tabs>
          <w:ind w:left="710" w:firstLine="0"/>
        </w:pPr>
        <w:rPr>
          <w:rFonts w:hint="default"/>
        </w:rPr>
      </w:lvl>
    </w:lvlOverride>
    <w:lvlOverride w:ilvl="1">
      <w:startOverride w:val="1"/>
      <w:lvl w:ilvl="1">
        <w:start w:val="1"/>
        <w:numFmt w:val="lowerLetter"/>
        <w:lvlText w:val="%2)"/>
        <w:lvlJc w:val="left"/>
        <w:pPr>
          <w:tabs>
            <w:tab w:val="num" w:pos="1758"/>
          </w:tabs>
          <w:ind w:left="1871" w:firstLine="567"/>
        </w:pPr>
        <w:rPr>
          <w:rFonts w:ascii="Times New Roman" w:eastAsia="Times New Roman" w:hAnsi="Times New Roman" w:cs="Times New Roman"/>
        </w:rPr>
      </w:lvl>
    </w:lvlOverride>
    <w:lvlOverride w:ilvl="2">
      <w:startOverride w:val="1"/>
      <w:lvl w:ilvl="2">
        <w:start w:val="1"/>
        <w:numFmt w:val="lowerRoman"/>
        <w:lvlText w:val="(%3)"/>
        <w:lvlJc w:val="left"/>
        <w:pPr>
          <w:tabs>
            <w:tab w:val="num" w:pos="1758"/>
          </w:tabs>
          <w:ind w:left="3572" w:hanging="567"/>
        </w:pPr>
        <w:rPr>
          <w:rFonts w:hint="default"/>
        </w:rPr>
      </w:lvl>
    </w:lvlOverride>
    <w:lvlOverride w:ilvl="3">
      <w:startOverride w:val="1"/>
      <w:lvl w:ilvl="3">
        <w:start w:val="1"/>
        <w:numFmt w:val="lowerLetter"/>
        <w:lvlText w:val="%4."/>
        <w:lvlJc w:val="left"/>
        <w:pPr>
          <w:tabs>
            <w:tab w:val="num" w:pos="1758"/>
          </w:tabs>
          <w:ind w:left="4139" w:hanging="567"/>
        </w:pPr>
        <w:rPr>
          <w:rFonts w:hint="default"/>
        </w:rPr>
      </w:lvl>
    </w:lvlOverride>
    <w:lvlOverride w:ilvl="4">
      <w:startOverride w:val="1"/>
      <w:lvl w:ilvl="4">
        <w:start w:val="1"/>
        <w:numFmt w:val="lowerRoman"/>
        <w:lvlText w:val="%5."/>
        <w:lvlJc w:val="left"/>
        <w:pPr>
          <w:tabs>
            <w:tab w:val="num" w:pos="1758"/>
          </w:tabs>
          <w:ind w:left="4706" w:hanging="567"/>
        </w:pPr>
        <w:rPr>
          <w:rFonts w:hint="default"/>
        </w:rPr>
      </w:lvl>
    </w:lvlOverride>
    <w:lvlOverride w:ilvl="5">
      <w:startOverride w:val="1"/>
      <w:lvl w:ilvl="5">
        <w:start w:val="1"/>
        <w:numFmt w:val="lowerRoman"/>
        <w:lvlText w:val="%6."/>
        <w:lvlJc w:val="right"/>
        <w:pPr>
          <w:tabs>
            <w:tab w:val="num" w:pos="8459"/>
          </w:tabs>
          <w:ind w:left="8459" w:hanging="180"/>
        </w:pPr>
        <w:rPr>
          <w:rFonts w:hint="default"/>
        </w:rPr>
      </w:lvl>
    </w:lvlOverride>
    <w:lvlOverride w:ilvl="6">
      <w:startOverride w:val="1"/>
      <w:lvl w:ilvl="6">
        <w:start w:val="1"/>
        <w:numFmt w:val="decimal"/>
        <w:lvlText w:val="%7."/>
        <w:lvlJc w:val="left"/>
        <w:pPr>
          <w:tabs>
            <w:tab w:val="num" w:pos="9179"/>
          </w:tabs>
          <w:ind w:left="9179" w:hanging="360"/>
        </w:pPr>
        <w:rPr>
          <w:rFonts w:hint="default"/>
        </w:rPr>
      </w:lvl>
    </w:lvlOverride>
    <w:lvlOverride w:ilvl="7">
      <w:startOverride w:val="1"/>
      <w:lvl w:ilvl="7">
        <w:start w:val="1"/>
        <w:numFmt w:val="lowerLetter"/>
        <w:lvlText w:val="%8."/>
        <w:lvlJc w:val="left"/>
        <w:pPr>
          <w:tabs>
            <w:tab w:val="num" w:pos="9899"/>
          </w:tabs>
          <w:ind w:left="9899" w:hanging="360"/>
        </w:pPr>
        <w:rPr>
          <w:rFonts w:hint="default"/>
        </w:rPr>
      </w:lvl>
    </w:lvlOverride>
    <w:lvlOverride w:ilvl="8">
      <w:startOverride w:val="1"/>
      <w:lvl w:ilvl="8">
        <w:start w:val="1"/>
        <w:numFmt w:val="lowerRoman"/>
        <w:lvlText w:val="%9."/>
        <w:lvlJc w:val="right"/>
        <w:pPr>
          <w:tabs>
            <w:tab w:val="num" w:pos="10619"/>
          </w:tabs>
          <w:ind w:left="10619" w:hanging="180"/>
        </w:pPr>
        <w:rPr>
          <w:rFonts w:hint="default"/>
        </w:rPr>
      </w:lvl>
    </w:lvlOverride>
  </w:num>
  <w:num w:numId="11">
    <w:abstractNumId w:val="5"/>
    <w:lvlOverride w:ilvl="0">
      <w:lvl w:ilvl="0">
        <w:start w:val="1"/>
        <w:numFmt w:val="decimal"/>
        <w:pStyle w:val="Normalnumber"/>
        <w:lvlText w:val="%1."/>
        <w:lvlJc w:val="left"/>
        <w:pPr>
          <w:tabs>
            <w:tab w:val="num" w:pos="597"/>
          </w:tabs>
          <w:ind w:left="710" w:firstLine="0"/>
        </w:pPr>
        <w:rPr>
          <w:rFonts w:hint="default"/>
        </w:rPr>
      </w:lvl>
    </w:lvlOverride>
    <w:lvlOverride w:ilvl="1">
      <w:lvl w:ilvl="1">
        <w:start w:val="1"/>
        <w:numFmt w:val="lowerLetter"/>
        <w:lvlText w:val="%2)"/>
        <w:lvlJc w:val="left"/>
        <w:pPr>
          <w:tabs>
            <w:tab w:val="num" w:pos="1758"/>
          </w:tabs>
          <w:ind w:left="1871" w:firstLine="567"/>
        </w:pPr>
        <w:rPr>
          <w:rFonts w:ascii="Times New Roman" w:eastAsia="Times New Roman" w:hAnsi="Times New Roman" w:cs="Times New Roman"/>
        </w:rPr>
      </w:lvl>
    </w:lvlOverride>
    <w:lvlOverride w:ilvl="2">
      <w:lvl w:ilvl="2">
        <w:start w:val="1"/>
        <w:numFmt w:val="lowerRoman"/>
        <w:lvlText w:val="(%3)"/>
        <w:lvlJc w:val="left"/>
        <w:pPr>
          <w:tabs>
            <w:tab w:val="num" w:pos="1758"/>
          </w:tabs>
          <w:ind w:left="3572" w:hanging="567"/>
        </w:pPr>
        <w:rPr>
          <w:rFonts w:hint="default"/>
        </w:rPr>
      </w:lvl>
    </w:lvlOverride>
    <w:lvlOverride w:ilvl="3">
      <w:lvl w:ilvl="3">
        <w:start w:val="1"/>
        <w:numFmt w:val="lowerLetter"/>
        <w:lvlText w:val="%4."/>
        <w:lvlJc w:val="left"/>
        <w:pPr>
          <w:tabs>
            <w:tab w:val="num" w:pos="1758"/>
          </w:tabs>
          <w:ind w:left="4139" w:hanging="567"/>
        </w:pPr>
        <w:rPr>
          <w:rFonts w:hint="default"/>
        </w:rPr>
      </w:lvl>
    </w:lvlOverride>
    <w:lvlOverride w:ilvl="4">
      <w:lvl w:ilvl="4">
        <w:start w:val="1"/>
        <w:numFmt w:val="lowerRoman"/>
        <w:lvlText w:val="%5."/>
        <w:lvlJc w:val="left"/>
        <w:pPr>
          <w:tabs>
            <w:tab w:val="num" w:pos="1758"/>
          </w:tabs>
          <w:ind w:left="4706" w:hanging="567"/>
        </w:pPr>
        <w:rPr>
          <w:rFonts w:hint="default"/>
        </w:rPr>
      </w:lvl>
    </w:lvlOverride>
    <w:lvlOverride w:ilvl="5">
      <w:lvl w:ilvl="5">
        <w:start w:val="1"/>
        <w:numFmt w:val="lowerRoman"/>
        <w:lvlText w:val="%6."/>
        <w:lvlJc w:val="right"/>
        <w:pPr>
          <w:tabs>
            <w:tab w:val="num" w:pos="8459"/>
          </w:tabs>
          <w:ind w:left="8459" w:hanging="180"/>
        </w:pPr>
        <w:rPr>
          <w:rFonts w:hint="default"/>
        </w:rPr>
      </w:lvl>
    </w:lvlOverride>
    <w:lvlOverride w:ilvl="6">
      <w:lvl w:ilvl="6">
        <w:start w:val="1"/>
        <w:numFmt w:val="decimal"/>
        <w:lvlText w:val="%7."/>
        <w:lvlJc w:val="left"/>
        <w:pPr>
          <w:tabs>
            <w:tab w:val="num" w:pos="9179"/>
          </w:tabs>
          <w:ind w:left="9179" w:hanging="360"/>
        </w:pPr>
        <w:rPr>
          <w:rFonts w:hint="default"/>
        </w:rPr>
      </w:lvl>
    </w:lvlOverride>
    <w:lvlOverride w:ilvl="7">
      <w:lvl w:ilvl="7">
        <w:start w:val="1"/>
        <w:numFmt w:val="lowerLetter"/>
        <w:lvlText w:val="%8."/>
        <w:lvlJc w:val="left"/>
        <w:pPr>
          <w:tabs>
            <w:tab w:val="num" w:pos="9899"/>
          </w:tabs>
          <w:ind w:left="9899" w:hanging="360"/>
        </w:pPr>
        <w:rPr>
          <w:rFonts w:hint="default"/>
        </w:rPr>
      </w:lvl>
    </w:lvlOverride>
    <w:lvlOverride w:ilvl="8">
      <w:lvl w:ilvl="8">
        <w:start w:val="1"/>
        <w:numFmt w:val="lowerRoman"/>
        <w:lvlText w:val="%9."/>
        <w:lvlJc w:val="right"/>
        <w:pPr>
          <w:tabs>
            <w:tab w:val="num" w:pos="10619"/>
          </w:tabs>
          <w:ind w:left="10619" w:hanging="180"/>
        </w:pPr>
        <w:rPr>
          <w:rFonts w:hint="default"/>
        </w:rPr>
      </w:lvl>
    </w:lvlOverride>
  </w:num>
  <w:num w:numId="12">
    <w:abstractNumId w:val="5"/>
    <w:lvlOverride w:ilvl="0">
      <w:lvl w:ilvl="0">
        <w:start w:val="1"/>
        <w:numFmt w:val="decimal"/>
        <w:pStyle w:val="Normalnumber"/>
        <w:lvlText w:val="%1."/>
        <w:lvlJc w:val="left"/>
        <w:pPr>
          <w:tabs>
            <w:tab w:val="num" w:pos="597"/>
          </w:tabs>
          <w:ind w:left="710" w:firstLine="0"/>
        </w:pPr>
        <w:rPr>
          <w:rFonts w:hint="default"/>
        </w:rPr>
      </w:lvl>
    </w:lvlOverride>
    <w:lvlOverride w:ilvl="1">
      <w:lvl w:ilvl="1">
        <w:start w:val="1"/>
        <w:numFmt w:val="lowerLetter"/>
        <w:lvlText w:val="%2)"/>
        <w:lvlJc w:val="left"/>
        <w:pPr>
          <w:tabs>
            <w:tab w:val="num" w:pos="1758"/>
          </w:tabs>
          <w:ind w:left="1871" w:firstLine="567"/>
        </w:pPr>
        <w:rPr>
          <w:rFonts w:ascii="Times New Roman" w:eastAsia="Times New Roman" w:hAnsi="Times New Roman" w:cs="Times New Roman"/>
        </w:rPr>
      </w:lvl>
    </w:lvlOverride>
    <w:lvlOverride w:ilvl="2">
      <w:lvl w:ilvl="2">
        <w:start w:val="1"/>
        <w:numFmt w:val="lowerRoman"/>
        <w:lvlText w:val="(%3)"/>
        <w:lvlJc w:val="left"/>
        <w:pPr>
          <w:tabs>
            <w:tab w:val="num" w:pos="1758"/>
          </w:tabs>
          <w:ind w:left="3572" w:hanging="567"/>
        </w:pPr>
        <w:rPr>
          <w:rFonts w:hint="default"/>
        </w:rPr>
      </w:lvl>
    </w:lvlOverride>
    <w:lvlOverride w:ilvl="3">
      <w:lvl w:ilvl="3">
        <w:start w:val="1"/>
        <w:numFmt w:val="lowerLetter"/>
        <w:lvlText w:val="%4."/>
        <w:lvlJc w:val="left"/>
        <w:pPr>
          <w:tabs>
            <w:tab w:val="num" w:pos="1758"/>
          </w:tabs>
          <w:ind w:left="4139" w:hanging="567"/>
        </w:pPr>
        <w:rPr>
          <w:rFonts w:hint="default"/>
        </w:rPr>
      </w:lvl>
    </w:lvlOverride>
    <w:lvlOverride w:ilvl="4">
      <w:lvl w:ilvl="4">
        <w:start w:val="1"/>
        <w:numFmt w:val="lowerRoman"/>
        <w:lvlText w:val="%5."/>
        <w:lvlJc w:val="left"/>
        <w:pPr>
          <w:tabs>
            <w:tab w:val="num" w:pos="1758"/>
          </w:tabs>
          <w:ind w:left="4706" w:hanging="567"/>
        </w:pPr>
        <w:rPr>
          <w:rFonts w:hint="default"/>
        </w:rPr>
      </w:lvl>
    </w:lvlOverride>
    <w:lvlOverride w:ilvl="5">
      <w:lvl w:ilvl="5">
        <w:start w:val="1"/>
        <w:numFmt w:val="lowerRoman"/>
        <w:lvlText w:val="%6."/>
        <w:lvlJc w:val="right"/>
        <w:pPr>
          <w:tabs>
            <w:tab w:val="num" w:pos="8459"/>
          </w:tabs>
          <w:ind w:left="8459" w:hanging="180"/>
        </w:pPr>
        <w:rPr>
          <w:rFonts w:hint="default"/>
        </w:rPr>
      </w:lvl>
    </w:lvlOverride>
    <w:lvlOverride w:ilvl="6">
      <w:lvl w:ilvl="6">
        <w:start w:val="1"/>
        <w:numFmt w:val="decimal"/>
        <w:lvlText w:val="%7."/>
        <w:lvlJc w:val="left"/>
        <w:pPr>
          <w:tabs>
            <w:tab w:val="num" w:pos="9179"/>
          </w:tabs>
          <w:ind w:left="9179" w:hanging="360"/>
        </w:pPr>
        <w:rPr>
          <w:rFonts w:hint="default"/>
        </w:rPr>
      </w:lvl>
    </w:lvlOverride>
    <w:lvlOverride w:ilvl="7">
      <w:lvl w:ilvl="7">
        <w:start w:val="1"/>
        <w:numFmt w:val="lowerLetter"/>
        <w:lvlText w:val="%8."/>
        <w:lvlJc w:val="left"/>
        <w:pPr>
          <w:tabs>
            <w:tab w:val="num" w:pos="9899"/>
          </w:tabs>
          <w:ind w:left="9899" w:hanging="360"/>
        </w:pPr>
        <w:rPr>
          <w:rFonts w:hint="default"/>
        </w:rPr>
      </w:lvl>
    </w:lvlOverride>
    <w:lvlOverride w:ilvl="8">
      <w:lvl w:ilvl="8">
        <w:start w:val="1"/>
        <w:numFmt w:val="lowerRoman"/>
        <w:lvlText w:val="%9."/>
        <w:lvlJc w:val="right"/>
        <w:pPr>
          <w:tabs>
            <w:tab w:val="num" w:pos="10619"/>
          </w:tabs>
          <w:ind w:left="10619" w:hanging="180"/>
        </w:pPr>
        <w:rPr>
          <w:rFonts w:hint="default"/>
        </w:rPr>
      </w:lvl>
    </w:lvlOverride>
  </w:num>
  <w:num w:numId="13">
    <w:abstractNumId w:val="5"/>
    <w:lvlOverride w:ilvl="0">
      <w:lvl w:ilvl="0">
        <w:start w:val="1"/>
        <w:numFmt w:val="decimal"/>
        <w:pStyle w:val="Normalnumber"/>
        <w:lvlText w:val="%1."/>
        <w:lvlJc w:val="left"/>
        <w:pPr>
          <w:tabs>
            <w:tab w:val="num" w:pos="597"/>
          </w:tabs>
          <w:ind w:left="710" w:firstLine="0"/>
        </w:pPr>
        <w:rPr>
          <w:rFonts w:hint="default"/>
        </w:rPr>
      </w:lvl>
    </w:lvlOverride>
    <w:lvlOverride w:ilvl="1">
      <w:lvl w:ilvl="1">
        <w:start w:val="1"/>
        <w:numFmt w:val="lowerLetter"/>
        <w:lvlText w:val="%2)"/>
        <w:lvlJc w:val="left"/>
        <w:pPr>
          <w:tabs>
            <w:tab w:val="num" w:pos="1758"/>
          </w:tabs>
          <w:ind w:left="1871" w:firstLine="567"/>
        </w:pPr>
        <w:rPr>
          <w:rFonts w:ascii="Times New Roman" w:eastAsia="Times New Roman" w:hAnsi="Times New Roman" w:cs="Times New Roman"/>
        </w:rPr>
      </w:lvl>
    </w:lvlOverride>
    <w:lvlOverride w:ilvl="2">
      <w:lvl w:ilvl="2">
        <w:start w:val="1"/>
        <w:numFmt w:val="lowerRoman"/>
        <w:lvlText w:val="(%3)"/>
        <w:lvlJc w:val="left"/>
        <w:pPr>
          <w:tabs>
            <w:tab w:val="num" w:pos="1758"/>
          </w:tabs>
          <w:ind w:left="3572" w:hanging="567"/>
        </w:pPr>
        <w:rPr>
          <w:rFonts w:hint="default"/>
        </w:rPr>
      </w:lvl>
    </w:lvlOverride>
    <w:lvlOverride w:ilvl="3">
      <w:lvl w:ilvl="3">
        <w:start w:val="1"/>
        <w:numFmt w:val="lowerLetter"/>
        <w:lvlText w:val="%4."/>
        <w:lvlJc w:val="left"/>
        <w:pPr>
          <w:tabs>
            <w:tab w:val="num" w:pos="1758"/>
          </w:tabs>
          <w:ind w:left="4139" w:hanging="567"/>
        </w:pPr>
        <w:rPr>
          <w:rFonts w:hint="default"/>
        </w:rPr>
      </w:lvl>
    </w:lvlOverride>
    <w:lvlOverride w:ilvl="4">
      <w:lvl w:ilvl="4">
        <w:start w:val="1"/>
        <w:numFmt w:val="lowerRoman"/>
        <w:lvlText w:val="%5."/>
        <w:lvlJc w:val="left"/>
        <w:pPr>
          <w:tabs>
            <w:tab w:val="num" w:pos="1758"/>
          </w:tabs>
          <w:ind w:left="4706" w:hanging="567"/>
        </w:pPr>
        <w:rPr>
          <w:rFonts w:hint="default"/>
        </w:rPr>
      </w:lvl>
    </w:lvlOverride>
    <w:lvlOverride w:ilvl="5">
      <w:lvl w:ilvl="5">
        <w:start w:val="1"/>
        <w:numFmt w:val="lowerRoman"/>
        <w:lvlText w:val="%6."/>
        <w:lvlJc w:val="right"/>
        <w:pPr>
          <w:tabs>
            <w:tab w:val="num" w:pos="8459"/>
          </w:tabs>
          <w:ind w:left="8459" w:hanging="180"/>
        </w:pPr>
        <w:rPr>
          <w:rFonts w:hint="default"/>
        </w:rPr>
      </w:lvl>
    </w:lvlOverride>
    <w:lvlOverride w:ilvl="6">
      <w:lvl w:ilvl="6">
        <w:start w:val="1"/>
        <w:numFmt w:val="decimal"/>
        <w:lvlText w:val="%7."/>
        <w:lvlJc w:val="left"/>
        <w:pPr>
          <w:tabs>
            <w:tab w:val="num" w:pos="9179"/>
          </w:tabs>
          <w:ind w:left="9179" w:hanging="360"/>
        </w:pPr>
        <w:rPr>
          <w:rFonts w:hint="default"/>
        </w:rPr>
      </w:lvl>
    </w:lvlOverride>
    <w:lvlOverride w:ilvl="7">
      <w:lvl w:ilvl="7">
        <w:start w:val="1"/>
        <w:numFmt w:val="lowerLetter"/>
        <w:lvlText w:val="%8."/>
        <w:lvlJc w:val="left"/>
        <w:pPr>
          <w:tabs>
            <w:tab w:val="num" w:pos="9899"/>
          </w:tabs>
          <w:ind w:left="9899" w:hanging="360"/>
        </w:pPr>
        <w:rPr>
          <w:rFonts w:hint="default"/>
        </w:rPr>
      </w:lvl>
    </w:lvlOverride>
    <w:lvlOverride w:ilvl="8">
      <w:lvl w:ilvl="8">
        <w:start w:val="1"/>
        <w:numFmt w:val="lowerRoman"/>
        <w:lvlText w:val="%9."/>
        <w:lvlJc w:val="right"/>
        <w:pPr>
          <w:tabs>
            <w:tab w:val="num" w:pos="10619"/>
          </w:tabs>
          <w:ind w:left="10619" w:hanging="180"/>
        </w:pPr>
        <w:rPr>
          <w:rFonts w:hint="default"/>
        </w:rPr>
      </w:lvl>
    </w:lvlOverride>
  </w:num>
  <w:num w:numId="14">
    <w:abstractNumId w:val="5"/>
    <w:lvlOverride w:ilvl="0">
      <w:lvl w:ilvl="0">
        <w:start w:val="1"/>
        <w:numFmt w:val="decimal"/>
        <w:pStyle w:val="Normalnumber"/>
        <w:lvlText w:val="%1."/>
        <w:lvlJc w:val="left"/>
        <w:pPr>
          <w:tabs>
            <w:tab w:val="num" w:pos="597"/>
          </w:tabs>
          <w:ind w:left="710" w:firstLine="0"/>
        </w:pPr>
        <w:rPr>
          <w:rFonts w:hint="default"/>
        </w:rPr>
      </w:lvl>
    </w:lvlOverride>
    <w:lvlOverride w:ilvl="1">
      <w:lvl w:ilvl="1">
        <w:start w:val="1"/>
        <w:numFmt w:val="lowerLetter"/>
        <w:lvlText w:val="%2)"/>
        <w:lvlJc w:val="left"/>
        <w:pPr>
          <w:tabs>
            <w:tab w:val="num" w:pos="1758"/>
          </w:tabs>
          <w:ind w:left="1871" w:firstLine="567"/>
        </w:pPr>
        <w:rPr>
          <w:rFonts w:ascii="Times New Roman" w:eastAsia="Times New Roman" w:hAnsi="Times New Roman" w:cs="Times New Roman"/>
        </w:rPr>
      </w:lvl>
    </w:lvlOverride>
    <w:lvlOverride w:ilvl="2">
      <w:lvl w:ilvl="2">
        <w:start w:val="1"/>
        <w:numFmt w:val="lowerRoman"/>
        <w:lvlText w:val="(%3)"/>
        <w:lvlJc w:val="left"/>
        <w:pPr>
          <w:tabs>
            <w:tab w:val="num" w:pos="1758"/>
          </w:tabs>
          <w:ind w:left="3572" w:hanging="567"/>
        </w:pPr>
        <w:rPr>
          <w:rFonts w:hint="default"/>
        </w:rPr>
      </w:lvl>
    </w:lvlOverride>
    <w:lvlOverride w:ilvl="3">
      <w:lvl w:ilvl="3">
        <w:start w:val="1"/>
        <w:numFmt w:val="lowerLetter"/>
        <w:lvlText w:val="%4."/>
        <w:lvlJc w:val="left"/>
        <w:pPr>
          <w:tabs>
            <w:tab w:val="num" w:pos="1758"/>
          </w:tabs>
          <w:ind w:left="4139" w:hanging="567"/>
        </w:pPr>
        <w:rPr>
          <w:rFonts w:hint="default"/>
        </w:rPr>
      </w:lvl>
    </w:lvlOverride>
    <w:lvlOverride w:ilvl="4">
      <w:lvl w:ilvl="4">
        <w:start w:val="1"/>
        <w:numFmt w:val="lowerRoman"/>
        <w:lvlText w:val="%5."/>
        <w:lvlJc w:val="left"/>
        <w:pPr>
          <w:tabs>
            <w:tab w:val="num" w:pos="1758"/>
          </w:tabs>
          <w:ind w:left="4706" w:hanging="567"/>
        </w:pPr>
        <w:rPr>
          <w:rFonts w:hint="default"/>
        </w:rPr>
      </w:lvl>
    </w:lvlOverride>
    <w:lvlOverride w:ilvl="5">
      <w:lvl w:ilvl="5">
        <w:start w:val="1"/>
        <w:numFmt w:val="lowerRoman"/>
        <w:lvlText w:val="%6."/>
        <w:lvlJc w:val="right"/>
        <w:pPr>
          <w:tabs>
            <w:tab w:val="num" w:pos="8459"/>
          </w:tabs>
          <w:ind w:left="8459" w:hanging="180"/>
        </w:pPr>
        <w:rPr>
          <w:rFonts w:hint="default"/>
        </w:rPr>
      </w:lvl>
    </w:lvlOverride>
    <w:lvlOverride w:ilvl="6">
      <w:lvl w:ilvl="6">
        <w:start w:val="1"/>
        <w:numFmt w:val="decimal"/>
        <w:lvlText w:val="%7."/>
        <w:lvlJc w:val="left"/>
        <w:pPr>
          <w:tabs>
            <w:tab w:val="num" w:pos="9179"/>
          </w:tabs>
          <w:ind w:left="9179" w:hanging="360"/>
        </w:pPr>
        <w:rPr>
          <w:rFonts w:hint="default"/>
        </w:rPr>
      </w:lvl>
    </w:lvlOverride>
    <w:lvlOverride w:ilvl="7">
      <w:lvl w:ilvl="7">
        <w:start w:val="1"/>
        <w:numFmt w:val="lowerLetter"/>
        <w:lvlText w:val="%8."/>
        <w:lvlJc w:val="left"/>
        <w:pPr>
          <w:tabs>
            <w:tab w:val="num" w:pos="9899"/>
          </w:tabs>
          <w:ind w:left="9899" w:hanging="360"/>
        </w:pPr>
        <w:rPr>
          <w:rFonts w:hint="default"/>
        </w:rPr>
      </w:lvl>
    </w:lvlOverride>
    <w:lvlOverride w:ilvl="8">
      <w:lvl w:ilvl="8">
        <w:start w:val="1"/>
        <w:numFmt w:val="lowerRoman"/>
        <w:lvlText w:val="%9."/>
        <w:lvlJc w:val="right"/>
        <w:pPr>
          <w:tabs>
            <w:tab w:val="num" w:pos="10619"/>
          </w:tabs>
          <w:ind w:left="10619" w:hanging="180"/>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fr-CH"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61"/>
  </w:hdrShapeDefaults>
  <w:footnotePr>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6A34"/>
    <w:rsid w:val="000077AD"/>
    <w:rsid w:val="00011A16"/>
    <w:rsid w:val="000149E6"/>
    <w:rsid w:val="00023DA9"/>
    <w:rsid w:val="000247B0"/>
    <w:rsid w:val="00026997"/>
    <w:rsid w:val="00026A08"/>
    <w:rsid w:val="00032E4E"/>
    <w:rsid w:val="00033E0B"/>
    <w:rsid w:val="0003583A"/>
    <w:rsid w:val="00035EDE"/>
    <w:rsid w:val="000509B4"/>
    <w:rsid w:val="00053603"/>
    <w:rsid w:val="000542DC"/>
    <w:rsid w:val="0006035B"/>
    <w:rsid w:val="0006096F"/>
    <w:rsid w:val="000649C5"/>
    <w:rsid w:val="000656E9"/>
    <w:rsid w:val="00071886"/>
    <w:rsid w:val="000742BC"/>
    <w:rsid w:val="00076CC6"/>
    <w:rsid w:val="00082A0C"/>
    <w:rsid w:val="00083504"/>
    <w:rsid w:val="00084761"/>
    <w:rsid w:val="0009472F"/>
    <w:rsid w:val="0009640C"/>
    <w:rsid w:val="000A2E65"/>
    <w:rsid w:val="000A7C0C"/>
    <w:rsid w:val="000A7F53"/>
    <w:rsid w:val="000B22A2"/>
    <w:rsid w:val="000B269A"/>
    <w:rsid w:val="000B541B"/>
    <w:rsid w:val="000B6EC4"/>
    <w:rsid w:val="000B73F9"/>
    <w:rsid w:val="000C2A52"/>
    <w:rsid w:val="000C2A88"/>
    <w:rsid w:val="000C64D7"/>
    <w:rsid w:val="000D0D72"/>
    <w:rsid w:val="000D33C0"/>
    <w:rsid w:val="000D4CC3"/>
    <w:rsid w:val="000D4CF6"/>
    <w:rsid w:val="000D6941"/>
    <w:rsid w:val="000E59A4"/>
    <w:rsid w:val="000E752A"/>
    <w:rsid w:val="000F4829"/>
    <w:rsid w:val="000F6B21"/>
    <w:rsid w:val="00102EFB"/>
    <w:rsid w:val="001202E3"/>
    <w:rsid w:val="0012244D"/>
    <w:rsid w:val="001224E5"/>
    <w:rsid w:val="00123699"/>
    <w:rsid w:val="001241FB"/>
    <w:rsid w:val="0013059D"/>
    <w:rsid w:val="00134A4C"/>
    <w:rsid w:val="00136187"/>
    <w:rsid w:val="00141A55"/>
    <w:rsid w:val="001420F5"/>
    <w:rsid w:val="0014293F"/>
    <w:rsid w:val="0014397D"/>
    <w:rsid w:val="001446A3"/>
    <w:rsid w:val="001513E7"/>
    <w:rsid w:val="00152B6B"/>
    <w:rsid w:val="00155395"/>
    <w:rsid w:val="00155A2F"/>
    <w:rsid w:val="00156B6B"/>
    <w:rsid w:val="00160D74"/>
    <w:rsid w:val="001639C5"/>
    <w:rsid w:val="001646EA"/>
    <w:rsid w:val="00167D02"/>
    <w:rsid w:val="001702FF"/>
    <w:rsid w:val="00174DCA"/>
    <w:rsid w:val="001759D8"/>
    <w:rsid w:val="00177D7F"/>
    <w:rsid w:val="00180C3F"/>
    <w:rsid w:val="00181EC8"/>
    <w:rsid w:val="00183C35"/>
    <w:rsid w:val="00184349"/>
    <w:rsid w:val="00195F33"/>
    <w:rsid w:val="001A47E5"/>
    <w:rsid w:val="001A6CF8"/>
    <w:rsid w:val="001B1617"/>
    <w:rsid w:val="001B504B"/>
    <w:rsid w:val="001B6F98"/>
    <w:rsid w:val="001C191A"/>
    <w:rsid w:val="001D0FB8"/>
    <w:rsid w:val="001D3874"/>
    <w:rsid w:val="001D7E75"/>
    <w:rsid w:val="001E0D73"/>
    <w:rsid w:val="001E45BD"/>
    <w:rsid w:val="001E56D2"/>
    <w:rsid w:val="001E7D56"/>
    <w:rsid w:val="001F092B"/>
    <w:rsid w:val="001F0A3F"/>
    <w:rsid w:val="001F5186"/>
    <w:rsid w:val="001F75DE"/>
    <w:rsid w:val="00200D58"/>
    <w:rsid w:val="002011C1"/>
    <w:rsid w:val="002013BE"/>
    <w:rsid w:val="00201EDC"/>
    <w:rsid w:val="002063A4"/>
    <w:rsid w:val="0021145B"/>
    <w:rsid w:val="00217EE5"/>
    <w:rsid w:val="00220C23"/>
    <w:rsid w:val="002247F6"/>
    <w:rsid w:val="00225E21"/>
    <w:rsid w:val="00225E44"/>
    <w:rsid w:val="0022698D"/>
    <w:rsid w:val="0023219C"/>
    <w:rsid w:val="00234E78"/>
    <w:rsid w:val="00240774"/>
    <w:rsid w:val="00243D36"/>
    <w:rsid w:val="00246151"/>
    <w:rsid w:val="002467F6"/>
    <w:rsid w:val="00247707"/>
    <w:rsid w:val="00252456"/>
    <w:rsid w:val="00253C3F"/>
    <w:rsid w:val="0025796F"/>
    <w:rsid w:val="0026018E"/>
    <w:rsid w:val="0026065A"/>
    <w:rsid w:val="00260D32"/>
    <w:rsid w:val="00286740"/>
    <w:rsid w:val="00286E99"/>
    <w:rsid w:val="00291EAE"/>
    <w:rsid w:val="002929D8"/>
    <w:rsid w:val="002A237D"/>
    <w:rsid w:val="002A4C53"/>
    <w:rsid w:val="002A6A82"/>
    <w:rsid w:val="002B0672"/>
    <w:rsid w:val="002B247F"/>
    <w:rsid w:val="002B414B"/>
    <w:rsid w:val="002B50D4"/>
    <w:rsid w:val="002B5893"/>
    <w:rsid w:val="002B58BF"/>
    <w:rsid w:val="002B76E6"/>
    <w:rsid w:val="002C145D"/>
    <w:rsid w:val="002C2C3E"/>
    <w:rsid w:val="002C533E"/>
    <w:rsid w:val="002C53A6"/>
    <w:rsid w:val="002D027F"/>
    <w:rsid w:val="002D3E15"/>
    <w:rsid w:val="002D7A85"/>
    <w:rsid w:val="002D7B60"/>
    <w:rsid w:val="002F009F"/>
    <w:rsid w:val="002F0810"/>
    <w:rsid w:val="002F329F"/>
    <w:rsid w:val="002F4761"/>
    <w:rsid w:val="002F5C79"/>
    <w:rsid w:val="002F5C89"/>
    <w:rsid w:val="002F68EE"/>
    <w:rsid w:val="003019E2"/>
    <w:rsid w:val="00303467"/>
    <w:rsid w:val="00310BEB"/>
    <w:rsid w:val="00311085"/>
    <w:rsid w:val="0031413F"/>
    <w:rsid w:val="00314854"/>
    <w:rsid w:val="003148BB"/>
    <w:rsid w:val="00317976"/>
    <w:rsid w:val="00320F2F"/>
    <w:rsid w:val="0032457E"/>
    <w:rsid w:val="00325D38"/>
    <w:rsid w:val="003470E4"/>
    <w:rsid w:val="0035277E"/>
    <w:rsid w:val="00353EC0"/>
    <w:rsid w:val="00355EA9"/>
    <w:rsid w:val="003578DE"/>
    <w:rsid w:val="00361688"/>
    <w:rsid w:val="003751CA"/>
    <w:rsid w:val="00380921"/>
    <w:rsid w:val="0038455F"/>
    <w:rsid w:val="00386847"/>
    <w:rsid w:val="003877D5"/>
    <w:rsid w:val="003929B8"/>
    <w:rsid w:val="00393432"/>
    <w:rsid w:val="00396257"/>
    <w:rsid w:val="00397EB8"/>
    <w:rsid w:val="003A1D64"/>
    <w:rsid w:val="003A2EB5"/>
    <w:rsid w:val="003A4FD0"/>
    <w:rsid w:val="003A69D1"/>
    <w:rsid w:val="003A7705"/>
    <w:rsid w:val="003A77F1"/>
    <w:rsid w:val="003B1545"/>
    <w:rsid w:val="003C3219"/>
    <w:rsid w:val="003C409D"/>
    <w:rsid w:val="003C4544"/>
    <w:rsid w:val="003C5583"/>
    <w:rsid w:val="003C5BA6"/>
    <w:rsid w:val="003C74CF"/>
    <w:rsid w:val="003D0B58"/>
    <w:rsid w:val="003D3752"/>
    <w:rsid w:val="003D4112"/>
    <w:rsid w:val="003E35DA"/>
    <w:rsid w:val="003E455D"/>
    <w:rsid w:val="003F0E85"/>
    <w:rsid w:val="00410C55"/>
    <w:rsid w:val="00416854"/>
    <w:rsid w:val="00417725"/>
    <w:rsid w:val="004224E8"/>
    <w:rsid w:val="0042266F"/>
    <w:rsid w:val="00423A85"/>
    <w:rsid w:val="00433B5A"/>
    <w:rsid w:val="00434321"/>
    <w:rsid w:val="00437F26"/>
    <w:rsid w:val="004422BC"/>
    <w:rsid w:val="00444097"/>
    <w:rsid w:val="00445487"/>
    <w:rsid w:val="00447E0D"/>
    <w:rsid w:val="00450D9E"/>
    <w:rsid w:val="00453EA8"/>
    <w:rsid w:val="00454769"/>
    <w:rsid w:val="0046331A"/>
    <w:rsid w:val="0046655E"/>
    <w:rsid w:val="00466991"/>
    <w:rsid w:val="004677DA"/>
    <w:rsid w:val="0047064C"/>
    <w:rsid w:val="00470DF7"/>
    <w:rsid w:val="00474B2D"/>
    <w:rsid w:val="004822B7"/>
    <w:rsid w:val="0049469E"/>
    <w:rsid w:val="004A0684"/>
    <w:rsid w:val="004A2217"/>
    <w:rsid w:val="004A24F9"/>
    <w:rsid w:val="004A2E3D"/>
    <w:rsid w:val="004A42E1"/>
    <w:rsid w:val="004B162C"/>
    <w:rsid w:val="004B2ABE"/>
    <w:rsid w:val="004B734B"/>
    <w:rsid w:val="004C173E"/>
    <w:rsid w:val="004C3DBE"/>
    <w:rsid w:val="004C5C96"/>
    <w:rsid w:val="004D06A4"/>
    <w:rsid w:val="004F09E7"/>
    <w:rsid w:val="004F1A81"/>
    <w:rsid w:val="004F5D88"/>
    <w:rsid w:val="00501354"/>
    <w:rsid w:val="005050D2"/>
    <w:rsid w:val="005218D9"/>
    <w:rsid w:val="00536186"/>
    <w:rsid w:val="00537709"/>
    <w:rsid w:val="00540F8B"/>
    <w:rsid w:val="00544CBB"/>
    <w:rsid w:val="0054668D"/>
    <w:rsid w:val="00551B65"/>
    <w:rsid w:val="00553C23"/>
    <w:rsid w:val="00556704"/>
    <w:rsid w:val="005656D7"/>
    <w:rsid w:val="0057315F"/>
    <w:rsid w:val="00574550"/>
    <w:rsid w:val="00576104"/>
    <w:rsid w:val="00586418"/>
    <w:rsid w:val="00592B21"/>
    <w:rsid w:val="005A70CE"/>
    <w:rsid w:val="005B2DF4"/>
    <w:rsid w:val="005B44BF"/>
    <w:rsid w:val="005C1767"/>
    <w:rsid w:val="005C67C8"/>
    <w:rsid w:val="005D00E7"/>
    <w:rsid w:val="005D0249"/>
    <w:rsid w:val="005D18FA"/>
    <w:rsid w:val="005D370B"/>
    <w:rsid w:val="005D4FD4"/>
    <w:rsid w:val="005D6E8C"/>
    <w:rsid w:val="005E3004"/>
    <w:rsid w:val="005E4AAB"/>
    <w:rsid w:val="005F100C"/>
    <w:rsid w:val="005F2B12"/>
    <w:rsid w:val="005F43AA"/>
    <w:rsid w:val="005F68DA"/>
    <w:rsid w:val="005F7419"/>
    <w:rsid w:val="00601BC9"/>
    <w:rsid w:val="00605CD0"/>
    <w:rsid w:val="0060773B"/>
    <w:rsid w:val="00610ED5"/>
    <w:rsid w:val="00613FD6"/>
    <w:rsid w:val="006157B5"/>
    <w:rsid w:val="00617224"/>
    <w:rsid w:val="00621BA6"/>
    <w:rsid w:val="00623F8B"/>
    <w:rsid w:val="0062683F"/>
    <w:rsid w:val="00626FC6"/>
    <w:rsid w:val="006303B4"/>
    <w:rsid w:val="00630ADC"/>
    <w:rsid w:val="006328BE"/>
    <w:rsid w:val="00633D3D"/>
    <w:rsid w:val="00634E0D"/>
    <w:rsid w:val="00641703"/>
    <w:rsid w:val="006431A6"/>
    <w:rsid w:val="00643E3A"/>
    <w:rsid w:val="006459F6"/>
    <w:rsid w:val="0064729A"/>
    <w:rsid w:val="006501AD"/>
    <w:rsid w:val="00651BFA"/>
    <w:rsid w:val="00652ED8"/>
    <w:rsid w:val="00654475"/>
    <w:rsid w:val="00656DF0"/>
    <w:rsid w:val="00657C85"/>
    <w:rsid w:val="00665A4B"/>
    <w:rsid w:val="00670FAE"/>
    <w:rsid w:val="006716AB"/>
    <w:rsid w:val="00687A7E"/>
    <w:rsid w:val="00692E2A"/>
    <w:rsid w:val="0069496A"/>
    <w:rsid w:val="00696C1C"/>
    <w:rsid w:val="006A76F2"/>
    <w:rsid w:val="006B7D29"/>
    <w:rsid w:val="006D19D4"/>
    <w:rsid w:val="006D3B59"/>
    <w:rsid w:val="006D5644"/>
    <w:rsid w:val="006D628F"/>
    <w:rsid w:val="006D6321"/>
    <w:rsid w:val="006D7EFB"/>
    <w:rsid w:val="006E6672"/>
    <w:rsid w:val="006E6722"/>
    <w:rsid w:val="006E7390"/>
    <w:rsid w:val="006F7AFF"/>
    <w:rsid w:val="006F7D7F"/>
    <w:rsid w:val="007027B9"/>
    <w:rsid w:val="0070644F"/>
    <w:rsid w:val="007066B5"/>
    <w:rsid w:val="007145DA"/>
    <w:rsid w:val="00715E88"/>
    <w:rsid w:val="00716D8B"/>
    <w:rsid w:val="00720BF5"/>
    <w:rsid w:val="0072727D"/>
    <w:rsid w:val="00730DB5"/>
    <w:rsid w:val="00731576"/>
    <w:rsid w:val="00734CAA"/>
    <w:rsid w:val="0073545F"/>
    <w:rsid w:val="007406C0"/>
    <w:rsid w:val="00740EE2"/>
    <w:rsid w:val="00742324"/>
    <w:rsid w:val="00742680"/>
    <w:rsid w:val="0075533C"/>
    <w:rsid w:val="007553E8"/>
    <w:rsid w:val="00755A18"/>
    <w:rsid w:val="00757581"/>
    <w:rsid w:val="007602F5"/>
    <w:rsid w:val="00760D36"/>
    <w:rsid w:val="007611A0"/>
    <w:rsid w:val="007629AD"/>
    <w:rsid w:val="00772574"/>
    <w:rsid w:val="00773E54"/>
    <w:rsid w:val="00781AFC"/>
    <w:rsid w:val="00787688"/>
    <w:rsid w:val="007935E6"/>
    <w:rsid w:val="00796D3F"/>
    <w:rsid w:val="00797A1A"/>
    <w:rsid w:val="007A1683"/>
    <w:rsid w:val="007A50C0"/>
    <w:rsid w:val="007A5C12"/>
    <w:rsid w:val="007A6186"/>
    <w:rsid w:val="007A7CB0"/>
    <w:rsid w:val="007B1CA6"/>
    <w:rsid w:val="007B68A3"/>
    <w:rsid w:val="007C2541"/>
    <w:rsid w:val="007D0CE4"/>
    <w:rsid w:val="007D50B6"/>
    <w:rsid w:val="007D574B"/>
    <w:rsid w:val="007D66A8"/>
    <w:rsid w:val="007E003F"/>
    <w:rsid w:val="007E07CB"/>
    <w:rsid w:val="007F0CF8"/>
    <w:rsid w:val="007F2E64"/>
    <w:rsid w:val="007F5E1B"/>
    <w:rsid w:val="007F62CB"/>
    <w:rsid w:val="008142EC"/>
    <w:rsid w:val="008164F2"/>
    <w:rsid w:val="00817307"/>
    <w:rsid w:val="00821395"/>
    <w:rsid w:val="00830E26"/>
    <w:rsid w:val="00834368"/>
    <w:rsid w:val="0083441A"/>
    <w:rsid w:val="00843576"/>
    <w:rsid w:val="00843B64"/>
    <w:rsid w:val="00845261"/>
    <w:rsid w:val="008477D8"/>
    <w:rsid w:val="008478FC"/>
    <w:rsid w:val="00851C51"/>
    <w:rsid w:val="008538F7"/>
    <w:rsid w:val="00853B59"/>
    <w:rsid w:val="00861297"/>
    <w:rsid w:val="00863DF0"/>
    <w:rsid w:val="00863F6A"/>
    <w:rsid w:val="00867BFF"/>
    <w:rsid w:val="00867CC6"/>
    <w:rsid w:val="00871542"/>
    <w:rsid w:val="00872BF6"/>
    <w:rsid w:val="0088205B"/>
    <w:rsid w:val="00883B8E"/>
    <w:rsid w:val="0088480A"/>
    <w:rsid w:val="0088757A"/>
    <w:rsid w:val="00890A91"/>
    <w:rsid w:val="00891107"/>
    <w:rsid w:val="0089431B"/>
    <w:rsid w:val="00895668"/>
    <w:rsid w:val="008957DD"/>
    <w:rsid w:val="00897D98"/>
    <w:rsid w:val="008A4BA2"/>
    <w:rsid w:val="008A6DF2"/>
    <w:rsid w:val="008A7807"/>
    <w:rsid w:val="008B313C"/>
    <w:rsid w:val="008B4CC9"/>
    <w:rsid w:val="008C0B15"/>
    <w:rsid w:val="008D75E4"/>
    <w:rsid w:val="008D7C99"/>
    <w:rsid w:val="008E0FCB"/>
    <w:rsid w:val="008F6DFE"/>
    <w:rsid w:val="00900CB8"/>
    <w:rsid w:val="0090529F"/>
    <w:rsid w:val="00905429"/>
    <w:rsid w:val="00906EFF"/>
    <w:rsid w:val="00910D83"/>
    <w:rsid w:val="0092178C"/>
    <w:rsid w:val="00930B88"/>
    <w:rsid w:val="00935376"/>
    <w:rsid w:val="00940DCC"/>
    <w:rsid w:val="0094179A"/>
    <w:rsid w:val="009431AF"/>
    <w:rsid w:val="0094459E"/>
    <w:rsid w:val="00944DBC"/>
    <w:rsid w:val="00950977"/>
    <w:rsid w:val="00951A7B"/>
    <w:rsid w:val="00954463"/>
    <w:rsid w:val="00955512"/>
    <w:rsid w:val="00955A96"/>
    <w:rsid w:val="009564A6"/>
    <w:rsid w:val="00957EF8"/>
    <w:rsid w:val="00966A53"/>
    <w:rsid w:val="00967621"/>
    <w:rsid w:val="00967E6A"/>
    <w:rsid w:val="009907B9"/>
    <w:rsid w:val="00990918"/>
    <w:rsid w:val="009A1531"/>
    <w:rsid w:val="009A3A83"/>
    <w:rsid w:val="009B4A0F"/>
    <w:rsid w:val="009B6BA1"/>
    <w:rsid w:val="009C11D2"/>
    <w:rsid w:val="009C6BF9"/>
    <w:rsid w:val="009C6C70"/>
    <w:rsid w:val="009C705B"/>
    <w:rsid w:val="009C7B0A"/>
    <w:rsid w:val="009D0B63"/>
    <w:rsid w:val="009D5CB8"/>
    <w:rsid w:val="009E0757"/>
    <w:rsid w:val="009E307E"/>
    <w:rsid w:val="009F4448"/>
    <w:rsid w:val="00A07870"/>
    <w:rsid w:val="00A07C54"/>
    <w:rsid w:val="00A07F19"/>
    <w:rsid w:val="00A10ABB"/>
    <w:rsid w:val="00A1348D"/>
    <w:rsid w:val="00A13C99"/>
    <w:rsid w:val="00A2155C"/>
    <w:rsid w:val="00A22EBC"/>
    <w:rsid w:val="00A232EE"/>
    <w:rsid w:val="00A26C8A"/>
    <w:rsid w:val="00A317D9"/>
    <w:rsid w:val="00A4175F"/>
    <w:rsid w:val="00A44411"/>
    <w:rsid w:val="00A469FA"/>
    <w:rsid w:val="00A53662"/>
    <w:rsid w:val="00A55B01"/>
    <w:rsid w:val="00A56B5B"/>
    <w:rsid w:val="00A578AC"/>
    <w:rsid w:val="00A603FF"/>
    <w:rsid w:val="00A619B6"/>
    <w:rsid w:val="00A648CA"/>
    <w:rsid w:val="00A657DD"/>
    <w:rsid w:val="00A666A6"/>
    <w:rsid w:val="00A675FD"/>
    <w:rsid w:val="00A72437"/>
    <w:rsid w:val="00A8048B"/>
    <w:rsid w:val="00A80611"/>
    <w:rsid w:val="00AA5BF4"/>
    <w:rsid w:val="00AA5D0F"/>
    <w:rsid w:val="00AB5340"/>
    <w:rsid w:val="00AC0A89"/>
    <w:rsid w:val="00AC326A"/>
    <w:rsid w:val="00AC5702"/>
    <w:rsid w:val="00AC7C96"/>
    <w:rsid w:val="00AD3593"/>
    <w:rsid w:val="00AD6364"/>
    <w:rsid w:val="00AE0812"/>
    <w:rsid w:val="00AE237D"/>
    <w:rsid w:val="00AE3AF5"/>
    <w:rsid w:val="00AE502A"/>
    <w:rsid w:val="00AF0010"/>
    <w:rsid w:val="00AF1AA8"/>
    <w:rsid w:val="00AF2C1F"/>
    <w:rsid w:val="00AF7C07"/>
    <w:rsid w:val="00B06C64"/>
    <w:rsid w:val="00B07D8E"/>
    <w:rsid w:val="00B11CAC"/>
    <w:rsid w:val="00B15A29"/>
    <w:rsid w:val="00B22C93"/>
    <w:rsid w:val="00B251AC"/>
    <w:rsid w:val="00B26869"/>
    <w:rsid w:val="00B27589"/>
    <w:rsid w:val="00B314DF"/>
    <w:rsid w:val="00B32310"/>
    <w:rsid w:val="00B3331E"/>
    <w:rsid w:val="00B37684"/>
    <w:rsid w:val="00B405B7"/>
    <w:rsid w:val="00B43426"/>
    <w:rsid w:val="00B46134"/>
    <w:rsid w:val="00B468C0"/>
    <w:rsid w:val="00B52222"/>
    <w:rsid w:val="00B531DA"/>
    <w:rsid w:val="00B538A9"/>
    <w:rsid w:val="00B54895"/>
    <w:rsid w:val="00B54FE7"/>
    <w:rsid w:val="00B6303E"/>
    <w:rsid w:val="00B647C6"/>
    <w:rsid w:val="00B655F9"/>
    <w:rsid w:val="00B66901"/>
    <w:rsid w:val="00B66F60"/>
    <w:rsid w:val="00B71E6D"/>
    <w:rsid w:val="00B72070"/>
    <w:rsid w:val="00B7535C"/>
    <w:rsid w:val="00B779E1"/>
    <w:rsid w:val="00B81E3A"/>
    <w:rsid w:val="00B8400F"/>
    <w:rsid w:val="00B8576D"/>
    <w:rsid w:val="00B85CFB"/>
    <w:rsid w:val="00B86026"/>
    <w:rsid w:val="00B91117"/>
    <w:rsid w:val="00B914E9"/>
    <w:rsid w:val="00B91EE1"/>
    <w:rsid w:val="00B94602"/>
    <w:rsid w:val="00BA0090"/>
    <w:rsid w:val="00BA1A67"/>
    <w:rsid w:val="00BA6A80"/>
    <w:rsid w:val="00BA722E"/>
    <w:rsid w:val="00BB0B49"/>
    <w:rsid w:val="00BB4ABB"/>
    <w:rsid w:val="00BC62BA"/>
    <w:rsid w:val="00BD6E6D"/>
    <w:rsid w:val="00BE1DA1"/>
    <w:rsid w:val="00BE5B5F"/>
    <w:rsid w:val="00BE7993"/>
    <w:rsid w:val="00C023C6"/>
    <w:rsid w:val="00C06171"/>
    <w:rsid w:val="00C11971"/>
    <w:rsid w:val="00C133A2"/>
    <w:rsid w:val="00C141F6"/>
    <w:rsid w:val="00C179DE"/>
    <w:rsid w:val="00C20619"/>
    <w:rsid w:val="00C26F55"/>
    <w:rsid w:val="00C27533"/>
    <w:rsid w:val="00C30C63"/>
    <w:rsid w:val="00C30FF3"/>
    <w:rsid w:val="00C34D5C"/>
    <w:rsid w:val="00C36B8B"/>
    <w:rsid w:val="00C37F47"/>
    <w:rsid w:val="00C415C1"/>
    <w:rsid w:val="00C45064"/>
    <w:rsid w:val="00C47DBF"/>
    <w:rsid w:val="00C501AD"/>
    <w:rsid w:val="00C552FF"/>
    <w:rsid w:val="00C558DA"/>
    <w:rsid w:val="00C55AF3"/>
    <w:rsid w:val="00C771A9"/>
    <w:rsid w:val="00C82943"/>
    <w:rsid w:val="00C84759"/>
    <w:rsid w:val="00C93096"/>
    <w:rsid w:val="00CA0BD4"/>
    <w:rsid w:val="00CA4C07"/>
    <w:rsid w:val="00CA5CA9"/>
    <w:rsid w:val="00CA6C7F"/>
    <w:rsid w:val="00CB007D"/>
    <w:rsid w:val="00CB0E76"/>
    <w:rsid w:val="00CB60CA"/>
    <w:rsid w:val="00CC0FC7"/>
    <w:rsid w:val="00CC10A6"/>
    <w:rsid w:val="00CD2C48"/>
    <w:rsid w:val="00CD3C4D"/>
    <w:rsid w:val="00CD5014"/>
    <w:rsid w:val="00CD5EB8"/>
    <w:rsid w:val="00CD7044"/>
    <w:rsid w:val="00CE056D"/>
    <w:rsid w:val="00CE08B9"/>
    <w:rsid w:val="00CE3515"/>
    <w:rsid w:val="00CE524C"/>
    <w:rsid w:val="00CE554D"/>
    <w:rsid w:val="00CF135E"/>
    <w:rsid w:val="00CF141F"/>
    <w:rsid w:val="00CF3DDA"/>
    <w:rsid w:val="00CF4777"/>
    <w:rsid w:val="00CF65C8"/>
    <w:rsid w:val="00D013F5"/>
    <w:rsid w:val="00D023DB"/>
    <w:rsid w:val="00D05E3F"/>
    <w:rsid w:val="00D067BB"/>
    <w:rsid w:val="00D11F27"/>
    <w:rsid w:val="00D1352A"/>
    <w:rsid w:val="00D15075"/>
    <w:rsid w:val="00D1638E"/>
    <w:rsid w:val="00D169AF"/>
    <w:rsid w:val="00D200EF"/>
    <w:rsid w:val="00D25175"/>
    <w:rsid w:val="00D25249"/>
    <w:rsid w:val="00D26854"/>
    <w:rsid w:val="00D42FD5"/>
    <w:rsid w:val="00D44172"/>
    <w:rsid w:val="00D47BE3"/>
    <w:rsid w:val="00D51594"/>
    <w:rsid w:val="00D51F46"/>
    <w:rsid w:val="00D55040"/>
    <w:rsid w:val="00D6017C"/>
    <w:rsid w:val="00D63309"/>
    <w:rsid w:val="00D63B8C"/>
    <w:rsid w:val="00D67D01"/>
    <w:rsid w:val="00D739CC"/>
    <w:rsid w:val="00D8019A"/>
    <w:rsid w:val="00D806F9"/>
    <w:rsid w:val="00D8093D"/>
    <w:rsid w:val="00D8108C"/>
    <w:rsid w:val="00D842AE"/>
    <w:rsid w:val="00D9211C"/>
    <w:rsid w:val="00D92DE0"/>
    <w:rsid w:val="00D92FEF"/>
    <w:rsid w:val="00D931F9"/>
    <w:rsid w:val="00D93A0F"/>
    <w:rsid w:val="00D97DA9"/>
    <w:rsid w:val="00DA1BCA"/>
    <w:rsid w:val="00DA3663"/>
    <w:rsid w:val="00DA7567"/>
    <w:rsid w:val="00DB494D"/>
    <w:rsid w:val="00DC0365"/>
    <w:rsid w:val="00DC274A"/>
    <w:rsid w:val="00DC46FF"/>
    <w:rsid w:val="00DC5254"/>
    <w:rsid w:val="00DC569D"/>
    <w:rsid w:val="00DD1A4F"/>
    <w:rsid w:val="00DD3107"/>
    <w:rsid w:val="00DD66F5"/>
    <w:rsid w:val="00DD7A8C"/>
    <w:rsid w:val="00DD7C2C"/>
    <w:rsid w:val="00DE5BDA"/>
    <w:rsid w:val="00DF433C"/>
    <w:rsid w:val="00DF519F"/>
    <w:rsid w:val="00E0035A"/>
    <w:rsid w:val="00E06797"/>
    <w:rsid w:val="00E1265B"/>
    <w:rsid w:val="00E12E09"/>
    <w:rsid w:val="00E13B48"/>
    <w:rsid w:val="00E1404F"/>
    <w:rsid w:val="00E14E7E"/>
    <w:rsid w:val="00E21C83"/>
    <w:rsid w:val="00E24ADA"/>
    <w:rsid w:val="00E32F59"/>
    <w:rsid w:val="00E374DC"/>
    <w:rsid w:val="00E41908"/>
    <w:rsid w:val="00E43DF5"/>
    <w:rsid w:val="00E46D9A"/>
    <w:rsid w:val="00E50EBD"/>
    <w:rsid w:val="00E565FF"/>
    <w:rsid w:val="00E65388"/>
    <w:rsid w:val="00E65E72"/>
    <w:rsid w:val="00E7741D"/>
    <w:rsid w:val="00E808CD"/>
    <w:rsid w:val="00E8348F"/>
    <w:rsid w:val="00E85B7D"/>
    <w:rsid w:val="00E9121B"/>
    <w:rsid w:val="00E9302E"/>
    <w:rsid w:val="00E964DB"/>
    <w:rsid w:val="00E976AB"/>
    <w:rsid w:val="00EA0AE2"/>
    <w:rsid w:val="00EA39E5"/>
    <w:rsid w:val="00EA57A3"/>
    <w:rsid w:val="00EB301A"/>
    <w:rsid w:val="00EB50D5"/>
    <w:rsid w:val="00EC2813"/>
    <w:rsid w:val="00EC5A46"/>
    <w:rsid w:val="00EC63E2"/>
    <w:rsid w:val="00ED0225"/>
    <w:rsid w:val="00ED366A"/>
    <w:rsid w:val="00ED6BB7"/>
    <w:rsid w:val="00EE564E"/>
    <w:rsid w:val="00EF22B3"/>
    <w:rsid w:val="00EF5666"/>
    <w:rsid w:val="00F02831"/>
    <w:rsid w:val="00F03B69"/>
    <w:rsid w:val="00F07A50"/>
    <w:rsid w:val="00F113DA"/>
    <w:rsid w:val="00F15A4F"/>
    <w:rsid w:val="00F266FC"/>
    <w:rsid w:val="00F3037A"/>
    <w:rsid w:val="00F3465A"/>
    <w:rsid w:val="00F37DC8"/>
    <w:rsid w:val="00F439B3"/>
    <w:rsid w:val="00F52F7C"/>
    <w:rsid w:val="00F650C3"/>
    <w:rsid w:val="00F650CD"/>
    <w:rsid w:val="00F65D85"/>
    <w:rsid w:val="00F6700B"/>
    <w:rsid w:val="00F7137B"/>
    <w:rsid w:val="00F77388"/>
    <w:rsid w:val="00F8058A"/>
    <w:rsid w:val="00F8091E"/>
    <w:rsid w:val="00F8615C"/>
    <w:rsid w:val="00F969E5"/>
    <w:rsid w:val="00F96F7E"/>
    <w:rsid w:val="00FA315C"/>
    <w:rsid w:val="00FA4972"/>
    <w:rsid w:val="00FA6BB0"/>
    <w:rsid w:val="00FB2DBD"/>
    <w:rsid w:val="00FC0D00"/>
    <w:rsid w:val="00FC60C1"/>
    <w:rsid w:val="00FD48DF"/>
    <w:rsid w:val="00FD5860"/>
    <w:rsid w:val="00FD6CA7"/>
    <w:rsid w:val="00FE1627"/>
    <w:rsid w:val="00FE352D"/>
    <w:rsid w:val="00FE40EB"/>
    <w:rsid w:val="00FE4D02"/>
    <w:rsid w:val="00FE7D62"/>
    <w:rsid w:val="00FF0DA0"/>
    <w:rsid w:val="00FF3819"/>
    <w:rsid w:val="00FF6E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863F6A"/>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D0FB8"/>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link w:val="NormalnumberChar"/>
    <w:rsid w:val="00730DB5"/>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pPr>
      <w:tabs>
        <w:tab w:val="clear" w:pos="1247"/>
        <w:tab w:val="clear" w:pos="1814"/>
        <w:tab w:val="clear" w:pos="2381"/>
        <w:tab w:val="clear" w:pos="2948"/>
        <w:tab w:val="clear" w:pos="3515"/>
      </w:tabs>
    </w:pPr>
    <w:rPr>
      <w:sz w:val="24"/>
      <w:szCs w:val="24"/>
      <w:lang w:val="en-US"/>
    </w:rPr>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character" w:customStyle="1" w:styleId="NormalnumberChar">
    <w:name w:val="Normal_number Char"/>
    <w:link w:val="Normalnumber"/>
    <w:locked/>
    <w:rsid w:val="00730DB5"/>
    <w:rPr>
      <w:lang w:eastAsia="en-US"/>
    </w:rPr>
  </w:style>
  <w:style w:type="character" w:customStyle="1" w:styleId="Normal-poolChar">
    <w:name w:val="Normal-pool Char"/>
    <w:link w:val="Normal-pool"/>
    <w:locked/>
    <w:rsid w:val="00863F6A"/>
    <w:rPr>
      <w:lang w:eastAsia="en-US"/>
    </w:rPr>
  </w:style>
  <w:style w:type="paragraph" w:styleId="TOCHeading">
    <w:name w:val="TOC Heading"/>
    <w:basedOn w:val="Heading1"/>
    <w:next w:val="Normal"/>
    <w:uiPriority w:val="39"/>
    <w:unhideWhenUsed/>
    <w:qFormat/>
    <w:rsid w:val="00863F6A"/>
    <w:pPr>
      <w:keepLines/>
      <w:tabs>
        <w:tab w:val="clear" w:pos="1247"/>
        <w:tab w:val="clear" w:pos="1814"/>
        <w:tab w:val="clear" w:pos="2381"/>
        <w:tab w:val="clear" w:pos="2948"/>
        <w:tab w:val="clear" w:pos="3515"/>
      </w:tabs>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val="en-US"/>
    </w:rPr>
  </w:style>
  <w:style w:type="character" w:styleId="FootnoteReference">
    <w:name w:val="footnote reference"/>
    <w:basedOn w:val="DefaultParagraphFont"/>
    <w:uiPriority w:val="99"/>
    <w:semiHidden/>
    <w:unhideWhenUsed/>
    <w:qFormat/>
    <w:rsid w:val="00433B5A"/>
    <w:rPr>
      <w:vertAlign w:val="superscript"/>
    </w:rPr>
  </w:style>
  <w:style w:type="character" w:customStyle="1" w:styleId="fr">
    <w:name w:val="fr"/>
    <w:basedOn w:val="DefaultParagraphFont"/>
    <w:rsid w:val="003A1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8127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5500746">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3.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AB54F-83C4-4345-9836-75F3957B3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786AD-E373-4E0B-9C69-D17074D71678}">
  <ds:schemaRefs>
    <ds:schemaRef ds:uri="http://schemas.microsoft.com/sharepoint/v3/contenttype/forms"/>
  </ds:schemaRefs>
</ds:datastoreItem>
</file>

<file path=customXml/itemProps3.xml><?xml version="1.0" encoding="utf-8"?>
<ds:datastoreItem xmlns:ds="http://schemas.openxmlformats.org/officeDocument/2006/customXml" ds:itemID="{850099DD-C3B4-46BC-B7D1-79573F27CD98}">
  <ds:schemaRefs>
    <ds:schemaRef ds:uri="http://purl.org/dc/elements/1.1/"/>
    <ds:schemaRef ds:uri="http://schemas.microsoft.com/office/2006/metadata/properties"/>
    <ds:schemaRef ds:uri="http://schemas.microsoft.com/office/2006/documentManagement/types"/>
    <ds:schemaRef ds:uri="d18b2cca-499f-4557-a4e9-65dcf311f482"/>
    <ds:schemaRef ds:uri="http://purl.org/dc/terms/"/>
    <ds:schemaRef ds:uri="http://schemas.openxmlformats.org/package/2006/metadata/core-properties"/>
    <ds:schemaRef ds:uri="http://purl.org/dc/dcmitype/"/>
    <ds:schemaRef ds:uri="http://schemas.microsoft.com/office/infopath/2007/PartnerControls"/>
    <ds:schemaRef ds:uri="f500b1e4-de7e-4e77-a903-0925b28ae6a4"/>
    <ds:schemaRef ds:uri="http://www.w3.org/XML/1998/namespace"/>
  </ds:schemaRefs>
</ds:datastoreItem>
</file>

<file path=customXml/itemProps4.xml><?xml version="1.0" encoding="utf-8"?>
<ds:datastoreItem xmlns:ds="http://schemas.openxmlformats.org/officeDocument/2006/customXml" ds:itemID="{26B932AE-7E5D-4D40-91D4-FDBF25E5E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8508</Words>
  <Characters>46800</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Esther Nzigiye</cp:lastModifiedBy>
  <cp:revision>2</cp:revision>
  <cp:lastPrinted>2019-11-18T12:14:00Z</cp:lastPrinted>
  <dcterms:created xsi:type="dcterms:W3CDTF">2019-11-18T13:22:00Z</dcterms:created>
  <dcterms:modified xsi:type="dcterms:W3CDTF">2019-11-18T13:22:00Z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y fmtid="{D5CDD505-2E9C-101B-9397-08002B2CF9AE}" pid="3" name="TranslatedWith">
    <vt:lpwstr>Mercury</vt:lpwstr>
  </property>
  <property fmtid="{D5CDD505-2E9C-101B-9397-08002B2CF9AE}" pid="4" name="GeneratedBy">
    <vt:lpwstr>Maite.Suengas</vt:lpwstr>
  </property>
  <property fmtid="{D5CDD505-2E9C-101B-9397-08002B2CF9AE}" pid="5" name="GeneratedDate">
    <vt:lpwstr>11/12/2019 11:11:20 PM</vt:lpwstr>
  </property>
  <property fmtid="{D5CDD505-2E9C-101B-9397-08002B2CF9AE}" pid="6" name="OriginalDocID">
    <vt:lpwstr>d8177167-6a90-4f27-87ad-550931777c1f</vt:lpwstr>
  </property>
</Properties>
</file>