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032E4E" w:rsidRPr="00353EC0" w14:paraId="4B9F0F9B" w14:textId="77777777" w:rsidTr="00CB007D">
        <w:trPr>
          <w:cantSplit/>
          <w:trHeight w:val="850"/>
          <w:jc w:val="right"/>
        </w:trPr>
        <w:tc>
          <w:tcPr>
            <w:tcW w:w="1550" w:type="dxa"/>
          </w:tcPr>
          <w:p w14:paraId="2A9B9F9D" w14:textId="5E7D4162" w:rsidR="00032E4E" w:rsidRPr="00353EC0" w:rsidRDefault="00032E4E" w:rsidP="00B8400F">
            <w:pPr>
              <w:pStyle w:val="Normal-pool"/>
              <w:rPr>
                <w:rFonts w:ascii="Arial" w:hAnsi="Arial" w:cs="Arial"/>
                <w:b/>
                <w:noProof/>
                <w:sz w:val="27"/>
                <w:szCs w:val="27"/>
              </w:rPr>
            </w:pPr>
            <w:r w:rsidRPr="00353EC0">
              <w:rPr>
                <w:rFonts w:ascii="Arial" w:hAnsi="Arial" w:cs="Arial"/>
                <w:b/>
                <w:noProof/>
                <w:sz w:val="27"/>
                <w:szCs w:val="27"/>
              </w:rPr>
              <w:t>UNITED</w:t>
            </w:r>
            <w:r w:rsidR="00F96F7E" w:rsidRPr="00353EC0">
              <w:rPr>
                <w:rFonts w:ascii="Arial" w:hAnsi="Arial" w:cs="Arial"/>
                <w:b/>
                <w:noProof/>
                <w:sz w:val="27"/>
                <w:szCs w:val="27"/>
              </w:rPr>
              <w:t xml:space="preserve"> </w:t>
            </w:r>
            <w:r w:rsidRPr="00353EC0">
              <w:rPr>
                <w:rFonts w:ascii="Arial" w:hAnsi="Arial" w:cs="Arial"/>
                <w:b/>
                <w:noProof/>
                <w:sz w:val="27"/>
                <w:szCs w:val="27"/>
              </w:rPr>
              <w:br/>
              <w:t>NATIONS</w:t>
            </w:r>
          </w:p>
        </w:tc>
        <w:tc>
          <w:tcPr>
            <w:tcW w:w="4751" w:type="dxa"/>
          </w:tcPr>
          <w:p w14:paraId="2F47229A" w14:textId="77777777" w:rsidR="00032E4E" w:rsidRPr="00353EC0" w:rsidRDefault="00032E4E" w:rsidP="00B8400F">
            <w:pPr>
              <w:pStyle w:val="Normal-pool"/>
              <w:jc w:val="right"/>
              <w:rPr>
                <w:rFonts w:ascii="Arial" w:hAnsi="Arial" w:cs="Arial"/>
                <w:b/>
              </w:rPr>
            </w:pPr>
          </w:p>
        </w:tc>
        <w:tc>
          <w:tcPr>
            <w:tcW w:w="3411" w:type="dxa"/>
          </w:tcPr>
          <w:p w14:paraId="57073C3F" w14:textId="77777777" w:rsidR="00032E4E" w:rsidRPr="00353EC0" w:rsidRDefault="00787688" w:rsidP="00B8400F">
            <w:pPr>
              <w:pStyle w:val="Normal-pool"/>
              <w:jc w:val="right"/>
              <w:rPr>
                <w:rFonts w:ascii="Arial" w:hAnsi="Arial" w:cs="Arial"/>
                <w:b/>
                <w:sz w:val="64"/>
                <w:szCs w:val="64"/>
              </w:rPr>
            </w:pPr>
            <w:r w:rsidRPr="00353EC0">
              <w:rPr>
                <w:rFonts w:ascii="Arial" w:hAnsi="Arial" w:cs="Arial"/>
                <w:b/>
                <w:sz w:val="64"/>
                <w:szCs w:val="64"/>
              </w:rPr>
              <w:t>MC</w:t>
            </w:r>
          </w:p>
        </w:tc>
      </w:tr>
      <w:tr w:rsidR="00032E4E" w:rsidRPr="00353EC0" w14:paraId="0DEAC680" w14:textId="77777777" w:rsidTr="00CB007D">
        <w:trPr>
          <w:cantSplit/>
          <w:trHeight w:val="281"/>
          <w:jc w:val="right"/>
        </w:trPr>
        <w:tc>
          <w:tcPr>
            <w:tcW w:w="1550" w:type="dxa"/>
            <w:tcBorders>
              <w:bottom w:val="single" w:sz="4" w:space="0" w:color="auto"/>
            </w:tcBorders>
          </w:tcPr>
          <w:p w14:paraId="30269B88" w14:textId="77777777" w:rsidR="00032E4E" w:rsidRPr="00353EC0" w:rsidRDefault="00032E4E" w:rsidP="00B8400F">
            <w:pPr>
              <w:pStyle w:val="Normal-pool"/>
              <w:rPr>
                <w:noProof/>
                <w:sz w:val="18"/>
                <w:szCs w:val="18"/>
              </w:rPr>
            </w:pPr>
          </w:p>
        </w:tc>
        <w:tc>
          <w:tcPr>
            <w:tcW w:w="4751" w:type="dxa"/>
            <w:tcBorders>
              <w:bottom w:val="single" w:sz="4" w:space="0" w:color="auto"/>
            </w:tcBorders>
          </w:tcPr>
          <w:p w14:paraId="54296B4D" w14:textId="77777777" w:rsidR="00032E4E" w:rsidRPr="00353EC0" w:rsidRDefault="00032E4E" w:rsidP="00B8400F">
            <w:pPr>
              <w:pStyle w:val="Normal-pool"/>
              <w:rPr>
                <w:rFonts w:ascii="Univers" w:hAnsi="Univers"/>
                <w:sz w:val="18"/>
                <w:szCs w:val="18"/>
              </w:rPr>
            </w:pPr>
          </w:p>
        </w:tc>
        <w:tc>
          <w:tcPr>
            <w:tcW w:w="3411" w:type="dxa"/>
            <w:tcBorders>
              <w:bottom w:val="single" w:sz="4" w:space="0" w:color="auto"/>
            </w:tcBorders>
          </w:tcPr>
          <w:p w14:paraId="540639F8" w14:textId="1FE10E15" w:rsidR="00032E4E" w:rsidRPr="00353EC0" w:rsidRDefault="00032E4E" w:rsidP="00B8400F">
            <w:pPr>
              <w:pStyle w:val="Normal-pool"/>
              <w:rPr>
                <w:noProof/>
                <w:sz w:val="18"/>
                <w:szCs w:val="18"/>
              </w:rPr>
            </w:pPr>
            <w:r w:rsidRPr="00353EC0">
              <w:rPr>
                <w:b/>
                <w:bCs/>
                <w:sz w:val="28"/>
              </w:rPr>
              <w:t>UNEP</w:t>
            </w:r>
            <w:bookmarkStart w:id="0" w:name="OLE_LINK1"/>
            <w:bookmarkStart w:id="1" w:name="OLE_LINK2"/>
            <w:r w:rsidR="00787688" w:rsidRPr="00353EC0">
              <w:rPr>
                <w:bCs/>
              </w:rPr>
              <w:t>/</w:t>
            </w:r>
            <w:r w:rsidR="00787688" w:rsidRPr="00353EC0">
              <w:t>MC</w:t>
            </w:r>
            <w:r w:rsidRPr="00353EC0">
              <w:t>/</w:t>
            </w:r>
            <w:bookmarkEnd w:id="0"/>
            <w:bookmarkEnd w:id="1"/>
            <w:r w:rsidR="00787688" w:rsidRPr="00353EC0">
              <w:t>COP.</w:t>
            </w:r>
            <w:r w:rsidR="000A7C0C" w:rsidRPr="00353EC0">
              <w:t>3</w:t>
            </w:r>
            <w:r w:rsidRPr="00353EC0">
              <w:t>/</w:t>
            </w:r>
            <w:r w:rsidR="009E0757">
              <w:t>16</w:t>
            </w:r>
          </w:p>
        </w:tc>
      </w:tr>
      <w:bookmarkStart w:id="2" w:name="_MON_1021710482"/>
      <w:bookmarkEnd w:id="2"/>
      <w:bookmarkStart w:id="3" w:name="_MON_1021710510"/>
      <w:bookmarkEnd w:id="3"/>
      <w:tr w:rsidR="00032E4E" w:rsidRPr="00353EC0"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353EC0" w:rsidRDefault="007D574B" w:rsidP="00B8400F">
            <w:pPr>
              <w:pStyle w:val="Normal-pool"/>
              <w:rPr>
                <w:noProof/>
              </w:rPr>
            </w:pPr>
            <w:r w:rsidRPr="00353EC0">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1.5pt;mso-width-percent:0;mso-height-percent:0;mso-width-percent:0;mso-height-percent:0" o:ole="" fillcolor="window">
                  <v:imagedata r:id="rId11" o:title=""/>
                </v:shape>
                <o:OLEObject Type="Embed" ProgID="Word.Picture.8" ShapeID="_x0000_i1025" DrawAspect="Content" ObjectID="_1635153113" r:id="rId12"/>
              </w:object>
            </w:r>
            <w:r w:rsidR="00011A16" w:rsidRPr="00353EC0">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353EC0" w:rsidRDefault="00032E4E" w:rsidP="00B8400F">
            <w:pPr>
              <w:pStyle w:val="Normal-pool"/>
              <w:spacing w:before="1200"/>
              <w:rPr>
                <w:rFonts w:ascii="Arial" w:hAnsi="Arial" w:cs="Arial"/>
                <w:b/>
                <w:sz w:val="28"/>
              </w:rPr>
            </w:pPr>
            <w:r w:rsidRPr="00353EC0">
              <w:rPr>
                <w:rFonts w:ascii="Arial" w:hAnsi="Arial" w:cs="Arial"/>
                <w:b/>
                <w:sz w:val="32"/>
                <w:szCs w:val="32"/>
              </w:rPr>
              <w:t>United Nations</w:t>
            </w:r>
            <w:r w:rsidR="005B2DF4" w:rsidRPr="00353EC0">
              <w:rPr>
                <w:rFonts w:ascii="Arial" w:hAnsi="Arial" w:cs="Arial"/>
                <w:b/>
                <w:sz w:val="32"/>
                <w:szCs w:val="32"/>
              </w:rPr>
              <w:t xml:space="preserve"> </w:t>
            </w:r>
            <w:r w:rsidRPr="00353EC0">
              <w:rPr>
                <w:rFonts w:ascii="Arial" w:hAnsi="Arial" w:cs="Arial"/>
                <w:b/>
                <w:sz w:val="32"/>
                <w:szCs w:val="32"/>
              </w:rPr>
              <w:br w:type="textWrapping" w:clear="all"/>
              <w:t>Environment</w:t>
            </w:r>
            <w:r w:rsidR="005B2DF4" w:rsidRPr="00353EC0">
              <w:rPr>
                <w:rFonts w:ascii="Arial" w:hAnsi="Arial" w:cs="Arial"/>
                <w:b/>
                <w:sz w:val="32"/>
                <w:szCs w:val="32"/>
              </w:rPr>
              <w:t xml:space="preserve"> </w:t>
            </w:r>
            <w:r w:rsidRPr="00353EC0">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696D503" w:rsidR="00032E4E" w:rsidRPr="00353EC0" w:rsidRDefault="00032E4E" w:rsidP="00B8400F">
            <w:pPr>
              <w:pStyle w:val="Normal-pool"/>
              <w:spacing w:before="120"/>
            </w:pPr>
            <w:r w:rsidRPr="00353EC0">
              <w:t>Distr.: General</w:t>
            </w:r>
            <w:r w:rsidR="005B2DF4" w:rsidRPr="00353EC0">
              <w:t xml:space="preserve"> </w:t>
            </w:r>
            <w:r w:rsidR="00F96F7E" w:rsidRPr="00353EC0">
              <w:br/>
            </w:r>
            <w:r w:rsidR="009E0757">
              <w:t>3 October</w:t>
            </w:r>
            <w:r w:rsidR="00634E0D">
              <w:t xml:space="preserve"> </w:t>
            </w:r>
            <w:r w:rsidR="0042266F" w:rsidRPr="00353EC0">
              <w:t>201</w:t>
            </w:r>
            <w:r w:rsidR="000A7C0C" w:rsidRPr="00353EC0">
              <w:t>9</w:t>
            </w:r>
          </w:p>
          <w:p w14:paraId="1A75CF9D" w14:textId="77777777" w:rsidR="00032E4E" w:rsidRPr="00353EC0" w:rsidRDefault="00032E4E" w:rsidP="00B8400F">
            <w:pPr>
              <w:pStyle w:val="Normal-pool"/>
              <w:spacing w:before="120"/>
            </w:pPr>
            <w:r w:rsidRPr="00353EC0">
              <w:t>Original: English</w:t>
            </w:r>
          </w:p>
        </w:tc>
      </w:tr>
    </w:tbl>
    <w:p w14:paraId="0A4BFFDA" w14:textId="30575E0E" w:rsidR="00E976AB" w:rsidRPr="00353EC0" w:rsidRDefault="00CB007D" w:rsidP="00E976AB">
      <w:pPr>
        <w:pStyle w:val="AATitle"/>
        <w:keepNext w:val="0"/>
        <w:keepLines w:val="0"/>
      </w:pPr>
      <w:r w:rsidRPr="00353EC0">
        <w:t>Conference of the Parties to the</w:t>
      </w:r>
      <w:r w:rsidR="005B2DF4" w:rsidRPr="00353EC0">
        <w:t xml:space="preserve"> </w:t>
      </w:r>
      <w:r w:rsidR="005B2DF4" w:rsidRPr="00353EC0">
        <w:br/>
      </w:r>
      <w:r w:rsidR="00787688" w:rsidRPr="00353EC0">
        <w:t>Minamata Convention on Mercury</w:t>
      </w:r>
    </w:p>
    <w:p w14:paraId="26A6CAA0" w14:textId="65393398" w:rsidR="00E976AB" w:rsidRPr="00353EC0" w:rsidRDefault="00F96F7E" w:rsidP="00E976AB">
      <w:pPr>
        <w:pStyle w:val="AATitle"/>
        <w:keepNext w:val="0"/>
        <w:keepLines w:val="0"/>
      </w:pPr>
      <w:r w:rsidRPr="00353EC0">
        <w:t>Third</w:t>
      </w:r>
      <w:r w:rsidR="00787688" w:rsidRPr="00353EC0">
        <w:t xml:space="preserve"> meeting</w:t>
      </w:r>
    </w:p>
    <w:p w14:paraId="67B82F12" w14:textId="15AA025C" w:rsidR="00787688" w:rsidRPr="00353EC0" w:rsidRDefault="00787688" w:rsidP="00434321">
      <w:pPr>
        <w:pStyle w:val="AATitle"/>
        <w:rPr>
          <w:b w:val="0"/>
        </w:rPr>
      </w:pPr>
      <w:r w:rsidRPr="00353EC0">
        <w:rPr>
          <w:b w:val="0"/>
        </w:rPr>
        <w:t>Geneva</w:t>
      </w:r>
      <w:r w:rsidR="00E976AB" w:rsidRPr="00353EC0">
        <w:rPr>
          <w:b w:val="0"/>
        </w:rPr>
        <w:t xml:space="preserve">, </w:t>
      </w:r>
      <w:r w:rsidR="000A7C0C" w:rsidRPr="00353EC0">
        <w:rPr>
          <w:b w:val="0"/>
        </w:rPr>
        <w:t>25</w:t>
      </w:r>
      <w:r w:rsidR="00325D38" w:rsidRPr="00353EC0">
        <w:rPr>
          <w:b w:val="0"/>
        </w:rPr>
        <w:t>–</w:t>
      </w:r>
      <w:r w:rsidR="000A7C0C" w:rsidRPr="00353EC0">
        <w:rPr>
          <w:b w:val="0"/>
        </w:rPr>
        <w:t>29</w:t>
      </w:r>
      <w:r w:rsidR="00325D38" w:rsidRPr="00353EC0">
        <w:rPr>
          <w:b w:val="0"/>
        </w:rPr>
        <w:t xml:space="preserve"> </w:t>
      </w:r>
      <w:r w:rsidR="00434321" w:rsidRPr="00353EC0">
        <w:rPr>
          <w:b w:val="0"/>
        </w:rPr>
        <w:t>November 201</w:t>
      </w:r>
      <w:r w:rsidR="000A7C0C" w:rsidRPr="00353EC0">
        <w:rPr>
          <w:b w:val="0"/>
        </w:rPr>
        <w:t>9</w:t>
      </w:r>
    </w:p>
    <w:p w14:paraId="145E0EBE" w14:textId="77777777" w:rsidR="00863F6A" w:rsidRDefault="00863F6A" w:rsidP="00863F6A">
      <w:pPr>
        <w:pStyle w:val="AATitle"/>
        <w:keepNext w:val="0"/>
        <w:keepLines w:val="0"/>
        <w:rPr>
          <w:b w:val="0"/>
        </w:rPr>
      </w:pPr>
      <w:r>
        <w:rPr>
          <w:b w:val="0"/>
        </w:rPr>
        <w:t>Item 5 (j)</w:t>
      </w:r>
      <w:r w:rsidRPr="00A018C0">
        <w:rPr>
          <w:b w:val="0"/>
        </w:rPr>
        <w:t xml:space="preserve"> of the provisional agenda</w:t>
      </w:r>
      <w:r w:rsidRPr="00A018C0">
        <w:rPr>
          <w:b w:val="0"/>
        </w:rPr>
        <w:footnoteReference w:customMarkFollows="1" w:id="1"/>
        <w:t>*</w:t>
      </w:r>
    </w:p>
    <w:p w14:paraId="77684844" w14:textId="6012125D" w:rsidR="00863F6A" w:rsidRDefault="00863F6A" w:rsidP="008402DC">
      <w:pPr>
        <w:pStyle w:val="AATitle2"/>
        <w:ind w:right="5540"/>
      </w:pPr>
      <w:r>
        <w:t>Matters for consideration or action</w:t>
      </w:r>
      <w:r w:rsidR="000F1622">
        <w:t xml:space="preserve"> by the Conference of the Parties</w:t>
      </w:r>
      <w:r w:rsidRPr="00FA6617">
        <w:t xml:space="preserve">: </w:t>
      </w:r>
      <w:r w:rsidR="007553E8">
        <w:t>s</w:t>
      </w:r>
      <w:r>
        <w:t>ecretariat</w:t>
      </w:r>
    </w:p>
    <w:p w14:paraId="76A95036" w14:textId="71A488DE" w:rsidR="00863F6A" w:rsidRDefault="00863F6A" w:rsidP="00863F6A">
      <w:pPr>
        <w:pStyle w:val="BBTitle"/>
      </w:pPr>
      <w:r w:rsidRPr="00C91378">
        <w:t xml:space="preserve">Operative </w:t>
      </w:r>
      <w:r w:rsidR="00474B2D" w:rsidRPr="00C91378">
        <w:t>p</w:t>
      </w:r>
      <w:r w:rsidRPr="00C91378">
        <w:t>roposal</w:t>
      </w:r>
      <w:r w:rsidR="00474B2D" w:rsidRPr="00C91378">
        <w:t xml:space="preserve"> of the</w:t>
      </w:r>
      <w:r>
        <w:t xml:space="preserve"> </w:t>
      </w:r>
      <w:r w:rsidR="00474B2D">
        <w:t xml:space="preserve">Executive Director of the </w:t>
      </w:r>
      <w:r w:rsidR="00474B2D" w:rsidRPr="005E4AAB">
        <w:t>United</w:t>
      </w:r>
      <w:r w:rsidR="00A2155C">
        <w:t> </w:t>
      </w:r>
      <w:r w:rsidR="005239F4">
        <w:t xml:space="preserve">Nations </w:t>
      </w:r>
      <w:r w:rsidR="00474B2D" w:rsidRPr="005E4AAB">
        <w:t>Environment</w:t>
      </w:r>
      <w:r w:rsidR="00474B2D">
        <w:t xml:space="preserve"> Programme </w:t>
      </w:r>
      <w:r>
        <w:t>for sharing services between</w:t>
      </w:r>
      <w:r w:rsidR="00474B2D">
        <w:t xml:space="preserve"> the</w:t>
      </w:r>
      <w:r>
        <w:t xml:space="preserve"> </w:t>
      </w:r>
      <w:r w:rsidR="00474B2D">
        <w:t xml:space="preserve">secretariat of the </w:t>
      </w:r>
      <w:r>
        <w:t>Minamata</w:t>
      </w:r>
      <w:r w:rsidR="00474B2D">
        <w:t xml:space="preserve"> Convention</w:t>
      </w:r>
      <w:r>
        <w:t xml:space="preserve"> and</w:t>
      </w:r>
      <w:r w:rsidR="00474B2D">
        <w:t xml:space="preserve"> </w:t>
      </w:r>
      <w:r w:rsidR="00D8019A">
        <w:t xml:space="preserve">the </w:t>
      </w:r>
      <w:r w:rsidR="008A4BA2">
        <w:t xml:space="preserve">Secretariat of </w:t>
      </w:r>
      <w:r w:rsidR="00474B2D">
        <w:t>the</w:t>
      </w:r>
      <w:r>
        <w:t xml:space="preserve"> B</w:t>
      </w:r>
      <w:r w:rsidR="00474B2D">
        <w:t xml:space="preserve">asel, </w:t>
      </w:r>
      <w:r>
        <w:t>R</w:t>
      </w:r>
      <w:r w:rsidR="00474B2D">
        <w:t xml:space="preserve">otterdam and </w:t>
      </w:r>
      <w:r>
        <w:t>S</w:t>
      </w:r>
      <w:r w:rsidR="00474B2D">
        <w:t>tockholm</w:t>
      </w:r>
      <w:r>
        <w:t xml:space="preserve"> Conventions </w:t>
      </w:r>
    </w:p>
    <w:p w14:paraId="205564B3" w14:textId="77777777" w:rsidR="008D0708" w:rsidRPr="004C2AB4" w:rsidRDefault="008D0708" w:rsidP="00D92A40">
      <w:pPr>
        <w:pStyle w:val="CH2"/>
        <w:spacing w:after="360"/>
        <w:ind w:left="1253" w:right="288" w:hanging="1253"/>
      </w:pPr>
      <w:r>
        <w:tab/>
      </w:r>
      <w:r>
        <w:tab/>
      </w:r>
      <w:r w:rsidRPr="00035ED3">
        <w:t>Note by the secretariat</w:t>
      </w:r>
    </w:p>
    <w:p w14:paraId="0E0781E8" w14:textId="2DFDEC57" w:rsidR="00555873" w:rsidRPr="00456D0A" w:rsidRDefault="00555873" w:rsidP="00D92A40">
      <w:pPr>
        <w:pStyle w:val="Normalnumber"/>
        <w:tabs>
          <w:tab w:val="clear" w:pos="597"/>
        </w:tabs>
        <w:ind w:left="1247"/>
      </w:pPr>
      <w:r w:rsidRPr="008C1DC7">
        <w:t>The Conference of the Parties to the Minamata Convention</w:t>
      </w:r>
      <w:r>
        <w:t xml:space="preserve"> on Mercury</w:t>
      </w:r>
      <w:r w:rsidRPr="008C1DC7">
        <w:t xml:space="preserve">, in its decision </w:t>
      </w:r>
      <w:r>
        <w:t>MC</w:t>
      </w:r>
      <w:r>
        <w:noBreakHyphen/>
        <w:t>2/7</w:t>
      </w:r>
      <w:r w:rsidRPr="008C1DC7">
        <w:t xml:space="preserve">, requested </w:t>
      </w:r>
      <w:r w:rsidRPr="00D92A40">
        <w:t xml:space="preserve">the Executive Director of the United Nations Environment Programme </w:t>
      </w:r>
      <w:r>
        <w:t xml:space="preserve">(UNEP) </w:t>
      </w:r>
      <w:r w:rsidRPr="00D92A40">
        <w:t>to s</w:t>
      </w:r>
      <w:r w:rsidRPr="008C1DC7">
        <w:t xml:space="preserve">ubmit </w:t>
      </w:r>
      <w:r w:rsidRPr="00456D0A">
        <w:t xml:space="preserve">an </w:t>
      </w:r>
      <w:r w:rsidRPr="00662268">
        <w:t xml:space="preserve">operative proposal on a stable framework for the sharing of relevant services between the secretariat of the Minamata Convention and the </w:t>
      </w:r>
      <w:r w:rsidRPr="00E36A5A">
        <w:t xml:space="preserve">secretariat of the </w:t>
      </w:r>
      <w:r w:rsidRPr="00C91378">
        <w:t xml:space="preserve">Basel, Rotterdam and Stockholm </w:t>
      </w:r>
      <w:r w:rsidRPr="00456D0A">
        <w:t xml:space="preserve">Conventions, prepared together with the Executive Secretary of the Minamata Convention and with the support of the Executive Secretary of the Basel Convention on the Control of Transboundary Movements of Hazardous Wastes and Their Disposal, the Stockholm Convention on Persistent Organic Pollutants and the UNEP part of the Rotterdam Convention on the Prior Informed Consent Procedure for Certain Hazardous Chemicals and Pesticides in International Trade. </w:t>
      </w:r>
    </w:p>
    <w:p w14:paraId="510F4A44" w14:textId="01609449" w:rsidR="00555873" w:rsidRPr="00456D0A" w:rsidRDefault="00555873" w:rsidP="00D92A40">
      <w:pPr>
        <w:pStyle w:val="Normalnumber"/>
        <w:tabs>
          <w:tab w:val="clear" w:pos="597"/>
        </w:tabs>
        <w:ind w:left="1247"/>
      </w:pPr>
      <w:r w:rsidRPr="00456D0A">
        <w:t xml:space="preserve">The secretariat has the honour to present the operative proposal of the Executive Director of UNEP for sharing services between the conventions for the consideration of the Conference of the Parties to the Minamata Convention at its third meeting. The present proposal evaluates and presents three possible options: </w:t>
      </w:r>
    </w:p>
    <w:p w14:paraId="52A0FA41" w14:textId="77777777" w:rsidR="00555873" w:rsidRPr="00662268" w:rsidRDefault="00555873" w:rsidP="008402DC">
      <w:pPr>
        <w:pStyle w:val="Normalnumber"/>
        <w:numPr>
          <w:ilvl w:val="0"/>
          <w:numId w:val="9"/>
        </w:numPr>
        <w:tabs>
          <w:tab w:val="clear" w:pos="1758"/>
        </w:tabs>
        <w:ind w:left="1247" w:firstLine="624"/>
      </w:pPr>
      <w:r w:rsidRPr="00662268">
        <w:t>A dedicated consolidated unit;</w:t>
      </w:r>
    </w:p>
    <w:p w14:paraId="04AD6A81" w14:textId="77777777" w:rsidR="00555873" w:rsidRDefault="00555873" w:rsidP="008402DC">
      <w:pPr>
        <w:pStyle w:val="Normalnumber"/>
        <w:numPr>
          <w:ilvl w:val="0"/>
          <w:numId w:val="9"/>
        </w:numPr>
        <w:ind w:left="1247" w:firstLine="624"/>
      </w:pPr>
      <w:r>
        <w:t xml:space="preserve">Redeployment of staff from the secretariat of the Minamata Convention to </w:t>
      </w:r>
      <w:r w:rsidRPr="002B76E6">
        <w:t xml:space="preserve">the </w:t>
      </w:r>
      <w:r>
        <w:t xml:space="preserve">Secretariat of the </w:t>
      </w:r>
      <w:r w:rsidRPr="002B76E6">
        <w:t xml:space="preserve">Basel, Rotterdam and Stockholm </w:t>
      </w:r>
      <w:r>
        <w:t>C</w:t>
      </w:r>
      <w:r w:rsidRPr="002B76E6">
        <w:t>onventions</w:t>
      </w:r>
      <w:r>
        <w:t>;</w:t>
      </w:r>
      <w:r w:rsidRPr="002B76E6" w:rsidDel="002B76E6">
        <w:t xml:space="preserve"> </w:t>
      </w:r>
    </w:p>
    <w:p w14:paraId="0BDB9701" w14:textId="2E2CD0F1" w:rsidR="00555873" w:rsidRDefault="00555873" w:rsidP="008402DC">
      <w:pPr>
        <w:pStyle w:val="Normalnumber"/>
        <w:numPr>
          <w:ilvl w:val="0"/>
          <w:numId w:val="9"/>
        </w:numPr>
        <w:ind w:left="1247" w:firstLine="624"/>
      </w:pPr>
      <w:r>
        <w:t>P</w:t>
      </w:r>
      <w:r w:rsidRPr="008C1DC7">
        <w:t xml:space="preserve">urchase of services by </w:t>
      </w:r>
      <w:r>
        <w:t xml:space="preserve">the secretariat of the Minamata Convention </w:t>
      </w:r>
      <w:r w:rsidRPr="008C1DC7">
        <w:t xml:space="preserve">from </w:t>
      </w:r>
      <w:r w:rsidRPr="002B76E6">
        <w:t xml:space="preserve">the </w:t>
      </w:r>
      <w:r>
        <w:t xml:space="preserve">Secretariat of the </w:t>
      </w:r>
      <w:r w:rsidRPr="002B76E6">
        <w:t xml:space="preserve">Basel, Rotterdam and Stockholm </w:t>
      </w:r>
      <w:r>
        <w:t>C</w:t>
      </w:r>
      <w:r w:rsidRPr="002B76E6">
        <w:t>onventions</w:t>
      </w:r>
      <w:r w:rsidRPr="008C1DC7">
        <w:t xml:space="preserve"> on</w:t>
      </w:r>
      <w:r>
        <w:t xml:space="preserve"> a</w:t>
      </w:r>
      <w:r w:rsidRPr="008C1DC7">
        <w:t xml:space="preserve"> cost</w:t>
      </w:r>
      <w:r>
        <w:t>-</w:t>
      </w:r>
      <w:r w:rsidRPr="008C1DC7">
        <w:t>recovery basis.</w:t>
      </w:r>
      <w:r>
        <w:t xml:space="preserve"> </w:t>
      </w:r>
    </w:p>
    <w:p w14:paraId="0DB0AFC2" w14:textId="712568DB" w:rsidR="00555873" w:rsidRPr="00A018C0" w:rsidRDefault="00555873" w:rsidP="00D92A40">
      <w:pPr>
        <w:pStyle w:val="Normalnumber"/>
        <w:tabs>
          <w:tab w:val="clear" w:pos="597"/>
        </w:tabs>
        <w:ind w:left="1247"/>
      </w:pPr>
      <w:r w:rsidRPr="008C1DC7">
        <w:t>The Conference of</w:t>
      </w:r>
      <w:r>
        <w:t xml:space="preserve"> the</w:t>
      </w:r>
      <w:r w:rsidRPr="008C1DC7">
        <w:t xml:space="preserve"> Parties may </w:t>
      </w:r>
      <w:r>
        <w:t xml:space="preserve">wish to </w:t>
      </w:r>
      <w:r w:rsidRPr="008C1DC7">
        <w:t xml:space="preserve">consider </w:t>
      </w:r>
      <w:r>
        <w:t xml:space="preserve">accepting the proposal and </w:t>
      </w:r>
      <w:r w:rsidRPr="008C1DC7">
        <w:t>endors</w:t>
      </w:r>
      <w:r>
        <w:t>ing</w:t>
      </w:r>
      <w:r w:rsidRPr="008C1DC7">
        <w:t xml:space="preserve"> the </w:t>
      </w:r>
      <w:r>
        <w:t xml:space="preserve">purchase of services by the secretariat of the Minamata Convention from the secretariat of </w:t>
      </w:r>
      <w:r w:rsidRPr="002B76E6">
        <w:t xml:space="preserve">the Basel, Rotterdam and Stockholm </w:t>
      </w:r>
      <w:r>
        <w:t>C</w:t>
      </w:r>
      <w:r w:rsidRPr="002B76E6">
        <w:t>onventions</w:t>
      </w:r>
      <w:r>
        <w:t xml:space="preserve"> based on the </w:t>
      </w:r>
      <w:r w:rsidRPr="008C1DC7">
        <w:t>cost</w:t>
      </w:r>
      <w:r>
        <w:t>-</w:t>
      </w:r>
      <w:r w:rsidRPr="008C1DC7">
        <w:t xml:space="preserve">recovery model, </w:t>
      </w:r>
      <w:r>
        <w:t>with the option to review the arrangement in 2021</w:t>
      </w:r>
      <w:r w:rsidRPr="00B314DF">
        <w:rPr>
          <w:bCs/>
        </w:rPr>
        <w:t>.</w:t>
      </w:r>
    </w:p>
    <w:p w14:paraId="790CEAC0" w14:textId="77777777" w:rsidR="009E0757" w:rsidRDefault="00863F6A" w:rsidP="009E0757">
      <w:pPr>
        <w:pStyle w:val="Normal-pool"/>
        <w:rPr>
          <w:b/>
          <w:bCs/>
        </w:rPr>
        <w:sectPr w:rsidR="009E0757" w:rsidSect="00353EC0">
          <w:headerReference w:type="even" r:id="rId14"/>
          <w:headerReference w:type="default" r:id="rId15"/>
          <w:footerReference w:type="even" r:id="rId16"/>
          <w:footerReference w:type="default" r:id="rId17"/>
          <w:headerReference w:type="first" r:id="rId18"/>
          <w:footerReference w:type="first" r:id="rId19"/>
          <w:footnotePr>
            <w:numRestart w:val="eachSect"/>
          </w:footnotePr>
          <w:type w:val="continuous"/>
          <w:pgSz w:w="11907" w:h="16840" w:code="9"/>
          <w:pgMar w:top="907" w:right="992" w:bottom="1418" w:left="1418" w:header="539" w:footer="975" w:gutter="0"/>
          <w:cols w:space="539"/>
          <w:titlePg/>
          <w:docGrid w:linePitch="360"/>
        </w:sectPr>
      </w:pPr>
      <w:r>
        <w:rPr>
          <w:b/>
          <w:bCs/>
        </w:rPr>
        <w:br w:type="page"/>
      </w:r>
    </w:p>
    <w:p w14:paraId="1C1C6F18" w14:textId="2C12A19D" w:rsidR="00AD526B" w:rsidRDefault="00AD526B" w:rsidP="00D92A40">
      <w:pPr>
        <w:pStyle w:val="ZZAnxheader"/>
      </w:pPr>
      <w:r>
        <w:lastRenderedPageBreak/>
        <w:t>Annex</w:t>
      </w:r>
    </w:p>
    <w:p w14:paraId="61CEC3F3" w14:textId="4CBDDBC1" w:rsidR="00AD526B" w:rsidRDefault="0015682A" w:rsidP="00D92A40">
      <w:pPr>
        <w:pStyle w:val="ZZAnxtitle"/>
      </w:pPr>
      <w:r w:rsidRPr="00C91378">
        <w:t>Operative proposal of the</w:t>
      </w:r>
      <w:r>
        <w:t xml:space="preserve"> Executive Director of the </w:t>
      </w:r>
      <w:r w:rsidRPr="005E4AAB">
        <w:t>United</w:t>
      </w:r>
      <w:r>
        <w:t> </w:t>
      </w:r>
      <w:r w:rsidR="00D61BE2">
        <w:t xml:space="preserve">Nations </w:t>
      </w:r>
      <w:r w:rsidRPr="005E4AAB">
        <w:t>Environment</w:t>
      </w:r>
      <w:r>
        <w:t xml:space="preserve"> Programme for sharing services between the secretariat of the Minamata Convention and the Secretariat of the Basel, Rotterdam and Stockholm Conventions</w:t>
      </w:r>
    </w:p>
    <w:p w14:paraId="05425658" w14:textId="01D4E8D6" w:rsidR="00863F6A" w:rsidRDefault="00E43DF5" w:rsidP="00E43DF5">
      <w:pPr>
        <w:pStyle w:val="CH2"/>
        <w:rPr>
          <w:b w:val="0"/>
          <w:bCs/>
        </w:rPr>
      </w:pPr>
      <w:r>
        <w:tab/>
      </w:r>
      <w:r>
        <w:tab/>
      </w:r>
      <w:r w:rsidR="007D50B6" w:rsidRPr="002F1F6C">
        <w:t>T</w:t>
      </w:r>
      <w:r w:rsidR="00720BF5" w:rsidRPr="002F1F6C">
        <w:t>able of contents</w:t>
      </w:r>
      <w:r w:rsidR="00AE2DCB">
        <w:t xml:space="preserve"> </w:t>
      </w:r>
    </w:p>
    <w:p w14:paraId="1A18D3C5" w14:textId="189AD870" w:rsidR="006D3B59" w:rsidRDefault="007D50B6">
      <w:pPr>
        <w:pStyle w:val="TOC1"/>
        <w:rPr>
          <w:rFonts w:asciiTheme="minorHAnsi" w:eastAsiaTheme="minorEastAsia" w:hAnsiTheme="minorHAnsi" w:cstheme="minorBidi"/>
          <w:bCs w:val="0"/>
          <w:noProof/>
          <w:sz w:val="22"/>
          <w:szCs w:val="22"/>
          <w:lang w:val="en-US"/>
        </w:rPr>
      </w:pPr>
      <w:r>
        <w:rPr>
          <w:b/>
          <w:bCs w:val="0"/>
        </w:rPr>
        <w:fldChar w:fldCharType="begin"/>
      </w:r>
      <w:r>
        <w:rPr>
          <w:b/>
          <w:bCs w:val="0"/>
        </w:rPr>
        <w:instrText xml:space="preserve"> TOC \o "1-3" \h \z \t "CH1,1,ZZ_Anx_header,2" </w:instrText>
      </w:r>
      <w:r>
        <w:rPr>
          <w:b/>
          <w:bCs w:val="0"/>
        </w:rPr>
        <w:fldChar w:fldCharType="separate"/>
      </w:r>
      <w:hyperlink w:anchor="_Toc22825238" w:history="1">
        <w:r w:rsidR="006D3B59" w:rsidRPr="00D96244">
          <w:rPr>
            <w:rStyle w:val="Hyperlink"/>
            <w:noProof/>
          </w:rPr>
          <w:t>I.</w:t>
        </w:r>
        <w:r w:rsidR="006D3B59">
          <w:rPr>
            <w:rFonts w:asciiTheme="minorHAnsi" w:eastAsiaTheme="minorEastAsia" w:hAnsiTheme="minorHAnsi" w:cstheme="minorBidi"/>
            <w:bCs w:val="0"/>
            <w:noProof/>
            <w:sz w:val="22"/>
            <w:szCs w:val="22"/>
            <w:lang w:val="en-US"/>
          </w:rPr>
          <w:tab/>
        </w:r>
        <w:r w:rsidR="006D3B59" w:rsidRPr="00D96244">
          <w:rPr>
            <w:rStyle w:val="Hyperlink"/>
            <w:noProof/>
          </w:rPr>
          <w:t>Background</w:t>
        </w:r>
        <w:r w:rsidR="006D3B59">
          <w:rPr>
            <w:noProof/>
            <w:webHidden/>
          </w:rPr>
          <w:tab/>
        </w:r>
        <w:r w:rsidR="006D3B59">
          <w:rPr>
            <w:noProof/>
            <w:webHidden/>
          </w:rPr>
          <w:fldChar w:fldCharType="begin"/>
        </w:r>
        <w:r w:rsidR="006D3B59">
          <w:rPr>
            <w:noProof/>
            <w:webHidden/>
          </w:rPr>
          <w:instrText xml:space="preserve"> PAGEREF _Toc22825238 \h </w:instrText>
        </w:r>
        <w:r w:rsidR="006D3B59">
          <w:rPr>
            <w:noProof/>
            <w:webHidden/>
          </w:rPr>
        </w:r>
        <w:r w:rsidR="006D3B59">
          <w:rPr>
            <w:noProof/>
            <w:webHidden/>
          </w:rPr>
          <w:fldChar w:fldCharType="separate"/>
        </w:r>
        <w:r w:rsidR="00A92DFD">
          <w:rPr>
            <w:noProof/>
            <w:webHidden/>
          </w:rPr>
          <w:t>3</w:t>
        </w:r>
        <w:r w:rsidR="006D3B59">
          <w:rPr>
            <w:noProof/>
            <w:webHidden/>
          </w:rPr>
          <w:fldChar w:fldCharType="end"/>
        </w:r>
      </w:hyperlink>
    </w:p>
    <w:p w14:paraId="4580DF98" w14:textId="79C9FDA4" w:rsidR="006D3B59" w:rsidRDefault="00A92DFD">
      <w:pPr>
        <w:pStyle w:val="TOC1"/>
        <w:rPr>
          <w:rFonts w:asciiTheme="minorHAnsi" w:eastAsiaTheme="minorEastAsia" w:hAnsiTheme="minorHAnsi" w:cstheme="minorBidi"/>
          <w:bCs w:val="0"/>
          <w:noProof/>
          <w:sz w:val="22"/>
          <w:szCs w:val="22"/>
          <w:lang w:val="en-US"/>
        </w:rPr>
      </w:pPr>
      <w:hyperlink w:anchor="_Toc22825239" w:history="1">
        <w:r w:rsidR="006D3B59" w:rsidRPr="00D96244">
          <w:rPr>
            <w:rStyle w:val="Hyperlink"/>
            <w:noProof/>
          </w:rPr>
          <w:t>II.</w:t>
        </w:r>
        <w:r w:rsidR="006D3B59">
          <w:rPr>
            <w:rFonts w:asciiTheme="minorHAnsi" w:eastAsiaTheme="minorEastAsia" w:hAnsiTheme="minorHAnsi" w:cstheme="minorBidi"/>
            <w:bCs w:val="0"/>
            <w:noProof/>
            <w:sz w:val="22"/>
            <w:szCs w:val="22"/>
            <w:lang w:val="en-US"/>
          </w:rPr>
          <w:tab/>
        </w:r>
        <w:r w:rsidR="006D3B59" w:rsidRPr="00D96244">
          <w:rPr>
            <w:rStyle w:val="Hyperlink"/>
            <w:noProof/>
          </w:rPr>
          <w:t>The evaluation process and key considerations</w:t>
        </w:r>
        <w:r w:rsidR="006D3B59">
          <w:rPr>
            <w:noProof/>
            <w:webHidden/>
          </w:rPr>
          <w:tab/>
        </w:r>
        <w:r w:rsidR="006D3B59">
          <w:rPr>
            <w:noProof/>
            <w:webHidden/>
          </w:rPr>
          <w:fldChar w:fldCharType="begin"/>
        </w:r>
        <w:r w:rsidR="006D3B59">
          <w:rPr>
            <w:noProof/>
            <w:webHidden/>
          </w:rPr>
          <w:instrText xml:space="preserve"> PAGEREF _Toc22825239 \h </w:instrText>
        </w:r>
        <w:r w:rsidR="006D3B59">
          <w:rPr>
            <w:noProof/>
            <w:webHidden/>
          </w:rPr>
        </w:r>
        <w:r w:rsidR="006D3B59">
          <w:rPr>
            <w:noProof/>
            <w:webHidden/>
          </w:rPr>
          <w:fldChar w:fldCharType="separate"/>
        </w:r>
        <w:r>
          <w:rPr>
            <w:noProof/>
            <w:webHidden/>
          </w:rPr>
          <w:t>3</w:t>
        </w:r>
        <w:r w:rsidR="006D3B59">
          <w:rPr>
            <w:noProof/>
            <w:webHidden/>
          </w:rPr>
          <w:fldChar w:fldCharType="end"/>
        </w:r>
      </w:hyperlink>
    </w:p>
    <w:p w14:paraId="7C0E9871" w14:textId="0C0B5D11" w:rsidR="006D3B59" w:rsidRDefault="00A92DFD">
      <w:pPr>
        <w:pStyle w:val="TOC1"/>
        <w:rPr>
          <w:rFonts w:asciiTheme="minorHAnsi" w:eastAsiaTheme="minorEastAsia" w:hAnsiTheme="minorHAnsi" w:cstheme="minorBidi"/>
          <w:bCs w:val="0"/>
          <w:noProof/>
          <w:sz w:val="22"/>
          <w:szCs w:val="22"/>
          <w:lang w:val="en-US"/>
        </w:rPr>
      </w:pPr>
      <w:hyperlink w:anchor="_Toc22825240" w:history="1">
        <w:r w:rsidR="006D3B59" w:rsidRPr="00D96244">
          <w:rPr>
            <w:rStyle w:val="Hyperlink"/>
            <w:noProof/>
          </w:rPr>
          <w:t>III.</w:t>
        </w:r>
        <w:r w:rsidR="006D3B59">
          <w:rPr>
            <w:rFonts w:asciiTheme="minorHAnsi" w:eastAsiaTheme="minorEastAsia" w:hAnsiTheme="minorHAnsi" w:cstheme="minorBidi"/>
            <w:bCs w:val="0"/>
            <w:noProof/>
            <w:sz w:val="22"/>
            <w:szCs w:val="22"/>
            <w:lang w:val="en-US"/>
          </w:rPr>
          <w:tab/>
        </w:r>
        <w:r w:rsidR="006D3B59" w:rsidRPr="00D96244">
          <w:rPr>
            <w:rStyle w:val="Hyperlink"/>
            <w:noProof/>
          </w:rPr>
          <w:t>Core principles</w:t>
        </w:r>
        <w:r w:rsidR="006D3B59">
          <w:rPr>
            <w:noProof/>
            <w:webHidden/>
          </w:rPr>
          <w:tab/>
        </w:r>
        <w:r w:rsidR="006D3B59">
          <w:rPr>
            <w:noProof/>
            <w:webHidden/>
          </w:rPr>
          <w:fldChar w:fldCharType="begin"/>
        </w:r>
        <w:r w:rsidR="006D3B59">
          <w:rPr>
            <w:noProof/>
            <w:webHidden/>
          </w:rPr>
          <w:instrText xml:space="preserve"> PAGEREF _Toc22825240 \h </w:instrText>
        </w:r>
        <w:r w:rsidR="006D3B59">
          <w:rPr>
            <w:noProof/>
            <w:webHidden/>
          </w:rPr>
        </w:r>
        <w:r w:rsidR="006D3B59">
          <w:rPr>
            <w:noProof/>
            <w:webHidden/>
          </w:rPr>
          <w:fldChar w:fldCharType="separate"/>
        </w:r>
        <w:r>
          <w:rPr>
            <w:noProof/>
            <w:webHidden/>
          </w:rPr>
          <w:t>3</w:t>
        </w:r>
        <w:r w:rsidR="006D3B59">
          <w:rPr>
            <w:noProof/>
            <w:webHidden/>
          </w:rPr>
          <w:fldChar w:fldCharType="end"/>
        </w:r>
      </w:hyperlink>
    </w:p>
    <w:p w14:paraId="56FB192A" w14:textId="6E3A24DD" w:rsidR="006D3B59" w:rsidRDefault="00A92DFD">
      <w:pPr>
        <w:pStyle w:val="TOC1"/>
        <w:rPr>
          <w:rFonts w:asciiTheme="minorHAnsi" w:eastAsiaTheme="minorEastAsia" w:hAnsiTheme="minorHAnsi" w:cstheme="minorBidi"/>
          <w:bCs w:val="0"/>
          <w:noProof/>
          <w:sz w:val="22"/>
          <w:szCs w:val="22"/>
          <w:lang w:val="en-US"/>
        </w:rPr>
      </w:pPr>
      <w:hyperlink w:anchor="_Toc22825241" w:history="1">
        <w:r w:rsidR="006D3B59" w:rsidRPr="00D96244">
          <w:rPr>
            <w:rStyle w:val="Hyperlink"/>
            <w:noProof/>
          </w:rPr>
          <w:t>IV.</w:t>
        </w:r>
        <w:r w:rsidR="006D3B59">
          <w:rPr>
            <w:rFonts w:asciiTheme="minorHAnsi" w:eastAsiaTheme="minorEastAsia" w:hAnsiTheme="minorHAnsi" w:cstheme="minorBidi"/>
            <w:bCs w:val="0"/>
            <w:noProof/>
            <w:sz w:val="22"/>
            <w:szCs w:val="22"/>
            <w:lang w:val="en-US"/>
          </w:rPr>
          <w:tab/>
        </w:r>
        <w:r w:rsidR="006D3B59" w:rsidRPr="00D96244">
          <w:rPr>
            <w:rStyle w:val="Hyperlink"/>
            <w:noProof/>
          </w:rPr>
          <w:t>Role of the Corporate Services Division of UNEP</w:t>
        </w:r>
        <w:r w:rsidR="006D3B59">
          <w:rPr>
            <w:noProof/>
            <w:webHidden/>
          </w:rPr>
          <w:tab/>
        </w:r>
        <w:r w:rsidR="006D3B59">
          <w:rPr>
            <w:noProof/>
            <w:webHidden/>
          </w:rPr>
          <w:fldChar w:fldCharType="begin"/>
        </w:r>
        <w:r w:rsidR="006D3B59">
          <w:rPr>
            <w:noProof/>
            <w:webHidden/>
          </w:rPr>
          <w:instrText xml:space="preserve"> PAGEREF _Toc22825241 \h </w:instrText>
        </w:r>
        <w:r w:rsidR="006D3B59">
          <w:rPr>
            <w:noProof/>
            <w:webHidden/>
          </w:rPr>
        </w:r>
        <w:r w:rsidR="006D3B59">
          <w:rPr>
            <w:noProof/>
            <w:webHidden/>
          </w:rPr>
          <w:fldChar w:fldCharType="separate"/>
        </w:r>
        <w:r>
          <w:rPr>
            <w:noProof/>
            <w:webHidden/>
          </w:rPr>
          <w:t>4</w:t>
        </w:r>
        <w:r w:rsidR="006D3B59">
          <w:rPr>
            <w:noProof/>
            <w:webHidden/>
          </w:rPr>
          <w:fldChar w:fldCharType="end"/>
        </w:r>
      </w:hyperlink>
    </w:p>
    <w:p w14:paraId="7A0152AC" w14:textId="261BE7EB" w:rsidR="006D3B59" w:rsidRDefault="00A92DFD">
      <w:pPr>
        <w:pStyle w:val="TOC1"/>
        <w:rPr>
          <w:rFonts w:asciiTheme="minorHAnsi" w:eastAsiaTheme="minorEastAsia" w:hAnsiTheme="minorHAnsi" w:cstheme="minorBidi"/>
          <w:bCs w:val="0"/>
          <w:noProof/>
          <w:sz w:val="22"/>
          <w:szCs w:val="22"/>
          <w:lang w:val="en-US"/>
        </w:rPr>
      </w:pPr>
      <w:hyperlink w:anchor="_Toc22825242" w:history="1">
        <w:r w:rsidR="006D3B59" w:rsidRPr="00D96244">
          <w:rPr>
            <w:rStyle w:val="Hyperlink"/>
            <w:noProof/>
          </w:rPr>
          <w:t>V.</w:t>
        </w:r>
        <w:r w:rsidR="006D3B59">
          <w:rPr>
            <w:rFonts w:asciiTheme="minorHAnsi" w:eastAsiaTheme="minorEastAsia" w:hAnsiTheme="minorHAnsi" w:cstheme="minorBidi"/>
            <w:bCs w:val="0"/>
            <w:noProof/>
            <w:sz w:val="22"/>
            <w:szCs w:val="22"/>
            <w:lang w:val="en-US"/>
          </w:rPr>
          <w:tab/>
        </w:r>
        <w:r w:rsidR="006D3B59" w:rsidRPr="00D96244">
          <w:rPr>
            <w:rStyle w:val="Hyperlink"/>
            <w:noProof/>
          </w:rPr>
          <w:t>Definition of models</w:t>
        </w:r>
        <w:r w:rsidR="006D3B59">
          <w:rPr>
            <w:noProof/>
            <w:webHidden/>
          </w:rPr>
          <w:tab/>
        </w:r>
        <w:r w:rsidR="006D3B59">
          <w:rPr>
            <w:noProof/>
            <w:webHidden/>
          </w:rPr>
          <w:fldChar w:fldCharType="begin"/>
        </w:r>
        <w:r w:rsidR="006D3B59">
          <w:rPr>
            <w:noProof/>
            <w:webHidden/>
          </w:rPr>
          <w:instrText xml:space="preserve"> PAGEREF _Toc22825242 \h </w:instrText>
        </w:r>
        <w:r w:rsidR="006D3B59">
          <w:rPr>
            <w:noProof/>
            <w:webHidden/>
          </w:rPr>
        </w:r>
        <w:r w:rsidR="006D3B59">
          <w:rPr>
            <w:noProof/>
            <w:webHidden/>
          </w:rPr>
          <w:fldChar w:fldCharType="separate"/>
        </w:r>
        <w:r>
          <w:rPr>
            <w:noProof/>
            <w:webHidden/>
          </w:rPr>
          <w:t>5</w:t>
        </w:r>
        <w:r w:rsidR="006D3B59">
          <w:rPr>
            <w:noProof/>
            <w:webHidden/>
          </w:rPr>
          <w:fldChar w:fldCharType="end"/>
        </w:r>
      </w:hyperlink>
    </w:p>
    <w:p w14:paraId="1FCD7856" w14:textId="77F849AA" w:rsidR="006D3B59" w:rsidRDefault="00A92DFD">
      <w:pPr>
        <w:pStyle w:val="TOC1"/>
        <w:rPr>
          <w:rFonts w:asciiTheme="minorHAnsi" w:eastAsiaTheme="minorEastAsia" w:hAnsiTheme="minorHAnsi" w:cstheme="minorBidi"/>
          <w:bCs w:val="0"/>
          <w:noProof/>
          <w:sz w:val="22"/>
          <w:szCs w:val="22"/>
          <w:lang w:val="en-US"/>
        </w:rPr>
      </w:pPr>
      <w:hyperlink w:anchor="_Toc22825243" w:history="1">
        <w:r w:rsidR="006D3B59" w:rsidRPr="00D96244">
          <w:rPr>
            <w:rStyle w:val="Hyperlink"/>
            <w:noProof/>
          </w:rPr>
          <w:t>VI.</w:t>
        </w:r>
        <w:r w:rsidR="006D3B59">
          <w:rPr>
            <w:rFonts w:asciiTheme="minorHAnsi" w:eastAsiaTheme="minorEastAsia" w:hAnsiTheme="minorHAnsi" w:cstheme="minorBidi"/>
            <w:bCs w:val="0"/>
            <w:noProof/>
            <w:sz w:val="22"/>
            <w:szCs w:val="22"/>
            <w:lang w:val="en-US"/>
          </w:rPr>
          <w:tab/>
        </w:r>
        <w:r w:rsidR="006D3B59" w:rsidRPr="00D96244">
          <w:rPr>
            <w:rStyle w:val="Hyperlink"/>
            <w:noProof/>
          </w:rPr>
          <w:t>Consolidation of services</w:t>
        </w:r>
        <w:r w:rsidR="006D3B59">
          <w:rPr>
            <w:noProof/>
            <w:webHidden/>
          </w:rPr>
          <w:tab/>
        </w:r>
        <w:r w:rsidR="006D3B59">
          <w:rPr>
            <w:noProof/>
            <w:webHidden/>
          </w:rPr>
          <w:fldChar w:fldCharType="begin"/>
        </w:r>
        <w:r w:rsidR="006D3B59">
          <w:rPr>
            <w:noProof/>
            <w:webHidden/>
          </w:rPr>
          <w:instrText xml:space="preserve"> PAGEREF _Toc22825243 \h </w:instrText>
        </w:r>
        <w:r w:rsidR="006D3B59">
          <w:rPr>
            <w:noProof/>
            <w:webHidden/>
          </w:rPr>
        </w:r>
        <w:r w:rsidR="006D3B59">
          <w:rPr>
            <w:noProof/>
            <w:webHidden/>
          </w:rPr>
          <w:fldChar w:fldCharType="separate"/>
        </w:r>
        <w:r>
          <w:rPr>
            <w:noProof/>
            <w:webHidden/>
          </w:rPr>
          <w:t>5</w:t>
        </w:r>
        <w:r w:rsidR="006D3B59">
          <w:rPr>
            <w:noProof/>
            <w:webHidden/>
          </w:rPr>
          <w:fldChar w:fldCharType="end"/>
        </w:r>
      </w:hyperlink>
    </w:p>
    <w:p w14:paraId="288E4BCB" w14:textId="220F7689" w:rsidR="006D3B59" w:rsidRDefault="00A92DFD">
      <w:pPr>
        <w:pStyle w:val="TOC1"/>
        <w:rPr>
          <w:rFonts w:asciiTheme="minorHAnsi" w:eastAsiaTheme="minorEastAsia" w:hAnsiTheme="minorHAnsi" w:cstheme="minorBidi"/>
          <w:bCs w:val="0"/>
          <w:noProof/>
          <w:sz w:val="22"/>
          <w:szCs w:val="22"/>
          <w:lang w:val="en-US"/>
        </w:rPr>
      </w:pPr>
      <w:hyperlink w:anchor="_Toc22825244" w:history="1">
        <w:r w:rsidR="006D3B59" w:rsidRPr="00D96244">
          <w:rPr>
            <w:rStyle w:val="Hyperlink"/>
            <w:noProof/>
          </w:rPr>
          <w:t>VII.</w:t>
        </w:r>
        <w:r w:rsidR="006D3B59">
          <w:rPr>
            <w:rFonts w:asciiTheme="minorHAnsi" w:eastAsiaTheme="minorEastAsia" w:hAnsiTheme="minorHAnsi" w:cstheme="minorBidi"/>
            <w:bCs w:val="0"/>
            <w:noProof/>
            <w:sz w:val="22"/>
            <w:szCs w:val="22"/>
            <w:lang w:val="en-US"/>
          </w:rPr>
          <w:tab/>
        </w:r>
        <w:r w:rsidR="006D3B59" w:rsidRPr="00D96244">
          <w:rPr>
            <w:rStyle w:val="Hyperlink"/>
            <w:noProof/>
          </w:rPr>
          <w:t>Redeployment of staff from the secretariat of the Minamata Convention to the Secretariat of the Basel, Rotterdam and Stockholm Conventions</w:t>
        </w:r>
        <w:r w:rsidR="006D3B59">
          <w:rPr>
            <w:noProof/>
            <w:webHidden/>
          </w:rPr>
          <w:tab/>
        </w:r>
        <w:r w:rsidR="006D3B59">
          <w:rPr>
            <w:noProof/>
            <w:webHidden/>
          </w:rPr>
          <w:fldChar w:fldCharType="begin"/>
        </w:r>
        <w:r w:rsidR="006D3B59">
          <w:rPr>
            <w:noProof/>
            <w:webHidden/>
          </w:rPr>
          <w:instrText xml:space="preserve"> PAGEREF _Toc22825244 \h </w:instrText>
        </w:r>
        <w:r w:rsidR="006D3B59">
          <w:rPr>
            <w:noProof/>
            <w:webHidden/>
          </w:rPr>
        </w:r>
        <w:r w:rsidR="006D3B59">
          <w:rPr>
            <w:noProof/>
            <w:webHidden/>
          </w:rPr>
          <w:fldChar w:fldCharType="separate"/>
        </w:r>
        <w:r>
          <w:rPr>
            <w:noProof/>
            <w:webHidden/>
          </w:rPr>
          <w:t>6</w:t>
        </w:r>
        <w:r w:rsidR="006D3B59">
          <w:rPr>
            <w:noProof/>
            <w:webHidden/>
          </w:rPr>
          <w:fldChar w:fldCharType="end"/>
        </w:r>
      </w:hyperlink>
    </w:p>
    <w:p w14:paraId="75FE6856" w14:textId="1BD541E4" w:rsidR="006D3B59" w:rsidRDefault="00A92DFD">
      <w:pPr>
        <w:pStyle w:val="TOC1"/>
        <w:rPr>
          <w:rFonts w:asciiTheme="minorHAnsi" w:eastAsiaTheme="minorEastAsia" w:hAnsiTheme="minorHAnsi" w:cstheme="minorBidi"/>
          <w:bCs w:val="0"/>
          <w:noProof/>
          <w:sz w:val="22"/>
          <w:szCs w:val="22"/>
          <w:lang w:val="en-US"/>
        </w:rPr>
      </w:pPr>
      <w:hyperlink w:anchor="_Toc22825245" w:history="1">
        <w:r w:rsidR="006D3B59" w:rsidRPr="00D96244">
          <w:rPr>
            <w:rStyle w:val="Hyperlink"/>
            <w:noProof/>
          </w:rPr>
          <w:t>VIII.</w:t>
        </w:r>
        <w:r w:rsidR="006D3B59">
          <w:rPr>
            <w:rFonts w:asciiTheme="minorHAnsi" w:eastAsiaTheme="minorEastAsia" w:hAnsiTheme="minorHAnsi" w:cstheme="minorBidi"/>
            <w:bCs w:val="0"/>
            <w:noProof/>
            <w:sz w:val="22"/>
            <w:szCs w:val="22"/>
            <w:lang w:val="en-US"/>
          </w:rPr>
          <w:tab/>
        </w:r>
        <w:r w:rsidR="006D3B59" w:rsidRPr="00D96244">
          <w:rPr>
            <w:rStyle w:val="Hyperlink"/>
            <w:noProof/>
          </w:rPr>
          <w:t>Purchase of services on a cost-recovery basis</w:t>
        </w:r>
        <w:r w:rsidR="006D3B59">
          <w:rPr>
            <w:noProof/>
            <w:webHidden/>
          </w:rPr>
          <w:tab/>
        </w:r>
        <w:r w:rsidR="006D3B59">
          <w:rPr>
            <w:noProof/>
            <w:webHidden/>
          </w:rPr>
          <w:fldChar w:fldCharType="begin"/>
        </w:r>
        <w:r w:rsidR="006D3B59">
          <w:rPr>
            <w:noProof/>
            <w:webHidden/>
          </w:rPr>
          <w:instrText xml:space="preserve"> PAGEREF _Toc22825245 \h </w:instrText>
        </w:r>
        <w:r w:rsidR="006D3B59">
          <w:rPr>
            <w:noProof/>
            <w:webHidden/>
          </w:rPr>
        </w:r>
        <w:r w:rsidR="006D3B59">
          <w:rPr>
            <w:noProof/>
            <w:webHidden/>
          </w:rPr>
          <w:fldChar w:fldCharType="separate"/>
        </w:r>
        <w:r>
          <w:rPr>
            <w:noProof/>
            <w:webHidden/>
          </w:rPr>
          <w:t>6</w:t>
        </w:r>
        <w:r w:rsidR="006D3B59">
          <w:rPr>
            <w:noProof/>
            <w:webHidden/>
          </w:rPr>
          <w:fldChar w:fldCharType="end"/>
        </w:r>
      </w:hyperlink>
    </w:p>
    <w:p w14:paraId="3BF590EC" w14:textId="3CD8F5FB" w:rsidR="006D3B59" w:rsidRDefault="00A92DFD">
      <w:pPr>
        <w:pStyle w:val="TOC1"/>
        <w:rPr>
          <w:rFonts w:asciiTheme="minorHAnsi" w:eastAsiaTheme="minorEastAsia" w:hAnsiTheme="minorHAnsi" w:cstheme="minorBidi"/>
          <w:bCs w:val="0"/>
          <w:noProof/>
          <w:sz w:val="22"/>
          <w:szCs w:val="22"/>
          <w:lang w:val="en-US"/>
        </w:rPr>
      </w:pPr>
      <w:hyperlink w:anchor="_Toc22825246" w:history="1">
        <w:r w:rsidR="006D3B59" w:rsidRPr="00D96244">
          <w:rPr>
            <w:rStyle w:val="Hyperlink"/>
            <w:noProof/>
          </w:rPr>
          <w:t>IX.</w:t>
        </w:r>
        <w:r w:rsidR="006D3B59">
          <w:rPr>
            <w:rFonts w:asciiTheme="minorHAnsi" w:eastAsiaTheme="minorEastAsia" w:hAnsiTheme="minorHAnsi" w:cstheme="minorBidi"/>
            <w:bCs w:val="0"/>
            <w:noProof/>
            <w:sz w:val="22"/>
            <w:szCs w:val="22"/>
            <w:lang w:val="en-US"/>
          </w:rPr>
          <w:tab/>
        </w:r>
        <w:r w:rsidR="006D3B59" w:rsidRPr="00D96244">
          <w:rPr>
            <w:rStyle w:val="Hyperlink"/>
            <w:noProof/>
          </w:rPr>
          <w:t>Other considerations</w:t>
        </w:r>
        <w:r w:rsidR="006D3B59">
          <w:rPr>
            <w:noProof/>
            <w:webHidden/>
          </w:rPr>
          <w:tab/>
        </w:r>
        <w:r w:rsidR="006D3B59">
          <w:rPr>
            <w:noProof/>
            <w:webHidden/>
          </w:rPr>
          <w:fldChar w:fldCharType="begin"/>
        </w:r>
        <w:r w:rsidR="006D3B59">
          <w:rPr>
            <w:noProof/>
            <w:webHidden/>
          </w:rPr>
          <w:instrText xml:space="preserve"> PAGEREF _Toc22825246 \h </w:instrText>
        </w:r>
        <w:r w:rsidR="006D3B59">
          <w:rPr>
            <w:noProof/>
            <w:webHidden/>
          </w:rPr>
        </w:r>
        <w:r w:rsidR="006D3B59">
          <w:rPr>
            <w:noProof/>
            <w:webHidden/>
          </w:rPr>
          <w:fldChar w:fldCharType="separate"/>
        </w:r>
        <w:r>
          <w:rPr>
            <w:noProof/>
            <w:webHidden/>
          </w:rPr>
          <w:t>7</w:t>
        </w:r>
        <w:r w:rsidR="006D3B59">
          <w:rPr>
            <w:noProof/>
            <w:webHidden/>
          </w:rPr>
          <w:fldChar w:fldCharType="end"/>
        </w:r>
      </w:hyperlink>
    </w:p>
    <w:p w14:paraId="56C573F1" w14:textId="359D0E81" w:rsidR="006D3B59" w:rsidRDefault="00A92DFD">
      <w:pPr>
        <w:pStyle w:val="TOC1"/>
        <w:rPr>
          <w:rFonts w:asciiTheme="minorHAnsi" w:eastAsiaTheme="minorEastAsia" w:hAnsiTheme="minorHAnsi" w:cstheme="minorBidi"/>
          <w:bCs w:val="0"/>
          <w:noProof/>
          <w:sz w:val="22"/>
          <w:szCs w:val="22"/>
          <w:lang w:val="en-US"/>
        </w:rPr>
      </w:pPr>
      <w:hyperlink w:anchor="_Toc22825247" w:history="1">
        <w:r w:rsidR="006D3B59" w:rsidRPr="00D96244">
          <w:rPr>
            <w:rStyle w:val="Hyperlink"/>
            <w:noProof/>
          </w:rPr>
          <w:t>X.</w:t>
        </w:r>
        <w:r w:rsidR="006D3B59">
          <w:rPr>
            <w:rFonts w:asciiTheme="minorHAnsi" w:eastAsiaTheme="minorEastAsia" w:hAnsiTheme="minorHAnsi" w:cstheme="minorBidi"/>
            <w:bCs w:val="0"/>
            <w:noProof/>
            <w:sz w:val="22"/>
            <w:szCs w:val="22"/>
            <w:lang w:val="en-US"/>
          </w:rPr>
          <w:tab/>
        </w:r>
        <w:r w:rsidR="006D3B59" w:rsidRPr="00D96244">
          <w:rPr>
            <w:rStyle w:val="Hyperlink"/>
            <w:noProof/>
          </w:rPr>
          <w:t>Conclusion</w:t>
        </w:r>
        <w:r w:rsidR="006D3B59">
          <w:rPr>
            <w:noProof/>
            <w:webHidden/>
          </w:rPr>
          <w:tab/>
        </w:r>
        <w:r w:rsidR="006D3B59">
          <w:rPr>
            <w:noProof/>
            <w:webHidden/>
          </w:rPr>
          <w:fldChar w:fldCharType="begin"/>
        </w:r>
        <w:r w:rsidR="006D3B59">
          <w:rPr>
            <w:noProof/>
            <w:webHidden/>
          </w:rPr>
          <w:instrText xml:space="preserve"> PAGEREF _Toc22825247 \h </w:instrText>
        </w:r>
        <w:r w:rsidR="006D3B59">
          <w:rPr>
            <w:noProof/>
            <w:webHidden/>
          </w:rPr>
        </w:r>
        <w:r w:rsidR="006D3B59">
          <w:rPr>
            <w:noProof/>
            <w:webHidden/>
          </w:rPr>
          <w:fldChar w:fldCharType="separate"/>
        </w:r>
        <w:r>
          <w:rPr>
            <w:noProof/>
            <w:webHidden/>
          </w:rPr>
          <w:t>7</w:t>
        </w:r>
        <w:r w:rsidR="006D3B59">
          <w:rPr>
            <w:noProof/>
            <w:webHidden/>
          </w:rPr>
          <w:fldChar w:fldCharType="end"/>
        </w:r>
      </w:hyperlink>
    </w:p>
    <w:p w14:paraId="6FFDC5F4" w14:textId="372503AA" w:rsidR="006D3B59" w:rsidRDefault="00A92DFD">
      <w:pPr>
        <w:pStyle w:val="TOC1"/>
        <w:rPr>
          <w:rFonts w:asciiTheme="minorHAnsi" w:eastAsiaTheme="minorEastAsia" w:hAnsiTheme="minorHAnsi" w:cstheme="minorBidi"/>
          <w:bCs w:val="0"/>
          <w:noProof/>
          <w:sz w:val="22"/>
          <w:szCs w:val="22"/>
          <w:lang w:val="en-US"/>
        </w:rPr>
      </w:pPr>
      <w:hyperlink w:anchor="_Toc22825248" w:history="1">
        <w:r w:rsidR="006D3B59" w:rsidRPr="00D96244">
          <w:rPr>
            <w:rStyle w:val="Hyperlink"/>
            <w:noProof/>
          </w:rPr>
          <w:t>XI.</w:t>
        </w:r>
        <w:r w:rsidR="006D3B59">
          <w:rPr>
            <w:rFonts w:asciiTheme="minorHAnsi" w:eastAsiaTheme="minorEastAsia" w:hAnsiTheme="minorHAnsi" w:cstheme="minorBidi"/>
            <w:bCs w:val="0"/>
            <w:noProof/>
            <w:sz w:val="22"/>
            <w:szCs w:val="22"/>
            <w:lang w:val="en-US"/>
          </w:rPr>
          <w:tab/>
        </w:r>
        <w:r w:rsidR="006D3B59" w:rsidRPr="00D96244">
          <w:rPr>
            <w:rStyle w:val="Hyperlink"/>
            <w:noProof/>
          </w:rPr>
          <w:t>Summary of indicative incremental costs</w:t>
        </w:r>
        <w:r w:rsidR="006D3B59">
          <w:rPr>
            <w:noProof/>
            <w:webHidden/>
          </w:rPr>
          <w:tab/>
        </w:r>
        <w:r w:rsidR="006D3B59">
          <w:rPr>
            <w:noProof/>
            <w:webHidden/>
          </w:rPr>
          <w:fldChar w:fldCharType="begin"/>
        </w:r>
        <w:r w:rsidR="006D3B59">
          <w:rPr>
            <w:noProof/>
            <w:webHidden/>
          </w:rPr>
          <w:instrText xml:space="preserve"> PAGEREF _Toc22825248 \h </w:instrText>
        </w:r>
        <w:r w:rsidR="006D3B59">
          <w:rPr>
            <w:noProof/>
            <w:webHidden/>
          </w:rPr>
        </w:r>
        <w:r w:rsidR="006D3B59">
          <w:rPr>
            <w:noProof/>
            <w:webHidden/>
          </w:rPr>
          <w:fldChar w:fldCharType="separate"/>
        </w:r>
        <w:r>
          <w:rPr>
            <w:noProof/>
            <w:webHidden/>
          </w:rPr>
          <w:t>7</w:t>
        </w:r>
        <w:r w:rsidR="006D3B59">
          <w:rPr>
            <w:noProof/>
            <w:webHidden/>
          </w:rPr>
          <w:fldChar w:fldCharType="end"/>
        </w:r>
      </w:hyperlink>
    </w:p>
    <w:p w14:paraId="75A026EF" w14:textId="012489BD" w:rsidR="006D3B59" w:rsidRDefault="00A92DFD" w:rsidP="00CE554D">
      <w:pPr>
        <w:pStyle w:val="TOC2"/>
        <w:tabs>
          <w:tab w:val="clear" w:pos="1247"/>
          <w:tab w:val="clear" w:pos="2381"/>
        </w:tabs>
        <w:spacing w:before="240"/>
        <w:ind w:left="2353" w:hanging="1106"/>
        <w:rPr>
          <w:rFonts w:asciiTheme="minorHAnsi" w:eastAsiaTheme="minorEastAsia" w:hAnsiTheme="minorHAnsi" w:cstheme="minorBidi"/>
          <w:noProof/>
          <w:sz w:val="22"/>
          <w:szCs w:val="22"/>
          <w:lang w:val="en-US"/>
        </w:rPr>
      </w:pPr>
      <w:hyperlink w:anchor="_Toc22825249" w:history="1">
        <w:r w:rsidR="006D3B59" w:rsidRPr="00D96244">
          <w:rPr>
            <w:rStyle w:val="Hyperlink"/>
            <w:noProof/>
          </w:rPr>
          <w:t>Annex I</w:t>
        </w:r>
        <w:r w:rsidR="006D3B59">
          <w:rPr>
            <w:noProof/>
            <w:webHidden/>
          </w:rPr>
          <w:tab/>
        </w:r>
        <w:r w:rsidR="00BE1DA1">
          <w:rPr>
            <w:noProof/>
            <w:webHidden/>
          </w:rPr>
          <w:tab/>
        </w:r>
        <w:r w:rsidR="006D3B59">
          <w:rPr>
            <w:noProof/>
            <w:webHidden/>
          </w:rPr>
          <w:fldChar w:fldCharType="begin"/>
        </w:r>
        <w:r w:rsidR="006D3B59">
          <w:rPr>
            <w:noProof/>
            <w:webHidden/>
          </w:rPr>
          <w:instrText xml:space="preserve"> PAGEREF _Toc22825249 \h </w:instrText>
        </w:r>
        <w:r w:rsidR="006D3B59">
          <w:rPr>
            <w:noProof/>
            <w:webHidden/>
          </w:rPr>
        </w:r>
        <w:r w:rsidR="006D3B59">
          <w:rPr>
            <w:noProof/>
            <w:webHidden/>
          </w:rPr>
          <w:fldChar w:fldCharType="separate"/>
        </w:r>
        <w:r>
          <w:rPr>
            <w:noProof/>
            <w:webHidden/>
          </w:rPr>
          <w:t>8</w:t>
        </w:r>
        <w:r w:rsidR="006D3B59">
          <w:rPr>
            <w:noProof/>
            <w:webHidden/>
          </w:rPr>
          <w:fldChar w:fldCharType="end"/>
        </w:r>
      </w:hyperlink>
    </w:p>
    <w:p w14:paraId="1C02A46D" w14:textId="2375C920" w:rsidR="006D3B59" w:rsidRDefault="00A92DFD" w:rsidP="00BE1DA1">
      <w:pPr>
        <w:pStyle w:val="TOC1"/>
        <w:tabs>
          <w:tab w:val="clear" w:pos="1247"/>
          <w:tab w:val="clear" w:pos="1814"/>
          <w:tab w:val="left" w:pos="2552"/>
        </w:tabs>
        <w:ind w:left="2410"/>
        <w:rPr>
          <w:rFonts w:asciiTheme="minorHAnsi" w:eastAsiaTheme="minorEastAsia" w:hAnsiTheme="minorHAnsi" w:cstheme="minorBidi"/>
          <w:bCs w:val="0"/>
          <w:noProof/>
          <w:sz w:val="22"/>
          <w:szCs w:val="22"/>
          <w:lang w:val="en-US"/>
        </w:rPr>
      </w:pPr>
      <w:hyperlink w:anchor="_Toc22825250" w:history="1">
        <w:r w:rsidR="006D3B59" w:rsidRPr="00D96244">
          <w:rPr>
            <w:rStyle w:val="Hyperlink"/>
            <w:noProof/>
          </w:rPr>
          <w:t>A.</w:t>
        </w:r>
        <w:r w:rsidR="006D3B59">
          <w:rPr>
            <w:rFonts w:asciiTheme="minorHAnsi" w:eastAsiaTheme="minorEastAsia" w:hAnsiTheme="minorHAnsi" w:cstheme="minorBidi"/>
            <w:bCs w:val="0"/>
            <w:noProof/>
            <w:sz w:val="22"/>
            <w:szCs w:val="22"/>
            <w:lang w:val="en-US"/>
          </w:rPr>
          <w:tab/>
        </w:r>
        <w:r w:rsidR="006D3B59" w:rsidRPr="00D96244">
          <w:rPr>
            <w:rStyle w:val="Hyperlink"/>
            <w:noProof/>
          </w:rPr>
          <w:t>Proposal for shared services through redeployment of staff from the secretariat of the Minamata Convention to the Secretariat of the Basel, Rotterdam and Stockholm Conventions</w:t>
        </w:r>
        <w:r w:rsidR="006D3B59">
          <w:rPr>
            <w:noProof/>
            <w:webHidden/>
          </w:rPr>
          <w:tab/>
        </w:r>
        <w:r w:rsidR="006D3B59">
          <w:rPr>
            <w:noProof/>
            <w:webHidden/>
          </w:rPr>
          <w:fldChar w:fldCharType="begin"/>
        </w:r>
        <w:r w:rsidR="006D3B59">
          <w:rPr>
            <w:noProof/>
            <w:webHidden/>
          </w:rPr>
          <w:instrText xml:space="preserve"> PAGEREF _Toc22825250 \h </w:instrText>
        </w:r>
        <w:r w:rsidR="006D3B59">
          <w:rPr>
            <w:noProof/>
            <w:webHidden/>
          </w:rPr>
        </w:r>
        <w:r w:rsidR="006D3B59">
          <w:rPr>
            <w:noProof/>
            <w:webHidden/>
          </w:rPr>
          <w:fldChar w:fldCharType="separate"/>
        </w:r>
        <w:r>
          <w:rPr>
            <w:noProof/>
            <w:webHidden/>
          </w:rPr>
          <w:t>8</w:t>
        </w:r>
        <w:r w:rsidR="006D3B59">
          <w:rPr>
            <w:noProof/>
            <w:webHidden/>
          </w:rPr>
          <w:fldChar w:fldCharType="end"/>
        </w:r>
      </w:hyperlink>
    </w:p>
    <w:p w14:paraId="2C6A97FB" w14:textId="50FCBEE3" w:rsidR="006D3B59" w:rsidRDefault="00A92DFD" w:rsidP="00BE1DA1">
      <w:pPr>
        <w:pStyle w:val="TOC1"/>
        <w:tabs>
          <w:tab w:val="clear" w:pos="1247"/>
          <w:tab w:val="clear" w:pos="1814"/>
          <w:tab w:val="left" w:pos="2552"/>
        </w:tabs>
        <w:ind w:left="2410"/>
        <w:rPr>
          <w:rFonts w:asciiTheme="minorHAnsi" w:eastAsiaTheme="minorEastAsia" w:hAnsiTheme="minorHAnsi" w:cstheme="minorBidi"/>
          <w:bCs w:val="0"/>
          <w:noProof/>
          <w:sz w:val="22"/>
          <w:szCs w:val="22"/>
          <w:lang w:val="en-US"/>
        </w:rPr>
      </w:pPr>
      <w:hyperlink w:anchor="_Toc22825251" w:history="1">
        <w:r w:rsidR="006D3B59" w:rsidRPr="00D96244">
          <w:rPr>
            <w:rStyle w:val="Hyperlink"/>
            <w:noProof/>
          </w:rPr>
          <w:t>B.</w:t>
        </w:r>
        <w:r w:rsidR="006D3B59">
          <w:rPr>
            <w:rFonts w:asciiTheme="minorHAnsi" w:eastAsiaTheme="minorEastAsia" w:hAnsiTheme="minorHAnsi" w:cstheme="minorBidi"/>
            <w:bCs w:val="0"/>
            <w:noProof/>
            <w:sz w:val="22"/>
            <w:szCs w:val="22"/>
            <w:lang w:val="en-US"/>
          </w:rPr>
          <w:tab/>
        </w:r>
        <w:r w:rsidR="006D3B59" w:rsidRPr="00D96244">
          <w:rPr>
            <w:rStyle w:val="Hyperlink"/>
            <w:noProof/>
          </w:rPr>
          <w:t>Funding of positions for redeployment of staff from the secretariat of the Minamata Convention to the Secretariat of the Basel, Rotterdam and Stockholm Conventions</w:t>
        </w:r>
        <w:r w:rsidR="006D3B59">
          <w:rPr>
            <w:noProof/>
            <w:webHidden/>
          </w:rPr>
          <w:tab/>
        </w:r>
        <w:r w:rsidR="006D3B59">
          <w:rPr>
            <w:noProof/>
            <w:webHidden/>
          </w:rPr>
          <w:fldChar w:fldCharType="begin"/>
        </w:r>
        <w:r w:rsidR="006D3B59">
          <w:rPr>
            <w:noProof/>
            <w:webHidden/>
          </w:rPr>
          <w:instrText xml:space="preserve"> PAGEREF _Toc22825251 \h </w:instrText>
        </w:r>
        <w:r w:rsidR="006D3B59">
          <w:rPr>
            <w:noProof/>
            <w:webHidden/>
          </w:rPr>
        </w:r>
        <w:r w:rsidR="006D3B59">
          <w:rPr>
            <w:noProof/>
            <w:webHidden/>
          </w:rPr>
          <w:fldChar w:fldCharType="separate"/>
        </w:r>
        <w:r>
          <w:rPr>
            <w:noProof/>
            <w:webHidden/>
          </w:rPr>
          <w:t>10</w:t>
        </w:r>
        <w:r w:rsidR="006D3B59">
          <w:rPr>
            <w:noProof/>
            <w:webHidden/>
          </w:rPr>
          <w:fldChar w:fldCharType="end"/>
        </w:r>
      </w:hyperlink>
    </w:p>
    <w:p w14:paraId="10553C5F" w14:textId="623A4574" w:rsidR="006D3B59" w:rsidRDefault="00A92DFD" w:rsidP="00BE1DA1">
      <w:pPr>
        <w:pStyle w:val="TOC1"/>
        <w:tabs>
          <w:tab w:val="clear" w:pos="1247"/>
          <w:tab w:val="clear" w:pos="1814"/>
          <w:tab w:val="left" w:pos="2552"/>
        </w:tabs>
        <w:ind w:left="2410"/>
        <w:rPr>
          <w:rFonts w:asciiTheme="minorHAnsi" w:eastAsiaTheme="minorEastAsia" w:hAnsiTheme="minorHAnsi" w:cstheme="minorBidi"/>
          <w:bCs w:val="0"/>
          <w:noProof/>
          <w:sz w:val="22"/>
          <w:szCs w:val="22"/>
          <w:lang w:val="en-US"/>
        </w:rPr>
      </w:pPr>
      <w:hyperlink w:anchor="_Toc22825252" w:history="1">
        <w:r w:rsidR="006D3B59" w:rsidRPr="00D96244">
          <w:rPr>
            <w:rStyle w:val="Hyperlink"/>
            <w:noProof/>
          </w:rPr>
          <w:t>C.</w:t>
        </w:r>
        <w:r w:rsidR="006D3B59">
          <w:rPr>
            <w:rFonts w:asciiTheme="minorHAnsi" w:eastAsiaTheme="minorEastAsia" w:hAnsiTheme="minorHAnsi" w:cstheme="minorBidi"/>
            <w:bCs w:val="0"/>
            <w:noProof/>
            <w:sz w:val="22"/>
            <w:szCs w:val="22"/>
            <w:lang w:val="en-US"/>
          </w:rPr>
          <w:tab/>
        </w:r>
        <w:r w:rsidR="006D3B59" w:rsidRPr="00D96244">
          <w:rPr>
            <w:rStyle w:val="Hyperlink"/>
            <w:noProof/>
          </w:rPr>
          <w:t>Distribution of positions proposed for redeployment of staff from the secretariat of the Minamata Convention to the Secretariat of the Basel, Rotterdam and Stockholm Conventions</w:t>
        </w:r>
        <w:r w:rsidR="006D3B59">
          <w:rPr>
            <w:noProof/>
            <w:webHidden/>
          </w:rPr>
          <w:tab/>
        </w:r>
        <w:r w:rsidR="006D3B59">
          <w:rPr>
            <w:noProof/>
            <w:webHidden/>
          </w:rPr>
          <w:fldChar w:fldCharType="begin"/>
        </w:r>
        <w:r w:rsidR="006D3B59">
          <w:rPr>
            <w:noProof/>
            <w:webHidden/>
          </w:rPr>
          <w:instrText xml:space="preserve"> PAGEREF _Toc22825252 \h </w:instrText>
        </w:r>
        <w:r w:rsidR="006D3B59">
          <w:rPr>
            <w:noProof/>
            <w:webHidden/>
          </w:rPr>
        </w:r>
        <w:r w:rsidR="006D3B59">
          <w:rPr>
            <w:noProof/>
            <w:webHidden/>
          </w:rPr>
          <w:fldChar w:fldCharType="separate"/>
        </w:r>
        <w:r>
          <w:rPr>
            <w:noProof/>
            <w:webHidden/>
          </w:rPr>
          <w:t>11</w:t>
        </w:r>
        <w:r w:rsidR="006D3B59">
          <w:rPr>
            <w:noProof/>
            <w:webHidden/>
          </w:rPr>
          <w:fldChar w:fldCharType="end"/>
        </w:r>
      </w:hyperlink>
    </w:p>
    <w:p w14:paraId="30F9C73A" w14:textId="12FFBB15" w:rsidR="006D3B59" w:rsidRDefault="00A92DFD" w:rsidP="00CE554D">
      <w:pPr>
        <w:pStyle w:val="TOC2"/>
        <w:tabs>
          <w:tab w:val="clear" w:pos="1247"/>
          <w:tab w:val="clear" w:pos="2381"/>
        </w:tabs>
        <w:spacing w:before="240"/>
        <w:ind w:left="2353" w:hanging="1106"/>
        <w:rPr>
          <w:rFonts w:asciiTheme="minorHAnsi" w:eastAsiaTheme="minorEastAsia" w:hAnsiTheme="minorHAnsi" w:cstheme="minorBidi"/>
          <w:noProof/>
          <w:sz w:val="22"/>
          <w:szCs w:val="22"/>
          <w:lang w:val="en-US"/>
        </w:rPr>
      </w:pPr>
      <w:hyperlink w:anchor="_Toc22825253" w:history="1">
        <w:r w:rsidR="006D3B59" w:rsidRPr="00D96244">
          <w:rPr>
            <w:rStyle w:val="Hyperlink"/>
            <w:noProof/>
          </w:rPr>
          <w:t>Annex II</w:t>
        </w:r>
        <w:r w:rsidR="006D3B59">
          <w:rPr>
            <w:noProof/>
            <w:webHidden/>
          </w:rPr>
          <w:tab/>
        </w:r>
        <w:r w:rsidR="00CE554D">
          <w:rPr>
            <w:noProof/>
            <w:webHidden/>
          </w:rPr>
          <w:tab/>
        </w:r>
        <w:r w:rsidR="006D3B59">
          <w:rPr>
            <w:noProof/>
            <w:webHidden/>
          </w:rPr>
          <w:fldChar w:fldCharType="begin"/>
        </w:r>
        <w:r w:rsidR="006D3B59">
          <w:rPr>
            <w:noProof/>
            <w:webHidden/>
          </w:rPr>
          <w:instrText xml:space="preserve"> PAGEREF _Toc22825253 \h </w:instrText>
        </w:r>
        <w:r w:rsidR="006D3B59">
          <w:rPr>
            <w:noProof/>
            <w:webHidden/>
          </w:rPr>
        </w:r>
        <w:r w:rsidR="006D3B59">
          <w:rPr>
            <w:noProof/>
            <w:webHidden/>
          </w:rPr>
          <w:fldChar w:fldCharType="separate"/>
        </w:r>
        <w:r>
          <w:rPr>
            <w:noProof/>
            <w:webHidden/>
          </w:rPr>
          <w:t>12</w:t>
        </w:r>
        <w:r w:rsidR="006D3B59">
          <w:rPr>
            <w:noProof/>
            <w:webHidden/>
          </w:rPr>
          <w:fldChar w:fldCharType="end"/>
        </w:r>
      </w:hyperlink>
    </w:p>
    <w:p w14:paraId="795CD72E" w14:textId="06350D3E" w:rsidR="006D3B59" w:rsidRDefault="00A92DFD" w:rsidP="00CE554D">
      <w:pPr>
        <w:pStyle w:val="TOC2"/>
        <w:tabs>
          <w:tab w:val="clear" w:pos="1247"/>
          <w:tab w:val="clear" w:pos="2381"/>
        </w:tabs>
        <w:spacing w:before="240"/>
        <w:ind w:left="2353" w:hanging="1106"/>
        <w:rPr>
          <w:rFonts w:asciiTheme="minorHAnsi" w:eastAsiaTheme="minorEastAsia" w:hAnsiTheme="minorHAnsi" w:cstheme="minorBidi"/>
          <w:noProof/>
          <w:sz w:val="22"/>
          <w:szCs w:val="22"/>
          <w:lang w:val="en-US"/>
        </w:rPr>
      </w:pPr>
      <w:hyperlink w:anchor="_Toc22825254" w:history="1">
        <w:r w:rsidR="006D3B59" w:rsidRPr="00BE1DA1">
          <w:rPr>
            <w:noProof/>
          </w:rPr>
          <w:t>Annex</w:t>
        </w:r>
        <w:r w:rsidR="006D3B59" w:rsidRPr="00D96244">
          <w:rPr>
            <w:rStyle w:val="Hyperlink"/>
            <w:noProof/>
          </w:rPr>
          <w:t xml:space="preserve"> III</w:t>
        </w:r>
        <w:r w:rsidR="006D3B59">
          <w:rPr>
            <w:noProof/>
            <w:webHidden/>
          </w:rPr>
          <w:tab/>
        </w:r>
        <w:r w:rsidR="00CE554D">
          <w:rPr>
            <w:noProof/>
            <w:webHidden/>
          </w:rPr>
          <w:tab/>
        </w:r>
        <w:r w:rsidR="006D3B59">
          <w:rPr>
            <w:noProof/>
            <w:webHidden/>
          </w:rPr>
          <w:fldChar w:fldCharType="begin"/>
        </w:r>
        <w:r w:rsidR="006D3B59">
          <w:rPr>
            <w:noProof/>
            <w:webHidden/>
          </w:rPr>
          <w:instrText xml:space="preserve"> PAGEREF _Toc22825254 \h </w:instrText>
        </w:r>
        <w:r w:rsidR="006D3B59">
          <w:rPr>
            <w:noProof/>
            <w:webHidden/>
          </w:rPr>
        </w:r>
        <w:r w:rsidR="006D3B59">
          <w:rPr>
            <w:noProof/>
            <w:webHidden/>
          </w:rPr>
          <w:fldChar w:fldCharType="separate"/>
        </w:r>
        <w:r>
          <w:rPr>
            <w:noProof/>
            <w:webHidden/>
          </w:rPr>
          <w:t>13</w:t>
        </w:r>
        <w:r w:rsidR="006D3B59">
          <w:rPr>
            <w:noProof/>
            <w:webHidden/>
          </w:rPr>
          <w:fldChar w:fldCharType="end"/>
        </w:r>
      </w:hyperlink>
    </w:p>
    <w:p w14:paraId="5CF724D1" w14:textId="3405F9DC" w:rsidR="00863F6A" w:rsidRDefault="007D50B6" w:rsidP="00174DCA">
      <w:pPr>
        <w:pStyle w:val="Normal-pool"/>
      </w:pPr>
      <w:r>
        <w:fldChar w:fldCharType="end"/>
      </w:r>
    </w:p>
    <w:p w14:paraId="3E6D03E2" w14:textId="06355EB7" w:rsidR="00863F6A" w:rsidRPr="004C04F7" w:rsidRDefault="00863F6A" w:rsidP="00174DCA">
      <w:pPr>
        <w:pStyle w:val="Normal-pool"/>
      </w:pPr>
      <w:r w:rsidRPr="004C04F7">
        <w:br w:type="page"/>
      </w:r>
    </w:p>
    <w:p w14:paraId="773ABB62" w14:textId="77E64880" w:rsidR="00863F6A" w:rsidRDefault="00883B8E" w:rsidP="00883B8E">
      <w:pPr>
        <w:pStyle w:val="CH1"/>
      </w:pPr>
      <w:r>
        <w:lastRenderedPageBreak/>
        <w:tab/>
      </w:r>
      <w:bookmarkStart w:id="5" w:name="_Toc21073435"/>
      <w:bookmarkStart w:id="6" w:name="_Toc22825238"/>
      <w:r w:rsidR="004A0684">
        <w:t>I.</w:t>
      </w:r>
      <w:r>
        <w:tab/>
      </w:r>
      <w:r w:rsidR="00863F6A" w:rsidRPr="00EE7244">
        <w:t>Background</w:t>
      </w:r>
      <w:bookmarkEnd w:id="5"/>
      <w:bookmarkEnd w:id="6"/>
    </w:p>
    <w:p w14:paraId="0E4077EF" w14:textId="54850BFC" w:rsidR="00863F6A" w:rsidRPr="00883B8E" w:rsidRDefault="00863F6A" w:rsidP="00D92A40">
      <w:pPr>
        <w:pStyle w:val="Normalnumber"/>
        <w:numPr>
          <w:ilvl w:val="0"/>
          <w:numId w:val="58"/>
        </w:numPr>
        <w:tabs>
          <w:tab w:val="clear" w:pos="597"/>
        </w:tabs>
        <w:ind w:left="1247"/>
      </w:pPr>
      <w:r w:rsidRPr="00883B8E">
        <w:t xml:space="preserve">At its second meeting, the Conference of the Parties to the Minamata Convention, in decision </w:t>
      </w:r>
      <w:r w:rsidR="00A2155C">
        <w:t>MC</w:t>
      </w:r>
      <w:r w:rsidR="00A2155C">
        <w:noBreakHyphen/>
        <w:t>2/7</w:t>
      </w:r>
      <w:r w:rsidRPr="00883B8E">
        <w:t xml:space="preserve">, requested the Executive Director of </w:t>
      </w:r>
      <w:r w:rsidR="0029505F">
        <w:t>the United Nations Environment Programme (</w:t>
      </w:r>
      <w:r w:rsidRPr="00883B8E">
        <w:t>UNEP</w:t>
      </w:r>
      <w:r w:rsidR="0029505F">
        <w:t>)</w:t>
      </w:r>
      <w:r w:rsidRPr="00883B8E">
        <w:t xml:space="preserve">, in the capacity of performing secretariat services </w:t>
      </w:r>
      <w:r w:rsidR="0029505F">
        <w:t>for</w:t>
      </w:r>
      <w:r w:rsidR="0029505F" w:rsidRPr="00883B8E">
        <w:t xml:space="preserve"> </w:t>
      </w:r>
      <w:r w:rsidRPr="00883B8E">
        <w:t xml:space="preserve">the Minamata Convention, to submit an operative proposal, prepared together with the Executive Secretary of the Minamata Convention and with the support of the Executive Secretary of the Basel and Stockholm </w:t>
      </w:r>
      <w:r w:rsidR="00BE022E">
        <w:t>c</w:t>
      </w:r>
      <w:r w:rsidRPr="00883B8E">
        <w:t xml:space="preserve">onventions and the </w:t>
      </w:r>
      <w:r w:rsidR="00D67D01">
        <w:t>UNEP</w:t>
      </w:r>
      <w:r w:rsidRPr="00883B8E">
        <w:t xml:space="preserve"> part of the Rotterdam Convention, on a stable framework for </w:t>
      </w:r>
      <w:r w:rsidR="0029505F">
        <w:t xml:space="preserve">the </w:t>
      </w:r>
      <w:r w:rsidRPr="00883B8E">
        <w:t>sharing of relevant services in areas such as conference services, knowledge and information management, administrative and information technology services, technical assistance, legal advice and budget preparation, including possible options</w:t>
      </w:r>
      <w:r w:rsidR="00D67D01">
        <w:t>,</w:t>
      </w:r>
      <w:r w:rsidRPr="00883B8E">
        <w:t xml:space="preserve"> for consideration by the Conference of the Parties at its third meeting. These largely administrative</w:t>
      </w:r>
      <w:r w:rsidR="00D67D01" w:rsidRPr="00D67D01">
        <w:t xml:space="preserve"> </w:t>
      </w:r>
      <w:r w:rsidR="00D67D01" w:rsidRPr="00883B8E">
        <w:t>services</w:t>
      </w:r>
      <w:r w:rsidR="00D67D01" w:rsidRPr="00D67D01">
        <w:t xml:space="preserve"> </w:t>
      </w:r>
      <w:r w:rsidR="00D67D01" w:rsidRPr="00883B8E">
        <w:t>are</w:t>
      </w:r>
      <w:r w:rsidR="00D67D01">
        <w:t xml:space="preserve"> </w:t>
      </w:r>
      <w:r w:rsidRPr="00883B8E">
        <w:t>the focus of th</w:t>
      </w:r>
      <w:r w:rsidR="00D67D01">
        <w:t>e present</w:t>
      </w:r>
      <w:r w:rsidRPr="00883B8E">
        <w:t xml:space="preserve"> proposal. </w:t>
      </w:r>
    </w:p>
    <w:p w14:paraId="41C2D365" w14:textId="6450F665" w:rsidR="00863F6A" w:rsidRPr="00EE7244" w:rsidRDefault="00863F6A" w:rsidP="00996969">
      <w:pPr>
        <w:pStyle w:val="Normalnumber"/>
        <w:numPr>
          <w:ilvl w:val="0"/>
          <w:numId w:val="58"/>
        </w:numPr>
        <w:tabs>
          <w:tab w:val="clear" w:pos="597"/>
        </w:tabs>
        <w:ind w:left="1247"/>
      </w:pPr>
      <w:r w:rsidRPr="00EE7244">
        <w:t xml:space="preserve">The Executive Director of </w:t>
      </w:r>
      <w:r w:rsidR="00D67D01">
        <w:t xml:space="preserve">UNEP </w:t>
      </w:r>
      <w:r w:rsidRPr="00EE7244">
        <w:t xml:space="preserve">was also requested to inform the </w:t>
      </w:r>
      <w:r w:rsidR="007D2F59">
        <w:t>s</w:t>
      </w:r>
      <w:r w:rsidRPr="00EE7244">
        <w:t xml:space="preserve">ecretariat of the Basel, Rotterdam and Stockholm </w:t>
      </w:r>
      <w:r w:rsidR="007D2F59">
        <w:t>c</w:t>
      </w:r>
      <w:r w:rsidRPr="00EE7244">
        <w:t xml:space="preserve">onventions and the </w:t>
      </w:r>
      <w:r w:rsidR="00D67D01">
        <w:t>c</w:t>
      </w:r>
      <w:r w:rsidRPr="00EE7244">
        <w:t xml:space="preserve">onferences of the </w:t>
      </w:r>
      <w:r w:rsidR="00D67D01">
        <w:t>p</w:t>
      </w:r>
      <w:r w:rsidRPr="00EE7244">
        <w:t xml:space="preserve">arties </w:t>
      </w:r>
      <w:r w:rsidR="000D4CC3">
        <w:t>to</w:t>
      </w:r>
      <w:r w:rsidR="000D4CC3" w:rsidRPr="00EE7244">
        <w:t xml:space="preserve"> </w:t>
      </w:r>
      <w:r w:rsidRPr="00EE7244">
        <w:t xml:space="preserve">the </w:t>
      </w:r>
      <w:r w:rsidR="00D67D01">
        <w:t>c</w:t>
      </w:r>
      <w:r w:rsidRPr="00EE7244">
        <w:t xml:space="preserve">onventions, at their </w:t>
      </w:r>
      <w:r w:rsidR="00D67D01">
        <w:t xml:space="preserve">next </w:t>
      </w:r>
      <w:r w:rsidRPr="00EE7244">
        <w:t>meeting</w:t>
      </w:r>
      <w:r w:rsidR="000D4CC3">
        <w:t>s</w:t>
      </w:r>
      <w:r w:rsidRPr="00EE7244">
        <w:t>, of decision</w:t>
      </w:r>
      <w:r w:rsidR="00D67D01">
        <w:t xml:space="preserve"> </w:t>
      </w:r>
      <w:r w:rsidR="00A2155C">
        <w:t>MC</w:t>
      </w:r>
      <w:r w:rsidR="00A2155C">
        <w:noBreakHyphen/>
        <w:t>2/7</w:t>
      </w:r>
      <w:r w:rsidRPr="00EE7244">
        <w:t xml:space="preserve"> and of any relevant secretariat arrangements already established or being developed or considered pursuant to the decision. The 2019 meetings of the conferences of the </w:t>
      </w:r>
      <w:r w:rsidR="00D67D01">
        <w:t>p</w:t>
      </w:r>
      <w:r w:rsidRPr="00EE7244">
        <w:t xml:space="preserve">arties to the Basel, Rotterdam and Stockholm conventions each adopted a decision very similar to </w:t>
      </w:r>
      <w:r w:rsidR="000D4CC3">
        <w:t xml:space="preserve">decision </w:t>
      </w:r>
      <w:r w:rsidR="00A2155C">
        <w:t>MC</w:t>
      </w:r>
      <w:r w:rsidR="00A2155C">
        <w:noBreakHyphen/>
        <w:t>2/7</w:t>
      </w:r>
      <w:r w:rsidRPr="00EE7244">
        <w:t xml:space="preserve">, </w:t>
      </w:r>
      <w:r w:rsidR="000D4CC3">
        <w:t xml:space="preserve">namely </w:t>
      </w:r>
      <w:r w:rsidRPr="00EE7244">
        <w:t>decisions BC-14/22, RC-9/10 and SC-9/20</w:t>
      </w:r>
      <w:r w:rsidR="0088205B">
        <w:t xml:space="preserve">, </w:t>
      </w:r>
      <w:bookmarkStart w:id="7" w:name="_Hlk23417330"/>
      <w:bookmarkStart w:id="8" w:name="_Hlk24108591"/>
      <w:r w:rsidR="0088205B">
        <w:t xml:space="preserve">in which they </w:t>
      </w:r>
      <w:r w:rsidRPr="00EE7244">
        <w:t xml:space="preserve">requested the Executive Director, among other things, </w:t>
      </w:r>
      <w:bookmarkStart w:id="9" w:name="_Hlk23417283"/>
      <w:bookmarkEnd w:id="7"/>
      <w:r w:rsidRPr="00076D1E">
        <w:t xml:space="preserve">to inform </w:t>
      </w:r>
      <w:r w:rsidR="00076D1E" w:rsidRPr="00D92A40">
        <w:t>the Executive Secretary of the Minamata Convention and the Conference of the Parties to the Minamata Convention</w:t>
      </w:r>
      <w:r w:rsidRPr="00076D1E">
        <w:t xml:space="preserve">, at </w:t>
      </w:r>
      <w:r w:rsidR="00076D1E">
        <w:t>its</w:t>
      </w:r>
      <w:r w:rsidR="00076D1E" w:rsidRPr="00076D1E">
        <w:t xml:space="preserve"> </w:t>
      </w:r>
      <w:r w:rsidRPr="00076D1E">
        <w:t>next meeting</w:t>
      </w:r>
      <w:r w:rsidRPr="00EE7244">
        <w:t xml:space="preserve">, </w:t>
      </w:r>
      <w:bookmarkEnd w:id="8"/>
      <w:r w:rsidRPr="00EE7244">
        <w:t>of the decision and any relevant secretariat arrangements already established or being developed or considered pursuant to the decision</w:t>
      </w:r>
      <w:bookmarkEnd w:id="9"/>
      <w:r w:rsidRPr="00EE7244">
        <w:t>.</w:t>
      </w:r>
    </w:p>
    <w:p w14:paraId="7E6461BE" w14:textId="300E6EAF" w:rsidR="00863F6A" w:rsidRPr="00EE7244" w:rsidRDefault="004A0684" w:rsidP="00174DCA">
      <w:pPr>
        <w:pStyle w:val="CH1"/>
      </w:pPr>
      <w:r>
        <w:tab/>
      </w:r>
      <w:bookmarkStart w:id="10" w:name="_Toc21073436"/>
      <w:bookmarkStart w:id="11" w:name="_Toc22825239"/>
      <w:r>
        <w:t>II.</w:t>
      </w:r>
      <w:r>
        <w:tab/>
      </w:r>
      <w:r w:rsidR="00863F6A" w:rsidRPr="00EE7244">
        <w:t>The evaluation process</w:t>
      </w:r>
      <w:r w:rsidR="00863F6A">
        <w:t xml:space="preserve"> and</w:t>
      </w:r>
      <w:r w:rsidR="00863F6A" w:rsidRPr="00EE7244">
        <w:t xml:space="preserve"> key considerations</w:t>
      </w:r>
      <w:bookmarkEnd w:id="10"/>
      <w:bookmarkEnd w:id="11"/>
      <w:r w:rsidR="00863F6A" w:rsidRPr="00EE7244">
        <w:t xml:space="preserve"> </w:t>
      </w:r>
    </w:p>
    <w:p w14:paraId="5681584D" w14:textId="7CB47353" w:rsidR="00863F6A" w:rsidRDefault="007553E8" w:rsidP="00D92A40">
      <w:pPr>
        <w:pStyle w:val="Normalnumber"/>
        <w:numPr>
          <w:ilvl w:val="0"/>
          <w:numId w:val="58"/>
        </w:numPr>
        <w:tabs>
          <w:tab w:val="clear" w:pos="597"/>
        </w:tabs>
        <w:ind w:left="1247"/>
      </w:pPr>
      <w:r>
        <w:t>T</w:t>
      </w:r>
      <w:r w:rsidRPr="00EE7244">
        <w:t>he Executive Dire</w:t>
      </w:r>
      <w:r>
        <w:t>ctor of UNEP</w:t>
      </w:r>
      <w:r w:rsidRPr="00EE7244">
        <w:t xml:space="preserve"> prepared</w:t>
      </w:r>
      <w:r>
        <w:t xml:space="preserve"> </w:t>
      </w:r>
      <w:r w:rsidRPr="00EE7244">
        <w:t>th</w:t>
      </w:r>
      <w:r>
        <w:t>e present</w:t>
      </w:r>
      <w:r w:rsidRPr="00EE7244">
        <w:t xml:space="preserve"> </w:t>
      </w:r>
      <w:r w:rsidRPr="00040714">
        <w:t>proposal</w:t>
      </w:r>
      <w:r>
        <w:t xml:space="preserve"> for shared services</w:t>
      </w:r>
      <w:r w:rsidRPr="00EE7244" w:rsidDel="0088205B">
        <w:t xml:space="preserve"> </w:t>
      </w:r>
      <w:r>
        <w:t>t</w:t>
      </w:r>
      <w:r w:rsidR="00863F6A" w:rsidRPr="00EE7244">
        <w:t>ogether with the Executive Secretary of the Minamata Convention and with</w:t>
      </w:r>
      <w:r w:rsidR="005D370B">
        <w:t xml:space="preserve"> the</w:t>
      </w:r>
      <w:r w:rsidR="00863F6A" w:rsidRPr="00EE7244">
        <w:t xml:space="preserve"> support of the Executive Secretary of the Basel and Stockholm </w:t>
      </w:r>
      <w:r w:rsidR="005D370B">
        <w:t>c</w:t>
      </w:r>
      <w:r w:rsidR="00863F6A" w:rsidRPr="00EE7244">
        <w:t xml:space="preserve">onventions and the </w:t>
      </w:r>
      <w:r w:rsidR="000D4CC3">
        <w:t>UNEP</w:t>
      </w:r>
      <w:r w:rsidR="00863F6A" w:rsidRPr="00EE7244">
        <w:t xml:space="preserve"> part of the Rotterdam Convention. Article 24 of the </w:t>
      </w:r>
      <w:r w:rsidR="005D370B">
        <w:t xml:space="preserve">Minamata </w:t>
      </w:r>
      <w:r w:rsidR="00863F6A" w:rsidRPr="00EE7244">
        <w:t xml:space="preserve">Convention </w:t>
      </w:r>
      <w:r w:rsidR="005D370B">
        <w:t>states that</w:t>
      </w:r>
      <w:r w:rsidR="00863F6A" w:rsidRPr="00EE7244">
        <w:t xml:space="preserve"> </w:t>
      </w:r>
      <w:r w:rsidR="00040714">
        <w:t xml:space="preserve">the </w:t>
      </w:r>
      <w:r w:rsidR="00863F6A" w:rsidRPr="00EE7244">
        <w:t xml:space="preserve">secretariat </w:t>
      </w:r>
      <w:r w:rsidR="005D370B">
        <w:t>functions for the Convention</w:t>
      </w:r>
      <w:r w:rsidR="00863F6A" w:rsidRPr="00EE7244">
        <w:t xml:space="preserve">, including cooperation and coordination between the </w:t>
      </w:r>
      <w:r w:rsidR="00863F6A">
        <w:t>Minamata Convention</w:t>
      </w:r>
      <w:r w:rsidR="00863F6A" w:rsidRPr="00EE7244">
        <w:t xml:space="preserve"> secretariat and the secretariats of other chemicals and wastes conventions, </w:t>
      </w:r>
      <w:r>
        <w:t>are to be provided</w:t>
      </w:r>
      <w:r w:rsidRPr="00EE7244">
        <w:t xml:space="preserve"> by</w:t>
      </w:r>
      <w:r>
        <w:t xml:space="preserve"> the Executive Director of</w:t>
      </w:r>
      <w:r w:rsidRPr="00EE7244">
        <w:t xml:space="preserve"> UNEP</w:t>
      </w:r>
      <w:r w:rsidR="00040714">
        <w:t>.</w:t>
      </w:r>
      <w:r>
        <w:t xml:space="preserve"> </w:t>
      </w:r>
      <w:r w:rsidR="00040714">
        <w:t>T</w:t>
      </w:r>
      <w:r w:rsidR="00863F6A">
        <w:t>he analysis</w:t>
      </w:r>
      <w:r w:rsidR="004A2E3D">
        <w:t xml:space="preserve"> performed</w:t>
      </w:r>
      <w:r w:rsidR="00863F6A">
        <w:t xml:space="preserve"> indicated</w:t>
      </w:r>
      <w:r w:rsidR="00E50EBD">
        <w:t xml:space="preserve"> that</w:t>
      </w:r>
      <w:r w:rsidR="00863F6A">
        <w:t xml:space="preserve"> </w:t>
      </w:r>
      <w:r w:rsidR="00E50EBD">
        <w:t xml:space="preserve">the greatest potential to realize viable synergies was </w:t>
      </w:r>
      <w:proofErr w:type="gramStart"/>
      <w:r w:rsidR="00E50EBD">
        <w:t xml:space="preserve">in </w:t>
      </w:r>
      <w:r w:rsidR="00863F6A">
        <w:t>the area of</w:t>
      </w:r>
      <w:proofErr w:type="gramEnd"/>
      <w:r w:rsidR="00863F6A">
        <w:t xml:space="preserve"> </w:t>
      </w:r>
      <w:r w:rsidR="00863F6A" w:rsidRPr="00174DCA">
        <w:rPr>
          <w:iCs/>
        </w:rPr>
        <w:t>administrative services</w:t>
      </w:r>
      <w:r w:rsidR="002C4BA9">
        <w:rPr>
          <w:iCs/>
        </w:rPr>
        <w:t>.</w:t>
      </w:r>
    </w:p>
    <w:p w14:paraId="4311F193" w14:textId="684B56DE" w:rsidR="00863F6A" w:rsidRPr="00EE7244" w:rsidRDefault="00E50EBD" w:rsidP="00D92A40">
      <w:pPr>
        <w:pStyle w:val="Normalnumber"/>
        <w:numPr>
          <w:ilvl w:val="0"/>
          <w:numId w:val="58"/>
        </w:numPr>
        <w:tabs>
          <w:tab w:val="clear" w:pos="597"/>
        </w:tabs>
        <w:ind w:left="1247"/>
      </w:pPr>
      <w:r>
        <w:t xml:space="preserve">The </w:t>
      </w:r>
      <w:r w:rsidR="00863F6A" w:rsidRPr="00EE7244">
        <w:t>Corporate Services Division</w:t>
      </w:r>
      <w:r>
        <w:t xml:space="preserve"> of</w:t>
      </w:r>
      <w:r w:rsidRPr="00E50EBD">
        <w:t xml:space="preserve"> </w:t>
      </w:r>
      <w:r w:rsidRPr="00EE7244">
        <w:t>UNEP</w:t>
      </w:r>
      <w:r w:rsidR="00863F6A" w:rsidRPr="00EE7244">
        <w:t xml:space="preserve">, </w:t>
      </w:r>
      <w:r>
        <w:t xml:space="preserve">as </w:t>
      </w:r>
      <w:r w:rsidR="00863F6A" w:rsidRPr="00EE7244">
        <w:t xml:space="preserve">the custodian of </w:t>
      </w:r>
      <w:r w:rsidR="00863F6A">
        <w:t>administrative</w:t>
      </w:r>
      <w:r w:rsidR="00863F6A" w:rsidRPr="00EE7244">
        <w:t xml:space="preserve"> services, coordinated the formulation of th</w:t>
      </w:r>
      <w:r w:rsidR="000D4CC3">
        <w:t>e</w:t>
      </w:r>
      <w:r w:rsidR="00863F6A" w:rsidRPr="00EE7244">
        <w:t xml:space="preserve"> proposal</w:t>
      </w:r>
      <w:r>
        <w:t>,</w:t>
      </w:r>
      <w:r w:rsidR="00863F6A" w:rsidRPr="00EE7244">
        <w:t xml:space="preserve"> which evolved through iterative reviews by a tripartite technical team drawn from UNEP </w:t>
      </w:r>
      <w:r w:rsidR="000D4CC3">
        <w:t xml:space="preserve">and the secretariats of </w:t>
      </w:r>
      <w:r>
        <w:t xml:space="preserve">the </w:t>
      </w:r>
      <w:r w:rsidR="00863F6A">
        <w:t>Minamata Convention</w:t>
      </w:r>
      <w:r w:rsidR="00863F6A" w:rsidRPr="00EE7244">
        <w:t xml:space="preserve"> and </w:t>
      </w:r>
      <w:r w:rsidRPr="002B76E6">
        <w:t xml:space="preserve">the Basel, Rotterdam and Stockholm </w:t>
      </w:r>
      <w:r w:rsidR="003843DC">
        <w:t>c</w:t>
      </w:r>
      <w:r w:rsidRPr="002B76E6">
        <w:t>onventions</w:t>
      </w:r>
      <w:r w:rsidR="00863F6A" w:rsidRPr="00EE7244">
        <w:t xml:space="preserve">. </w:t>
      </w:r>
      <w:r w:rsidR="00863F6A">
        <w:t>The</w:t>
      </w:r>
      <w:r w:rsidR="00863F6A" w:rsidRPr="00EE7244">
        <w:t xml:space="preserve"> review</w:t>
      </w:r>
      <w:r w:rsidR="00863F6A">
        <w:t>s were</w:t>
      </w:r>
      <w:r w:rsidR="00863F6A" w:rsidRPr="00EE7244">
        <w:t xml:space="preserve"> guided by UNEP and </w:t>
      </w:r>
      <w:r>
        <w:t xml:space="preserve">were </w:t>
      </w:r>
      <w:r w:rsidR="00863F6A">
        <w:t>discussed with</w:t>
      </w:r>
      <w:r w:rsidR="00863F6A" w:rsidRPr="00EE7244">
        <w:t xml:space="preserve"> the respective </w:t>
      </w:r>
      <w:r w:rsidR="000D4CC3">
        <w:t>e</w:t>
      </w:r>
      <w:r w:rsidR="00863F6A" w:rsidRPr="00EE7244">
        <w:t xml:space="preserve">xecutive </w:t>
      </w:r>
      <w:r w:rsidR="000D4CC3">
        <w:t>s</w:t>
      </w:r>
      <w:r w:rsidR="00863F6A" w:rsidRPr="00EE7244">
        <w:t>ecretaries</w:t>
      </w:r>
      <w:r>
        <w:t xml:space="preserve"> of the conventions, resulting in a</w:t>
      </w:r>
      <w:r w:rsidR="00863F6A" w:rsidRPr="00EE7244">
        <w:t xml:space="preserve"> </w:t>
      </w:r>
      <w:r w:rsidRPr="00EE7244">
        <w:t xml:space="preserve">consultative, thorough and transparent </w:t>
      </w:r>
      <w:r w:rsidR="00863F6A" w:rsidRPr="00EE7244">
        <w:t xml:space="preserve">formulation process </w:t>
      </w:r>
      <w:r>
        <w:t xml:space="preserve">for the </w:t>
      </w:r>
      <w:r w:rsidR="00863F6A" w:rsidRPr="00040714">
        <w:t>proposal</w:t>
      </w:r>
      <w:r>
        <w:t>.</w:t>
      </w:r>
      <w:r w:rsidR="001702FF">
        <w:t xml:space="preserve"> </w:t>
      </w:r>
      <w:r w:rsidR="00863F6A" w:rsidRPr="00EE7244">
        <w:t xml:space="preserve">A review of the </w:t>
      </w:r>
      <w:r w:rsidRPr="00EE7244">
        <w:t xml:space="preserve">resources </w:t>
      </w:r>
      <w:r>
        <w:t xml:space="preserve">of </w:t>
      </w:r>
      <w:r w:rsidR="00863F6A">
        <w:t>Minamata Convention</w:t>
      </w:r>
      <w:r w:rsidR="00863F6A" w:rsidRPr="00EE7244">
        <w:t xml:space="preserve"> secretariat staff</w:t>
      </w:r>
      <w:r>
        <w:t>,</w:t>
      </w:r>
      <w:r w:rsidR="00863F6A" w:rsidRPr="00EE7244">
        <w:t xml:space="preserve"> based on </w:t>
      </w:r>
      <w:r>
        <w:t xml:space="preserve">the </w:t>
      </w:r>
      <w:r w:rsidR="00863F6A" w:rsidRPr="00EE7244">
        <w:t xml:space="preserve">experience </w:t>
      </w:r>
      <w:r>
        <w:t>of</w:t>
      </w:r>
      <w:r w:rsidR="00863F6A">
        <w:t xml:space="preserve"> performing secretariat functions </w:t>
      </w:r>
      <w:r>
        <w:t>over the previous</w:t>
      </w:r>
      <w:r w:rsidR="00863F6A" w:rsidRPr="00EE7244">
        <w:t xml:space="preserve"> biennium</w:t>
      </w:r>
      <w:r>
        <w:t xml:space="preserve"> and during the second</w:t>
      </w:r>
      <w:r w:rsidR="000D4CC3">
        <w:t xml:space="preserve"> meeting of the</w:t>
      </w:r>
      <w:r>
        <w:t xml:space="preserve"> Conference of the Parties and the preparations for the third </w:t>
      </w:r>
      <w:r w:rsidR="000D4CC3">
        <w:t xml:space="preserve">meeting of the </w:t>
      </w:r>
      <w:r>
        <w:t xml:space="preserve">Conference of the Parties, </w:t>
      </w:r>
      <w:r w:rsidR="00863F6A" w:rsidRPr="00EE7244">
        <w:t>indicate</w:t>
      </w:r>
      <w:r w:rsidR="00853B59">
        <w:t>d</w:t>
      </w:r>
      <w:r w:rsidR="00863F6A" w:rsidRPr="00EE7244">
        <w:t xml:space="preserve"> that </w:t>
      </w:r>
      <w:r>
        <w:t xml:space="preserve">the </w:t>
      </w:r>
      <w:r w:rsidR="00863F6A" w:rsidRPr="00EE7244">
        <w:t xml:space="preserve">positions approved by </w:t>
      </w:r>
      <w:r>
        <w:t>the Conference of the Parties</w:t>
      </w:r>
      <w:r w:rsidR="000D4CC3">
        <w:t xml:space="preserve"> at its first meeting</w:t>
      </w:r>
      <w:r>
        <w:t>, consisting of</w:t>
      </w:r>
      <w:r w:rsidR="00863F6A" w:rsidRPr="00EE7244">
        <w:t xml:space="preserve"> 10 posts </w:t>
      </w:r>
      <w:r>
        <w:t xml:space="preserve">and </w:t>
      </w:r>
      <w:r w:rsidR="000D4CC3">
        <w:t>2</w:t>
      </w:r>
      <w:r>
        <w:t xml:space="preserve"> further posts</w:t>
      </w:r>
      <w:r w:rsidR="00863F6A" w:rsidRPr="00EE7244">
        <w:t xml:space="preserve"> </w:t>
      </w:r>
      <w:r w:rsidR="00863F6A">
        <w:t>funded from programme support resources</w:t>
      </w:r>
      <w:r w:rsidR="00CE056D">
        <w:t>,</w:t>
      </w:r>
      <w:r w:rsidR="00863F6A" w:rsidRPr="00EE7244">
        <w:t xml:space="preserve"> were not adequate to deliver the secretariat functions provided for under Article 24 of the Convention and</w:t>
      </w:r>
      <w:r w:rsidR="00CE056D">
        <w:t xml:space="preserve"> the</w:t>
      </w:r>
      <w:r w:rsidR="00863F6A" w:rsidRPr="00EE7244">
        <w:t xml:space="preserve"> activities listed in</w:t>
      </w:r>
      <w:r w:rsidR="00CE056D">
        <w:t xml:space="preserve"> decision</w:t>
      </w:r>
      <w:r w:rsidR="00863F6A" w:rsidRPr="00EE7244">
        <w:t xml:space="preserve"> </w:t>
      </w:r>
      <w:r w:rsidR="00A2155C">
        <w:t>MC</w:t>
      </w:r>
      <w:r w:rsidR="00A2155C">
        <w:noBreakHyphen/>
        <w:t>2/7</w:t>
      </w:r>
      <w:r w:rsidR="00863F6A" w:rsidRPr="00EE7244">
        <w:t>.</w:t>
      </w:r>
      <w:r w:rsidR="00CA4C07">
        <w:t xml:space="preserve"> </w:t>
      </w:r>
      <w:r w:rsidR="00863F6A" w:rsidRPr="00EE7244">
        <w:t>Additional resources have therefore been proposed in</w:t>
      </w:r>
      <w:r w:rsidR="00CE056D">
        <w:t xml:space="preserve"> the</w:t>
      </w:r>
      <w:r w:rsidR="003751CA">
        <w:t xml:space="preserve"> Minamata Convention</w:t>
      </w:r>
      <w:r w:rsidR="00863F6A" w:rsidRPr="00EE7244">
        <w:t xml:space="preserve"> </w:t>
      </w:r>
      <w:r w:rsidR="004A2E3D" w:rsidRPr="00EE7244">
        <w:t>budget</w:t>
      </w:r>
      <w:r w:rsidR="004A2E3D">
        <w:t xml:space="preserve"> </w:t>
      </w:r>
      <w:r w:rsidR="000D4CC3">
        <w:t>for</w:t>
      </w:r>
      <w:r w:rsidR="004A2E3D">
        <w:t xml:space="preserve"> the biennium</w:t>
      </w:r>
      <w:r w:rsidR="004A2E3D" w:rsidRPr="00EE7244">
        <w:t xml:space="preserve"> </w:t>
      </w:r>
      <w:r w:rsidR="00863F6A" w:rsidRPr="00EE7244">
        <w:t>2020</w:t>
      </w:r>
      <w:r w:rsidR="00CE056D" w:rsidRPr="00E65E72">
        <w:rPr>
          <w:b/>
        </w:rPr>
        <w:t>–</w:t>
      </w:r>
      <w:r w:rsidR="00863F6A" w:rsidRPr="00EE7244">
        <w:t xml:space="preserve">2021 to deliver the mandates </w:t>
      </w:r>
      <w:r w:rsidR="00CE056D">
        <w:t>agreed</w:t>
      </w:r>
      <w:r w:rsidR="00863F6A" w:rsidRPr="00EE7244">
        <w:t xml:space="preserve"> </w:t>
      </w:r>
      <w:r w:rsidR="003751CA">
        <w:t xml:space="preserve">upon </w:t>
      </w:r>
      <w:r w:rsidR="00863F6A" w:rsidRPr="00EE7244">
        <w:t xml:space="preserve">by the parties </w:t>
      </w:r>
      <w:r w:rsidR="00CE056D">
        <w:t>and to organize the</w:t>
      </w:r>
      <w:r w:rsidR="00863F6A">
        <w:t xml:space="preserve"> </w:t>
      </w:r>
      <w:r w:rsidR="00863F6A" w:rsidRPr="00EE7244">
        <w:t>meetings of the Conference of the Parties. Cooperation</w:t>
      </w:r>
      <w:r w:rsidR="00853B59">
        <w:t xml:space="preserve"> between</w:t>
      </w:r>
      <w:r w:rsidR="00863F6A" w:rsidRPr="00EE7244">
        <w:t xml:space="preserve"> </w:t>
      </w:r>
      <w:r w:rsidR="00853B59" w:rsidRPr="00EE7244">
        <w:t xml:space="preserve">the secretariats </w:t>
      </w:r>
      <w:r w:rsidR="004A2E3D" w:rsidRPr="00EE7244">
        <w:t xml:space="preserve">on programmatic synergies </w:t>
      </w:r>
      <w:r w:rsidR="00863F6A" w:rsidRPr="00EE7244">
        <w:t xml:space="preserve">between </w:t>
      </w:r>
      <w:r w:rsidR="00C023C6">
        <w:t>the Basel, Rotterdam and Stockholm conventions</w:t>
      </w:r>
      <w:r w:rsidR="00863F6A" w:rsidRPr="00EE7244">
        <w:t xml:space="preserve"> and</w:t>
      </w:r>
      <w:r w:rsidR="00C023C6">
        <w:t xml:space="preserve"> the</w:t>
      </w:r>
      <w:r w:rsidR="00863F6A" w:rsidRPr="00EE7244">
        <w:t xml:space="preserve"> </w:t>
      </w:r>
      <w:r w:rsidR="00863F6A">
        <w:t>Minamata Convention</w:t>
      </w:r>
      <w:r w:rsidR="00863F6A" w:rsidRPr="00EE7244">
        <w:t xml:space="preserve"> will continue, </w:t>
      </w:r>
      <w:r w:rsidR="00C023C6">
        <w:t>including for</w:t>
      </w:r>
      <w:r w:rsidR="00863F6A" w:rsidRPr="00EE7244">
        <w:t xml:space="preserve"> the framework to evaluate the effectiveness of Minamata Convention; the revitalization of the </w:t>
      </w:r>
      <w:r w:rsidR="00240774">
        <w:t>j</w:t>
      </w:r>
      <w:r w:rsidR="003470E4">
        <w:t xml:space="preserve">oint </w:t>
      </w:r>
      <w:bookmarkStart w:id="12" w:name="_Hlk519155914"/>
      <w:r w:rsidR="00F650CD">
        <w:t>t</w:t>
      </w:r>
      <w:r w:rsidR="003470E4">
        <w:t xml:space="preserve">ask </w:t>
      </w:r>
      <w:r w:rsidR="00F650CD">
        <w:t>f</w:t>
      </w:r>
      <w:r w:rsidR="003470E4">
        <w:t xml:space="preserve">orce </w:t>
      </w:r>
      <w:r w:rsidR="00F650CD">
        <w:t>convened under the Special Programme to support institutional</w:t>
      </w:r>
      <w:r w:rsidR="00F650CD" w:rsidRPr="00F650CD">
        <w:rPr>
          <w:b/>
          <w:bCs/>
        </w:rPr>
        <w:t xml:space="preserve"> </w:t>
      </w:r>
      <w:r w:rsidR="00F650CD" w:rsidRPr="00BE1DA1">
        <w:rPr>
          <w:bCs/>
        </w:rPr>
        <w:t>strengthening at the national level for implementation of the Basel, Rotterdam and Stockholm conventions, the Minamata Convention and the Strategic Approach to International Chemicals Management</w:t>
      </w:r>
      <w:bookmarkEnd w:id="12"/>
      <w:r w:rsidR="00863F6A" w:rsidRPr="00EE7244">
        <w:t>; and cooperation in the area of waste and contaminated sites</w:t>
      </w:r>
      <w:r w:rsidR="00863F6A">
        <w:t>, among other</w:t>
      </w:r>
      <w:r w:rsidR="004A2E3D">
        <w:t xml:space="preserve"> matter</w:t>
      </w:r>
      <w:r w:rsidR="00863F6A">
        <w:t>s</w:t>
      </w:r>
      <w:r w:rsidR="00863F6A" w:rsidRPr="00EE7244">
        <w:t>.</w:t>
      </w:r>
      <w:r w:rsidR="00CA4C07">
        <w:t xml:space="preserve"> </w:t>
      </w:r>
    </w:p>
    <w:p w14:paraId="5B93A743" w14:textId="46193614" w:rsidR="00863F6A" w:rsidRDefault="004A0684" w:rsidP="00174DCA">
      <w:pPr>
        <w:pStyle w:val="CH1"/>
      </w:pPr>
      <w:r>
        <w:tab/>
      </w:r>
      <w:bookmarkStart w:id="13" w:name="_Toc21073437"/>
      <w:bookmarkStart w:id="14" w:name="_Toc22825240"/>
      <w:r>
        <w:t>III.</w:t>
      </w:r>
      <w:r>
        <w:tab/>
      </w:r>
      <w:r w:rsidR="00863F6A">
        <w:t>Core</w:t>
      </w:r>
      <w:r w:rsidR="00863F6A" w:rsidRPr="00EE7244">
        <w:t xml:space="preserve"> principles</w:t>
      </w:r>
      <w:bookmarkEnd w:id="13"/>
      <w:bookmarkEnd w:id="14"/>
    </w:p>
    <w:p w14:paraId="5BC31A61" w14:textId="5C845890" w:rsidR="00863F6A" w:rsidRDefault="004A2E3D" w:rsidP="00D92A40">
      <w:pPr>
        <w:pStyle w:val="Normalnumber"/>
        <w:numPr>
          <w:ilvl w:val="0"/>
          <w:numId w:val="58"/>
        </w:numPr>
        <w:tabs>
          <w:tab w:val="clear" w:pos="597"/>
        </w:tabs>
        <w:ind w:left="1247"/>
      </w:pPr>
      <w:r w:rsidRPr="00662268">
        <w:t>In the preparation of the proposal</w:t>
      </w:r>
      <w:r w:rsidRPr="00E36A5A">
        <w:t>, t</w:t>
      </w:r>
      <w:r w:rsidR="00863F6A" w:rsidRPr="00662268">
        <w:t>he Executive</w:t>
      </w:r>
      <w:r w:rsidR="00863F6A" w:rsidRPr="00EE7244">
        <w:t xml:space="preserve"> Director considered the core principles set forth in paragraphs </w:t>
      </w:r>
      <w:r w:rsidR="00C1568B">
        <w:t xml:space="preserve">6 </w:t>
      </w:r>
      <w:r w:rsidR="003751CA">
        <w:t xml:space="preserve">to </w:t>
      </w:r>
      <w:r w:rsidR="00C1568B">
        <w:t>10</w:t>
      </w:r>
      <w:r w:rsidR="00C1568B" w:rsidRPr="00EE7244">
        <w:t xml:space="preserve"> </w:t>
      </w:r>
      <w:r w:rsidR="00863F6A" w:rsidRPr="00EE7244">
        <w:t>below.</w:t>
      </w:r>
    </w:p>
    <w:p w14:paraId="041E4F06" w14:textId="794C81B4" w:rsidR="00863F6A" w:rsidRPr="00662268" w:rsidRDefault="00863F6A" w:rsidP="00D92A40">
      <w:pPr>
        <w:pStyle w:val="Normalnumber"/>
        <w:numPr>
          <w:ilvl w:val="0"/>
          <w:numId w:val="58"/>
        </w:numPr>
        <w:tabs>
          <w:tab w:val="clear" w:pos="597"/>
        </w:tabs>
        <w:ind w:left="1247"/>
      </w:pPr>
      <w:r w:rsidRPr="00EE7244">
        <w:rPr>
          <w:i/>
          <w:iCs/>
        </w:rPr>
        <w:t>Economic use of resources:</w:t>
      </w:r>
      <w:r w:rsidRPr="00EE7244">
        <w:t xml:space="preserve"> The primary objective of th</w:t>
      </w:r>
      <w:r w:rsidR="004A2E3D">
        <w:t xml:space="preserve">e </w:t>
      </w:r>
      <w:r w:rsidR="004A2E3D" w:rsidRPr="00C1568B">
        <w:t>present</w:t>
      </w:r>
      <w:r w:rsidRPr="00C1568B">
        <w:t xml:space="preserve"> </w:t>
      </w:r>
      <w:r w:rsidRPr="00EE7244">
        <w:t xml:space="preserve">framework is to achieve greater efficiency through synergies and </w:t>
      </w:r>
      <w:r w:rsidR="00853B59">
        <w:t xml:space="preserve">through </w:t>
      </w:r>
      <w:r w:rsidR="004A2E3D">
        <w:t xml:space="preserve">the </w:t>
      </w:r>
      <w:r w:rsidRPr="00EE7244">
        <w:t xml:space="preserve">economic use of </w:t>
      </w:r>
      <w:r w:rsidRPr="00662268">
        <w:t xml:space="preserve">resources by leveraging existing </w:t>
      </w:r>
      <w:r w:rsidRPr="00662268">
        <w:lastRenderedPageBreak/>
        <w:t xml:space="preserve">capacities, particularly given the advantages of </w:t>
      </w:r>
      <w:r w:rsidR="004A2E3D" w:rsidRPr="00E36A5A">
        <w:t xml:space="preserve">the </w:t>
      </w:r>
      <w:r w:rsidRPr="00662268">
        <w:t xml:space="preserve">proximity of </w:t>
      </w:r>
      <w:r w:rsidR="004A2E3D" w:rsidRPr="00662268">
        <w:t xml:space="preserve">certain resources </w:t>
      </w:r>
      <w:r w:rsidRPr="00662268">
        <w:t xml:space="preserve">within the same premises. </w:t>
      </w:r>
      <w:r w:rsidR="002F5C89" w:rsidRPr="00662268">
        <w:t>Duplication</w:t>
      </w:r>
      <w:r w:rsidR="004A2E3D" w:rsidRPr="00662268">
        <w:t xml:space="preserve"> would be minimized in the interest</w:t>
      </w:r>
      <w:r w:rsidR="00F13576" w:rsidRPr="00D92A40">
        <w:t xml:space="preserve"> </w:t>
      </w:r>
      <w:r w:rsidR="004A2E3D" w:rsidRPr="00662268">
        <w:t>of</w:t>
      </w:r>
      <w:r w:rsidR="002F5C89" w:rsidRPr="00662268">
        <w:t xml:space="preserve"> </w:t>
      </w:r>
      <w:r w:rsidR="004A2E3D" w:rsidRPr="00E36A5A">
        <w:t>feasibility</w:t>
      </w:r>
      <w:r w:rsidRPr="00662268">
        <w:t>, econom</w:t>
      </w:r>
      <w:r w:rsidR="004A2E3D" w:rsidRPr="00662268">
        <w:t>y</w:t>
      </w:r>
      <w:r>
        <w:t xml:space="preserve"> and efficien</w:t>
      </w:r>
      <w:r w:rsidR="004A2E3D">
        <w:t>cy</w:t>
      </w:r>
      <w:r w:rsidRPr="00EE7244">
        <w:t>. Th</w:t>
      </w:r>
      <w:r w:rsidR="002F5C89">
        <w:t>e present</w:t>
      </w:r>
      <w:r w:rsidRPr="00EE7244">
        <w:t xml:space="preserve"> proposal therefore </w:t>
      </w:r>
      <w:r>
        <w:t>considered the potential benefits</w:t>
      </w:r>
      <w:r w:rsidRPr="00EE7244">
        <w:t xml:space="preserve"> </w:t>
      </w:r>
      <w:r w:rsidR="004A2E3D">
        <w:t>of making use of</w:t>
      </w:r>
      <w:r>
        <w:t xml:space="preserve"> </w:t>
      </w:r>
      <w:r w:rsidRPr="00EE7244">
        <w:t xml:space="preserve">the already mature and stable capabilities established under the </w:t>
      </w:r>
      <w:r w:rsidR="007D2F59">
        <w:t>s</w:t>
      </w:r>
      <w:r w:rsidRPr="00EE7244">
        <w:t>ecretariat of</w:t>
      </w:r>
      <w:r w:rsidR="002F5C89">
        <w:t xml:space="preserve"> the</w:t>
      </w:r>
      <w:r w:rsidRPr="00EE7244">
        <w:t xml:space="preserve"> Basel, Rotterdam and Stockholm</w:t>
      </w:r>
      <w:r w:rsidR="002F5C89">
        <w:t xml:space="preserve"> </w:t>
      </w:r>
      <w:r w:rsidR="007D2F59">
        <w:t>conventions</w:t>
      </w:r>
      <w:r w:rsidRPr="00EE7244">
        <w:t xml:space="preserve">, without </w:t>
      </w:r>
      <w:r w:rsidR="002F5C89" w:rsidRPr="00662268">
        <w:t>establishing</w:t>
      </w:r>
      <w:r w:rsidRPr="00662268">
        <w:t xml:space="preserve"> new long-term structures. </w:t>
      </w:r>
    </w:p>
    <w:p w14:paraId="00D49BBE" w14:textId="29310589" w:rsidR="00863F6A" w:rsidRPr="00EE7244" w:rsidRDefault="00863F6A" w:rsidP="00D92A40">
      <w:pPr>
        <w:pStyle w:val="Normalnumber"/>
        <w:numPr>
          <w:ilvl w:val="0"/>
          <w:numId w:val="58"/>
        </w:numPr>
        <w:tabs>
          <w:tab w:val="clear" w:pos="597"/>
        </w:tabs>
        <w:ind w:left="1247"/>
      </w:pPr>
      <w:r w:rsidRPr="00EE7244">
        <w:rPr>
          <w:i/>
          <w:iCs/>
        </w:rPr>
        <w:t xml:space="preserve">Autonomy of secretariats and accountability of </w:t>
      </w:r>
      <w:r w:rsidR="003751CA">
        <w:rPr>
          <w:i/>
          <w:iCs/>
        </w:rPr>
        <w:t>e</w:t>
      </w:r>
      <w:r w:rsidRPr="00EE7244">
        <w:rPr>
          <w:i/>
          <w:iCs/>
        </w:rPr>
        <w:t xml:space="preserve">xecutive </w:t>
      </w:r>
      <w:r w:rsidR="003751CA">
        <w:rPr>
          <w:i/>
          <w:iCs/>
        </w:rPr>
        <w:t>h</w:t>
      </w:r>
      <w:r w:rsidRPr="00EE7244">
        <w:rPr>
          <w:i/>
          <w:iCs/>
        </w:rPr>
        <w:t>eads:</w:t>
      </w:r>
      <w:r w:rsidR="00CA4C07">
        <w:t xml:space="preserve"> </w:t>
      </w:r>
      <w:r w:rsidRPr="00EE7244">
        <w:t xml:space="preserve">As </w:t>
      </w:r>
      <w:r w:rsidR="003751CA">
        <w:t>is mentioned</w:t>
      </w:r>
      <w:r w:rsidR="003751CA" w:rsidRPr="00EE7244">
        <w:t xml:space="preserve"> </w:t>
      </w:r>
      <w:r w:rsidRPr="00EE7244">
        <w:t xml:space="preserve">in decision </w:t>
      </w:r>
      <w:r w:rsidR="00A2155C">
        <w:t>MC</w:t>
      </w:r>
      <w:r w:rsidR="00A2155C">
        <w:noBreakHyphen/>
        <w:t>2/7</w:t>
      </w:r>
      <w:r w:rsidRPr="00EE7244">
        <w:t xml:space="preserve">, the autonomy of the respective secretariats </w:t>
      </w:r>
      <w:r w:rsidR="003751CA">
        <w:t>is to</w:t>
      </w:r>
      <w:r w:rsidR="003751CA" w:rsidRPr="00EE7244">
        <w:t xml:space="preserve"> </w:t>
      </w:r>
      <w:r w:rsidRPr="00EE7244">
        <w:t>be maintained.</w:t>
      </w:r>
      <w:r w:rsidRPr="00EE7244">
        <w:rPr>
          <w:bCs/>
        </w:rPr>
        <w:t xml:space="preserve"> </w:t>
      </w:r>
      <w:r w:rsidR="00900CB8">
        <w:t xml:space="preserve">The </w:t>
      </w:r>
      <w:r w:rsidRPr="00EE7244">
        <w:t>Executive Director</w:t>
      </w:r>
      <w:r w:rsidR="00900CB8">
        <w:t xml:space="preserve"> of UNEP</w:t>
      </w:r>
      <w:r w:rsidRPr="00EE7244">
        <w:t xml:space="preserve"> delegates </w:t>
      </w:r>
      <w:r w:rsidR="00662268" w:rsidRPr="00EE7244">
        <w:t xml:space="preserve">to </w:t>
      </w:r>
      <w:r w:rsidR="00662268" w:rsidRPr="00610ED5">
        <w:t xml:space="preserve">the </w:t>
      </w:r>
      <w:r w:rsidR="00662268" w:rsidRPr="00BE1DA1">
        <w:t>Executive Secretary</w:t>
      </w:r>
      <w:r w:rsidR="00662268" w:rsidRPr="00610ED5">
        <w:t xml:space="preserve"> of the Minamata Convention</w:t>
      </w:r>
      <w:r w:rsidR="00662268" w:rsidRPr="00EE7244">
        <w:t xml:space="preserve"> </w:t>
      </w:r>
      <w:r w:rsidRPr="00EE7244">
        <w:t xml:space="preserve">the authority </w:t>
      </w:r>
      <w:r w:rsidR="00662268">
        <w:t>regarding</w:t>
      </w:r>
      <w:r w:rsidRPr="00EE7244">
        <w:t xml:space="preserve"> administrative and financial matters </w:t>
      </w:r>
      <w:r w:rsidR="00662268">
        <w:t>that is required</w:t>
      </w:r>
      <w:r w:rsidRPr="00610ED5">
        <w:t xml:space="preserve"> to manage, take decisions and represent the </w:t>
      </w:r>
      <w:r w:rsidR="003751CA" w:rsidRPr="00BE1DA1">
        <w:t>s</w:t>
      </w:r>
      <w:r w:rsidRPr="00BE1DA1">
        <w:t>ecretariat</w:t>
      </w:r>
      <w:r w:rsidR="003751CA" w:rsidRPr="00BE1DA1">
        <w:t xml:space="preserve"> of the Minamata Convention</w:t>
      </w:r>
      <w:r w:rsidRPr="00610ED5">
        <w:t xml:space="preserve"> with the level of autonomy required</w:t>
      </w:r>
      <w:r w:rsidR="00900CB8" w:rsidRPr="00610ED5">
        <w:t xml:space="preserve"> for</w:t>
      </w:r>
      <w:r w:rsidRPr="00610ED5">
        <w:t xml:space="preserve"> cost-effective and efficient operations. The Executive Director ensures that the </w:t>
      </w:r>
      <w:r w:rsidRPr="00BE1DA1">
        <w:t>Executive Secretary</w:t>
      </w:r>
      <w:r w:rsidRPr="00610ED5">
        <w:t xml:space="preserve"> exercises any</w:t>
      </w:r>
      <w:r w:rsidRPr="00EE7244">
        <w:t xml:space="preserve"> such delegated authority in accordance with the applicable rules and regulations of the United Nations and UNEP. Such delegation</w:t>
      </w:r>
      <w:r w:rsidR="00900CB8">
        <w:t xml:space="preserve"> of authority</w:t>
      </w:r>
      <w:r w:rsidRPr="00EE7244">
        <w:t xml:space="preserve"> covers</w:t>
      </w:r>
      <w:r w:rsidR="00797A1A">
        <w:t xml:space="preserve"> management matters</w:t>
      </w:r>
      <w:r w:rsidR="00853B59">
        <w:t>,</w:t>
      </w:r>
      <w:r w:rsidR="00797A1A">
        <w:t xml:space="preserve"> including </w:t>
      </w:r>
      <w:r w:rsidRPr="00EE7244">
        <w:t xml:space="preserve">programme management, financial and physical resources management, human resources management and any other related matters where decisions by the Executive Secretary may be required for the effective operation of the </w:t>
      </w:r>
      <w:r w:rsidR="00B43426">
        <w:t>s</w:t>
      </w:r>
      <w:r w:rsidRPr="00EE7244">
        <w:t xml:space="preserve">ecretariat. </w:t>
      </w:r>
    </w:p>
    <w:p w14:paraId="57197942" w14:textId="2C686CE6" w:rsidR="00863F6A" w:rsidRPr="00EE7244" w:rsidRDefault="00863F6A" w:rsidP="00D92A40">
      <w:pPr>
        <w:pStyle w:val="Normalnumber"/>
        <w:numPr>
          <w:ilvl w:val="0"/>
          <w:numId w:val="58"/>
        </w:numPr>
        <w:tabs>
          <w:tab w:val="clear" w:pos="597"/>
        </w:tabs>
        <w:ind w:left="1247"/>
      </w:pPr>
      <w:r w:rsidRPr="00EE7244">
        <w:rPr>
          <w:i/>
          <w:iCs/>
        </w:rPr>
        <w:t>Flexibility and predictability:</w:t>
      </w:r>
      <w:r w:rsidR="00CA4C07">
        <w:rPr>
          <w:i/>
          <w:iCs/>
        </w:rPr>
        <w:t xml:space="preserve"> </w:t>
      </w:r>
      <w:r w:rsidR="00797A1A">
        <w:t>In formulating t</w:t>
      </w:r>
      <w:r>
        <w:t xml:space="preserve">he </w:t>
      </w:r>
      <w:r w:rsidR="00900CB8">
        <w:t>proposal</w:t>
      </w:r>
      <w:r w:rsidR="00797A1A">
        <w:t>,</w:t>
      </w:r>
      <w:r w:rsidR="00900CB8">
        <w:t xml:space="preserve"> </w:t>
      </w:r>
      <w:r>
        <w:t>conside</w:t>
      </w:r>
      <w:r w:rsidR="00797A1A">
        <w:t>ration was given to</w:t>
      </w:r>
      <w:r>
        <w:t xml:space="preserve"> the need to carefully balance flexibility and predictability</w:t>
      </w:r>
      <w:r w:rsidR="00900CB8">
        <w:t xml:space="preserve">, </w:t>
      </w:r>
      <w:r w:rsidR="00900CB8" w:rsidRPr="00B03B0C">
        <w:t>which</w:t>
      </w:r>
      <w:r w:rsidRPr="00B03B0C">
        <w:t xml:space="preserve"> would</w:t>
      </w:r>
      <w:r>
        <w:t xml:space="preserve"> entail</w:t>
      </w:r>
      <w:r w:rsidR="00900CB8">
        <w:t xml:space="preserve"> an</w:t>
      </w:r>
      <w:r w:rsidRPr="00EE7244">
        <w:t xml:space="preserve"> </w:t>
      </w:r>
      <w:r w:rsidR="00900CB8" w:rsidRPr="00EE7244">
        <w:t xml:space="preserve">advance </w:t>
      </w:r>
      <w:r w:rsidRPr="00EE7244">
        <w:t xml:space="preserve">assessment of </w:t>
      </w:r>
      <w:r w:rsidR="004422BC" w:rsidRPr="00EE7244">
        <w:t xml:space="preserve">required </w:t>
      </w:r>
      <w:r w:rsidR="00797A1A" w:rsidRPr="00EE7244">
        <w:t xml:space="preserve">services </w:t>
      </w:r>
      <w:r w:rsidRPr="00EE7244">
        <w:t>to avoid disruptive requests</w:t>
      </w:r>
      <w:r w:rsidR="00797A1A">
        <w:t xml:space="preserve"> or to make provisions for </w:t>
      </w:r>
      <w:r>
        <w:t>reasonable requests that arise unexpectedly</w:t>
      </w:r>
      <w:r w:rsidRPr="00EE7244">
        <w:t xml:space="preserve">. </w:t>
      </w:r>
      <w:r w:rsidR="00900CB8">
        <w:t>To date</w:t>
      </w:r>
      <w:r>
        <w:t>,</w:t>
      </w:r>
      <w:r w:rsidR="00797A1A">
        <w:t xml:space="preserve"> the</w:t>
      </w:r>
      <w:r w:rsidRPr="00EE7244">
        <w:t xml:space="preserve"> services required for </w:t>
      </w:r>
      <w:r w:rsidR="00900CB8">
        <w:t xml:space="preserve">the third </w:t>
      </w:r>
      <w:r w:rsidR="00E14E7E">
        <w:t xml:space="preserve">meeting of the </w:t>
      </w:r>
      <w:r w:rsidR="00900CB8">
        <w:t>Conference of the Parties and</w:t>
      </w:r>
      <w:r w:rsidR="00853B59">
        <w:t xml:space="preserve"> for</w:t>
      </w:r>
      <w:r w:rsidRPr="00EE7244">
        <w:t xml:space="preserve"> the</w:t>
      </w:r>
      <w:r w:rsidR="004422BC">
        <w:t xml:space="preserve"> biennium</w:t>
      </w:r>
      <w:r w:rsidRPr="00EE7244">
        <w:t xml:space="preserve"> </w:t>
      </w:r>
      <w:r w:rsidR="00900CB8" w:rsidRPr="00EE7244">
        <w:t>2020</w:t>
      </w:r>
      <w:r w:rsidR="00900CB8" w:rsidRPr="00900CB8">
        <w:rPr>
          <w:b/>
        </w:rPr>
        <w:t>–</w:t>
      </w:r>
      <w:r w:rsidR="00900CB8" w:rsidRPr="00EE7244">
        <w:t>2021</w:t>
      </w:r>
      <w:r w:rsidR="00900CB8">
        <w:t xml:space="preserve"> </w:t>
      </w:r>
      <w:r>
        <w:t xml:space="preserve">have been identified. </w:t>
      </w:r>
      <w:r w:rsidR="004422BC">
        <w:t>The evaluation</w:t>
      </w:r>
      <w:r>
        <w:t xml:space="preserve"> of </w:t>
      </w:r>
      <w:r w:rsidRPr="00EE7244">
        <w:t xml:space="preserve">requirements for subsequent budget cycles </w:t>
      </w:r>
      <w:r>
        <w:t xml:space="preserve">will continue </w:t>
      </w:r>
      <w:proofErr w:type="gramStart"/>
      <w:r>
        <w:t xml:space="preserve">in order </w:t>
      </w:r>
      <w:r w:rsidRPr="00EE7244">
        <w:t>to</w:t>
      </w:r>
      <w:proofErr w:type="gramEnd"/>
      <w:r w:rsidRPr="00EE7244">
        <w:t xml:space="preserve"> allow</w:t>
      </w:r>
      <w:r w:rsidR="004422BC">
        <w:t xml:space="preserve"> for</w:t>
      </w:r>
      <w:r w:rsidRPr="00EE7244">
        <w:t xml:space="preserve"> adequate planning and response time by the </w:t>
      </w:r>
      <w:r w:rsidR="007D2F59">
        <w:t>s</w:t>
      </w:r>
      <w:r w:rsidR="00E14E7E">
        <w:t xml:space="preserve">ecretariat of the </w:t>
      </w:r>
      <w:r w:rsidR="002F5C89">
        <w:t xml:space="preserve">Basel, Rotterdam and Stockholm </w:t>
      </w:r>
      <w:r w:rsidR="007D2F59">
        <w:t>c</w:t>
      </w:r>
      <w:r w:rsidR="002F5C89">
        <w:t>onventions</w:t>
      </w:r>
      <w:r w:rsidR="00853B59">
        <w:t>,</w:t>
      </w:r>
      <w:r w:rsidRPr="00EE7244">
        <w:t xml:space="preserve"> as the service</w:t>
      </w:r>
      <w:r w:rsidR="004422BC">
        <w:t xml:space="preserve"> </w:t>
      </w:r>
      <w:r w:rsidRPr="00EE7244">
        <w:t xml:space="preserve">provider. Any unexpected requirements </w:t>
      </w:r>
      <w:r w:rsidR="004422BC">
        <w:t>will</w:t>
      </w:r>
      <w:r w:rsidR="004422BC" w:rsidRPr="00EE7244">
        <w:t xml:space="preserve"> </w:t>
      </w:r>
      <w:r w:rsidRPr="00EE7244">
        <w:t>be arranged on a case</w:t>
      </w:r>
      <w:r w:rsidR="004422BC">
        <w:t>-</w:t>
      </w:r>
      <w:r w:rsidRPr="00EE7244">
        <w:t>by</w:t>
      </w:r>
      <w:r w:rsidR="004422BC">
        <w:t>-</w:t>
      </w:r>
      <w:r w:rsidRPr="00EE7244">
        <w:t>case basis.</w:t>
      </w:r>
    </w:p>
    <w:p w14:paraId="4EA8E15E" w14:textId="68612F5B" w:rsidR="00863F6A" w:rsidRPr="00EE7244" w:rsidRDefault="00863F6A" w:rsidP="00D92A40">
      <w:pPr>
        <w:pStyle w:val="Normalnumber"/>
        <w:numPr>
          <w:ilvl w:val="0"/>
          <w:numId w:val="58"/>
        </w:numPr>
        <w:tabs>
          <w:tab w:val="clear" w:pos="597"/>
        </w:tabs>
        <w:ind w:left="1247"/>
      </w:pPr>
      <w:r w:rsidRPr="00EE7244">
        <w:rPr>
          <w:i/>
          <w:iCs/>
        </w:rPr>
        <w:t>Cost recovery:</w:t>
      </w:r>
      <w:r w:rsidRPr="00EE7244">
        <w:t xml:space="preserve"> The cooperation arrangement should be cost-neutral to the extent possible for </w:t>
      </w:r>
      <w:r w:rsidR="004422BC">
        <w:t xml:space="preserve">both </w:t>
      </w:r>
      <w:r w:rsidRPr="00EE7244">
        <w:t xml:space="preserve">the service provider </w:t>
      </w:r>
      <w:r w:rsidR="004422BC">
        <w:t>and</w:t>
      </w:r>
      <w:r w:rsidRPr="00EE7244">
        <w:t xml:space="preserve"> the recipient of</w:t>
      </w:r>
      <w:r w:rsidR="004422BC">
        <w:t xml:space="preserve"> the</w:t>
      </w:r>
      <w:r w:rsidRPr="00EE7244">
        <w:t xml:space="preserve"> agreed services.</w:t>
      </w:r>
      <w:r w:rsidR="00CA4C07">
        <w:t xml:space="preserve"> </w:t>
      </w:r>
      <w:r w:rsidRPr="00EE7244">
        <w:t xml:space="preserve">Therefore, </w:t>
      </w:r>
      <w:r w:rsidR="004422BC" w:rsidRPr="00EE7244">
        <w:t xml:space="preserve">the </w:t>
      </w:r>
      <w:r w:rsidR="007D2F59">
        <w:t>s</w:t>
      </w:r>
      <w:r w:rsidR="00E14E7E">
        <w:t xml:space="preserve">ecretariat of the </w:t>
      </w:r>
      <w:r w:rsidR="004422BC">
        <w:t xml:space="preserve">Basel, Rotterdam and Stockholm </w:t>
      </w:r>
      <w:r w:rsidR="007D2F59">
        <w:t>c</w:t>
      </w:r>
      <w:r w:rsidR="004422BC">
        <w:t>onventions</w:t>
      </w:r>
      <w:r w:rsidRPr="00EE7244">
        <w:t xml:space="preserve"> will be reimbursed</w:t>
      </w:r>
      <w:r w:rsidR="004422BC">
        <w:t xml:space="preserve"> for the services</w:t>
      </w:r>
      <w:r w:rsidRPr="00EE7244">
        <w:t xml:space="preserve"> on </w:t>
      </w:r>
      <w:r w:rsidR="004422BC">
        <w:t xml:space="preserve">a </w:t>
      </w:r>
      <w:r w:rsidRPr="00EE7244">
        <w:t xml:space="preserve">full </w:t>
      </w:r>
      <w:r w:rsidR="00CE554D">
        <w:t>cost</w:t>
      </w:r>
      <w:r w:rsidR="00CE554D">
        <w:noBreakHyphen/>
        <w:t>recovery</w:t>
      </w:r>
      <w:r w:rsidRPr="00EE7244">
        <w:t xml:space="preserve"> basis</w:t>
      </w:r>
      <w:r w:rsidR="004422BC">
        <w:t>,</w:t>
      </w:r>
      <w:r w:rsidRPr="00EE7244">
        <w:t xml:space="preserve"> but without additional margin above the unit costs of delivering </w:t>
      </w:r>
      <w:r w:rsidR="004422BC">
        <w:t>the</w:t>
      </w:r>
      <w:r w:rsidRPr="00EE7244">
        <w:t xml:space="preserve"> services. The Executive Secretary</w:t>
      </w:r>
      <w:r w:rsidR="004422BC">
        <w:t xml:space="preserve"> of the Basel, Rotterdam and Stockholm conventions</w:t>
      </w:r>
      <w:r w:rsidRPr="00EE7244">
        <w:t xml:space="preserve"> has </w:t>
      </w:r>
      <w:r w:rsidR="004422BC">
        <w:t xml:space="preserve">the </w:t>
      </w:r>
      <w:r w:rsidRPr="00EE7244">
        <w:t>authority to establish such arrangements</w:t>
      </w:r>
      <w:r w:rsidR="004422BC">
        <w:t>,</w:t>
      </w:r>
      <w:r w:rsidRPr="00EE7244">
        <w:t xml:space="preserve"> provided they are fully funded.</w:t>
      </w:r>
      <w:r w:rsidRPr="00EE7244">
        <w:rPr>
          <w:vertAlign w:val="superscript"/>
        </w:rPr>
        <w:footnoteReference w:id="2"/>
      </w:r>
      <w:r w:rsidR="00CA4C07">
        <w:t xml:space="preserve"> </w:t>
      </w:r>
      <w:r w:rsidR="000B6EC4">
        <w:t>B</w:t>
      </w:r>
      <w:r w:rsidRPr="00EE7244">
        <w:t>oth parties have the obligation to ensure that th</w:t>
      </w:r>
      <w:r w:rsidR="002F009F">
        <w:t>e</w:t>
      </w:r>
      <w:r w:rsidRPr="00EE7244">
        <w:t xml:space="preserve"> arrangement remains optimal</w:t>
      </w:r>
      <w:r w:rsidR="002F009F">
        <w:t xml:space="preserve"> and</w:t>
      </w:r>
      <w:r w:rsidRPr="00EE7244">
        <w:t xml:space="preserve"> </w:t>
      </w:r>
      <w:r w:rsidR="002F009F">
        <w:t>as</w:t>
      </w:r>
      <w:r w:rsidRPr="00EE7244">
        <w:t xml:space="preserve"> cost-effective </w:t>
      </w:r>
      <w:r w:rsidR="002F009F">
        <w:t xml:space="preserve">as possible, </w:t>
      </w:r>
      <w:r w:rsidRPr="00EE7244">
        <w:t xml:space="preserve">creating </w:t>
      </w:r>
      <w:r w:rsidR="000B6EC4">
        <w:t>no</w:t>
      </w:r>
      <w:r w:rsidR="002F009F">
        <w:t xml:space="preserve"> </w:t>
      </w:r>
      <w:r w:rsidRPr="00EE7244">
        <w:t>additional budgetary burden.</w:t>
      </w:r>
    </w:p>
    <w:p w14:paraId="449B2707" w14:textId="4D0358E3" w:rsidR="00863F6A" w:rsidRPr="00EE7244" w:rsidRDefault="00863F6A" w:rsidP="00D92A40">
      <w:pPr>
        <w:pStyle w:val="Normalnumber"/>
        <w:numPr>
          <w:ilvl w:val="0"/>
          <w:numId w:val="58"/>
        </w:numPr>
        <w:tabs>
          <w:tab w:val="clear" w:pos="597"/>
        </w:tabs>
        <w:ind w:left="1247"/>
      </w:pPr>
      <w:r w:rsidRPr="00EE7244">
        <w:rPr>
          <w:i/>
          <w:iCs/>
        </w:rPr>
        <w:t>Compliance with applicable rules and frameworks:</w:t>
      </w:r>
      <w:r w:rsidRPr="00EE7244">
        <w:t xml:space="preserve"> </w:t>
      </w:r>
      <w:r w:rsidR="002F009F">
        <w:t xml:space="preserve">Pursuant to </w:t>
      </w:r>
      <w:r w:rsidR="002F009F" w:rsidRPr="00EE7244">
        <w:t>Article 24, paragraph 3</w:t>
      </w:r>
      <w:r w:rsidR="002F009F">
        <w:t xml:space="preserve"> of the Minamata Convention, the </w:t>
      </w:r>
      <w:r w:rsidRPr="00EE7244">
        <w:t>Executive Director</w:t>
      </w:r>
      <w:r w:rsidR="002F009F">
        <w:t xml:space="preserve"> of</w:t>
      </w:r>
      <w:r w:rsidRPr="00EE7244">
        <w:t xml:space="preserve"> </w:t>
      </w:r>
      <w:r w:rsidR="002F009F">
        <w:t>UNEP</w:t>
      </w:r>
      <w:r w:rsidR="002F009F" w:rsidRPr="00EE7244">
        <w:t xml:space="preserve"> </w:t>
      </w:r>
      <w:r w:rsidR="00E14E7E">
        <w:t>is to</w:t>
      </w:r>
      <w:r w:rsidR="002F009F">
        <w:t xml:space="preserve"> </w:t>
      </w:r>
      <w:r w:rsidRPr="00EE7244">
        <w:t xml:space="preserve">perform the secretariat functions for the Convention, </w:t>
      </w:r>
      <w:r w:rsidRPr="00EE7244">
        <w:rPr>
          <w:rFonts w:eastAsia="MS Mincho"/>
        </w:rPr>
        <w:t xml:space="preserve">unless </w:t>
      </w:r>
      <w:r>
        <w:rPr>
          <w:rFonts w:eastAsia="MS Mincho"/>
        </w:rPr>
        <w:t xml:space="preserve">it is </w:t>
      </w:r>
      <w:r w:rsidRPr="00EE7244">
        <w:rPr>
          <w:rFonts w:eastAsia="MS Mincho"/>
        </w:rPr>
        <w:t>decide</w:t>
      </w:r>
      <w:r>
        <w:rPr>
          <w:rFonts w:eastAsia="MS Mincho"/>
        </w:rPr>
        <w:t>d</w:t>
      </w:r>
      <w:r w:rsidRPr="00EE7244">
        <w:rPr>
          <w:rFonts w:eastAsia="MS Mincho"/>
        </w:rPr>
        <w:t>,</w:t>
      </w:r>
      <w:r>
        <w:rPr>
          <w:rFonts w:eastAsia="MS Mincho"/>
        </w:rPr>
        <w:t xml:space="preserve"> </w:t>
      </w:r>
      <w:r w:rsidRPr="00EE7244">
        <w:rPr>
          <w:rFonts w:eastAsia="MS Mincho"/>
        </w:rPr>
        <w:t>by a</w:t>
      </w:r>
      <w:r w:rsidR="00CA4C07">
        <w:rPr>
          <w:rFonts w:eastAsia="MS Mincho"/>
        </w:rPr>
        <w:t xml:space="preserve"> </w:t>
      </w:r>
      <w:r w:rsidRPr="00EE7244">
        <w:rPr>
          <w:rFonts w:eastAsia="MS Mincho"/>
        </w:rPr>
        <w:t>three-fourths majority of the Parties present and voting, to entrust the secretariat functions to one or more other</w:t>
      </w:r>
      <w:r w:rsidRPr="00EE7244">
        <w:t xml:space="preserve"> </w:t>
      </w:r>
      <w:r w:rsidRPr="00EE7244">
        <w:rPr>
          <w:rFonts w:eastAsia="MS Mincho"/>
        </w:rPr>
        <w:t>international organizations</w:t>
      </w:r>
      <w:r w:rsidRPr="00EE7244">
        <w:t xml:space="preserve">. </w:t>
      </w:r>
      <w:r w:rsidR="002F009F">
        <w:t>T</w:t>
      </w:r>
      <w:r w:rsidRPr="00EE7244">
        <w:t>he Executive Director is required to comply with the relevant rules, regulations and procedures of the United</w:t>
      </w:r>
      <w:r w:rsidR="00CE554D">
        <w:t> </w:t>
      </w:r>
      <w:r w:rsidRPr="00EE7244">
        <w:t xml:space="preserve">Nations and UNEP in </w:t>
      </w:r>
      <w:r w:rsidR="002F009F">
        <w:t>providing</w:t>
      </w:r>
      <w:r w:rsidRPr="00EE7244">
        <w:t xml:space="preserve"> the functions of the </w:t>
      </w:r>
      <w:r w:rsidR="000B6EC4">
        <w:t xml:space="preserve">Minamata </w:t>
      </w:r>
      <w:r w:rsidRPr="00EE7244">
        <w:t xml:space="preserve">Convention </w:t>
      </w:r>
      <w:r w:rsidR="002F009F">
        <w:t>s</w:t>
      </w:r>
      <w:r w:rsidRPr="00EE7244">
        <w:t>ecretariat, in conformity with the requirements of the Convention and its Parties and consistent with the relevant decisions of the Conference of the Parties.</w:t>
      </w:r>
    </w:p>
    <w:p w14:paraId="03475E80" w14:textId="525CF28C" w:rsidR="00863F6A" w:rsidRDefault="004A0684" w:rsidP="00174DCA">
      <w:pPr>
        <w:pStyle w:val="CH1"/>
      </w:pPr>
      <w:r>
        <w:tab/>
      </w:r>
      <w:bookmarkStart w:id="15" w:name="_Toc21073438"/>
      <w:bookmarkStart w:id="16" w:name="_Toc22825241"/>
      <w:r>
        <w:t>IV.</w:t>
      </w:r>
      <w:r>
        <w:tab/>
      </w:r>
      <w:r w:rsidR="00863F6A" w:rsidRPr="00EE7244">
        <w:t xml:space="preserve">Role of </w:t>
      </w:r>
      <w:r w:rsidR="002F009F">
        <w:t xml:space="preserve">the </w:t>
      </w:r>
      <w:r w:rsidR="00863F6A" w:rsidRPr="00EE7244">
        <w:t>Corporate Services Division</w:t>
      </w:r>
      <w:bookmarkEnd w:id="15"/>
      <w:r w:rsidR="002F009F">
        <w:t xml:space="preserve"> of</w:t>
      </w:r>
      <w:r w:rsidR="002F009F" w:rsidRPr="002F009F">
        <w:t xml:space="preserve"> </w:t>
      </w:r>
      <w:r w:rsidR="002F009F" w:rsidRPr="00EE7244">
        <w:t>UNEP</w:t>
      </w:r>
      <w:bookmarkEnd w:id="16"/>
    </w:p>
    <w:p w14:paraId="15EF5B42" w14:textId="2C9A2160" w:rsidR="00863F6A" w:rsidRDefault="00863F6A" w:rsidP="00D92A40">
      <w:pPr>
        <w:pStyle w:val="Normalnumber"/>
        <w:numPr>
          <w:ilvl w:val="0"/>
          <w:numId w:val="58"/>
        </w:numPr>
        <w:tabs>
          <w:tab w:val="clear" w:pos="597"/>
        </w:tabs>
        <w:ind w:left="1247"/>
      </w:pPr>
      <w:r w:rsidRPr="00EE7244">
        <w:t xml:space="preserve">The Executive Director, through </w:t>
      </w:r>
      <w:r w:rsidR="002F009F">
        <w:t xml:space="preserve">the </w:t>
      </w:r>
      <w:r w:rsidRPr="00EE7244">
        <w:t>Corporate Services Division</w:t>
      </w:r>
      <w:r w:rsidR="00E14E7E">
        <w:t xml:space="preserve"> </w:t>
      </w:r>
      <w:r w:rsidR="002F009F">
        <w:t>of UNEP</w:t>
      </w:r>
      <w:r w:rsidRPr="00EE7244">
        <w:t xml:space="preserve">, will continue to work with </w:t>
      </w:r>
      <w:r w:rsidRPr="00610ED5">
        <w:t xml:space="preserve">the </w:t>
      </w:r>
      <w:r w:rsidRPr="00BE1DA1">
        <w:t>Executive Secretary</w:t>
      </w:r>
      <w:r w:rsidR="000B6EC4">
        <w:t xml:space="preserve"> of the Minamata Convention</w:t>
      </w:r>
      <w:r w:rsidRPr="00EE7244">
        <w:t xml:space="preserve"> to determine the administrative service requirements </w:t>
      </w:r>
      <w:r w:rsidR="002F009F">
        <w:t>of the Convention</w:t>
      </w:r>
      <w:r w:rsidR="002F009F" w:rsidRPr="00EE7244">
        <w:t xml:space="preserve"> </w:t>
      </w:r>
      <w:r w:rsidRPr="00EE7244">
        <w:t xml:space="preserve">and to identify the most efficient means to ensure that the Convention receives the administrative support </w:t>
      </w:r>
      <w:r w:rsidR="000B6EC4" w:rsidRPr="00EE7244">
        <w:t xml:space="preserve">necessary </w:t>
      </w:r>
      <w:r w:rsidRPr="00EE7244">
        <w:t>in accordance with the rules and regulations of the U</w:t>
      </w:r>
      <w:r w:rsidR="002F009F">
        <w:t xml:space="preserve">nited </w:t>
      </w:r>
      <w:r w:rsidRPr="00EE7244">
        <w:t>N</w:t>
      </w:r>
      <w:r w:rsidR="002F009F">
        <w:t>ations and</w:t>
      </w:r>
      <w:r w:rsidRPr="00EE7244">
        <w:t xml:space="preserve"> UNEP and consistent with the decisions of the Conference of the Parties. </w:t>
      </w:r>
    </w:p>
    <w:p w14:paraId="210B5F9E" w14:textId="4A02FC5A" w:rsidR="00863F6A" w:rsidRDefault="00863F6A" w:rsidP="00D92A40">
      <w:pPr>
        <w:pStyle w:val="Normalnumber"/>
        <w:numPr>
          <w:ilvl w:val="0"/>
          <w:numId w:val="58"/>
        </w:numPr>
        <w:tabs>
          <w:tab w:val="clear" w:pos="597"/>
        </w:tabs>
        <w:ind w:left="1247"/>
      </w:pPr>
      <w:r w:rsidRPr="00EE7244">
        <w:t xml:space="preserve">The Executive Director </w:t>
      </w:r>
      <w:r w:rsidRPr="000B7CD4">
        <w:t>will allocate</w:t>
      </w:r>
      <w:r w:rsidRPr="00EE7244">
        <w:t xml:space="preserve"> </w:t>
      </w:r>
      <w:r w:rsidR="000B6EC4" w:rsidRPr="00EE7244">
        <w:t xml:space="preserve">to the </w:t>
      </w:r>
      <w:r w:rsidR="00E14E7E">
        <w:t>s</w:t>
      </w:r>
      <w:r w:rsidR="000B6EC4" w:rsidRPr="00EE7244">
        <w:t>ecretariat</w:t>
      </w:r>
      <w:r w:rsidR="000B6EC4">
        <w:t xml:space="preserve"> of the Minamata Convention</w:t>
      </w:r>
      <w:r w:rsidR="000B6EC4" w:rsidRPr="00EE7244">
        <w:t xml:space="preserve"> </w:t>
      </w:r>
      <w:r w:rsidRPr="00EE7244">
        <w:t xml:space="preserve">an appropriate share of </w:t>
      </w:r>
      <w:r>
        <w:t>pro</w:t>
      </w:r>
      <w:r w:rsidRPr="00EE7244">
        <w:t xml:space="preserve">gramme </w:t>
      </w:r>
      <w:r>
        <w:t>s</w:t>
      </w:r>
      <w:r w:rsidRPr="00EE7244">
        <w:t xml:space="preserve">upport </w:t>
      </w:r>
      <w:r>
        <w:t>resources</w:t>
      </w:r>
      <w:r w:rsidRPr="00EE7244">
        <w:t xml:space="preserve"> attributable to the trust funds of the Convention. The allocation will be based on the existing </w:t>
      </w:r>
      <w:r w:rsidR="002F009F">
        <w:t xml:space="preserve">programme support </w:t>
      </w:r>
      <w:r w:rsidR="00E14E7E">
        <w:t>costs</w:t>
      </w:r>
      <w:r w:rsidRPr="00EE7244">
        <w:t xml:space="preserve"> policy and</w:t>
      </w:r>
      <w:r w:rsidR="002F009F">
        <w:t xml:space="preserve"> on the</w:t>
      </w:r>
      <w:r w:rsidRPr="00EE7244">
        <w:t xml:space="preserve"> receipt of an annual cost plan that demonstrates that the funds will be used efficiently and effectively in support of Convention activities within the budgetary ceiling of allocated programme support income. Similarly, the Executive Director will allocate an appropriate share of </w:t>
      </w:r>
      <w:r w:rsidR="002B5893">
        <w:t>pro</w:t>
      </w:r>
      <w:r w:rsidR="002B5893" w:rsidRPr="00EE7244">
        <w:t xml:space="preserve">gramme </w:t>
      </w:r>
      <w:r w:rsidR="002B5893">
        <w:t>s</w:t>
      </w:r>
      <w:r w:rsidR="002B5893" w:rsidRPr="00EE7244">
        <w:t xml:space="preserve">upport </w:t>
      </w:r>
      <w:r w:rsidR="002B5893">
        <w:t>resources</w:t>
      </w:r>
      <w:r w:rsidRPr="00EE7244">
        <w:t xml:space="preserve"> income attributable to the trust funds of the </w:t>
      </w:r>
      <w:r w:rsidR="000B6EC4" w:rsidRPr="00EE7244">
        <w:t xml:space="preserve">Minamata </w:t>
      </w:r>
      <w:r w:rsidRPr="00EE7244">
        <w:t>Convention to finance the p</w:t>
      </w:r>
      <w:r w:rsidR="002B5893">
        <w:t>ortion</w:t>
      </w:r>
      <w:r w:rsidRPr="00EE7244">
        <w:t xml:space="preserve"> of </w:t>
      </w:r>
      <w:r w:rsidR="002B5893">
        <w:t xml:space="preserve">the </w:t>
      </w:r>
      <w:r w:rsidRPr="00EE7244">
        <w:t>central administrative services</w:t>
      </w:r>
      <w:r w:rsidR="002B5893">
        <w:t xml:space="preserve"> of</w:t>
      </w:r>
      <w:r w:rsidRPr="00EE7244">
        <w:t xml:space="preserve"> </w:t>
      </w:r>
      <w:r w:rsidR="002B5893">
        <w:t>UNEP</w:t>
      </w:r>
      <w:r w:rsidR="002B5893" w:rsidRPr="00EE7244">
        <w:t xml:space="preserve"> </w:t>
      </w:r>
      <w:r w:rsidRPr="00EE7244">
        <w:t>that support</w:t>
      </w:r>
      <w:r w:rsidR="0046655E">
        <w:t>s</w:t>
      </w:r>
      <w:r w:rsidRPr="00EE7244">
        <w:t xml:space="preserve"> the Convention, some of which will be sourced from </w:t>
      </w:r>
      <w:r w:rsidRPr="00EE7244">
        <w:lastRenderedPageBreak/>
        <w:t>service providers</w:t>
      </w:r>
      <w:r w:rsidR="002B5893">
        <w:t>,</w:t>
      </w:r>
      <w:r w:rsidRPr="00EE7244">
        <w:t xml:space="preserve"> including </w:t>
      </w:r>
      <w:r w:rsidR="002B5893">
        <w:t xml:space="preserve">the </w:t>
      </w:r>
      <w:r w:rsidRPr="00EE7244">
        <w:t>U</w:t>
      </w:r>
      <w:r w:rsidR="002B5893">
        <w:t xml:space="preserve">nited </w:t>
      </w:r>
      <w:r w:rsidRPr="00EE7244">
        <w:t>N</w:t>
      </w:r>
      <w:r w:rsidR="002B5893">
        <w:t xml:space="preserve">ations </w:t>
      </w:r>
      <w:r w:rsidRPr="00EE7244">
        <w:t>O</w:t>
      </w:r>
      <w:r w:rsidR="002B5893">
        <w:t xml:space="preserve">ffice at </w:t>
      </w:r>
      <w:r w:rsidRPr="00EE7244">
        <w:t>N</w:t>
      </w:r>
      <w:r w:rsidR="002B5893">
        <w:t>airobi</w:t>
      </w:r>
      <w:r w:rsidRPr="00EE7244">
        <w:t xml:space="preserve"> and </w:t>
      </w:r>
      <w:r w:rsidR="002B5893">
        <w:t xml:space="preserve">the </w:t>
      </w:r>
      <w:r w:rsidRPr="00EE7244">
        <w:t>U</w:t>
      </w:r>
      <w:r w:rsidR="002B5893">
        <w:t xml:space="preserve">nited </w:t>
      </w:r>
      <w:r w:rsidRPr="00EE7244">
        <w:t>N</w:t>
      </w:r>
      <w:r w:rsidR="002B5893">
        <w:t xml:space="preserve">ations </w:t>
      </w:r>
      <w:r w:rsidRPr="00EE7244">
        <w:t>O</w:t>
      </w:r>
      <w:r w:rsidR="002B5893">
        <w:t xml:space="preserve">ffice at </w:t>
      </w:r>
      <w:r w:rsidRPr="00EE7244">
        <w:t>G</w:t>
      </w:r>
      <w:r w:rsidR="002B5893">
        <w:t>eneva</w:t>
      </w:r>
      <w:r w:rsidRPr="00EE7244">
        <w:t>.</w:t>
      </w:r>
    </w:p>
    <w:p w14:paraId="16A46F51" w14:textId="21F823FB" w:rsidR="00863F6A" w:rsidRPr="00720BF5" w:rsidRDefault="00863F6A" w:rsidP="00D92A40">
      <w:pPr>
        <w:pStyle w:val="Normalnumber"/>
        <w:numPr>
          <w:ilvl w:val="0"/>
          <w:numId w:val="58"/>
        </w:numPr>
        <w:tabs>
          <w:tab w:val="clear" w:pos="597"/>
        </w:tabs>
        <w:ind w:left="1247"/>
      </w:pPr>
      <w:r>
        <w:t xml:space="preserve">It is </w:t>
      </w:r>
      <w:r w:rsidR="002B5893">
        <w:t>the</w:t>
      </w:r>
      <w:r w:rsidRPr="00EE7244">
        <w:t xml:space="preserve"> primary responsibility </w:t>
      </w:r>
      <w:r w:rsidR="000C6F5D">
        <w:t xml:space="preserve">of </w:t>
      </w:r>
      <w:r w:rsidR="002B5893">
        <w:t xml:space="preserve">UNEP </w:t>
      </w:r>
      <w:r>
        <w:t>to</w:t>
      </w:r>
      <w:r w:rsidRPr="00EE7244">
        <w:t xml:space="preserve"> sourc</w:t>
      </w:r>
      <w:r>
        <w:t>e</w:t>
      </w:r>
      <w:r w:rsidRPr="00EE7244">
        <w:t xml:space="preserve"> and/or provid</w:t>
      </w:r>
      <w:r>
        <w:t>e</w:t>
      </w:r>
      <w:r w:rsidRPr="00EE7244">
        <w:t xml:space="preserve"> administrative services</w:t>
      </w:r>
      <w:r>
        <w:t xml:space="preserve"> to convention secretariats, </w:t>
      </w:r>
      <w:r w:rsidRPr="007D2F59">
        <w:t>including</w:t>
      </w:r>
      <w:r w:rsidR="002B5893" w:rsidRPr="007D2F59">
        <w:t xml:space="preserve"> through</w:t>
      </w:r>
      <w:r>
        <w:t xml:space="preserve"> backstopping where the type or </w:t>
      </w:r>
      <w:r w:rsidR="002B5893">
        <w:t xml:space="preserve">scope </w:t>
      </w:r>
      <w:r>
        <w:t xml:space="preserve">of such services may not </w:t>
      </w:r>
      <w:r w:rsidR="002B5893">
        <w:t xml:space="preserve">have </w:t>
      </w:r>
      <w:r>
        <w:t xml:space="preserve">been foreseen during the planning and budgeting stages. </w:t>
      </w:r>
      <w:r w:rsidRPr="00EE7244">
        <w:t xml:space="preserve">The scope of services and </w:t>
      </w:r>
      <w:r w:rsidR="002B5893">
        <w:t>the</w:t>
      </w:r>
      <w:r w:rsidR="000B6EC4">
        <w:t>ir</w:t>
      </w:r>
      <w:r w:rsidR="002B5893">
        <w:t xml:space="preserve"> </w:t>
      </w:r>
      <w:r w:rsidRPr="00EE7244">
        <w:t>delivery time will depend on the complexity</w:t>
      </w:r>
      <w:r w:rsidR="002B5893">
        <w:t xml:space="preserve"> of planning</w:t>
      </w:r>
      <w:r w:rsidRPr="00EE7244">
        <w:t xml:space="preserve"> </w:t>
      </w:r>
      <w:r w:rsidR="002B5893">
        <w:t>and</w:t>
      </w:r>
      <w:r w:rsidRPr="00EE7244">
        <w:t xml:space="preserve"> </w:t>
      </w:r>
      <w:r w:rsidR="002B5893">
        <w:t xml:space="preserve">the </w:t>
      </w:r>
      <w:r w:rsidR="00E14E7E">
        <w:t>development</w:t>
      </w:r>
      <w:r w:rsidR="00E14E7E" w:rsidRPr="00EE7244">
        <w:t xml:space="preserve"> </w:t>
      </w:r>
      <w:r w:rsidRPr="00EE7244">
        <w:t xml:space="preserve">period </w:t>
      </w:r>
      <w:r>
        <w:t>required</w:t>
      </w:r>
      <w:r w:rsidRPr="00EE7244">
        <w:t xml:space="preserve"> for proper planning.</w:t>
      </w:r>
      <w:r>
        <w:t xml:space="preserve"> </w:t>
      </w:r>
      <w:r w:rsidRPr="002D2EAA">
        <w:t xml:space="preserve">UNEP is also responsible for </w:t>
      </w:r>
      <w:r w:rsidR="000B6EC4">
        <w:t xml:space="preserve">providing </w:t>
      </w:r>
      <w:r w:rsidRPr="002D2EAA">
        <w:t>core administrative services</w:t>
      </w:r>
      <w:r w:rsidR="000B6EC4">
        <w:t xml:space="preserve"> to the Minamata Convention</w:t>
      </w:r>
      <w:r w:rsidR="002B5893">
        <w:t>,</w:t>
      </w:r>
      <w:r w:rsidRPr="002D2EAA">
        <w:t xml:space="preserve"> such as </w:t>
      </w:r>
      <w:r w:rsidR="002B5893">
        <w:t xml:space="preserve">the creation of </w:t>
      </w:r>
      <w:r w:rsidRPr="002D2EAA">
        <w:t>policy guidelines and procedures, human resources administration, audit</w:t>
      </w:r>
      <w:r w:rsidR="002B5893">
        <w:t>ing</w:t>
      </w:r>
      <w:r w:rsidRPr="002D2EAA">
        <w:t xml:space="preserve"> and oversight, enterprise risk management, corporate legal services, procurement and contract</w:t>
      </w:r>
      <w:r w:rsidR="000B6EC4">
        <w:t xml:space="preserve"> service</w:t>
      </w:r>
      <w:r w:rsidRPr="002D2EAA">
        <w:t xml:space="preserve">s, </w:t>
      </w:r>
      <w:r>
        <w:t xml:space="preserve">information systems </w:t>
      </w:r>
      <w:r w:rsidRPr="002D2EAA">
        <w:t>and such other centrally</w:t>
      </w:r>
      <w:r w:rsidR="00AA5D0F">
        <w:t>-</w:t>
      </w:r>
      <w:r w:rsidRPr="002D2EAA">
        <w:t xml:space="preserve">managed support </w:t>
      </w:r>
      <w:r w:rsidRPr="00720BF5">
        <w:t xml:space="preserve">services as may be determined from time to time. </w:t>
      </w:r>
      <w:r w:rsidR="00C1568B">
        <w:t>A</w:t>
      </w:r>
      <w:r w:rsidR="00C1568B" w:rsidRPr="00720BF5">
        <w:t xml:space="preserve"> </w:t>
      </w:r>
      <w:r w:rsidRPr="00C1568B">
        <w:t xml:space="preserve">detailed </w:t>
      </w:r>
      <w:r w:rsidR="00D95EF1">
        <w:t>description</w:t>
      </w:r>
      <w:r w:rsidR="00C1568B" w:rsidRPr="00720BF5">
        <w:t xml:space="preserve"> </w:t>
      </w:r>
      <w:r w:rsidRPr="00720BF5">
        <w:t xml:space="preserve">of core administrative services is set out in </w:t>
      </w:r>
      <w:r w:rsidR="00AA5D0F" w:rsidRPr="00720BF5">
        <w:t>a</w:t>
      </w:r>
      <w:r w:rsidRPr="00720BF5">
        <w:t xml:space="preserve">nnex </w:t>
      </w:r>
      <w:r w:rsidR="00D8019A" w:rsidRPr="00174DCA">
        <w:t>III to the present proposal</w:t>
      </w:r>
      <w:r w:rsidRPr="00720BF5">
        <w:t>.</w:t>
      </w:r>
    </w:p>
    <w:p w14:paraId="2171AFCF" w14:textId="3BAB2DB6" w:rsidR="00863F6A" w:rsidRPr="002D2EAA" w:rsidRDefault="00863F6A" w:rsidP="00D92A40">
      <w:pPr>
        <w:pStyle w:val="Normalnumber"/>
        <w:numPr>
          <w:ilvl w:val="0"/>
          <w:numId w:val="58"/>
        </w:numPr>
        <w:tabs>
          <w:tab w:val="clear" w:pos="597"/>
        </w:tabs>
        <w:ind w:left="1247"/>
      </w:pPr>
      <w:proofErr w:type="gramStart"/>
      <w:r>
        <w:t>In order to</w:t>
      </w:r>
      <w:proofErr w:type="gramEnd"/>
      <w:r>
        <w:t xml:space="preserve"> address </w:t>
      </w:r>
      <w:r w:rsidR="00AA5D0F">
        <w:t xml:space="preserve">the </w:t>
      </w:r>
      <w:r>
        <w:t xml:space="preserve">specific needs of the </w:t>
      </w:r>
      <w:r w:rsidR="00AA5D0F">
        <w:t>C</w:t>
      </w:r>
      <w:r>
        <w:t>onvention, it may be necessary for the Executive Secretary to propose supplemental capacity beyond what UNEP provides under the existing framework. In preparing t</w:t>
      </w:r>
      <w:r w:rsidR="00134A4C">
        <w:t>he present</w:t>
      </w:r>
      <w:r>
        <w:t xml:space="preserve"> proposal, consideration has been given to validating the Minamata Convention budget proposals for additional capacity with a view to explor</w:t>
      </w:r>
      <w:r w:rsidR="00134A4C">
        <w:t>ing</w:t>
      </w:r>
      <w:r>
        <w:t xml:space="preserve"> </w:t>
      </w:r>
      <w:r w:rsidR="000B6EC4">
        <w:t xml:space="preserve">the </w:t>
      </w:r>
      <w:r>
        <w:t>feasibility</w:t>
      </w:r>
      <w:r w:rsidR="000B6EC4">
        <w:t xml:space="preserve"> of</w:t>
      </w:r>
      <w:r>
        <w:t xml:space="preserve"> </w:t>
      </w:r>
      <w:r w:rsidR="000B6EC4">
        <w:t xml:space="preserve">options for financing requirements </w:t>
      </w:r>
      <w:r>
        <w:t>and any synergies</w:t>
      </w:r>
      <w:r w:rsidR="00134A4C">
        <w:t xml:space="preserve"> among </w:t>
      </w:r>
      <w:r w:rsidR="00B8576D">
        <w:t>those options</w:t>
      </w:r>
      <w:r>
        <w:t>.</w:t>
      </w:r>
    </w:p>
    <w:p w14:paraId="38E21C9D" w14:textId="5501F525" w:rsidR="00863F6A" w:rsidRDefault="004A0684" w:rsidP="00174DCA">
      <w:pPr>
        <w:pStyle w:val="CH1"/>
      </w:pPr>
      <w:r>
        <w:tab/>
      </w:r>
      <w:bookmarkStart w:id="17" w:name="_Toc21073439"/>
      <w:bookmarkStart w:id="18" w:name="_Toc22825242"/>
      <w:r>
        <w:t>V.</w:t>
      </w:r>
      <w:r>
        <w:tab/>
      </w:r>
      <w:r w:rsidR="00863F6A" w:rsidRPr="00EE7244">
        <w:t>Definition of models</w:t>
      </w:r>
      <w:bookmarkEnd w:id="17"/>
      <w:bookmarkEnd w:id="18"/>
    </w:p>
    <w:p w14:paraId="5B350F66" w14:textId="66073D11" w:rsidR="00863F6A" w:rsidRPr="00EE7244" w:rsidRDefault="00863F6A" w:rsidP="00D92A40">
      <w:pPr>
        <w:pStyle w:val="Normalnumber"/>
        <w:numPr>
          <w:ilvl w:val="0"/>
          <w:numId w:val="58"/>
        </w:numPr>
        <w:tabs>
          <w:tab w:val="clear" w:pos="597"/>
        </w:tabs>
        <w:ind w:left="1247"/>
      </w:pPr>
      <w:r>
        <w:t>T</w:t>
      </w:r>
      <w:r w:rsidRPr="00EE7244">
        <w:t xml:space="preserve">he proposal defines and describes </w:t>
      </w:r>
      <w:r w:rsidR="00623F8B">
        <w:t xml:space="preserve">the </w:t>
      </w:r>
      <w:r w:rsidRPr="00EE7244">
        <w:t xml:space="preserve">models that were considered for </w:t>
      </w:r>
      <w:r w:rsidR="00623F8B">
        <w:t xml:space="preserve">the </w:t>
      </w:r>
      <w:r w:rsidRPr="00EE7244">
        <w:t xml:space="preserve">delivery of </w:t>
      </w:r>
      <w:r>
        <w:t xml:space="preserve">administrative </w:t>
      </w:r>
      <w:r w:rsidRPr="00EE7244">
        <w:t xml:space="preserve">services to </w:t>
      </w:r>
      <w:r w:rsidR="00623F8B">
        <w:t xml:space="preserve">the </w:t>
      </w:r>
      <w:r w:rsidRPr="00EE7244">
        <w:t>Minamata Convention</w:t>
      </w:r>
      <w:r>
        <w:t>, including</w:t>
      </w:r>
      <w:r w:rsidR="00B37684">
        <w:t xml:space="preserve"> options obtained</w:t>
      </w:r>
      <w:r>
        <w:t xml:space="preserve"> </w:t>
      </w:r>
      <w:r w:rsidR="00623F8B">
        <w:t xml:space="preserve">by </w:t>
      </w:r>
      <w:r>
        <w:t xml:space="preserve">reviewing the </w:t>
      </w:r>
      <w:r w:rsidR="00623F8B">
        <w:t>budget proposals of the</w:t>
      </w:r>
      <w:r>
        <w:t xml:space="preserve"> Convention</w:t>
      </w:r>
      <w:r w:rsidR="00623F8B">
        <w:t>,</w:t>
      </w:r>
      <w:r>
        <w:t xml:space="preserve"> contained in </w:t>
      </w:r>
      <w:r w:rsidRPr="00535E9E">
        <w:t xml:space="preserve">document </w:t>
      </w:r>
      <w:bookmarkStart w:id="19" w:name="_Hlk20211904"/>
      <w:r>
        <w:t>UNEP/MC/COP.3/20</w:t>
      </w:r>
      <w:bookmarkEnd w:id="19"/>
      <w:r w:rsidR="00623F8B">
        <w:t>,</w:t>
      </w:r>
      <w:r w:rsidR="00623F8B" w:rsidRPr="00623F8B">
        <w:t xml:space="preserve"> </w:t>
      </w:r>
      <w:r w:rsidR="00623F8B">
        <w:t>for additional capacity</w:t>
      </w:r>
      <w:r w:rsidRPr="00EE7244">
        <w:t xml:space="preserve">. </w:t>
      </w:r>
      <w:r w:rsidR="00B37684">
        <w:t xml:space="preserve">A </w:t>
      </w:r>
      <w:r w:rsidRPr="00EE7244">
        <w:t xml:space="preserve">menu of services </w:t>
      </w:r>
      <w:r w:rsidR="00605CD0">
        <w:t xml:space="preserve">is provided </w:t>
      </w:r>
      <w:r w:rsidRPr="00EE7244">
        <w:t xml:space="preserve">from which </w:t>
      </w:r>
      <w:r w:rsidR="00B37684">
        <w:t xml:space="preserve">the required services </w:t>
      </w:r>
      <w:r w:rsidR="0070644F">
        <w:t xml:space="preserve">are to </w:t>
      </w:r>
      <w:r w:rsidR="00B37684">
        <w:t>be chosen</w:t>
      </w:r>
      <w:r w:rsidRPr="00EE7244">
        <w:t xml:space="preserve">. </w:t>
      </w:r>
      <w:r>
        <w:t xml:space="preserve">Estimates of </w:t>
      </w:r>
      <w:r w:rsidR="00B37684">
        <w:t xml:space="preserve">the </w:t>
      </w:r>
      <w:r>
        <w:t xml:space="preserve">resources </w:t>
      </w:r>
      <w:r w:rsidR="00B37684">
        <w:t xml:space="preserve">required </w:t>
      </w:r>
      <w:r>
        <w:t xml:space="preserve">have been calculated and evaluated for each option </w:t>
      </w:r>
      <w:r w:rsidRPr="00EE7244">
        <w:t xml:space="preserve">presented. </w:t>
      </w:r>
    </w:p>
    <w:p w14:paraId="1B20E483" w14:textId="09DD07A3" w:rsidR="00863F6A" w:rsidRDefault="004A0684" w:rsidP="00174DCA">
      <w:pPr>
        <w:pStyle w:val="CH1"/>
      </w:pPr>
      <w:r>
        <w:tab/>
      </w:r>
      <w:bookmarkStart w:id="20" w:name="_Toc21073440"/>
      <w:bookmarkStart w:id="21" w:name="_Toc22825243"/>
      <w:r>
        <w:t>VI.</w:t>
      </w:r>
      <w:r>
        <w:tab/>
      </w:r>
      <w:r w:rsidR="00863F6A" w:rsidRPr="004B2C92">
        <w:t>Consolidation of services</w:t>
      </w:r>
      <w:bookmarkEnd w:id="20"/>
      <w:bookmarkEnd w:id="21"/>
    </w:p>
    <w:p w14:paraId="7698800E" w14:textId="70452110" w:rsidR="00863F6A" w:rsidRDefault="00863F6A" w:rsidP="00D92A40">
      <w:pPr>
        <w:pStyle w:val="Normalnumber"/>
        <w:numPr>
          <w:ilvl w:val="0"/>
          <w:numId w:val="58"/>
        </w:numPr>
        <w:tabs>
          <w:tab w:val="clear" w:pos="597"/>
        </w:tabs>
        <w:ind w:left="1247"/>
      </w:pPr>
      <w:r w:rsidRPr="00EE7244">
        <w:t xml:space="preserve">Under </w:t>
      </w:r>
      <w:r w:rsidR="00B37684">
        <w:t xml:space="preserve">the </w:t>
      </w:r>
      <w:r w:rsidRPr="004E00A9">
        <w:t>consolidation of services</w:t>
      </w:r>
      <w:r w:rsidRPr="00EE7244">
        <w:t xml:space="preserve"> model, a </w:t>
      </w:r>
      <w:r w:rsidR="00286E99" w:rsidRPr="00EE7244">
        <w:t xml:space="preserve">consolidated </w:t>
      </w:r>
      <w:r w:rsidRPr="00EE7244">
        <w:t xml:space="preserve">unit </w:t>
      </w:r>
      <w:r w:rsidR="00286E99" w:rsidRPr="00EE7244">
        <w:t xml:space="preserve">would be established </w:t>
      </w:r>
      <w:r w:rsidRPr="00EE7244">
        <w:t xml:space="preserve">to provide services to </w:t>
      </w:r>
      <w:r w:rsidR="00286E99">
        <w:t xml:space="preserve">the </w:t>
      </w:r>
      <w:r w:rsidR="007D2F59">
        <w:t>s</w:t>
      </w:r>
      <w:r w:rsidR="00D8019A">
        <w:t xml:space="preserve">ecretariat of the </w:t>
      </w:r>
      <w:r w:rsidRPr="00EE7244">
        <w:t>B</w:t>
      </w:r>
      <w:r w:rsidR="00286E99">
        <w:t xml:space="preserve">asel, </w:t>
      </w:r>
      <w:r w:rsidRPr="00EE7244">
        <w:t>R</w:t>
      </w:r>
      <w:r w:rsidR="00286E99">
        <w:t xml:space="preserve">otterdam and </w:t>
      </w:r>
      <w:r w:rsidRPr="00EE7244">
        <w:t>S</w:t>
      </w:r>
      <w:r w:rsidR="00286E99">
        <w:t xml:space="preserve">tockholm </w:t>
      </w:r>
      <w:r w:rsidR="007D2F59">
        <w:t>c</w:t>
      </w:r>
      <w:r w:rsidR="00286E99">
        <w:t>onventions</w:t>
      </w:r>
      <w:r w:rsidRPr="00EE7244">
        <w:t xml:space="preserve"> and </w:t>
      </w:r>
      <w:r w:rsidR="00286E99">
        <w:t xml:space="preserve">the </w:t>
      </w:r>
      <w:r w:rsidR="00D8019A">
        <w:t xml:space="preserve">secretariat of the </w:t>
      </w:r>
      <w:r w:rsidRPr="00EE7244">
        <w:t>Minamata</w:t>
      </w:r>
      <w:r w:rsidR="00286E99">
        <w:t xml:space="preserve"> Convention</w:t>
      </w:r>
      <w:r w:rsidRPr="00EE7244">
        <w:t xml:space="preserve">, with each secretariat contributing resources to the </w:t>
      </w:r>
      <w:r w:rsidR="00286E99" w:rsidRPr="00EE7244">
        <w:t xml:space="preserve">new </w:t>
      </w:r>
      <w:r w:rsidRPr="00EE7244">
        <w:t xml:space="preserve">unit. This model would facilitate </w:t>
      </w:r>
      <w:r w:rsidR="00D8019A">
        <w:t xml:space="preserve">the </w:t>
      </w:r>
      <w:r w:rsidRPr="00EE7244">
        <w:t xml:space="preserve">sharing of all identified </w:t>
      </w:r>
      <w:r>
        <w:t xml:space="preserve">administrative </w:t>
      </w:r>
      <w:r w:rsidRPr="00EE7244">
        <w:t xml:space="preserve">services </w:t>
      </w:r>
      <w:r w:rsidR="00286E99">
        <w:t>rather than being</w:t>
      </w:r>
      <w:r w:rsidRPr="00EE7244">
        <w:t xml:space="preserve"> limited to</w:t>
      </w:r>
      <w:r w:rsidR="00286E99">
        <w:t xml:space="preserve"> the</w:t>
      </w:r>
      <w:r w:rsidRPr="00EE7244">
        <w:t xml:space="preserve"> organization of meetings for </w:t>
      </w:r>
      <w:r w:rsidR="00D8019A">
        <w:t xml:space="preserve">the </w:t>
      </w:r>
      <w:r w:rsidRPr="00EE7244">
        <w:t>conference</w:t>
      </w:r>
      <w:r w:rsidR="00286E99">
        <w:t>s</w:t>
      </w:r>
      <w:r w:rsidRPr="00EE7244">
        <w:t xml:space="preserve"> of </w:t>
      </w:r>
      <w:r w:rsidR="00286E99">
        <w:t xml:space="preserve">the </w:t>
      </w:r>
      <w:r w:rsidRPr="00EE7244">
        <w:t>parties</w:t>
      </w:r>
      <w:r w:rsidR="00286E99">
        <w:t>.</w:t>
      </w:r>
      <w:r w:rsidRPr="00EE7244">
        <w:t xml:space="preserve"> </w:t>
      </w:r>
      <w:r w:rsidR="00286E99">
        <w:t>O</w:t>
      </w:r>
      <w:r w:rsidRPr="00EE7244">
        <w:t>ther services</w:t>
      </w:r>
      <w:r w:rsidR="00EB50D5">
        <w:t>,</w:t>
      </w:r>
      <w:r w:rsidRPr="00EE7244">
        <w:t xml:space="preserve"> as agreed on </w:t>
      </w:r>
      <w:r w:rsidR="00EB50D5">
        <w:t xml:space="preserve">an ongoing </w:t>
      </w:r>
      <w:r w:rsidRPr="00EE7244">
        <w:t>basis</w:t>
      </w:r>
      <w:r w:rsidR="00EB50D5">
        <w:t>,</w:t>
      </w:r>
      <w:r w:rsidRPr="00EE7244">
        <w:t xml:space="preserve"> </w:t>
      </w:r>
      <w:r w:rsidR="00EB50D5">
        <w:t xml:space="preserve">would be covered </w:t>
      </w:r>
      <w:r w:rsidR="0070644F">
        <w:t>by</w:t>
      </w:r>
      <w:r w:rsidR="0070644F" w:rsidRPr="00EE7244">
        <w:t xml:space="preserve"> </w:t>
      </w:r>
      <w:r w:rsidR="00EB50D5">
        <w:t>the</w:t>
      </w:r>
      <w:r w:rsidRPr="00EE7244">
        <w:t xml:space="preserve"> common</w:t>
      </w:r>
      <w:r w:rsidR="00EB50D5">
        <w:t>,</w:t>
      </w:r>
      <w:r w:rsidRPr="00EE7244">
        <w:t xml:space="preserve"> shared unit.</w:t>
      </w:r>
      <w:r w:rsidR="00286E99">
        <w:t xml:space="preserve"> </w:t>
      </w:r>
    </w:p>
    <w:p w14:paraId="53759CCF" w14:textId="1736CD33" w:rsidR="00863F6A" w:rsidRPr="00EE7244" w:rsidRDefault="00863F6A" w:rsidP="00D92A40">
      <w:pPr>
        <w:pStyle w:val="Normalnumber"/>
        <w:numPr>
          <w:ilvl w:val="0"/>
          <w:numId w:val="58"/>
        </w:numPr>
        <w:tabs>
          <w:tab w:val="clear" w:pos="597"/>
        </w:tabs>
        <w:ind w:left="1247"/>
      </w:pPr>
      <w:r>
        <w:t>The mandates of the respective conventions drive their priorities</w:t>
      </w:r>
      <w:r w:rsidR="00EB50D5">
        <w:t>, meaning that i</w:t>
      </w:r>
      <w:r>
        <w:t>t would be challeng</w:t>
      </w:r>
      <w:r w:rsidR="00EB50D5">
        <w:t>ing</w:t>
      </w:r>
      <w:r>
        <w:t xml:space="preserve"> to </w:t>
      </w:r>
      <w:r w:rsidRPr="00EE7244">
        <w:t>agree</w:t>
      </w:r>
      <w:r w:rsidR="00EB50D5">
        <w:t xml:space="preserve"> on</w:t>
      </w:r>
      <w:r w:rsidRPr="00EE7244">
        <w:t xml:space="preserve"> </w:t>
      </w:r>
      <w:r>
        <w:t>which</w:t>
      </w:r>
      <w:r w:rsidRPr="00EE7244">
        <w:t xml:space="preserve"> services </w:t>
      </w:r>
      <w:r w:rsidR="00EB50D5">
        <w:t>should</w:t>
      </w:r>
      <w:r w:rsidRPr="00EE7244">
        <w:t xml:space="preserve"> be pooled </w:t>
      </w:r>
      <w:r>
        <w:t xml:space="preserve">and how to </w:t>
      </w:r>
      <w:r w:rsidR="00D8019A">
        <w:t xml:space="preserve">prioritize </w:t>
      </w:r>
      <w:r>
        <w:t>their delivery</w:t>
      </w:r>
      <w:r w:rsidRPr="00EE7244">
        <w:t xml:space="preserve"> for the mutual benefit and convenience</w:t>
      </w:r>
      <w:r w:rsidR="000D0D72">
        <w:t xml:space="preserve"> of all</w:t>
      </w:r>
      <w:r w:rsidRPr="00EE7244">
        <w:t xml:space="preserve"> </w:t>
      </w:r>
      <w:r w:rsidR="00EB50D5">
        <w:t>the conventions</w:t>
      </w:r>
      <w:r>
        <w:t>. The administrative structure would have to factor in complicated dual reporting lines</w:t>
      </w:r>
      <w:r w:rsidR="000D0D72">
        <w:t>,</w:t>
      </w:r>
      <w:r>
        <w:t xml:space="preserve"> which would have consequences </w:t>
      </w:r>
      <w:r w:rsidR="0070644F">
        <w:t>for</w:t>
      </w:r>
      <w:r w:rsidR="0070644F" w:rsidRPr="00EE7244">
        <w:t xml:space="preserve"> </w:t>
      </w:r>
      <w:r w:rsidR="000D0D72">
        <w:t xml:space="preserve">the </w:t>
      </w:r>
      <w:r w:rsidRPr="00EE7244">
        <w:t>accountabilit</w:t>
      </w:r>
      <w:r w:rsidR="000D0D72">
        <w:t>y</w:t>
      </w:r>
      <w:r w:rsidRPr="00EE7244">
        <w:t xml:space="preserve"> </w:t>
      </w:r>
      <w:r>
        <w:t xml:space="preserve">of the two </w:t>
      </w:r>
      <w:r w:rsidR="0070644F">
        <w:t>e</w:t>
      </w:r>
      <w:r>
        <w:t xml:space="preserve">xecutive </w:t>
      </w:r>
      <w:r w:rsidR="0070644F">
        <w:t>s</w:t>
      </w:r>
      <w:r>
        <w:t xml:space="preserve">ecretaries </w:t>
      </w:r>
      <w:r w:rsidRPr="00EE7244">
        <w:t xml:space="preserve">and </w:t>
      </w:r>
      <w:r w:rsidR="000D0D72">
        <w:t>would impinge on the principle of autonomy.</w:t>
      </w:r>
    </w:p>
    <w:p w14:paraId="3E7EBA94" w14:textId="14D80311" w:rsidR="00863F6A" w:rsidRDefault="00863F6A" w:rsidP="00D92A40">
      <w:pPr>
        <w:pStyle w:val="Normalnumber"/>
        <w:numPr>
          <w:ilvl w:val="0"/>
          <w:numId w:val="58"/>
        </w:numPr>
        <w:tabs>
          <w:tab w:val="clear" w:pos="597"/>
        </w:tabs>
        <w:ind w:left="1247"/>
      </w:pPr>
      <w:r>
        <w:t>Consolidation requires</w:t>
      </w:r>
      <w:r w:rsidR="000D0D72">
        <w:t xml:space="preserve"> the creation of</w:t>
      </w:r>
      <w:r>
        <w:t xml:space="preserve"> an additional management structure</w:t>
      </w:r>
      <w:r w:rsidR="00260D32">
        <w:t xml:space="preserve"> with concomitant</w:t>
      </w:r>
      <w:r>
        <w:t xml:space="preserve"> additional cost implications.</w:t>
      </w:r>
      <w:r w:rsidRPr="00EE7244">
        <w:t xml:space="preserve"> </w:t>
      </w:r>
      <w:r w:rsidR="000D0D72">
        <w:t>The</w:t>
      </w:r>
      <w:r>
        <w:t xml:space="preserve"> analysis</w:t>
      </w:r>
      <w:r w:rsidR="000D0D72">
        <w:t xml:space="preserve"> that was performed</w:t>
      </w:r>
      <w:r>
        <w:t>, based on benchmarking with similar administrative structures,</w:t>
      </w:r>
      <w:r w:rsidR="000D0D72">
        <w:t xml:space="preserve"> </w:t>
      </w:r>
      <w:r>
        <w:t xml:space="preserve">established that such a structure would require </w:t>
      </w:r>
      <w:r w:rsidR="000D0D72">
        <w:t>three</w:t>
      </w:r>
      <w:r>
        <w:t xml:space="preserve"> professional and </w:t>
      </w:r>
      <w:r w:rsidR="000D0D72">
        <w:t>three</w:t>
      </w:r>
      <w:r>
        <w:t xml:space="preserve"> </w:t>
      </w:r>
      <w:r w:rsidR="000D0D72">
        <w:t>g</w:t>
      </w:r>
      <w:r>
        <w:t xml:space="preserve">eneral </w:t>
      </w:r>
      <w:r w:rsidR="000D0D72">
        <w:t>s</w:t>
      </w:r>
      <w:r>
        <w:t>ervice positions.</w:t>
      </w:r>
      <w:r w:rsidR="00CA4C07">
        <w:t xml:space="preserve"> </w:t>
      </w:r>
      <w:proofErr w:type="gramStart"/>
      <w:r>
        <w:t>In order to</w:t>
      </w:r>
      <w:proofErr w:type="gramEnd"/>
      <w:r>
        <w:t xml:space="preserve"> minimize </w:t>
      </w:r>
      <w:r w:rsidR="000D0D72">
        <w:t xml:space="preserve">the </w:t>
      </w:r>
      <w:r>
        <w:t xml:space="preserve">additional cost implications, only one new position at </w:t>
      </w:r>
      <w:r w:rsidR="000D0D72">
        <w:t xml:space="preserve">the </w:t>
      </w:r>
      <w:r>
        <w:t>P-5 level would be proposed</w:t>
      </w:r>
      <w:r w:rsidR="00260D32">
        <w:t>, to head the consolidated unit. The other two professional positions at the P-4 level and t</w:t>
      </w:r>
      <w:r>
        <w:t xml:space="preserve">he </w:t>
      </w:r>
      <w:r w:rsidR="00260D32">
        <w:t xml:space="preserve">remaining general service </w:t>
      </w:r>
      <w:r>
        <w:t xml:space="preserve">positions could be drawn from </w:t>
      </w:r>
      <w:r w:rsidR="00260D32">
        <w:t>the existing staff of the convention</w:t>
      </w:r>
      <w:r w:rsidR="0070644F">
        <w:t xml:space="preserve"> secretariats</w:t>
      </w:r>
      <w:r>
        <w:t>. The additional cost of th</w:t>
      </w:r>
      <w:r w:rsidR="00260D32">
        <w:t>e P-5</w:t>
      </w:r>
      <w:r>
        <w:t xml:space="preserve"> position would be </w:t>
      </w:r>
      <w:r w:rsidR="00260D32">
        <w:t>$</w:t>
      </w:r>
      <w:r>
        <w:t xml:space="preserve">507,000 </w:t>
      </w:r>
      <w:r w:rsidR="00260D32">
        <w:t>per</w:t>
      </w:r>
      <w:r>
        <w:t xml:space="preserve"> biennium. In addition, </w:t>
      </w:r>
      <w:r w:rsidR="00260D32">
        <w:t xml:space="preserve">an estimated $228,000 </w:t>
      </w:r>
      <w:r w:rsidR="00553C23">
        <w:t>p</w:t>
      </w:r>
      <w:r w:rsidR="00553C23" w:rsidRPr="00553C23">
        <w:t xml:space="preserve">er biennium </w:t>
      </w:r>
      <w:r w:rsidR="00260D32">
        <w:t>would be required for</w:t>
      </w:r>
      <w:r>
        <w:t xml:space="preserve"> the organization of the </w:t>
      </w:r>
      <w:r w:rsidR="00260D32">
        <w:t xml:space="preserve">meetings of the </w:t>
      </w:r>
      <w:r>
        <w:t xml:space="preserve">Conference of Parties. Therefore, the total estimated </w:t>
      </w:r>
      <w:r w:rsidR="00260D32">
        <w:t>additional</w:t>
      </w:r>
      <w:r>
        <w:t xml:space="preserve"> cost, which is not part of </w:t>
      </w:r>
      <w:r w:rsidR="00260D32">
        <w:t xml:space="preserve">the proposed budget </w:t>
      </w:r>
      <w:r w:rsidR="0070644F">
        <w:t>for</w:t>
      </w:r>
      <w:r w:rsidR="00260D32">
        <w:t xml:space="preserve"> the </w:t>
      </w:r>
      <w:r w:rsidR="0070644F">
        <w:t xml:space="preserve">secretariat of the </w:t>
      </w:r>
      <w:r>
        <w:t>Minamata Convention</w:t>
      </w:r>
      <w:r w:rsidR="00260D32">
        <w:t xml:space="preserve"> for the biennium</w:t>
      </w:r>
      <w:r>
        <w:t xml:space="preserve"> 2020</w:t>
      </w:r>
      <w:r w:rsidR="00260D32" w:rsidRPr="00353EC0">
        <w:rPr>
          <w:b/>
        </w:rPr>
        <w:t>–</w:t>
      </w:r>
      <w:r>
        <w:t>2021</w:t>
      </w:r>
      <w:r w:rsidR="00260D32">
        <w:t>,</w:t>
      </w:r>
      <w:r>
        <w:t xml:space="preserve"> would be </w:t>
      </w:r>
      <w:r w:rsidR="00260D32">
        <w:t>$</w:t>
      </w:r>
      <w:r>
        <w:t>735,000.</w:t>
      </w:r>
    </w:p>
    <w:p w14:paraId="106364DD" w14:textId="04B5C180" w:rsidR="00863F6A" w:rsidRDefault="00863F6A" w:rsidP="00D92A40">
      <w:pPr>
        <w:pStyle w:val="Normalnumber"/>
        <w:numPr>
          <w:ilvl w:val="0"/>
          <w:numId w:val="58"/>
        </w:numPr>
        <w:tabs>
          <w:tab w:val="clear" w:pos="597"/>
        </w:tabs>
        <w:ind w:left="1247"/>
      </w:pPr>
      <w:r>
        <w:t>The Secretary</w:t>
      </w:r>
      <w:r w:rsidR="00260D32">
        <w:t>-</w:t>
      </w:r>
      <w:r>
        <w:t xml:space="preserve">General </w:t>
      </w:r>
      <w:r w:rsidR="0070644F">
        <w:t xml:space="preserve">of the United Nations </w:t>
      </w:r>
      <w:r>
        <w:t xml:space="preserve">has announced reform initiatives </w:t>
      </w:r>
      <w:r w:rsidR="00260D32">
        <w:t>that</w:t>
      </w:r>
      <w:r>
        <w:t xml:space="preserve"> include</w:t>
      </w:r>
      <w:r w:rsidR="00260D32">
        <w:t xml:space="preserve"> the</w:t>
      </w:r>
      <w:r>
        <w:t xml:space="preserve"> global consolidation of administrative services, </w:t>
      </w:r>
      <w:r w:rsidR="0070644F">
        <w:t>establishing</w:t>
      </w:r>
      <w:r>
        <w:t xml:space="preserve"> that such a</w:t>
      </w:r>
      <w:r w:rsidR="0070644F">
        <w:t xml:space="preserve"> global</w:t>
      </w:r>
      <w:r>
        <w:t xml:space="preserve"> approach generates efficiencies. </w:t>
      </w:r>
      <w:r w:rsidR="004B734B">
        <w:t>Since UNEP is part of these wider reform initiatives, f</w:t>
      </w:r>
      <w:r w:rsidR="00174DCA">
        <w:t xml:space="preserve">urther evaluation </w:t>
      </w:r>
      <w:r w:rsidR="004B734B">
        <w:t>of this proposal</w:t>
      </w:r>
      <w:r w:rsidR="00610ED5">
        <w:t>,</w:t>
      </w:r>
      <w:r w:rsidR="004B734B">
        <w:t xml:space="preserve"> </w:t>
      </w:r>
      <w:r w:rsidR="00174DCA">
        <w:t>suggested to take place in 2021</w:t>
      </w:r>
      <w:r w:rsidR="00610ED5">
        <w:t>,</w:t>
      </w:r>
      <w:r w:rsidR="004B734B">
        <w:t xml:space="preserve"> would provide an opportunity to </w:t>
      </w:r>
      <w:proofErr w:type="gramStart"/>
      <w:r w:rsidR="004B734B">
        <w:t>take into account</w:t>
      </w:r>
      <w:proofErr w:type="gramEnd"/>
      <w:r w:rsidR="004B734B">
        <w:t xml:space="preserve"> any relevant elements of the reform applicable to the cooperative arrangements between the secretariat of </w:t>
      </w:r>
      <w:r w:rsidR="00610ED5">
        <w:t xml:space="preserve">the </w:t>
      </w:r>
      <w:r w:rsidR="004B734B">
        <w:t xml:space="preserve">Minamata </w:t>
      </w:r>
      <w:r w:rsidR="00610ED5">
        <w:t xml:space="preserve">Convention </w:t>
      </w:r>
      <w:r w:rsidR="004B734B">
        <w:t>and</w:t>
      </w:r>
      <w:r w:rsidR="00610ED5">
        <w:t xml:space="preserve"> the</w:t>
      </w:r>
      <w:r w:rsidR="004B734B">
        <w:t xml:space="preserve"> </w:t>
      </w:r>
      <w:r w:rsidR="008D1389">
        <w:t>s</w:t>
      </w:r>
      <w:r w:rsidR="00D6017C">
        <w:t xml:space="preserve">ecretariat of the </w:t>
      </w:r>
      <w:r w:rsidR="004B734B">
        <w:t>B</w:t>
      </w:r>
      <w:r w:rsidR="00610ED5">
        <w:t xml:space="preserve">asel, </w:t>
      </w:r>
      <w:r w:rsidR="004B734B">
        <w:t>R</w:t>
      </w:r>
      <w:r w:rsidR="00610ED5">
        <w:t xml:space="preserve">otterdam and </w:t>
      </w:r>
      <w:r w:rsidR="004B734B">
        <w:t>S</w:t>
      </w:r>
      <w:r w:rsidR="00610ED5">
        <w:t>tockholm</w:t>
      </w:r>
      <w:r w:rsidR="004B734B">
        <w:t xml:space="preserve"> </w:t>
      </w:r>
      <w:r w:rsidR="008D1389">
        <w:t>c</w:t>
      </w:r>
      <w:r w:rsidR="004B734B">
        <w:t>onventions in the future.</w:t>
      </w:r>
      <w:r w:rsidRPr="00EE7244">
        <w:t xml:space="preserve"> </w:t>
      </w:r>
    </w:p>
    <w:p w14:paraId="23E8ED8C" w14:textId="6DEE79DE" w:rsidR="00863F6A" w:rsidRDefault="004A0684" w:rsidP="00174DCA">
      <w:pPr>
        <w:pStyle w:val="CH1"/>
      </w:pPr>
      <w:r>
        <w:lastRenderedPageBreak/>
        <w:tab/>
      </w:r>
      <w:bookmarkStart w:id="22" w:name="_Toc21073441"/>
      <w:bookmarkStart w:id="23" w:name="_Toc22825244"/>
      <w:r>
        <w:t>VII.</w:t>
      </w:r>
      <w:r>
        <w:tab/>
      </w:r>
      <w:r w:rsidR="00863F6A" w:rsidRPr="00DA6830">
        <w:t xml:space="preserve">Redeployment of staff from </w:t>
      </w:r>
      <w:r w:rsidR="000C64D7">
        <w:t xml:space="preserve">the </w:t>
      </w:r>
      <w:r w:rsidR="0070644F">
        <w:t xml:space="preserve">secretariat of the </w:t>
      </w:r>
      <w:r w:rsidR="00863F6A" w:rsidRPr="00DA6830">
        <w:t>Minamata</w:t>
      </w:r>
      <w:r w:rsidR="000C64D7">
        <w:t xml:space="preserve"> Convention</w:t>
      </w:r>
      <w:r w:rsidR="00863F6A" w:rsidRPr="00DA6830">
        <w:t xml:space="preserve"> to </w:t>
      </w:r>
      <w:r w:rsidR="000C64D7">
        <w:t>the</w:t>
      </w:r>
      <w:r w:rsidR="0070644F">
        <w:t xml:space="preserve"> </w:t>
      </w:r>
      <w:r w:rsidR="003634DB">
        <w:t>s</w:t>
      </w:r>
      <w:r w:rsidR="0070644F">
        <w:t>ecretariat of the</w:t>
      </w:r>
      <w:r w:rsidR="000C64D7">
        <w:t xml:space="preserve"> </w:t>
      </w:r>
      <w:r w:rsidR="00863F6A" w:rsidRPr="00DA6830">
        <w:t>B</w:t>
      </w:r>
      <w:r w:rsidR="000C64D7">
        <w:t xml:space="preserve">asel, </w:t>
      </w:r>
      <w:r w:rsidR="00863F6A" w:rsidRPr="00DA6830">
        <w:t>R</w:t>
      </w:r>
      <w:r w:rsidR="000C64D7">
        <w:t xml:space="preserve">otterdam and </w:t>
      </w:r>
      <w:r w:rsidR="00863F6A" w:rsidRPr="00DA6830">
        <w:t>S</w:t>
      </w:r>
      <w:bookmarkEnd w:id="22"/>
      <w:r w:rsidR="000C64D7">
        <w:t xml:space="preserve">tockholm </w:t>
      </w:r>
      <w:bookmarkEnd w:id="23"/>
      <w:r w:rsidR="003634DB">
        <w:t>conventions</w:t>
      </w:r>
    </w:p>
    <w:p w14:paraId="743E264E" w14:textId="43BFA187" w:rsidR="00863F6A" w:rsidRDefault="00553C23" w:rsidP="00D92A40">
      <w:pPr>
        <w:pStyle w:val="Normalnumber"/>
        <w:numPr>
          <w:ilvl w:val="0"/>
          <w:numId w:val="58"/>
        </w:numPr>
        <w:tabs>
          <w:tab w:val="clear" w:pos="597"/>
        </w:tabs>
        <w:ind w:left="1247"/>
      </w:pPr>
      <w:r>
        <w:t xml:space="preserve">The review </w:t>
      </w:r>
      <w:r w:rsidRPr="008E7363">
        <w:t xml:space="preserve">performed </w:t>
      </w:r>
      <w:r w:rsidR="000C64D7" w:rsidRPr="008E7363">
        <w:t>revealed</w:t>
      </w:r>
      <w:r w:rsidR="000C64D7">
        <w:t xml:space="preserve"> that, </w:t>
      </w:r>
      <w:r w:rsidR="000C64D7" w:rsidRPr="00EE7244">
        <w:t xml:space="preserve">within </w:t>
      </w:r>
      <w:r w:rsidR="00BA722E">
        <w:t>its</w:t>
      </w:r>
      <w:r w:rsidR="000C64D7" w:rsidRPr="00EE7244">
        <w:t xml:space="preserve"> existing resources</w:t>
      </w:r>
      <w:r w:rsidR="000C64D7">
        <w:t xml:space="preserve">, the </w:t>
      </w:r>
      <w:r w:rsidR="00FE2C8F">
        <w:t>s</w:t>
      </w:r>
      <w:r w:rsidR="00BA722E">
        <w:t xml:space="preserve">ecretariat of the </w:t>
      </w:r>
      <w:r w:rsidR="000C64D7">
        <w:t xml:space="preserve">Basel, Rotterdam and Stockholm </w:t>
      </w:r>
      <w:r w:rsidR="00FE2C8F">
        <w:t>c</w:t>
      </w:r>
      <w:r w:rsidR="000C64D7">
        <w:t xml:space="preserve">onventions </w:t>
      </w:r>
      <w:r w:rsidR="00BA722E">
        <w:t xml:space="preserve">is </w:t>
      </w:r>
      <w:r w:rsidR="00863F6A" w:rsidRPr="00EE7244">
        <w:t xml:space="preserve">not </w:t>
      </w:r>
      <w:proofErr w:type="gramStart"/>
      <w:r w:rsidR="00863F6A" w:rsidRPr="00EE7244">
        <w:t>in</w:t>
      </w:r>
      <w:r w:rsidR="000C64D7">
        <w:t xml:space="preserve"> a</w:t>
      </w:r>
      <w:r w:rsidR="00863F6A" w:rsidRPr="00EE7244">
        <w:t xml:space="preserve"> position to</w:t>
      </w:r>
      <w:proofErr w:type="gramEnd"/>
      <w:r w:rsidR="00863F6A" w:rsidRPr="00EE7244">
        <w:t xml:space="preserve"> share services</w:t>
      </w:r>
      <w:r w:rsidR="00863F6A">
        <w:t xml:space="preserve">. </w:t>
      </w:r>
      <w:r w:rsidR="000C64D7">
        <w:t>The</w:t>
      </w:r>
      <w:r w:rsidR="00863F6A">
        <w:t xml:space="preserve"> option</w:t>
      </w:r>
      <w:r w:rsidR="000C64D7">
        <w:t xml:space="preserve"> of redeployment of staff</w:t>
      </w:r>
      <w:r w:rsidR="00863F6A">
        <w:t xml:space="preserve"> was </w:t>
      </w:r>
      <w:r w:rsidR="000C64D7">
        <w:t xml:space="preserve">therefore </w:t>
      </w:r>
      <w:r w:rsidR="00863F6A">
        <w:t xml:space="preserve">developed </w:t>
      </w:r>
      <w:r w:rsidR="000C64D7">
        <w:t>based on eight</w:t>
      </w:r>
      <w:r w:rsidR="00863F6A">
        <w:t xml:space="preserve"> positions (</w:t>
      </w:r>
      <w:r w:rsidR="000C64D7">
        <w:t>four</w:t>
      </w:r>
      <w:r w:rsidR="00863F6A" w:rsidRPr="00EE7244">
        <w:t xml:space="preserve"> </w:t>
      </w:r>
      <w:r w:rsidR="000C64D7">
        <w:t>p</w:t>
      </w:r>
      <w:r w:rsidR="00863F6A" w:rsidRPr="00EE7244">
        <w:t xml:space="preserve">rofessional and </w:t>
      </w:r>
      <w:r w:rsidR="000C64D7">
        <w:t>four</w:t>
      </w:r>
      <w:r w:rsidR="00863F6A" w:rsidRPr="00EE7244">
        <w:t xml:space="preserve"> </w:t>
      </w:r>
      <w:r w:rsidR="000C64D7">
        <w:t>g</w:t>
      </w:r>
      <w:r w:rsidR="00863F6A" w:rsidRPr="00EE7244">
        <w:t xml:space="preserve">eneral </w:t>
      </w:r>
      <w:r w:rsidR="000C64D7">
        <w:t>s</w:t>
      </w:r>
      <w:r w:rsidR="00863F6A" w:rsidRPr="00EE7244">
        <w:t xml:space="preserve">ervice) </w:t>
      </w:r>
      <w:r w:rsidR="000C64D7">
        <w:t>being</w:t>
      </w:r>
      <w:r w:rsidR="00863F6A" w:rsidRPr="00EE7244">
        <w:t xml:space="preserve"> </w:t>
      </w:r>
      <w:r w:rsidR="000C64D7">
        <w:t>taken</w:t>
      </w:r>
      <w:r w:rsidR="00863F6A" w:rsidRPr="00EE7244">
        <w:t xml:space="preserve"> from</w:t>
      </w:r>
      <w:r w:rsidR="000C64D7">
        <w:t xml:space="preserve"> the</w:t>
      </w:r>
      <w:r w:rsidR="00863F6A" w:rsidRPr="00EE7244">
        <w:t xml:space="preserve"> </w:t>
      </w:r>
      <w:r w:rsidR="00C27533">
        <w:t>s</w:t>
      </w:r>
      <w:r w:rsidR="00BA722E">
        <w:t xml:space="preserve">ecretariat of the </w:t>
      </w:r>
      <w:r w:rsidR="00863F6A">
        <w:t>Minamata Convention</w:t>
      </w:r>
      <w:r w:rsidR="00863F6A" w:rsidRPr="00EE7244">
        <w:t xml:space="preserve"> </w:t>
      </w:r>
      <w:r w:rsidR="00863F6A">
        <w:t xml:space="preserve">and </w:t>
      </w:r>
      <w:r w:rsidR="00863F6A" w:rsidRPr="00EE7244">
        <w:t>transfer</w:t>
      </w:r>
      <w:r w:rsidR="00863F6A">
        <w:t>red</w:t>
      </w:r>
      <w:r w:rsidR="00863F6A" w:rsidRPr="00EE7244">
        <w:t xml:space="preserve"> to </w:t>
      </w:r>
      <w:r w:rsidR="000C64D7">
        <w:t xml:space="preserve">the </w:t>
      </w:r>
      <w:r w:rsidR="00FE2C8F">
        <w:t>s</w:t>
      </w:r>
      <w:r w:rsidR="00BA722E">
        <w:t xml:space="preserve">ecretariat of the </w:t>
      </w:r>
      <w:r w:rsidR="000C64D7">
        <w:t xml:space="preserve">Basel, Rotterdam and Stockholm </w:t>
      </w:r>
      <w:r w:rsidR="00FE2C8F">
        <w:t>c</w:t>
      </w:r>
      <w:r w:rsidR="000C64D7">
        <w:t>onventions</w:t>
      </w:r>
      <w:r w:rsidR="00863F6A" w:rsidRPr="00EE7244">
        <w:t xml:space="preserve">. </w:t>
      </w:r>
      <w:r w:rsidR="00863F6A">
        <w:t xml:space="preserve">Minamata Convention </w:t>
      </w:r>
      <w:r w:rsidR="00863F6A" w:rsidRPr="00EE7244">
        <w:t xml:space="preserve">resources </w:t>
      </w:r>
      <w:r w:rsidR="00863F6A">
        <w:t xml:space="preserve">assigned </w:t>
      </w:r>
      <w:r w:rsidR="00863F6A" w:rsidRPr="00EE7244">
        <w:t xml:space="preserve">to </w:t>
      </w:r>
      <w:r w:rsidR="000C64D7">
        <w:t>the provision of</w:t>
      </w:r>
      <w:r w:rsidR="00863F6A">
        <w:t xml:space="preserve"> </w:t>
      </w:r>
      <w:r w:rsidR="00863F6A" w:rsidRPr="00EE7244">
        <w:t>shared services</w:t>
      </w:r>
      <w:r w:rsidR="00863F6A">
        <w:t xml:space="preserve"> </w:t>
      </w:r>
      <w:r w:rsidR="00863F6A" w:rsidRPr="00EE7244">
        <w:t xml:space="preserve">would become part of a much larger </w:t>
      </w:r>
      <w:r w:rsidR="000C64D7">
        <w:t xml:space="preserve">resource pool, with a </w:t>
      </w:r>
      <w:r w:rsidR="00863F6A" w:rsidRPr="00EE7244">
        <w:t>team</w:t>
      </w:r>
      <w:r w:rsidR="00863F6A">
        <w:t xml:space="preserve"> managed by </w:t>
      </w:r>
      <w:r w:rsidR="000C64D7" w:rsidRPr="000C64D7">
        <w:t xml:space="preserve">the </w:t>
      </w:r>
      <w:r w:rsidR="00BA722E">
        <w:t xml:space="preserve">Secretariat of the </w:t>
      </w:r>
      <w:r w:rsidR="000C64D7" w:rsidRPr="000C64D7">
        <w:t xml:space="preserve">Basel, Rotterdam and Stockholm </w:t>
      </w:r>
      <w:r w:rsidR="00BA722E">
        <w:t>C</w:t>
      </w:r>
      <w:r w:rsidR="000C64D7" w:rsidRPr="000C64D7">
        <w:t xml:space="preserve">onventions </w:t>
      </w:r>
      <w:r w:rsidR="00863F6A">
        <w:t xml:space="preserve">to </w:t>
      </w:r>
      <w:r w:rsidR="00863F6A" w:rsidRPr="00EE7244">
        <w:t xml:space="preserve">provide services to </w:t>
      </w:r>
      <w:r w:rsidR="000C64D7">
        <w:t>all four conventions</w:t>
      </w:r>
      <w:r w:rsidR="002C53A6">
        <w:t xml:space="preserve">. Details on the </w:t>
      </w:r>
      <w:r w:rsidR="005F43AA">
        <w:t xml:space="preserve">redeployment of staff </w:t>
      </w:r>
      <w:r w:rsidR="002C53A6">
        <w:t>model can be found in annex I</w:t>
      </w:r>
      <w:r w:rsidR="00863F6A" w:rsidRPr="00EE7244">
        <w:t>.</w:t>
      </w:r>
      <w:r w:rsidR="00CA4C07">
        <w:t xml:space="preserve"> </w:t>
      </w:r>
    </w:p>
    <w:p w14:paraId="1C755881" w14:textId="4BAC60F5" w:rsidR="00863F6A" w:rsidRDefault="000C64D7" w:rsidP="00D92A40">
      <w:pPr>
        <w:pStyle w:val="Normalnumber"/>
        <w:numPr>
          <w:ilvl w:val="0"/>
          <w:numId w:val="58"/>
        </w:numPr>
        <w:tabs>
          <w:tab w:val="clear" w:pos="597"/>
        </w:tabs>
        <w:ind w:left="1247"/>
      </w:pPr>
      <w:r>
        <w:t xml:space="preserve">In the Executive Secretary’s scenario, </w:t>
      </w:r>
      <w:r w:rsidR="008477D8">
        <w:t>it is proposed to split the functions of</w:t>
      </w:r>
      <w:r w:rsidR="00470DF7">
        <w:t xml:space="preserve"> </w:t>
      </w:r>
      <w:r w:rsidR="008477D8">
        <w:t>communications and knowledge management</w:t>
      </w:r>
      <w:r w:rsidR="00470DF7">
        <w:t>,</w:t>
      </w:r>
      <w:r w:rsidR="003D4112">
        <w:t xml:space="preserve"> resulting in the</w:t>
      </w:r>
      <w:r w:rsidR="008477D8">
        <w:t xml:space="preserve"> establish</w:t>
      </w:r>
      <w:r w:rsidR="003D4112">
        <w:t>ment of</w:t>
      </w:r>
      <w:r w:rsidR="008477D8">
        <w:t xml:space="preserve"> a second P-3 position. However, </w:t>
      </w:r>
      <w:r>
        <w:t>t</w:t>
      </w:r>
      <w:r w:rsidR="00863F6A" w:rsidRPr="00EE7244">
        <w:t xml:space="preserve">hrough </w:t>
      </w:r>
      <w:r w:rsidR="00863F6A">
        <w:t>staff redeployment</w:t>
      </w:r>
      <w:r>
        <w:t>,</w:t>
      </w:r>
      <w:r w:rsidR="00910D83">
        <w:t xml:space="preserve"> </w:t>
      </w:r>
      <w:r w:rsidR="008477D8">
        <w:t xml:space="preserve">the </w:t>
      </w:r>
      <w:r w:rsidR="00910D83">
        <w:t xml:space="preserve">existing P-3 position </w:t>
      </w:r>
      <w:r w:rsidR="008477D8">
        <w:t xml:space="preserve">would perform </w:t>
      </w:r>
      <w:r w:rsidR="00470DF7">
        <w:t>the</w:t>
      </w:r>
      <w:r w:rsidR="008477D8">
        <w:t xml:space="preserve"> functions of </w:t>
      </w:r>
      <w:r w:rsidR="00470DF7">
        <w:t xml:space="preserve">both </w:t>
      </w:r>
      <w:r w:rsidR="00910D83">
        <w:t xml:space="preserve">communication and knowledge </w:t>
      </w:r>
      <w:r w:rsidR="008477D8">
        <w:t>management</w:t>
      </w:r>
      <w:r w:rsidR="00470DF7">
        <w:t>.</w:t>
      </w:r>
      <w:r w:rsidR="008477D8">
        <w:t xml:space="preserve"> If</w:t>
      </w:r>
      <w:r w:rsidR="00910D83">
        <w:t xml:space="preserve"> this option</w:t>
      </w:r>
      <w:r w:rsidR="00863F6A">
        <w:t xml:space="preserve"> </w:t>
      </w:r>
      <w:r w:rsidR="00910D83">
        <w:t>were</w:t>
      </w:r>
      <w:r w:rsidR="00863F6A">
        <w:t xml:space="preserve"> retained</w:t>
      </w:r>
      <w:r w:rsidR="00910D83">
        <w:t>,</w:t>
      </w:r>
      <w:r w:rsidR="00863F6A" w:rsidRPr="00EE7244">
        <w:t xml:space="preserve"> </w:t>
      </w:r>
      <w:r w:rsidR="00863F6A">
        <w:t xml:space="preserve">gross </w:t>
      </w:r>
      <w:r w:rsidR="00863F6A" w:rsidRPr="00EE7244">
        <w:t>saving</w:t>
      </w:r>
      <w:r w:rsidR="00863F6A">
        <w:t>s</w:t>
      </w:r>
      <w:r w:rsidR="00863F6A" w:rsidRPr="00EE7244">
        <w:t xml:space="preserve"> of $354,000</w:t>
      </w:r>
      <w:r w:rsidR="00910D83">
        <w:t xml:space="preserve"> would be realized</w:t>
      </w:r>
      <w:r w:rsidR="00863F6A" w:rsidRPr="00EE7244">
        <w:t xml:space="preserve">. </w:t>
      </w:r>
      <w:r w:rsidR="00863F6A">
        <w:t xml:space="preserve">However, </w:t>
      </w:r>
      <w:r w:rsidR="00910D83">
        <w:t xml:space="preserve">the </w:t>
      </w:r>
      <w:r w:rsidR="00D6017C">
        <w:t xml:space="preserve">secretariat of the </w:t>
      </w:r>
      <w:r w:rsidR="00863F6A">
        <w:t xml:space="preserve">Minamata Convention would still be required to transfer $270,000 to </w:t>
      </w:r>
      <w:r w:rsidR="00910D83" w:rsidRPr="00910D83">
        <w:t xml:space="preserve">the </w:t>
      </w:r>
      <w:r w:rsidR="00FE2C8F">
        <w:t>s</w:t>
      </w:r>
      <w:r w:rsidR="00BA722E">
        <w:t xml:space="preserve">ecretariat of the </w:t>
      </w:r>
      <w:r w:rsidR="00910D83" w:rsidRPr="00910D83">
        <w:t xml:space="preserve">Basel, Rotterdam and Stockholm </w:t>
      </w:r>
      <w:r w:rsidR="00FE2C8F">
        <w:t>c</w:t>
      </w:r>
      <w:r w:rsidR="00910D83" w:rsidRPr="00910D83">
        <w:t>onventions</w:t>
      </w:r>
      <w:r w:rsidR="00863F6A">
        <w:t xml:space="preserve"> for services to prepare the biennial meetings of the Conference of Parties. The potential net saving under this arrangement would</w:t>
      </w:r>
      <w:r w:rsidR="00910D83">
        <w:t xml:space="preserve"> therefore</w:t>
      </w:r>
      <w:r w:rsidR="00863F6A">
        <w:t xml:space="preserve"> be $84,000. </w:t>
      </w:r>
      <w:r w:rsidR="00910D83">
        <w:t>T</w:t>
      </w:r>
      <w:r w:rsidR="00863F6A">
        <w:t>hese estimates are indicative only, as at the time of writing</w:t>
      </w:r>
      <w:r w:rsidR="00910D83">
        <w:t xml:space="preserve"> of</w:t>
      </w:r>
      <w:r w:rsidR="00863F6A">
        <w:t xml:space="preserve"> th</w:t>
      </w:r>
      <w:r w:rsidR="00553C23">
        <w:t>e present</w:t>
      </w:r>
      <w:r w:rsidR="00863F6A">
        <w:t xml:space="preserve"> proposal, </w:t>
      </w:r>
      <w:r w:rsidR="00910D83">
        <w:t>the</w:t>
      </w:r>
      <w:r w:rsidR="00863F6A">
        <w:t xml:space="preserve"> Minamata Convention budget proposal </w:t>
      </w:r>
      <w:r w:rsidR="00910D83">
        <w:t>that include</w:t>
      </w:r>
      <w:r w:rsidR="00CF3DDA">
        <w:t>s</w:t>
      </w:r>
      <w:r w:rsidR="00910D83">
        <w:t xml:space="preserve"> the</w:t>
      </w:r>
      <w:r w:rsidR="00863F6A">
        <w:t xml:space="preserve"> split</w:t>
      </w:r>
      <w:r w:rsidR="00910D83">
        <w:t>ting</w:t>
      </w:r>
      <w:r w:rsidR="00863F6A">
        <w:t xml:space="preserve"> of one position into two </w:t>
      </w:r>
      <w:r w:rsidR="00910D83">
        <w:t xml:space="preserve">had yet to be </w:t>
      </w:r>
      <w:r w:rsidR="00863F6A">
        <w:t>considered by the Conference of the Parties</w:t>
      </w:r>
      <w:r w:rsidR="00910D83">
        <w:t>.</w:t>
      </w:r>
    </w:p>
    <w:p w14:paraId="5CB2D0FC" w14:textId="533B607B" w:rsidR="00863F6A" w:rsidRDefault="00863F6A" w:rsidP="00D92A40">
      <w:pPr>
        <w:pStyle w:val="Normalnumber"/>
        <w:numPr>
          <w:ilvl w:val="0"/>
          <w:numId w:val="58"/>
        </w:numPr>
        <w:tabs>
          <w:tab w:val="clear" w:pos="597"/>
        </w:tabs>
        <w:ind w:left="1247"/>
      </w:pPr>
      <w:r>
        <w:t xml:space="preserve">The transfer of staff from </w:t>
      </w:r>
      <w:r w:rsidR="007A6186">
        <w:t xml:space="preserve">the </w:t>
      </w:r>
      <w:r w:rsidR="00B43426">
        <w:t>s</w:t>
      </w:r>
      <w:r w:rsidR="00B6303E">
        <w:t xml:space="preserve">ecretariat of the </w:t>
      </w:r>
      <w:r>
        <w:t xml:space="preserve">Minamata Convention to </w:t>
      </w:r>
      <w:r w:rsidR="007A6186">
        <w:t xml:space="preserve">the </w:t>
      </w:r>
      <w:r w:rsidR="00FE2C8F">
        <w:t>s</w:t>
      </w:r>
      <w:r w:rsidR="00B6303E">
        <w:t xml:space="preserve">ecretariat of the </w:t>
      </w:r>
      <w:r w:rsidR="007A6186">
        <w:t xml:space="preserve">Basel, Rotterdam and Stockholm </w:t>
      </w:r>
      <w:r w:rsidR="00FE2C8F">
        <w:t>c</w:t>
      </w:r>
      <w:r w:rsidR="007A6186">
        <w:t>onventions</w:t>
      </w:r>
      <w:r>
        <w:t xml:space="preserve"> does not represent </w:t>
      </w:r>
      <w:r w:rsidR="00FF6EAC">
        <w:t xml:space="preserve">a </w:t>
      </w:r>
      <w:r>
        <w:t>saving to the parties</w:t>
      </w:r>
      <w:r w:rsidR="002B414B">
        <w:t>,</w:t>
      </w:r>
      <w:r>
        <w:t xml:space="preserve"> but </w:t>
      </w:r>
      <w:r w:rsidR="00FF6EAC">
        <w:t>rather is</w:t>
      </w:r>
      <w:r w:rsidR="002B414B">
        <w:t xml:space="preserve"> </w:t>
      </w:r>
      <w:r>
        <w:t xml:space="preserve">a change in administrative reporting lines. </w:t>
      </w:r>
      <w:r w:rsidR="00FF6EAC">
        <w:t>Service delivery would</w:t>
      </w:r>
      <w:r>
        <w:t xml:space="preserve"> be managed by </w:t>
      </w:r>
      <w:r w:rsidR="007A6186">
        <w:t xml:space="preserve">the </w:t>
      </w:r>
      <w:r w:rsidR="00FE2C8F">
        <w:t>s</w:t>
      </w:r>
      <w:r w:rsidR="00B6303E">
        <w:t xml:space="preserve">ecretariat of the </w:t>
      </w:r>
      <w:r w:rsidR="007A6186">
        <w:t xml:space="preserve">Basel, Rotterdam and Stockholm </w:t>
      </w:r>
      <w:r w:rsidR="00FE2C8F">
        <w:t>c</w:t>
      </w:r>
      <w:r w:rsidR="007A6186">
        <w:t>onventions</w:t>
      </w:r>
      <w:r w:rsidR="002B414B">
        <w:t>,</w:t>
      </w:r>
      <w:r>
        <w:t xml:space="preserve"> which </w:t>
      </w:r>
      <w:r w:rsidR="002B414B">
        <w:t xml:space="preserve">will </w:t>
      </w:r>
      <w:r w:rsidR="00FF6EAC">
        <w:t>require</w:t>
      </w:r>
      <w:r w:rsidR="002B414B">
        <w:t xml:space="preserve"> the establishment of an oversight</w:t>
      </w:r>
      <w:r>
        <w:t xml:space="preserve"> mechanism by </w:t>
      </w:r>
      <w:r w:rsidR="002B414B">
        <w:t xml:space="preserve">the </w:t>
      </w:r>
      <w:r>
        <w:t xml:space="preserve">Minamata Convention. </w:t>
      </w:r>
      <w:r w:rsidR="002B414B">
        <w:t>That mechanism will</w:t>
      </w:r>
      <w:r>
        <w:t xml:space="preserve"> require </w:t>
      </w:r>
      <w:r w:rsidR="002B414B">
        <w:t xml:space="preserve">the </w:t>
      </w:r>
      <w:r>
        <w:t xml:space="preserve">establishment of a </w:t>
      </w:r>
      <w:r w:rsidR="002B414B">
        <w:t xml:space="preserve">P-3 </w:t>
      </w:r>
      <w:r>
        <w:t xml:space="preserve">position as well as </w:t>
      </w:r>
      <w:r w:rsidR="00FF6EAC">
        <w:t>G-level</w:t>
      </w:r>
      <w:r>
        <w:t xml:space="preserve"> support staff to monitor </w:t>
      </w:r>
      <w:r w:rsidR="00CF3DDA">
        <w:t xml:space="preserve">the </w:t>
      </w:r>
      <w:r>
        <w:t>delivery of services</w:t>
      </w:r>
      <w:r w:rsidR="00FF6EAC">
        <w:t xml:space="preserve"> to ensure that it</w:t>
      </w:r>
      <w:r>
        <w:t xml:space="preserve"> meets the agreed criteria in terms of quality and timeliness. The additional positions</w:t>
      </w:r>
      <w:r w:rsidR="00CF3DDA">
        <w:t>,</w:t>
      </w:r>
      <w:r>
        <w:t xml:space="preserve"> a necessary safety net for </w:t>
      </w:r>
      <w:r w:rsidR="00CF3DDA">
        <w:t xml:space="preserve">the </w:t>
      </w:r>
      <w:r>
        <w:t>Minamata Convention</w:t>
      </w:r>
      <w:r w:rsidR="00CF3DDA">
        <w:t>,</w:t>
      </w:r>
      <w:r>
        <w:t xml:space="preserve"> would wipe out any expected financial savings. This scenario, which is not part of </w:t>
      </w:r>
      <w:r w:rsidR="00FF6EAC">
        <w:t xml:space="preserve">the proposed budget of the </w:t>
      </w:r>
      <w:r w:rsidR="00B43426">
        <w:t>s</w:t>
      </w:r>
      <w:r w:rsidR="00B6303E">
        <w:t xml:space="preserve">ecretariat of the </w:t>
      </w:r>
      <w:r>
        <w:t>Minamata Convention</w:t>
      </w:r>
      <w:r w:rsidR="00FF6EAC">
        <w:t xml:space="preserve"> for</w:t>
      </w:r>
      <w:r>
        <w:t xml:space="preserve"> </w:t>
      </w:r>
      <w:r w:rsidR="00FF6EAC" w:rsidRPr="00FF6EAC">
        <w:t xml:space="preserve">the biennium </w:t>
      </w:r>
      <w:r w:rsidR="00CE554D">
        <w:t>2020</w:t>
      </w:r>
      <w:r w:rsidR="00CE554D">
        <w:noBreakHyphen/>
        <w:t>2021</w:t>
      </w:r>
      <w:r>
        <w:t>, would cost</w:t>
      </w:r>
      <w:r w:rsidR="00553C23">
        <w:t xml:space="preserve"> an additional</w:t>
      </w:r>
      <w:r>
        <w:t xml:space="preserve"> </w:t>
      </w:r>
      <w:r w:rsidR="00FF6EAC">
        <w:t>$</w:t>
      </w:r>
      <w:r>
        <w:t>629,000.</w:t>
      </w:r>
    </w:p>
    <w:p w14:paraId="00B5A79C" w14:textId="712E5D1B" w:rsidR="00863F6A" w:rsidRPr="00EE7244" w:rsidRDefault="00863F6A" w:rsidP="00D92A40">
      <w:pPr>
        <w:pStyle w:val="Normalnumber"/>
        <w:numPr>
          <w:ilvl w:val="0"/>
          <w:numId w:val="58"/>
        </w:numPr>
        <w:tabs>
          <w:tab w:val="clear" w:pos="597"/>
        </w:tabs>
        <w:ind w:left="1247"/>
      </w:pPr>
      <w:r>
        <w:t xml:space="preserve">In the case of existing Minamata Convention staff recruited by the Minamata Convention </w:t>
      </w:r>
      <w:r w:rsidR="002F329F">
        <w:t>s</w:t>
      </w:r>
      <w:r>
        <w:t xml:space="preserve">ecretariat, </w:t>
      </w:r>
      <w:r w:rsidRPr="00EE7244">
        <w:t>reporting lines w</w:t>
      </w:r>
      <w:r w:rsidR="00863DF0">
        <w:t>ould</w:t>
      </w:r>
      <w:r w:rsidRPr="00EE7244">
        <w:t xml:space="preserve"> have to be re-aligned</w:t>
      </w:r>
      <w:r>
        <w:t xml:space="preserve"> to the</w:t>
      </w:r>
      <w:r w:rsidR="00FE2C8F" w:rsidRPr="00FE2C8F">
        <w:t xml:space="preserve"> </w:t>
      </w:r>
      <w:r w:rsidR="00FE2C8F">
        <w:t>management structure of the</w:t>
      </w:r>
      <w:r>
        <w:t xml:space="preserve"> </w:t>
      </w:r>
      <w:r w:rsidR="00FE2C8F">
        <w:t>s</w:t>
      </w:r>
      <w:r w:rsidR="00B6303E">
        <w:t xml:space="preserve">ecretariat of the </w:t>
      </w:r>
      <w:r w:rsidR="007A6186">
        <w:t xml:space="preserve">Basel, Rotterdam and Stockholm </w:t>
      </w:r>
      <w:r w:rsidR="00FE2C8F">
        <w:t>c</w:t>
      </w:r>
      <w:r w:rsidR="007A6186">
        <w:t>onventions</w:t>
      </w:r>
      <w:r>
        <w:t>.</w:t>
      </w:r>
      <w:r w:rsidR="00CA4C07">
        <w:t xml:space="preserve"> </w:t>
      </w:r>
      <w:r>
        <w:t xml:space="preserve">In the case of newly hired staff, </w:t>
      </w:r>
      <w:r w:rsidR="002F329F" w:rsidRPr="002F329F">
        <w:t xml:space="preserve">the </w:t>
      </w:r>
      <w:r w:rsidR="00FE2C8F">
        <w:t>s</w:t>
      </w:r>
      <w:r w:rsidR="00B6303E">
        <w:t xml:space="preserve">ecretariat of the </w:t>
      </w:r>
      <w:r w:rsidR="002F329F" w:rsidRPr="002F329F">
        <w:t xml:space="preserve">Basel, Rotterdam and Stockholm </w:t>
      </w:r>
      <w:r w:rsidR="00FE2C8F">
        <w:t>c</w:t>
      </w:r>
      <w:r w:rsidR="002F329F" w:rsidRPr="002F329F">
        <w:t>onventions</w:t>
      </w:r>
      <w:r>
        <w:t xml:space="preserve"> would undertake the hiring and the staff would </w:t>
      </w:r>
      <w:r w:rsidR="00817307">
        <w:t>fall</w:t>
      </w:r>
      <w:r>
        <w:t xml:space="preserve"> under the</w:t>
      </w:r>
      <w:r w:rsidR="007A6186">
        <w:t xml:space="preserve"> </w:t>
      </w:r>
      <w:r w:rsidR="00FE2C8F">
        <w:t>s</w:t>
      </w:r>
      <w:r w:rsidR="00B6303E">
        <w:t xml:space="preserve">ecretariat of the </w:t>
      </w:r>
      <w:r w:rsidR="007A6186">
        <w:t>Basel, Rot</w:t>
      </w:r>
      <w:r w:rsidR="00817307">
        <w:t xml:space="preserve">terdam and Stockholm </w:t>
      </w:r>
      <w:r w:rsidR="00FE2C8F">
        <w:t>c</w:t>
      </w:r>
      <w:r w:rsidR="00817307">
        <w:t>onvention</w:t>
      </w:r>
      <w:r w:rsidR="00FE2C8F">
        <w:t>s</w:t>
      </w:r>
      <w:r>
        <w:t xml:space="preserve"> management structure. In both cases, the Executive Secretary of </w:t>
      </w:r>
      <w:r w:rsidR="007A6186">
        <w:t>the Basel, Rotterdam and Stockholm conventions</w:t>
      </w:r>
      <w:r>
        <w:t xml:space="preserve"> would be accountable to </w:t>
      </w:r>
      <w:r w:rsidRPr="00EE7244">
        <w:t>the Executive Secretary of</w:t>
      </w:r>
      <w:r w:rsidR="002F329F">
        <w:t xml:space="preserve"> the</w:t>
      </w:r>
      <w:r w:rsidRPr="00EE7244">
        <w:t xml:space="preserve"> </w:t>
      </w:r>
      <w:r>
        <w:t>Minamata Convention</w:t>
      </w:r>
      <w:r w:rsidRPr="00EE7244">
        <w:t xml:space="preserve"> </w:t>
      </w:r>
      <w:r>
        <w:t xml:space="preserve">for the provision of the shared services. </w:t>
      </w:r>
      <w:r w:rsidRPr="00EE7244">
        <w:t xml:space="preserve">This model, like </w:t>
      </w:r>
      <w:r w:rsidR="002F329F">
        <w:t xml:space="preserve">the </w:t>
      </w:r>
      <w:r w:rsidRPr="00EE7244">
        <w:t>consolidation of services</w:t>
      </w:r>
      <w:r w:rsidR="002F329F">
        <w:t xml:space="preserve"> model</w:t>
      </w:r>
      <w:r w:rsidRPr="00EE7244">
        <w:t xml:space="preserve">, </w:t>
      </w:r>
      <w:r w:rsidRPr="00712132">
        <w:t>could u</w:t>
      </w:r>
      <w:r>
        <w:t>ndermine the</w:t>
      </w:r>
      <w:r w:rsidRPr="00EE7244">
        <w:t xml:space="preserve"> accountability </w:t>
      </w:r>
      <w:r>
        <w:t>of</w:t>
      </w:r>
      <w:r w:rsidR="00817307">
        <w:t xml:space="preserve"> the</w:t>
      </w:r>
      <w:r>
        <w:t xml:space="preserve"> </w:t>
      </w:r>
      <w:r w:rsidR="00817307">
        <w:t xml:space="preserve">management of the </w:t>
      </w:r>
      <w:r>
        <w:t xml:space="preserve">Minamata Convention to the </w:t>
      </w:r>
      <w:r w:rsidR="00817307">
        <w:t>P</w:t>
      </w:r>
      <w:r>
        <w:t>arties and infringe</w:t>
      </w:r>
      <w:r w:rsidR="002F329F">
        <w:t xml:space="preserve"> upon</w:t>
      </w:r>
      <w:r>
        <w:t xml:space="preserve"> its</w:t>
      </w:r>
      <w:r w:rsidRPr="00EE7244">
        <w:t xml:space="preserve"> autonomy</w:t>
      </w:r>
      <w:r>
        <w:t>.</w:t>
      </w:r>
    </w:p>
    <w:p w14:paraId="13DA9FF5" w14:textId="207075B4" w:rsidR="00863F6A" w:rsidRPr="001E3D3C" w:rsidRDefault="004A0684" w:rsidP="00174DCA">
      <w:pPr>
        <w:pStyle w:val="CH1"/>
      </w:pPr>
      <w:r>
        <w:tab/>
      </w:r>
      <w:bookmarkStart w:id="24" w:name="_Toc21073442"/>
      <w:bookmarkStart w:id="25" w:name="_Toc22825245"/>
      <w:r>
        <w:t>VIII.</w:t>
      </w:r>
      <w:r>
        <w:tab/>
      </w:r>
      <w:r w:rsidR="00863F6A" w:rsidRPr="001E3D3C">
        <w:t xml:space="preserve">Purchase of services on </w:t>
      </w:r>
      <w:r w:rsidR="00BB0B49">
        <w:t xml:space="preserve">a </w:t>
      </w:r>
      <w:r w:rsidR="00CE554D">
        <w:t>cost</w:t>
      </w:r>
      <w:r w:rsidR="00CE554D">
        <w:noBreakHyphen/>
        <w:t>recovery</w:t>
      </w:r>
      <w:r w:rsidR="00863F6A" w:rsidRPr="001E3D3C">
        <w:t xml:space="preserve"> basis</w:t>
      </w:r>
      <w:bookmarkEnd w:id="24"/>
      <w:bookmarkEnd w:id="25"/>
    </w:p>
    <w:p w14:paraId="736DBB9C" w14:textId="6FA70D68" w:rsidR="00863F6A" w:rsidRDefault="00863F6A" w:rsidP="00D92A40">
      <w:pPr>
        <w:pStyle w:val="Normalnumber"/>
        <w:numPr>
          <w:ilvl w:val="0"/>
          <w:numId w:val="58"/>
        </w:numPr>
        <w:tabs>
          <w:tab w:val="clear" w:pos="597"/>
        </w:tabs>
        <w:ind w:left="1247"/>
      </w:pPr>
      <w:r>
        <w:t xml:space="preserve">Under the </w:t>
      </w:r>
      <w:r w:rsidR="00CE554D">
        <w:t>cost</w:t>
      </w:r>
      <w:r w:rsidR="00CE554D">
        <w:noBreakHyphen/>
        <w:t>recovery</w:t>
      </w:r>
      <w:r>
        <w:t xml:space="preserve"> model, the </w:t>
      </w:r>
      <w:r w:rsidRPr="00EE7244">
        <w:t xml:space="preserve">scope of services to be purchased and the related resource implications </w:t>
      </w:r>
      <w:r>
        <w:t>are</w:t>
      </w:r>
      <w:r w:rsidRPr="00EE7244">
        <w:t xml:space="preserve"> agreed upon between </w:t>
      </w:r>
      <w:r w:rsidR="00E374DC">
        <w:t xml:space="preserve">the </w:t>
      </w:r>
      <w:r w:rsidRPr="00EE7244">
        <w:t>Minamata</w:t>
      </w:r>
      <w:r w:rsidR="00E374DC">
        <w:t xml:space="preserve"> Convention secretariat</w:t>
      </w:r>
      <w:r w:rsidRPr="00EE7244">
        <w:t xml:space="preserve"> and </w:t>
      </w:r>
      <w:r w:rsidR="007A6186">
        <w:t xml:space="preserve">the </w:t>
      </w:r>
      <w:r w:rsidR="00FE2C8F">
        <w:t>s</w:t>
      </w:r>
      <w:r w:rsidR="00B6303E">
        <w:t xml:space="preserve">ecretariat of the </w:t>
      </w:r>
      <w:r w:rsidR="007A6186">
        <w:t>Basel, Rot</w:t>
      </w:r>
      <w:r w:rsidR="003A2EB5">
        <w:t xml:space="preserve">terdam and Stockholm </w:t>
      </w:r>
      <w:r w:rsidR="00FE2C8F">
        <w:t>c</w:t>
      </w:r>
      <w:r w:rsidR="003A2EB5">
        <w:t>onvention</w:t>
      </w:r>
      <w:r w:rsidR="00B6303E">
        <w:t>s</w:t>
      </w:r>
      <w:r w:rsidRPr="00EE7244">
        <w:t xml:space="preserve"> and presented in </w:t>
      </w:r>
      <w:r w:rsidR="003A2EB5">
        <w:t>proposed budgets</w:t>
      </w:r>
      <w:r w:rsidRPr="00EE7244">
        <w:t xml:space="preserve"> for</w:t>
      </w:r>
      <w:r w:rsidR="003A2EB5">
        <w:t xml:space="preserve"> the</w:t>
      </w:r>
      <w:r w:rsidRPr="00EE7244">
        <w:t xml:space="preserve"> consideration and approval </w:t>
      </w:r>
      <w:r w:rsidR="003A2EB5">
        <w:t>of</w:t>
      </w:r>
      <w:r w:rsidRPr="00EE7244">
        <w:t xml:space="preserve"> </w:t>
      </w:r>
      <w:r w:rsidR="003A2EB5">
        <w:t xml:space="preserve">the </w:t>
      </w:r>
      <w:r w:rsidR="003A2EB5" w:rsidRPr="00EE7244">
        <w:t xml:space="preserve">Conference of </w:t>
      </w:r>
      <w:r w:rsidR="003A2EB5">
        <w:t xml:space="preserve">the </w:t>
      </w:r>
      <w:r w:rsidR="003A2EB5" w:rsidRPr="00EE7244">
        <w:t>Parties</w:t>
      </w:r>
      <w:r w:rsidR="00817307">
        <w:t xml:space="preserve"> to</w:t>
      </w:r>
      <w:r w:rsidR="003A2EB5">
        <w:t xml:space="preserve"> the</w:t>
      </w:r>
      <w:r w:rsidR="003A2EB5" w:rsidRPr="00EE7244">
        <w:t xml:space="preserve"> </w:t>
      </w:r>
      <w:r w:rsidRPr="00EE7244">
        <w:t>Minamata</w:t>
      </w:r>
      <w:r w:rsidR="003A2EB5">
        <w:t xml:space="preserve"> Convention</w:t>
      </w:r>
      <w:r w:rsidRPr="00EE7244">
        <w:t xml:space="preserve">. </w:t>
      </w:r>
      <w:r>
        <w:t xml:space="preserve">At the time of </w:t>
      </w:r>
      <w:r w:rsidR="003A2EB5">
        <w:t>writing of the present</w:t>
      </w:r>
      <w:r>
        <w:t xml:space="preserve"> proposal, it had been</w:t>
      </w:r>
      <w:r w:rsidRPr="00EE7244">
        <w:t xml:space="preserve"> determined </w:t>
      </w:r>
      <w:r>
        <w:t xml:space="preserve">that </w:t>
      </w:r>
      <w:r w:rsidR="003A2EB5">
        <w:t xml:space="preserve">the </w:t>
      </w:r>
      <w:r>
        <w:t>Minamata Convention require</w:t>
      </w:r>
      <w:r w:rsidR="003A2EB5">
        <w:t>d</w:t>
      </w:r>
      <w:r>
        <w:t xml:space="preserve"> </w:t>
      </w:r>
      <w:r w:rsidRPr="00EE7244">
        <w:t>services for meetings</w:t>
      </w:r>
      <w:r w:rsidR="00E374DC">
        <w:t xml:space="preserve"> of its</w:t>
      </w:r>
      <w:r w:rsidR="003A2EB5">
        <w:t xml:space="preserve"> Conference of the Parties</w:t>
      </w:r>
      <w:r w:rsidRPr="00EE7244">
        <w:t xml:space="preserve"> and</w:t>
      </w:r>
      <w:r w:rsidR="00E374DC">
        <w:t xml:space="preserve"> it</w:t>
      </w:r>
      <w:r w:rsidRPr="00EE7244">
        <w:t xml:space="preserve"> </w:t>
      </w:r>
      <w:r w:rsidR="00E374DC">
        <w:t xml:space="preserve">had also been </w:t>
      </w:r>
      <w:r w:rsidRPr="00EE7244">
        <w:t xml:space="preserve">agreed with </w:t>
      </w:r>
      <w:r w:rsidR="007A6186">
        <w:t xml:space="preserve">the </w:t>
      </w:r>
      <w:r w:rsidR="00B6303E">
        <w:t xml:space="preserve">Secretariat of the </w:t>
      </w:r>
      <w:r w:rsidR="007A6186">
        <w:t xml:space="preserve">Basel, Rotterdam and Stockholm </w:t>
      </w:r>
      <w:r w:rsidR="00B43426">
        <w:t>C</w:t>
      </w:r>
      <w:r w:rsidR="007A6186">
        <w:t>onventions</w:t>
      </w:r>
      <w:r w:rsidRPr="00EE7244">
        <w:t xml:space="preserve"> </w:t>
      </w:r>
      <w:r w:rsidR="003A2EB5">
        <w:t xml:space="preserve">that </w:t>
      </w:r>
      <w:r w:rsidRPr="00EE7244">
        <w:t>the estimated cost</w:t>
      </w:r>
      <w:r w:rsidR="003A2EB5">
        <w:t xml:space="preserve"> of those services</w:t>
      </w:r>
      <w:r w:rsidRPr="00EE7244">
        <w:t xml:space="preserve"> </w:t>
      </w:r>
      <w:r w:rsidR="003A2EB5">
        <w:t>was $</w:t>
      </w:r>
      <w:r w:rsidRPr="00EE7244">
        <w:t xml:space="preserve">270,000. </w:t>
      </w:r>
    </w:p>
    <w:p w14:paraId="02BA45B8" w14:textId="64B14880" w:rsidR="00863F6A" w:rsidRDefault="003A2EB5" w:rsidP="00D92A40">
      <w:pPr>
        <w:pStyle w:val="Normalnumber"/>
        <w:numPr>
          <w:ilvl w:val="0"/>
          <w:numId w:val="58"/>
        </w:numPr>
        <w:tabs>
          <w:tab w:val="clear" w:pos="597"/>
        </w:tabs>
        <w:ind w:left="1247"/>
      </w:pPr>
      <w:r>
        <w:t xml:space="preserve">The </w:t>
      </w:r>
      <w:r w:rsidR="00863F6A">
        <w:t xml:space="preserve">assessment </w:t>
      </w:r>
      <w:r>
        <w:t xml:space="preserve">conducted by UNEP showed </w:t>
      </w:r>
      <w:r w:rsidR="00863F6A">
        <w:t xml:space="preserve">that benefits could be realized </w:t>
      </w:r>
      <w:r>
        <w:t xml:space="preserve">by providing services to the Conference of the Parties </w:t>
      </w:r>
      <w:r w:rsidR="00863F6A">
        <w:t xml:space="preserve">without undermining the key principles and considerations discussed above. </w:t>
      </w:r>
      <w:r w:rsidR="00863F6A" w:rsidRPr="00EE7244">
        <w:t xml:space="preserve">Subsequent revisions </w:t>
      </w:r>
      <w:r>
        <w:t>to</w:t>
      </w:r>
      <w:r w:rsidRPr="00EE7244">
        <w:t xml:space="preserve"> the services required and </w:t>
      </w:r>
      <w:r w:rsidR="00E374DC">
        <w:t xml:space="preserve">to </w:t>
      </w:r>
      <w:r w:rsidR="00863DF0">
        <w:t>the associated costs would</w:t>
      </w:r>
      <w:r w:rsidRPr="00EE7244">
        <w:t xml:space="preserve"> be made in future budget periods </w:t>
      </w:r>
      <w:r w:rsidR="00863F6A" w:rsidRPr="00EE7244">
        <w:t xml:space="preserve">to reflect </w:t>
      </w:r>
      <w:r>
        <w:t xml:space="preserve">any </w:t>
      </w:r>
      <w:r w:rsidR="00863F6A" w:rsidRPr="00EE7244">
        <w:t xml:space="preserve">changes. </w:t>
      </w:r>
      <w:r w:rsidR="00863F6A">
        <w:t>Th</w:t>
      </w:r>
      <w:r w:rsidR="00E374DC">
        <w:t xml:space="preserve">e option of purchasing services on a </w:t>
      </w:r>
      <w:r w:rsidR="00CE554D">
        <w:t>cost</w:t>
      </w:r>
      <w:r w:rsidR="00CE554D">
        <w:noBreakHyphen/>
        <w:t>recovery</w:t>
      </w:r>
      <w:r w:rsidR="00E374DC">
        <w:t xml:space="preserve"> basis</w:t>
      </w:r>
      <w:r w:rsidR="00863F6A">
        <w:t xml:space="preserve"> </w:t>
      </w:r>
      <w:r w:rsidR="00863DF0">
        <w:t>is the most cost-effective</w:t>
      </w:r>
      <w:r w:rsidR="00863F6A">
        <w:t xml:space="preserve">, </w:t>
      </w:r>
      <w:r w:rsidR="00863DF0">
        <w:t>and generates</w:t>
      </w:r>
      <w:r w:rsidR="00863F6A">
        <w:t xml:space="preserve"> benefit</w:t>
      </w:r>
      <w:r w:rsidR="00863DF0">
        <w:t>s</w:t>
      </w:r>
      <w:r w:rsidR="00863F6A">
        <w:t xml:space="preserve"> from synergies of experience and proximity. The cyclical nature of the spike in requirements for outsourc</w:t>
      </w:r>
      <w:r w:rsidR="00E374DC">
        <w:t>ed</w:t>
      </w:r>
      <w:r w:rsidR="00863F6A">
        <w:t xml:space="preserve"> services to support meetings of the Conference of </w:t>
      </w:r>
      <w:r w:rsidR="00E374DC">
        <w:t xml:space="preserve">the </w:t>
      </w:r>
      <w:r w:rsidR="00863F6A">
        <w:t>Parties</w:t>
      </w:r>
      <w:r w:rsidR="00817307">
        <w:t xml:space="preserve"> to</w:t>
      </w:r>
      <w:r w:rsidR="00E374DC">
        <w:t xml:space="preserve"> the Minamata Convention,</w:t>
      </w:r>
      <w:r w:rsidR="00863F6A">
        <w:t xml:space="preserve"> which take place once </w:t>
      </w:r>
      <w:r w:rsidR="00E374DC">
        <w:t>every two years</w:t>
      </w:r>
      <w:r w:rsidR="00863F6A">
        <w:t xml:space="preserve">, does not warrant </w:t>
      </w:r>
      <w:r w:rsidR="00B6303E">
        <w:t xml:space="preserve">the establishment of </w:t>
      </w:r>
      <w:r w:rsidR="00863F6A">
        <w:t xml:space="preserve">new permanent structures or require the transfer of half the </w:t>
      </w:r>
      <w:r w:rsidR="00863F6A">
        <w:lastRenderedPageBreak/>
        <w:t xml:space="preserve">staffing resources funded by </w:t>
      </w:r>
      <w:r w:rsidR="00B6303E">
        <w:t>the p</w:t>
      </w:r>
      <w:r w:rsidR="00817307">
        <w:t xml:space="preserve">arties to the </w:t>
      </w:r>
      <w:r w:rsidR="00863F6A">
        <w:t xml:space="preserve">Minamata Convention </w:t>
      </w:r>
      <w:r w:rsidR="001639C5">
        <w:t xml:space="preserve">to </w:t>
      </w:r>
      <w:r w:rsidR="007A6186">
        <w:t>the Basel, Rotterdam and Stockholm conventions</w:t>
      </w:r>
      <w:r w:rsidR="00863F6A">
        <w:t>.</w:t>
      </w:r>
    </w:p>
    <w:p w14:paraId="1597EA41" w14:textId="488FF2F6" w:rsidR="00863F6A" w:rsidRDefault="004A0684" w:rsidP="00174DCA">
      <w:pPr>
        <w:pStyle w:val="CH1"/>
      </w:pPr>
      <w:r>
        <w:tab/>
      </w:r>
      <w:bookmarkStart w:id="26" w:name="_Toc21073443"/>
      <w:bookmarkStart w:id="27" w:name="_Toc22825246"/>
      <w:r>
        <w:t>IX.</w:t>
      </w:r>
      <w:r>
        <w:tab/>
      </w:r>
      <w:r w:rsidR="00863F6A" w:rsidRPr="005F3E6B">
        <w:t>Other considerations</w:t>
      </w:r>
      <w:bookmarkEnd w:id="26"/>
      <w:bookmarkEnd w:id="27"/>
    </w:p>
    <w:p w14:paraId="79288979" w14:textId="647F1AA6" w:rsidR="00863F6A" w:rsidRDefault="007E07CB" w:rsidP="00D92A40">
      <w:pPr>
        <w:pStyle w:val="Normalnumber"/>
        <w:numPr>
          <w:ilvl w:val="0"/>
          <w:numId w:val="58"/>
        </w:numPr>
        <w:tabs>
          <w:tab w:val="clear" w:pos="597"/>
        </w:tabs>
        <w:ind w:left="1247"/>
      </w:pPr>
      <w:r>
        <w:t>It was determined</w:t>
      </w:r>
      <w:r w:rsidR="00863DF0">
        <w:t xml:space="preserve"> through </w:t>
      </w:r>
      <w:r w:rsidR="00863DF0" w:rsidRPr="00E96ED2">
        <w:t>the review</w:t>
      </w:r>
      <w:r>
        <w:t xml:space="preserve"> that t</w:t>
      </w:r>
      <w:r w:rsidR="00E374DC">
        <w:t>he greatest synergy in service</w:t>
      </w:r>
      <w:r>
        <w:t>-</w:t>
      </w:r>
      <w:r w:rsidR="00E374DC">
        <w:t xml:space="preserve">sharing </w:t>
      </w:r>
      <w:r>
        <w:t xml:space="preserve">could be achieved </w:t>
      </w:r>
      <w:proofErr w:type="gramStart"/>
      <w:r>
        <w:t>in the area of</w:t>
      </w:r>
      <w:proofErr w:type="gramEnd"/>
      <w:r w:rsidR="00E374DC">
        <w:t xml:space="preserve"> meetings of the </w:t>
      </w:r>
      <w:r w:rsidR="00863F6A" w:rsidRPr="00EE7244">
        <w:t xml:space="preserve">Conference of </w:t>
      </w:r>
      <w:r w:rsidR="00E374DC">
        <w:t xml:space="preserve">the </w:t>
      </w:r>
      <w:r w:rsidR="00863F6A" w:rsidRPr="00EE7244">
        <w:t>Parties</w:t>
      </w:r>
      <w:r w:rsidR="00E374DC">
        <w:t>.</w:t>
      </w:r>
      <w:r w:rsidR="00863F6A" w:rsidRPr="00EE7244">
        <w:t xml:space="preserve"> </w:t>
      </w:r>
      <w:r w:rsidR="00E374DC">
        <w:t>Certain types of</w:t>
      </w:r>
      <w:r w:rsidR="00863F6A" w:rsidRPr="00EE7244">
        <w:t xml:space="preserve"> services were excluded</w:t>
      </w:r>
      <w:r w:rsidR="00E374DC">
        <w:t xml:space="preserve"> from the assessment</w:t>
      </w:r>
      <w:r w:rsidR="00863F6A" w:rsidRPr="00EE7244">
        <w:t xml:space="preserve"> for </w:t>
      </w:r>
      <w:r w:rsidR="00E374DC">
        <w:t>a variety of</w:t>
      </w:r>
      <w:r w:rsidR="00863F6A" w:rsidRPr="00EE7244">
        <w:t xml:space="preserve"> reasons</w:t>
      </w:r>
      <w:r w:rsidR="00E374DC">
        <w:t>.</w:t>
      </w:r>
      <w:r w:rsidR="00863F6A" w:rsidRPr="00EE7244">
        <w:t xml:space="preserve"> </w:t>
      </w:r>
      <w:r w:rsidR="00E374DC">
        <w:t>F</w:t>
      </w:r>
      <w:r w:rsidR="00863F6A" w:rsidRPr="00EE7244">
        <w:t>or example, knowledge management is partly dependent on</w:t>
      </w:r>
      <w:r w:rsidR="00E374DC">
        <w:t xml:space="preserve"> current</w:t>
      </w:r>
      <w:r w:rsidR="00863F6A" w:rsidRPr="00EE7244">
        <w:t xml:space="preserve"> software licences and the</w:t>
      </w:r>
      <w:r w:rsidR="00E374DC">
        <w:t>ir</w:t>
      </w:r>
      <w:r w:rsidR="00863F6A" w:rsidRPr="00EE7244">
        <w:t xml:space="preserve"> related costs </w:t>
      </w:r>
      <w:r w:rsidR="00E374DC">
        <w:t>and on</w:t>
      </w:r>
      <w:r w:rsidR="00863F6A" w:rsidRPr="00EE7244">
        <w:t xml:space="preserve"> compliance with U</w:t>
      </w:r>
      <w:r w:rsidR="00E374DC">
        <w:t xml:space="preserve">nited </w:t>
      </w:r>
      <w:r w:rsidR="00863F6A" w:rsidRPr="00EE7244">
        <w:t>N</w:t>
      </w:r>
      <w:r w:rsidR="00E374DC">
        <w:t>ations</w:t>
      </w:r>
      <w:r w:rsidR="00863F6A" w:rsidRPr="00EE7244">
        <w:t xml:space="preserve"> corporate </w:t>
      </w:r>
      <w:r w:rsidR="00E374DC">
        <w:t>information technology</w:t>
      </w:r>
      <w:r w:rsidR="00863F6A" w:rsidRPr="00EE7244">
        <w:t xml:space="preserve"> frameworks</w:t>
      </w:r>
      <w:r w:rsidR="00E374DC">
        <w:t>,</w:t>
      </w:r>
      <w:r w:rsidR="00863F6A" w:rsidRPr="00EE7244">
        <w:t xml:space="preserve"> which are determined by the </w:t>
      </w:r>
      <w:r>
        <w:t>c</w:t>
      </w:r>
      <w:r w:rsidR="00863F6A" w:rsidRPr="00EE7244">
        <w:t xml:space="preserve">hief </w:t>
      </w:r>
      <w:r>
        <w:t>i</w:t>
      </w:r>
      <w:r w:rsidR="00863F6A" w:rsidRPr="00EE7244">
        <w:t xml:space="preserve">nformation </w:t>
      </w:r>
      <w:r>
        <w:t>t</w:t>
      </w:r>
      <w:r w:rsidR="00863F6A" w:rsidRPr="00EE7244">
        <w:t xml:space="preserve">echnology </w:t>
      </w:r>
      <w:r>
        <w:t>o</w:t>
      </w:r>
      <w:r w:rsidR="00863F6A" w:rsidRPr="00EE7244">
        <w:t xml:space="preserve">fficer </w:t>
      </w:r>
      <w:r>
        <w:t>rather than</w:t>
      </w:r>
      <w:r w:rsidR="00863F6A" w:rsidRPr="00EE7244">
        <w:t xml:space="preserve"> </w:t>
      </w:r>
      <w:r w:rsidR="00863F6A">
        <w:t xml:space="preserve">by </w:t>
      </w:r>
      <w:r w:rsidR="007A6186">
        <w:t xml:space="preserve">the </w:t>
      </w:r>
      <w:r w:rsidR="00F53E77">
        <w:t>s</w:t>
      </w:r>
      <w:r w:rsidR="00B6303E">
        <w:t xml:space="preserve">ecretariat of the </w:t>
      </w:r>
      <w:r w:rsidR="007A6186">
        <w:t xml:space="preserve">Basel, Rotterdam and Stockholm </w:t>
      </w:r>
      <w:r w:rsidR="00F53E77">
        <w:t>c</w:t>
      </w:r>
      <w:r w:rsidR="007A6186">
        <w:t>onventions</w:t>
      </w:r>
      <w:r>
        <w:t>.</w:t>
      </w:r>
      <w:r w:rsidR="00863F6A" w:rsidRPr="00EE7244">
        <w:t xml:space="preserve"> In the case of legal services, </w:t>
      </w:r>
      <w:r w:rsidR="00CD3C4D">
        <w:t>the C</w:t>
      </w:r>
      <w:r w:rsidR="00863F6A" w:rsidRPr="00EE7244">
        <w:t xml:space="preserve">orporate </w:t>
      </w:r>
      <w:r w:rsidR="00CD3C4D">
        <w:t>S</w:t>
      </w:r>
      <w:r w:rsidR="00863F6A" w:rsidRPr="00EE7244">
        <w:t>ervices</w:t>
      </w:r>
      <w:r w:rsidR="00CD3C4D">
        <w:t xml:space="preserve"> D</w:t>
      </w:r>
      <w:r>
        <w:t>ivision</w:t>
      </w:r>
      <w:r w:rsidR="00863F6A" w:rsidRPr="00EE7244">
        <w:t xml:space="preserve"> </w:t>
      </w:r>
      <w:r w:rsidR="00F53E77">
        <w:t xml:space="preserve">of UNEP </w:t>
      </w:r>
      <w:r w:rsidR="00863F6A" w:rsidRPr="00EE7244">
        <w:t>provides administrative corporate legal advice</w:t>
      </w:r>
      <w:r w:rsidR="00817307">
        <w:t>,</w:t>
      </w:r>
      <w:r w:rsidR="00863F6A" w:rsidRPr="00EE7244">
        <w:t xml:space="preserve"> </w:t>
      </w:r>
      <w:r w:rsidR="00863F6A">
        <w:t xml:space="preserve">and the </w:t>
      </w:r>
      <w:r w:rsidR="00E96ED2">
        <w:t xml:space="preserve">UNEP </w:t>
      </w:r>
      <w:r w:rsidR="00B6303E">
        <w:t>L</w:t>
      </w:r>
      <w:r w:rsidR="00863F6A" w:rsidRPr="00EE7244">
        <w:t xml:space="preserve">aw </w:t>
      </w:r>
      <w:r w:rsidR="00B6303E">
        <w:t>D</w:t>
      </w:r>
      <w:r w:rsidR="00863F6A" w:rsidRPr="00EE7244">
        <w:t>ivision has</w:t>
      </w:r>
      <w:r w:rsidR="00863F6A">
        <w:t xml:space="preserve"> the </w:t>
      </w:r>
      <w:r>
        <w:t xml:space="preserve">required </w:t>
      </w:r>
      <w:r w:rsidR="00863F6A">
        <w:t xml:space="preserve">expertise and knowledge on international legal agreements </w:t>
      </w:r>
      <w:r>
        <w:t>and</w:t>
      </w:r>
      <w:r w:rsidR="00863F6A">
        <w:t xml:space="preserve"> </w:t>
      </w:r>
      <w:r w:rsidR="00863F6A" w:rsidRPr="00EE7244">
        <w:t xml:space="preserve">a specialist legal advisor </w:t>
      </w:r>
      <w:r w:rsidR="00863F6A">
        <w:t>who performs</w:t>
      </w:r>
      <w:r>
        <w:t xml:space="preserve"> the required </w:t>
      </w:r>
      <w:r w:rsidR="00863F6A">
        <w:t>functions at</w:t>
      </w:r>
      <w:r w:rsidR="00863F6A" w:rsidRPr="00EE7244">
        <w:t xml:space="preserve"> </w:t>
      </w:r>
      <w:r w:rsidR="00863F6A">
        <w:t>intergovernmental meeting</w:t>
      </w:r>
      <w:r>
        <w:t>s</w:t>
      </w:r>
      <w:r w:rsidR="00863F6A" w:rsidRPr="00712132">
        <w:t xml:space="preserve">. Legal </w:t>
      </w:r>
      <w:r>
        <w:t>professionals are</w:t>
      </w:r>
      <w:r w:rsidRPr="00712132">
        <w:t xml:space="preserve"> therefore </w:t>
      </w:r>
      <w:r w:rsidR="00863F6A" w:rsidRPr="00712132">
        <w:t>retained in each secretariat</w:t>
      </w:r>
      <w:r>
        <w:t xml:space="preserve"> only</w:t>
      </w:r>
      <w:r w:rsidR="00863F6A" w:rsidRPr="00712132">
        <w:t xml:space="preserve"> to support </w:t>
      </w:r>
      <w:r>
        <w:t xml:space="preserve">the </w:t>
      </w:r>
      <w:r w:rsidR="00863F6A" w:rsidRPr="00712132">
        <w:t>very specific needs</w:t>
      </w:r>
      <w:r>
        <w:t xml:space="preserve"> of each convention and mandate.</w:t>
      </w:r>
    </w:p>
    <w:p w14:paraId="57AC4358" w14:textId="018D31A5" w:rsidR="00863F6A" w:rsidRDefault="00863F6A" w:rsidP="00D92A40">
      <w:pPr>
        <w:pStyle w:val="Normalnumber"/>
        <w:numPr>
          <w:ilvl w:val="0"/>
          <w:numId w:val="58"/>
        </w:numPr>
        <w:tabs>
          <w:tab w:val="clear" w:pos="597"/>
        </w:tabs>
        <w:ind w:left="1247"/>
      </w:pPr>
      <w:r>
        <w:t xml:space="preserve">UNEP recommends </w:t>
      </w:r>
      <w:r w:rsidR="00217EE5">
        <w:t xml:space="preserve">that </w:t>
      </w:r>
      <w:r>
        <w:t xml:space="preserve">other modes of cooperation </w:t>
      </w:r>
      <w:r w:rsidR="00217EE5">
        <w:t>be explored that</w:t>
      </w:r>
      <w:r>
        <w:t xml:space="preserve"> do not require </w:t>
      </w:r>
      <w:r w:rsidR="00217EE5">
        <w:t xml:space="preserve">structural </w:t>
      </w:r>
      <w:r>
        <w:t>reorganization</w:t>
      </w:r>
      <w:r w:rsidR="00217EE5">
        <w:t xml:space="preserve"> and that will therefore maintain</w:t>
      </w:r>
      <w:r>
        <w:t xml:space="preserve"> the autonomy of the respective secretariats, with minimal additional budgetary implications. </w:t>
      </w:r>
      <w:r w:rsidR="00217EE5">
        <w:t>The e</w:t>
      </w:r>
      <w:r>
        <w:t>stablishment of inter-secretariat working groups or task</w:t>
      </w:r>
      <w:r w:rsidR="00B6303E">
        <w:t xml:space="preserve"> </w:t>
      </w:r>
      <w:r>
        <w:t>forces to address specific aspects of substantive or administrative services would be beneficial to both secretariats. For example, the legal teams from the two secretariats could collaborate through such a joint task force</w:t>
      </w:r>
      <w:r w:rsidR="00217EE5">
        <w:t>,</w:t>
      </w:r>
      <w:r>
        <w:t xml:space="preserve"> which would facilitate </w:t>
      </w:r>
      <w:r w:rsidR="00217EE5">
        <w:t xml:space="preserve">the </w:t>
      </w:r>
      <w:r>
        <w:t xml:space="preserve">sharing of expertise without the need to radically change administrative </w:t>
      </w:r>
      <w:r w:rsidR="00217EE5">
        <w:t>arrangements</w:t>
      </w:r>
      <w:r>
        <w:t>.</w:t>
      </w:r>
    </w:p>
    <w:p w14:paraId="52750DF2" w14:textId="2A8931F9" w:rsidR="00863F6A" w:rsidRDefault="004A0684" w:rsidP="00174DCA">
      <w:pPr>
        <w:pStyle w:val="CH1"/>
      </w:pPr>
      <w:r>
        <w:tab/>
      </w:r>
      <w:bookmarkStart w:id="28" w:name="_Toc21073444"/>
      <w:bookmarkStart w:id="29" w:name="_Toc22825247"/>
      <w:r>
        <w:t>X.</w:t>
      </w:r>
      <w:r>
        <w:tab/>
      </w:r>
      <w:r w:rsidR="00863F6A" w:rsidRPr="005F3E6B">
        <w:t>Conclusion</w:t>
      </w:r>
      <w:bookmarkEnd w:id="28"/>
      <w:bookmarkEnd w:id="29"/>
    </w:p>
    <w:p w14:paraId="251F75A3" w14:textId="57D5A0C8" w:rsidR="00863F6A" w:rsidRDefault="00863DF0" w:rsidP="00D92A40">
      <w:pPr>
        <w:pStyle w:val="Normalnumber"/>
        <w:numPr>
          <w:ilvl w:val="0"/>
          <w:numId w:val="58"/>
        </w:numPr>
        <w:tabs>
          <w:tab w:val="clear" w:pos="597"/>
        </w:tabs>
        <w:ind w:left="1247"/>
      </w:pPr>
      <w:r>
        <w:t>Based on t</w:t>
      </w:r>
      <w:r w:rsidR="00863F6A">
        <w:t>he review</w:t>
      </w:r>
      <w:r>
        <w:t>, it has been</w:t>
      </w:r>
      <w:r w:rsidR="00863F6A">
        <w:t xml:space="preserve"> conclude</w:t>
      </w:r>
      <w:r w:rsidR="00217EE5">
        <w:t>d</w:t>
      </w:r>
      <w:r w:rsidR="00863F6A">
        <w:t xml:space="preserve"> that </w:t>
      </w:r>
      <w:r w:rsidR="00217EE5">
        <w:t xml:space="preserve">the </w:t>
      </w:r>
      <w:r w:rsidR="00863F6A" w:rsidRPr="00174DCA">
        <w:rPr>
          <w:iCs/>
        </w:rPr>
        <w:t xml:space="preserve">purchase of services by </w:t>
      </w:r>
      <w:r w:rsidR="00217EE5">
        <w:rPr>
          <w:iCs/>
        </w:rPr>
        <w:t xml:space="preserve">the </w:t>
      </w:r>
      <w:r w:rsidR="00B43426">
        <w:t>s</w:t>
      </w:r>
      <w:r w:rsidR="00B6303E">
        <w:t xml:space="preserve">ecretariat of the </w:t>
      </w:r>
      <w:r w:rsidR="00863F6A" w:rsidRPr="00174DCA">
        <w:rPr>
          <w:iCs/>
        </w:rPr>
        <w:t xml:space="preserve">Minamata </w:t>
      </w:r>
      <w:r w:rsidR="00863F6A" w:rsidRPr="00036F45">
        <w:t>Convention</w:t>
      </w:r>
      <w:r w:rsidR="00863F6A" w:rsidRPr="00174DCA">
        <w:rPr>
          <w:iCs/>
        </w:rPr>
        <w:t xml:space="preserve"> from</w:t>
      </w:r>
      <w:r w:rsidR="00863F6A" w:rsidRPr="005F3E6B">
        <w:rPr>
          <w:i/>
          <w:iCs/>
        </w:rPr>
        <w:t xml:space="preserve"> </w:t>
      </w:r>
      <w:r w:rsidR="007A6186">
        <w:t>the</w:t>
      </w:r>
      <w:r w:rsidR="00B6303E" w:rsidRPr="00B6303E">
        <w:t xml:space="preserve"> </w:t>
      </w:r>
      <w:r w:rsidR="00B6303E">
        <w:t>Secretariat of the</w:t>
      </w:r>
      <w:r w:rsidR="007A6186">
        <w:t xml:space="preserve"> Basel, Rotterdam and Stockholm </w:t>
      </w:r>
      <w:r w:rsidR="00B6303E">
        <w:t>C</w:t>
      </w:r>
      <w:r w:rsidR="007A6186">
        <w:t>onventions</w:t>
      </w:r>
      <w:r w:rsidR="00863F6A" w:rsidRPr="005F3E6B">
        <w:rPr>
          <w:i/>
          <w:iCs/>
        </w:rPr>
        <w:t xml:space="preserve"> </w:t>
      </w:r>
      <w:r w:rsidR="00863F6A" w:rsidRPr="00174DCA">
        <w:rPr>
          <w:iCs/>
        </w:rPr>
        <w:t xml:space="preserve">on </w:t>
      </w:r>
      <w:r w:rsidR="00217EE5" w:rsidRPr="00174DCA">
        <w:rPr>
          <w:iCs/>
        </w:rPr>
        <w:t xml:space="preserve">a </w:t>
      </w:r>
      <w:r w:rsidR="00CE554D">
        <w:rPr>
          <w:iCs/>
        </w:rPr>
        <w:t>cost</w:t>
      </w:r>
      <w:r w:rsidR="00CE554D">
        <w:rPr>
          <w:iCs/>
        </w:rPr>
        <w:noBreakHyphen/>
        <w:t>recovery</w:t>
      </w:r>
      <w:r w:rsidR="00863F6A" w:rsidRPr="00174DCA">
        <w:rPr>
          <w:iCs/>
        </w:rPr>
        <w:t xml:space="preserve"> basis</w:t>
      </w:r>
      <w:r w:rsidR="00863F6A">
        <w:t xml:space="preserve"> </w:t>
      </w:r>
      <w:r>
        <w:t>is the most cost-effective option</w:t>
      </w:r>
      <w:r w:rsidR="00217EE5">
        <w:t>,</w:t>
      </w:r>
      <w:r w:rsidR="00863F6A">
        <w:t xml:space="preserve"> as shown in the table below, </w:t>
      </w:r>
      <w:r w:rsidR="00A26C8A">
        <w:t xml:space="preserve">and generates benefits </w:t>
      </w:r>
      <w:r w:rsidR="00863F6A">
        <w:t>from synergies of experience and proximity. Th</w:t>
      </w:r>
      <w:r w:rsidR="00A26C8A">
        <w:t xml:space="preserve">e </w:t>
      </w:r>
      <w:r w:rsidR="00CE554D">
        <w:t>cost</w:t>
      </w:r>
      <w:r w:rsidR="00CE554D">
        <w:noBreakHyphen/>
        <w:t>recovery</w:t>
      </w:r>
      <w:r w:rsidR="00863F6A">
        <w:t xml:space="preserve"> model does not require</w:t>
      </w:r>
      <w:r w:rsidR="00217EE5">
        <w:t xml:space="preserve"> structural </w:t>
      </w:r>
      <w:r w:rsidR="00863F6A">
        <w:t xml:space="preserve">reorganization, </w:t>
      </w:r>
      <w:r w:rsidR="00217EE5">
        <w:t>and therefore maintains</w:t>
      </w:r>
      <w:r w:rsidR="00863F6A">
        <w:t xml:space="preserve"> the autonomy of the respective secretariats. The cyclical nature of the services</w:t>
      </w:r>
      <w:r w:rsidR="007406C0">
        <w:t xml:space="preserve"> required</w:t>
      </w:r>
      <w:r w:rsidR="00863F6A">
        <w:t xml:space="preserve"> to support meetings of the Conference of Parties</w:t>
      </w:r>
      <w:r w:rsidR="007406C0">
        <w:t>,</w:t>
      </w:r>
      <w:r w:rsidR="00863F6A">
        <w:t xml:space="preserve"> which take place </w:t>
      </w:r>
      <w:r w:rsidR="007406C0">
        <w:t>every two years</w:t>
      </w:r>
      <w:bookmarkStart w:id="30" w:name="_Hlk23419612"/>
      <w:r w:rsidR="00863F6A">
        <w:t xml:space="preserve">, does not warrant </w:t>
      </w:r>
      <w:r w:rsidR="00B6303E">
        <w:t>the establishment of</w:t>
      </w:r>
      <w:r w:rsidR="00863F6A">
        <w:t xml:space="preserve"> new permanent structure</w:t>
      </w:r>
      <w:r w:rsidR="007406C0">
        <w:t>s</w:t>
      </w:r>
      <w:r w:rsidR="00863F6A">
        <w:t xml:space="preserve"> or require the transfer of half the staffing resources funded </w:t>
      </w:r>
      <w:r w:rsidR="00863F6A" w:rsidRPr="00C1568B">
        <w:t xml:space="preserve">by </w:t>
      </w:r>
      <w:r w:rsidR="00B6303E" w:rsidRPr="00C1568B">
        <w:t>the p</w:t>
      </w:r>
      <w:r w:rsidR="007406C0" w:rsidRPr="00C1568B">
        <w:t xml:space="preserve">arties to the </w:t>
      </w:r>
      <w:r w:rsidR="00863F6A" w:rsidRPr="00C1568B">
        <w:t xml:space="preserve">Minamata Convention </w:t>
      </w:r>
      <w:r w:rsidR="00B6303E" w:rsidRPr="00C1568B">
        <w:t xml:space="preserve">and </w:t>
      </w:r>
      <w:r w:rsidR="00863F6A" w:rsidRPr="00C1568B">
        <w:t xml:space="preserve">to </w:t>
      </w:r>
      <w:r w:rsidR="007A6186" w:rsidRPr="00C1568B">
        <w:t>the</w:t>
      </w:r>
      <w:r w:rsidR="007A6186">
        <w:t xml:space="preserve"> Basel, Rotterdam and Stockholm conventions</w:t>
      </w:r>
      <w:bookmarkEnd w:id="30"/>
      <w:r w:rsidR="00863F6A">
        <w:t>.</w:t>
      </w:r>
    </w:p>
    <w:p w14:paraId="2632810F" w14:textId="60F344DB" w:rsidR="00863F6A" w:rsidRPr="0091619E" w:rsidRDefault="00CA4C07" w:rsidP="00CF6D7A">
      <w:pPr>
        <w:pStyle w:val="CH1"/>
      </w:pPr>
      <w:r>
        <w:tab/>
      </w:r>
      <w:bookmarkStart w:id="31" w:name="_Toc21073445"/>
      <w:bookmarkStart w:id="32" w:name="_Toc22825248"/>
      <w:r>
        <w:t>XI.</w:t>
      </w:r>
      <w:r>
        <w:tab/>
      </w:r>
      <w:r w:rsidR="00863F6A" w:rsidRPr="0091619E">
        <w:t>Summary of indicative incremental costs</w:t>
      </w:r>
      <w:bookmarkEnd w:id="31"/>
      <w:bookmarkEnd w:id="32"/>
    </w:p>
    <w:p w14:paraId="2FFDEB49" w14:textId="3D3EF1BF" w:rsidR="00863F6A" w:rsidRDefault="00863F6A" w:rsidP="00D92A40">
      <w:pPr>
        <w:pStyle w:val="Normalnumber"/>
        <w:numPr>
          <w:ilvl w:val="0"/>
          <w:numId w:val="58"/>
        </w:numPr>
        <w:tabs>
          <w:tab w:val="clear" w:pos="597"/>
        </w:tabs>
        <w:ind w:left="1247"/>
      </w:pPr>
      <w:r>
        <w:t xml:space="preserve">The table below </w:t>
      </w:r>
      <w:r w:rsidR="007406C0">
        <w:t>reflects</w:t>
      </w:r>
      <w:r>
        <w:t xml:space="preserve"> the summary of indicative incremental costs </w:t>
      </w:r>
      <w:r w:rsidR="007406C0">
        <w:t>for</w:t>
      </w:r>
      <w:r>
        <w:t xml:space="preserve"> each model considered during the </w:t>
      </w:r>
      <w:r w:rsidR="007406C0">
        <w:t>assessment</w:t>
      </w:r>
      <w:r>
        <w:t>.</w:t>
      </w:r>
      <w:r w:rsidR="00742324">
        <w:t xml:space="preserve"> Further details o</w:t>
      </w:r>
      <w:r w:rsidR="00470DF7">
        <w:t>n</w:t>
      </w:r>
      <w:r w:rsidR="00742324">
        <w:t xml:space="preserve"> the breakdown </w:t>
      </w:r>
      <w:r w:rsidR="00470DF7">
        <w:t>of</w:t>
      </w:r>
      <w:r w:rsidR="00742324">
        <w:t xml:space="preserve"> the cost of meetings </w:t>
      </w:r>
      <w:r w:rsidR="00470DF7">
        <w:t>o</w:t>
      </w:r>
      <w:r w:rsidR="00742324">
        <w:t>f the C</w:t>
      </w:r>
      <w:r w:rsidR="00470DF7">
        <w:t>onference of the Parties</w:t>
      </w:r>
      <w:r w:rsidR="00742324">
        <w:t xml:space="preserve"> under the three models are presented in </w:t>
      </w:r>
      <w:r w:rsidR="00470DF7">
        <w:t>a</w:t>
      </w:r>
      <w:r w:rsidR="00742324">
        <w:t>nnex II.</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7"/>
        <w:gridCol w:w="1052"/>
        <w:gridCol w:w="1053"/>
        <w:gridCol w:w="1052"/>
        <w:gridCol w:w="1053"/>
      </w:tblGrid>
      <w:tr w:rsidR="00863F6A" w:rsidRPr="00CA4C07" w14:paraId="5141FAE4" w14:textId="77777777" w:rsidTr="00174DCA">
        <w:trPr>
          <w:trHeight w:val="57"/>
          <w:jc w:val="right"/>
        </w:trPr>
        <w:tc>
          <w:tcPr>
            <w:tcW w:w="4097" w:type="dxa"/>
            <w:tcBorders>
              <w:top w:val="single" w:sz="4" w:space="0" w:color="auto"/>
              <w:bottom w:val="single" w:sz="12" w:space="0" w:color="auto"/>
            </w:tcBorders>
          </w:tcPr>
          <w:p w14:paraId="71B7A133" w14:textId="77777777"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rPr>
                <w:i/>
                <w:sz w:val="18"/>
                <w:szCs w:val="18"/>
              </w:rPr>
            </w:pPr>
          </w:p>
        </w:tc>
        <w:tc>
          <w:tcPr>
            <w:tcW w:w="1052" w:type="dxa"/>
            <w:tcBorders>
              <w:top w:val="single" w:sz="4" w:space="0" w:color="auto"/>
              <w:bottom w:val="single" w:sz="12" w:space="0" w:color="auto"/>
            </w:tcBorders>
          </w:tcPr>
          <w:p w14:paraId="2CB00E1A" w14:textId="16383C8D" w:rsidR="00863F6A" w:rsidRPr="00174DCA" w:rsidRDefault="001639C5" w:rsidP="00D92A40">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rPr>
            </w:pPr>
            <w:r>
              <w:rPr>
                <w:bCs/>
                <w:i/>
                <w:sz w:val="18"/>
                <w:szCs w:val="18"/>
              </w:rPr>
              <w:t>Meeting of COP</w:t>
            </w:r>
            <w:r w:rsidRPr="00174DCA">
              <w:rPr>
                <w:bCs/>
                <w:i/>
                <w:sz w:val="18"/>
                <w:szCs w:val="18"/>
              </w:rPr>
              <w:t xml:space="preserve"> </w:t>
            </w:r>
          </w:p>
        </w:tc>
        <w:tc>
          <w:tcPr>
            <w:tcW w:w="1053" w:type="dxa"/>
            <w:tcBorders>
              <w:top w:val="single" w:sz="4" w:space="0" w:color="auto"/>
              <w:bottom w:val="single" w:sz="12" w:space="0" w:color="auto"/>
            </w:tcBorders>
          </w:tcPr>
          <w:p w14:paraId="7919B690" w14:textId="0677B1A3"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rPr>
            </w:pPr>
            <w:r w:rsidRPr="00174DCA">
              <w:rPr>
                <w:bCs/>
                <w:i/>
                <w:sz w:val="18"/>
                <w:szCs w:val="18"/>
              </w:rPr>
              <w:t xml:space="preserve">Indicative </w:t>
            </w:r>
            <w:r w:rsidR="00433B5A">
              <w:rPr>
                <w:bCs/>
                <w:i/>
                <w:sz w:val="18"/>
                <w:szCs w:val="18"/>
              </w:rPr>
              <w:t>s</w:t>
            </w:r>
            <w:r w:rsidRPr="00174DCA">
              <w:rPr>
                <w:bCs/>
                <w:i/>
                <w:sz w:val="18"/>
                <w:szCs w:val="18"/>
              </w:rPr>
              <w:t>avings</w:t>
            </w:r>
          </w:p>
        </w:tc>
        <w:tc>
          <w:tcPr>
            <w:tcW w:w="1052" w:type="dxa"/>
            <w:tcBorders>
              <w:top w:val="single" w:sz="4" w:space="0" w:color="auto"/>
              <w:bottom w:val="single" w:sz="12" w:space="0" w:color="auto"/>
            </w:tcBorders>
          </w:tcPr>
          <w:p w14:paraId="6A7D9836" w14:textId="77777777"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rPr>
            </w:pPr>
            <w:r w:rsidRPr="00174DCA">
              <w:rPr>
                <w:bCs/>
                <w:i/>
                <w:sz w:val="18"/>
                <w:szCs w:val="18"/>
              </w:rPr>
              <w:t>Staff costs</w:t>
            </w:r>
          </w:p>
        </w:tc>
        <w:tc>
          <w:tcPr>
            <w:tcW w:w="1053" w:type="dxa"/>
            <w:tcBorders>
              <w:top w:val="single" w:sz="4" w:space="0" w:color="auto"/>
              <w:bottom w:val="single" w:sz="12" w:space="0" w:color="auto"/>
            </w:tcBorders>
          </w:tcPr>
          <w:p w14:paraId="6F455104" w14:textId="77777777"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bCs/>
                <w:i/>
                <w:sz w:val="18"/>
                <w:szCs w:val="18"/>
              </w:rPr>
            </w:pPr>
            <w:r w:rsidRPr="00174DCA">
              <w:rPr>
                <w:bCs/>
                <w:i/>
                <w:sz w:val="18"/>
                <w:szCs w:val="18"/>
              </w:rPr>
              <w:t>Total</w:t>
            </w:r>
          </w:p>
        </w:tc>
      </w:tr>
      <w:tr w:rsidR="00863F6A" w:rsidRPr="00CA4C07" w14:paraId="1FE7E683" w14:textId="77777777" w:rsidTr="00174DCA">
        <w:trPr>
          <w:trHeight w:val="57"/>
          <w:jc w:val="right"/>
        </w:trPr>
        <w:tc>
          <w:tcPr>
            <w:tcW w:w="4097" w:type="dxa"/>
            <w:tcBorders>
              <w:top w:val="single" w:sz="12" w:space="0" w:color="auto"/>
              <w:bottom w:val="dotted" w:sz="4" w:space="0" w:color="auto"/>
            </w:tcBorders>
          </w:tcPr>
          <w:p w14:paraId="6B42E128" w14:textId="77777777"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rPr>
                <w:sz w:val="18"/>
                <w:szCs w:val="18"/>
              </w:rPr>
            </w:pPr>
            <w:r w:rsidRPr="00174DCA">
              <w:rPr>
                <w:sz w:val="18"/>
                <w:szCs w:val="18"/>
              </w:rPr>
              <w:t>Consolidation model</w:t>
            </w:r>
          </w:p>
        </w:tc>
        <w:tc>
          <w:tcPr>
            <w:tcW w:w="1052" w:type="dxa"/>
            <w:tcBorders>
              <w:top w:val="single" w:sz="12" w:space="0" w:color="auto"/>
              <w:bottom w:val="dotted" w:sz="4" w:space="0" w:color="auto"/>
            </w:tcBorders>
          </w:tcPr>
          <w:p w14:paraId="7FC49DAF" w14:textId="38E66779"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228</w:t>
            </w:r>
            <w:r w:rsidR="001639C5">
              <w:rPr>
                <w:sz w:val="18"/>
                <w:szCs w:val="18"/>
              </w:rPr>
              <w:t xml:space="preserve"> </w:t>
            </w:r>
            <w:r w:rsidRPr="00174DCA">
              <w:rPr>
                <w:sz w:val="18"/>
                <w:szCs w:val="18"/>
              </w:rPr>
              <w:t>000</w:t>
            </w:r>
          </w:p>
        </w:tc>
        <w:tc>
          <w:tcPr>
            <w:tcW w:w="1053" w:type="dxa"/>
            <w:tcBorders>
              <w:top w:val="single" w:sz="12" w:space="0" w:color="auto"/>
              <w:bottom w:val="dotted" w:sz="4" w:space="0" w:color="auto"/>
            </w:tcBorders>
          </w:tcPr>
          <w:p w14:paraId="34E240FB" w14:textId="6A946FD8" w:rsidR="00863F6A" w:rsidRPr="00174DCA" w:rsidRDefault="000A7F53"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D27C4">
              <w:rPr>
                <w:sz w:val="17"/>
                <w:szCs w:val="17"/>
              </w:rPr>
              <w:t>–</w:t>
            </w:r>
          </w:p>
        </w:tc>
        <w:tc>
          <w:tcPr>
            <w:tcW w:w="1052" w:type="dxa"/>
            <w:tcBorders>
              <w:top w:val="single" w:sz="12" w:space="0" w:color="auto"/>
              <w:bottom w:val="dotted" w:sz="4" w:space="0" w:color="auto"/>
            </w:tcBorders>
          </w:tcPr>
          <w:p w14:paraId="66E3A124" w14:textId="7A1C5BB4"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507</w:t>
            </w:r>
            <w:r w:rsidR="001639C5">
              <w:rPr>
                <w:sz w:val="18"/>
                <w:szCs w:val="18"/>
              </w:rPr>
              <w:t xml:space="preserve"> </w:t>
            </w:r>
            <w:r w:rsidRPr="00174DCA">
              <w:rPr>
                <w:sz w:val="18"/>
                <w:szCs w:val="18"/>
              </w:rPr>
              <w:t>000</w:t>
            </w:r>
          </w:p>
        </w:tc>
        <w:tc>
          <w:tcPr>
            <w:tcW w:w="1053" w:type="dxa"/>
            <w:tcBorders>
              <w:top w:val="single" w:sz="12" w:space="0" w:color="auto"/>
              <w:bottom w:val="dotted" w:sz="4" w:space="0" w:color="auto"/>
            </w:tcBorders>
          </w:tcPr>
          <w:p w14:paraId="45A9D89D" w14:textId="2CF704EC"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735</w:t>
            </w:r>
            <w:r w:rsidR="001639C5" w:rsidRPr="00730DB5">
              <w:rPr>
                <w:sz w:val="18"/>
                <w:szCs w:val="18"/>
              </w:rPr>
              <w:t xml:space="preserve"> </w:t>
            </w:r>
            <w:r w:rsidRPr="00174DCA">
              <w:rPr>
                <w:sz w:val="18"/>
                <w:szCs w:val="18"/>
              </w:rPr>
              <w:t>000</w:t>
            </w:r>
          </w:p>
        </w:tc>
      </w:tr>
      <w:tr w:rsidR="00863F6A" w:rsidRPr="00CA4C07" w14:paraId="56CDD23B" w14:textId="77777777" w:rsidTr="00174DCA">
        <w:trPr>
          <w:trHeight w:val="57"/>
          <w:jc w:val="right"/>
        </w:trPr>
        <w:tc>
          <w:tcPr>
            <w:tcW w:w="4097" w:type="dxa"/>
            <w:tcBorders>
              <w:top w:val="dotted" w:sz="4" w:space="0" w:color="auto"/>
              <w:bottom w:val="dotted" w:sz="4" w:space="0" w:color="auto"/>
            </w:tcBorders>
          </w:tcPr>
          <w:p w14:paraId="1E830383" w14:textId="1F082F34"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rPr>
                <w:sz w:val="18"/>
                <w:szCs w:val="18"/>
              </w:rPr>
            </w:pPr>
            <w:r w:rsidRPr="00174DCA">
              <w:rPr>
                <w:sz w:val="18"/>
                <w:szCs w:val="18"/>
              </w:rPr>
              <w:t>Redeployment of staff from MC to BRS</w:t>
            </w:r>
            <w:r w:rsidR="001639C5" w:rsidRPr="005E4AAB">
              <w:rPr>
                <w:sz w:val="18"/>
                <w:szCs w:val="18"/>
              </w:rPr>
              <w:t xml:space="preserve"> secretariats</w:t>
            </w:r>
            <w:r w:rsidRPr="00174DCA">
              <w:rPr>
                <w:sz w:val="18"/>
                <w:szCs w:val="18"/>
              </w:rPr>
              <w:t>:</w:t>
            </w:r>
          </w:p>
        </w:tc>
        <w:tc>
          <w:tcPr>
            <w:tcW w:w="1052" w:type="dxa"/>
            <w:tcBorders>
              <w:top w:val="dotted" w:sz="4" w:space="0" w:color="auto"/>
              <w:bottom w:val="dotted" w:sz="4" w:space="0" w:color="auto"/>
            </w:tcBorders>
          </w:tcPr>
          <w:p w14:paraId="232A7CDA" w14:textId="1B84A761"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270</w:t>
            </w:r>
            <w:r w:rsidR="001639C5">
              <w:rPr>
                <w:sz w:val="18"/>
                <w:szCs w:val="18"/>
              </w:rPr>
              <w:t xml:space="preserve"> </w:t>
            </w:r>
            <w:r w:rsidRPr="00174DCA">
              <w:rPr>
                <w:sz w:val="18"/>
                <w:szCs w:val="18"/>
              </w:rPr>
              <w:t>000</w:t>
            </w:r>
          </w:p>
        </w:tc>
        <w:tc>
          <w:tcPr>
            <w:tcW w:w="1053" w:type="dxa"/>
            <w:tcBorders>
              <w:top w:val="dotted" w:sz="4" w:space="0" w:color="auto"/>
              <w:bottom w:val="dotted" w:sz="4" w:space="0" w:color="auto"/>
            </w:tcBorders>
          </w:tcPr>
          <w:p w14:paraId="30047CE1" w14:textId="4B15FF51"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(354</w:t>
            </w:r>
            <w:r w:rsidR="001639C5">
              <w:rPr>
                <w:sz w:val="18"/>
                <w:szCs w:val="18"/>
              </w:rPr>
              <w:t xml:space="preserve"> </w:t>
            </w:r>
            <w:r w:rsidRPr="00174DCA">
              <w:rPr>
                <w:sz w:val="18"/>
                <w:szCs w:val="18"/>
              </w:rPr>
              <w:t>000)</w:t>
            </w:r>
          </w:p>
        </w:tc>
        <w:tc>
          <w:tcPr>
            <w:tcW w:w="1052" w:type="dxa"/>
            <w:tcBorders>
              <w:top w:val="dotted" w:sz="4" w:space="0" w:color="auto"/>
              <w:bottom w:val="dotted" w:sz="4" w:space="0" w:color="auto"/>
            </w:tcBorders>
          </w:tcPr>
          <w:p w14:paraId="37379ABB" w14:textId="25F0A06B"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629</w:t>
            </w:r>
            <w:r w:rsidR="001639C5">
              <w:rPr>
                <w:sz w:val="18"/>
                <w:szCs w:val="18"/>
              </w:rPr>
              <w:t xml:space="preserve"> </w:t>
            </w:r>
            <w:r w:rsidRPr="00174DCA">
              <w:rPr>
                <w:sz w:val="18"/>
                <w:szCs w:val="18"/>
              </w:rPr>
              <w:t>000</w:t>
            </w:r>
          </w:p>
        </w:tc>
        <w:tc>
          <w:tcPr>
            <w:tcW w:w="1053" w:type="dxa"/>
            <w:tcBorders>
              <w:top w:val="dotted" w:sz="4" w:space="0" w:color="auto"/>
              <w:bottom w:val="dotted" w:sz="4" w:space="0" w:color="auto"/>
            </w:tcBorders>
          </w:tcPr>
          <w:p w14:paraId="6B37CD59" w14:textId="1B46E21E"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545</w:t>
            </w:r>
            <w:r w:rsidR="001639C5" w:rsidRPr="00730DB5">
              <w:rPr>
                <w:sz w:val="18"/>
                <w:szCs w:val="18"/>
              </w:rPr>
              <w:t xml:space="preserve"> </w:t>
            </w:r>
            <w:r w:rsidRPr="00174DCA">
              <w:rPr>
                <w:sz w:val="18"/>
                <w:szCs w:val="18"/>
              </w:rPr>
              <w:t>000</w:t>
            </w:r>
          </w:p>
        </w:tc>
      </w:tr>
      <w:tr w:rsidR="00863F6A" w:rsidRPr="00CA4C07" w14:paraId="62504EFB" w14:textId="77777777" w:rsidTr="00174DCA">
        <w:trPr>
          <w:trHeight w:val="57"/>
          <w:jc w:val="right"/>
        </w:trPr>
        <w:tc>
          <w:tcPr>
            <w:tcW w:w="4097" w:type="dxa"/>
            <w:tcBorders>
              <w:top w:val="dotted" w:sz="4" w:space="0" w:color="auto"/>
              <w:bottom w:val="single" w:sz="12" w:space="0" w:color="auto"/>
            </w:tcBorders>
          </w:tcPr>
          <w:p w14:paraId="310707DD" w14:textId="4F54AB09" w:rsidR="00863F6A" w:rsidRPr="00174DCA" w:rsidRDefault="00CE554D" w:rsidP="00D92A40">
            <w:pPr>
              <w:pStyle w:val="Normal-pool"/>
              <w:keepNext/>
              <w:keepLines/>
              <w:tabs>
                <w:tab w:val="clear" w:pos="1247"/>
                <w:tab w:val="clear" w:pos="1814"/>
                <w:tab w:val="clear" w:pos="2381"/>
                <w:tab w:val="clear" w:pos="2948"/>
                <w:tab w:val="clear" w:pos="3515"/>
                <w:tab w:val="clear" w:pos="4082"/>
              </w:tabs>
              <w:spacing w:before="40" w:after="40"/>
              <w:rPr>
                <w:sz w:val="18"/>
                <w:szCs w:val="18"/>
              </w:rPr>
            </w:pPr>
            <w:r>
              <w:rPr>
                <w:sz w:val="18"/>
                <w:szCs w:val="18"/>
              </w:rPr>
              <w:t>Cost</w:t>
            </w:r>
            <w:r>
              <w:rPr>
                <w:sz w:val="18"/>
                <w:szCs w:val="18"/>
              </w:rPr>
              <w:noBreakHyphen/>
              <w:t>recovery</w:t>
            </w:r>
            <w:r w:rsidR="00863F6A" w:rsidRPr="00174DCA">
              <w:rPr>
                <w:sz w:val="18"/>
                <w:szCs w:val="18"/>
              </w:rPr>
              <w:t xml:space="preserve"> model</w:t>
            </w:r>
          </w:p>
        </w:tc>
        <w:tc>
          <w:tcPr>
            <w:tcW w:w="1052" w:type="dxa"/>
            <w:tcBorders>
              <w:top w:val="dotted" w:sz="4" w:space="0" w:color="auto"/>
              <w:bottom w:val="single" w:sz="12" w:space="0" w:color="auto"/>
            </w:tcBorders>
          </w:tcPr>
          <w:p w14:paraId="75C5685F" w14:textId="5FBA1D55"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270</w:t>
            </w:r>
            <w:r w:rsidR="001639C5">
              <w:rPr>
                <w:sz w:val="18"/>
                <w:szCs w:val="18"/>
              </w:rPr>
              <w:t xml:space="preserve"> </w:t>
            </w:r>
            <w:r w:rsidRPr="00174DCA">
              <w:rPr>
                <w:sz w:val="18"/>
                <w:szCs w:val="18"/>
              </w:rPr>
              <w:t>000</w:t>
            </w:r>
          </w:p>
        </w:tc>
        <w:tc>
          <w:tcPr>
            <w:tcW w:w="1053" w:type="dxa"/>
            <w:tcBorders>
              <w:top w:val="dotted" w:sz="4" w:space="0" w:color="auto"/>
              <w:bottom w:val="single" w:sz="12" w:space="0" w:color="auto"/>
            </w:tcBorders>
          </w:tcPr>
          <w:p w14:paraId="31420278" w14:textId="0C76AE76" w:rsidR="00863F6A" w:rsidRPr="00174DCA" w:rsidRDefault="000A7F53"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D27C4">
              <w:rPr>
                <w:sz w:val="17"/>
                <w:szCs w:val="17"/>
              </w:rPr>
              <w:t>–</w:t>
            </w:r>
          </w:p>
        </w:tc>
        <w:tc>
          <w:tcPr>
            <w:tcW w:w="1052" w:type="dxa"/>
            <w:tcBorders>
              <w:top w:val="dotted" w:sz="4" w:space="0" w:color="auto"/>
              <w:bottom w:val="single" w:sz="12" w:space="0" w:color="auto"/>
            </w:tcBorders>
          </w:tcPr>
          <w:p w14:paraId="4C65761B" w14:textId="2297903A" w:rsidR="00863F6A" w:rsidRPr="00174DCA" w:rsidRDefault="000A7F53"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D27C4">
              <w:rPr>
                <w:sz w:val="17"/>
                <w:szCs w:val="17"/>
              </w:rPr>
              <w:t>–</w:t>
            </w:r>
          </w:p>
        </w:tc>
        <w:tc>
          <w:tcPr>
            <w:tcW w:w="1053" w:type="dxa"/>
            <w:tcBorders>
              <w:top w:val="dotted" w:sz="4" w:space="0" w:color="auto"/>
              <w:bottom w:val="single" w:sz="12" w:space="0" w:color="auto"/>
            </w:tcBorders>
          </w:tcPr>
          <w:p w14:paraId="6B70D2B5" w14:textId="020430F5" w:rsidR="00863F6A" w:rsidRPr="00174DCA" w:rsidRDefault="00863F6A" w:rsidP="00D92A40">
            <w:pPr>
              <w:pStyle w:val="Normal-pool"/>
              <w:keepNext/>
              <w:keepLines/>
              <w:tabs>
                <w:tab w:val="clear" w:pos="1247"/>
                <w:tab w:val="clear" w:pos="1814"/>
                <w:tab w:val="clear" w:pos="2381"/>
                <w:tab w:val="clear" w:pos="2948"/>
                <w:tab w:val="clear" w:pos="3515"/>
                <w:tab w:val="clear" w:pos="4082"/>
              </w:tabs>
              <w:spacing w:before="40" w:after="40"/>
              <w:jc w:val="right"/>
              <w:rPr>
                <w:sz w:val="18"/>
                <w:szCs w:val="18"/>
              </w:rPr>
            </w:pPr>
            <w:r w:rsidRPr="00174DCA">
              <w:rPr>
                <w:sz w:val="18"/>
                <w:szCs w:val="18"/>
              </w:rPr>
              <w:t>270</w:t>
            </w:r>
            <w:r w:rsidR="001639C5" w:rsidRPr="00730DB5">
              <w:rPr>
                <w:sz w:val="18"/>
                <w:szCs w:val="18"/>
              </w:rPr>
              <w:t xml:space="preserve"> </w:t>
            </w:r>
            <w:r w:rsidRPr="00174DCA">
              <w:rPr>
                <w:sz w:val="18"/>
                <w:szCs w:val="18"/>
              </w:rPr>
              <w:t>000</w:t>
            </w:r>
          </w:p>
        </w:tc>
      </w:tr>
    </w:tbl>
    <w:p w14:paraId="2BD7E3F5" w14:textId="38CFFFED" w:rsidR="00863F6A" w:rsidRPr="00174DCA" w:rsidRDefault="001639C5" w:rsidP="00D92A40">
      <w:pPr>
        <w:pStyle w:val="NormalNonumber"/>
        <w:keepNext/>
        <w:keepLines/>
        <w:spacing w:before="40"/>
        <w:rPr>
          <w:sz w:val="17"/>
          <w:szCs w:val="17"/>
        </w:rPr>
      </w:pPr>
      <w:r w:rsidRPr="00174DCA">
        <w:rPr>
          <w:i/>
          <w:sz w:val="17"/>
          <w:szCs w:val="17"/>
        </w:rPr>
        <w:t>Abbreviations</w:t>
      </w:r>
      <w:r w:rsidRPr="00174DCA">
        <w:rPr>
          <w:sz w:val="17"/>
          <w:szCs w:val="17"/>
        </w:rPr>
        <w:t>: COP – Conference of the Parties</w:t>
      </w:r>
      <w:r w:rsidR="00E36A5A">
        <w:rPr>
          <w:sz w:val="17"/>
          <w:szCs w:val="17"/>
        </w:rPr>
        <w:t>;</w:t>
      </w:r>
      <w:r w:rsidRPr="00174DCA">
        <w:rPr>
          <w:sz w:val="17"/>
          <w:szCs w:val="17"/>
        </w:rPr>
        <w:t xml:space="preserve"> BRS – Basel, Rotterdam and Stockholm conventions</w:t>
      </w:r>
      <w:r w:rsidR="00E36A5A">
        <w:rPr>
          <w:sz w:val="17"/>
          <w:szCs w:val="17"/>
        </w:rPr>
        <w:t>;</w:t>
      </w:r>
      <w:r w:rsidRPr="00174DCA">
        <w:rPr>
          <w:sz w:val="17"/>
          <w:szCs w:val="17"/>
        </w:rPr>
        <w:t xml:space="preserve"> MC – Minamata Convention</w:t>
      </w:r>
      <w:r w:rsidR="00D6017C">
        <w:rPr>
          <w:sz w:val="17"/>
          <w:szCs w:val="17"/>
        </w:rPr>
        <w:t>.</w:t>
      </w:r>
      <w:r w:rsidRPr="00174DCA">
        <w:rPr>
          <w:sz w:val="17"/>
          <w:szCs w:val="17"/>
        </w:rPr>
        <w:t xml:space="preserve"> </w:t>
      </w:r>
    </w:p>
    <w:p w14:paraId="6E607FF2" w14:textId="64DD0356" w:rsidR="00CA4C07" w:rsidRDefault="00D11F27" w:rsidP="00D92A40">
      <w:pPr>
        <w:pStyle w:val="Normal-pool"/>
        <w:keepNext/>
        <w:keepLines/>
        <w:sectPr w:rsidR="00CA4C07" w:rsidSect="009E0757">
          <w:headerReference w:type="even" r:id="rId20"/>
          <w:headerReference w:type="default" r:id="rId21"/>
          <w:footerReference w:type="default" r:id="rId22"/>
          <w:headerReference w:type="first" r:id="rId23"/>
          <w:footerReference w:type="first" r:id="rId24"/>
          <w:footnotePr>
            <w:numRestart w:val="eachSect"/>
          </w:footnotePr>
          <w:pgSz w:w="11907" w:h="16840" w:code="9"/>
          <w:pgMar w:top="907" w:right="992" w:bottom="1418" w:left="1418" w:header="539" w:footer="975" w:gutter="0"/>
          <w:cols w:space="539"/>
          <w:titlePg/>
          <w:docGrid w:linePitch="360"/>
        </w:sectPr>
      </w:pPr>
      <w:r>
        <w:tab/>
      </w:r>
    </w:p>
    <w:p w14:paraId="2A5F64C5" w14:textId="49D80320" w:rsidR="001639C5" w:rsidRPr="00CD2C48" w:rsidRDefault="00863F6A" w:rsidP="004C173E">
      <w:pPr>
        <w:pStyle w:val="ZZAnxheader"/>
      </w:pPr>
      <w:bookmarkStart w:id="33" w:name="_Toc22825249"/>
      <w:r w:rsidRPr="00174DCA">
        <w:lastRenderedPageBreak/>
        <w:t xml:space="preserve">Annex </w:t>
      </w:r>
      <w:r w:rsidR="00E14E7E" w:rsidRPr="00CD2C48">
        <w:t>I</w:t>
      </w:r>
      <w:bookmarkEnd w:id="33"/>
      <w:r w:rsidR="00D11F27" w:rsidRPr="00CD2C48">
        <w:t xml:space="preserve"> </w:t>
      </w:r>
    </w:p>
    <w:p w14:paraId="64C16058" w14:textId="0A6F16DF" w:rsidR="006D6321" w:rsidRDefault="004C173E" w:rsidP="00D92A40">
      <w:pPr>
        <w:pStyle w:val="CH2"/>
      </w:pPr>
      <w:r>
        <w:rPr>
          <w:bCs/>
        </w:rPr>
        <w:tab/>
      </w:r>
      <w:bookmarkStart w:id="34" w:name="_Toc22825250"/>
      <w:r>
        <w:rPr>
          <w:bCs/>
        </w:rPr>
        <w:t>A.</w:t>
      </w:r>
      <w:r>
        <w:rPr>
          <w:bCs/>
        </w:rPr>
        <w:tab/>
      </w:r>
      <w:bookmarkStart w:id="35" w:name="_Toc21073446"/>
      <w:r w:rsidRPr="00174DCA">
        <w:t xml:space="preserve">Proposal for shared services through </w:t>
      </w:r>
      <w:r w:rsidR="005F43AA">
        <w:t xml:space="preserve">redeployment of </w:t>
      </w:r>
      <w:r w:rsidRPr="00174DCA">
        <w:t>staff from</w:t>
      </w:r>
      <w:r>
        <w:t xml:space="preserve"> the secretariat of the</w:t>
      </w:r>
      <w:r w:rsidRPr="00174DCA">
        <w:t xml:space="preserve"> Minamata Convention to </w:t>
      </w:r>
      <w:bookmarkEnd w:id="35"/>
      <w:r>
        <w:t>the Secretariat of the Basel, Rotterdam and Stockholm Conventions</w:t>
      </w:r>
      <w:bookmarkEnd w:id="34"/>
    </w:p>
    <w:p w14:paraId="4D621699" w14:textId="46FC9EEA" w:rsidR="00863F6A" w:rsidRPr="00EE7244" w:rsidRDefault="00863F6A" w:rsidP="00996969">
      <w:pPr>
        <w:pStyle w:val="Normalnumber"/>
        <w:numPr>
          <w:ilvl w:val="0"/>
          <w:numId w:val="11"/>
        </w:numPr>
        <w:tabs>
          <w:tab w:val="clear" w:pos="597"/>
        </w:tabs>
        <w:ind w:left="1247"/>
      </w:pPr>
      <w:r w:rsidRPr="00EE7244">
        <w:t xml:space="preserve">The items listed below represent service </w:t>
      </w:r>
      <w:r w:rsidR="00433B5A" w:rsidRPr="00EE7244">
        <w:t xml:space="preserve">areas </w:t>
      </w:r>
      <w:r w:rsidRPr="00EE7244">
        <w:t>that could be explored for shar</w:t>
      </w:r>
      <w:r w:rsidR="00433B5A">
        <w:t>ing</w:t>
      </w:r>
      <w:r w:rsidRPr="00EE7244">
        <w:t xml:space="preserve"> arrangements throughout the biennium</w:t>
      </w:r>
      <w:r w:rsidR="00433B5A">
        <w:t xml:space="preserve"> </w:t>
      </w:r>
      <w:r w:rsidR="00CE554D">
        <w:t>2020</w:t>
      </w:r>
      <w:r w:rsidR="004C4461">
        <w:t>–</w:t>
      </w:r>
      <w:r w:rsidR="00CE554D">
        <w:t>2021</w:t>
      </w:r>
      <w:r w:rsidRPr="00EE7244">
        <w:t>.</w:t>
      </w:r>
      <w:r w:rsidR="00CA4C07">
        <w:t xml:space="preserve"> </w:t>
      </w:r>
      <w:r w:rsidRPr="00EE7244">
        <w:t xml:space="preserve">Where Minamata Convention resources </w:t>
      </w:r>
      <w:r w:rsidR="00A26C8A">
        <w:t>we</w:t>
      </w:r>
      <w:r w:rsidRPr="00EE7244">
        <w:t xml:space="preserve">re allocated to shared services, the resources would become a part of a much larger team that would provide services to the </w:t>
      </w:r>
      <w:r w:rsidR="001639C5">
        <w:t xml:space="preserve">secretariat of the </w:t>
      </w:r>
      <w:r w:rsidRPr="00EE7244">
        <w:t xml:space="preserve">Minamata Convention as well as </w:t>
      </w:r>
      <w:r w:rsidR="001639C5">
        <w:t xml:space="preserve">to the </w:t>
      </w:r>
      <w:r w:rsidR="004C4461">
        <w:t>s</w:t>
      </w:r>
      <w:r w:rsidR="001639C5">
        <w:t xml:space="preserve">ecretariat of </w:t>
      </w:r>
      <w:r w:rsidRPr="00EE7244">
        <w:t xml:space="preserve">the Basel, Rotterdam and Stockholm </w:t>
      </w:r>
      <w:r w:rsidR="004C4461">
        <w:t>c</w:t>
      </w:r>
      <w:r w:rsidRPr="00EE7244">
        <w:t>onventions.</w:t>
      </w:r>
      <w:r w:rsidR="00CA4C07">
        <w:t xml:space="preserve"> </w:t>
      </w:r>
      <w:r w:rsidRPr="00EE7244">
        <w:t>Estimated human resource requirements and their respective costings are provided below.</w:t>
      </w:r>
      <w:r w:rsidR="00CA4C07">
        <w:t xml:space="preserve"> </w:t>
      </w:r>
      <w:r w:rsidRPr="00EE7244">
        <w:t xml:space="preserve">Non-staff costs are included in </w:t>
      </w:r>
      <w:r w:rsidR="00433B5A">
        <w:t xml:space="preserve">the </w:t>
      </w:r>
      <w:r w:rsidR="00433B5A" w:rsidRPr="00EE7244">
        <w:t>budget proposal</w:t>
      </w:r>
      <w:r w:rsidR="00433B5A">
        <w:t xml:space="preserve"> of</w:t>
      </w:r>
      <w:r w:rsidR="00433B5A" w:rsidRPr="00EE7244">
        <w:t xml:space="preserve"> </w:t>
      </w:r>
      <w:r w:rsidRPr="00EE7244">
        <w:t xml:space="preserve">the Executive Secretary of the Minamata Convention for the biennium </w:t>
      </w:r>
      <w:r w:rsidR="00CE554D">
        <w:t>2020</w:t>
      </w:r>
      <w:r w:rsidR="004C4461">
        <w:t>–</w:t>
      </w:r>
      <w:r w:rsidR="00CE554D">
        <w:t>2021</w:t>
      </w:r>
      <w:r w:rsidRPr="00EE7244">
        <w:t>.</w:t>
      </w:r>
    </w:p>
    <w:p w14:paraId="4709CFD6" w14:textId="75C42CF3" w:rsidR="00863F6A" w:rsidRPr="00EE7244" w:rsidRDefault="00863F6A" w:rsidP="00D92A40">
      <w:pPr>
        <w:pStyle w:val="Normalnumber"/>
        <w:numPr>
          <w:ilvl w:val="0"/>
          <w:numId w:val="11"/>
        </w:numPr>
        <w:tabs>
          <w:tab w:val="clear" w:pos="597"/>
        </w:tabs>
        <w:ind w:left="1247"/>
      </w:pPr>
      <w:r w:rsidRPr="00EE7244">
        <w:rPr>
          <w:b/>
          <w:bCs/>
        </w:rPr>
        <w:t>Conference and meeting</w:t>
      </w:r>
      <w:bookmarkStart w:id="36" w:name="_Hlk526164591"/>
      <w:r w:rsidR="00433B5A">
        <w:rPr>
          <w:b/>
          <w:bCs/>
        </w:rPr>
        <w:t xml:space="preserve"> services</w:t>
      </w:r>
      <w:r w:rsidRPr="00EE7244">
        <w:rPr>
          <w:b/>
          <w:bCs/>
        </w:rPr>
        <w:t>:</w:t>
      </w:r>
      <w:r w:rsidRPr="00EE7244">
        <w:t xml:space="preserve"> These services encompass many activities </w:t>
      </w:r>
      <w:r w:rsidR="00433B5A">
        <w:t>for</w:t>
      </w:r>
      <w:r w:rsidRPr="00EE7244">
        <w:t xml:space="preserve"> various types of meeting</w:t>
      </w:r>
      <w:bookmarkEnd w:id="36"/>
      <w:r w:rsidRPr="00EE7244">
        <w:t xml:space="preserve">s, i.e., </w:t>
      </w:r>
      <w:r w:rsidR="001639C5">
        <w:t>meetings of the c</w:t>
      </w:r>
      <w:r w:rsidRPr="00EE7244">
        <w:t xml:space="preserve">onferences of </w:t>
      </w:r>
      <w:r w:rsidR="00433B5A">
        <w:t xml:space="preserve">the </w:t>
      </w:r>
      <w:r w:rsidR="001639C5">
        <w:t>p</w:t>
      </w:r>
      <w:r w:rsidRPr="00EE7244">
        <w:t xml:space="preserve">arties, regional meetings, </w:t>
      </w:r>
      <w:r w:rsidR="00A26C8A">
        <w:t>B</w:t>
      </w:r>
      <w:r w:rsidRPr="00EE7244">
        <w:t>ureau meetings, and in some cases</w:t>
      </w:r>
      <w:r w:rsidR="00433B5A">
        <w:t>,</w:t>
      </w:r>
      <w:r w:rsidRPr="00EE7244">
        <w:t xml:space="preserve"> meetings</w:t>
      </w:r>
      <w:r w:rsidR="00433B5A">
        <w:t xml:space="preserve"> of</w:t>
      </w:r>
      <w:r w:rsidR="00433B5A" w:rsidRPr="00433B5A">
        <w:t xml:space="preserve"> </w:t>
      </w:r>
      <w:r w:rsidR="00433B5A" w:rsidRPr="00EE7244">
        <w:t>technical groups</w:t>
      </w:r>
      <w:r w:rsidR="00433B5A">
        <w:t>, as follows</w:t>
      </w:r>
      <w:r w:rsidRPr="00EE7244">
        <w:t>:</w:t>
      </w:r>
    </w:p>
    <w:p w14:paraId="5E771FEE" w14:textId="3BD0E954" w:rsidR="00863F6A" w:rsidRPr="00955A96" w:rsidRDefault="00863F6A" w:rsidP="00955A96">
      <w:pPr>
        <w:pStyle w:val="Normalnumber"/>
        <w:numPr>
          <w:ilvl w:val="1"/>
          <w:numId w:val="4"/>
        </w:numPr>
        <w:tabs>
          <w:tab w:val="clear" w:pos="1758"/>
        </w:tabs>
        <w:ind w:left="1247" w:firstLine="624"/>
      </w:pPr>
      <w:r w:rsidRPr="00955A96">
        <w:rPr>
          <w:i/>
        </w:rPr>
        <w:t>Logistics management</w:t>
      </w:r>
      <w:r w:rsidRPr="00955A96">
        <w:t xml:space="preserve"> involves a wide range of services: </w:t>
      </w:r>
      <w:r w:rsidR="00D51594">
        <w:t>i</w:t>
      </w:r>
      <w:r w:rsidRPr="00955A96">
        <w:t xml:space="preserve">dentification and procurement of the venue; definition of </w:t>
      </w:r>
      <w:r w:rsidR="00890A91">
        <w:t xml:space="preserve">the </w:t>
      </w:r>
      <w:r w:rsidRPr="00955A96">
        <w:t>number of meeting rooms</w:t>
      </w:r>
      <w:r w:rsidR="00433B5A">
        <w:t xml:space="preserve"> and</w:t>
      </w:r>
      <w:r w:rsidRPr="00955A96">
        <w:t xml:space="preserve"> relevant equipment</w:t>
      </w:r>
      <w:r w:rsidR="00890A91">
        <w:t xml:space="preserve"> required</w:t>
      </w:r>
      <w:r w:rsidR="00433B5A">
        <w:t>;</w:t>
      </w:r>
      <w:r w:rsidRPr="00955A96">
        <w:t xml:space="preserve"> catering</w:t>
      </w:r>
      <w:r w:rsidR="00433B5A">
        <w:t xml:space="preserve"> and</w:t>
      </w:r>
      <w:r w:rsidRPr="00955A96">
        <w:t xml:space="preserve"> security arrangements</w:t>
      </w:r>
      <w:r w:rsidR="00433B5A">
        <w:t>;</w:t>
      </w:r>
      <w:r w:rsidRPr="00955A96">
        <w:t xml:space="preserve"> preparation of information and logistics note</w:t>
      </w:r>
      <w:r w:rsidR="00433B5A">
        <w:t xml:space="preserve">s; </w:t>
      </w:r>
      <w:r w:rsidRPr="00955A96">
        <w:t xml:space="preserve">logistical support during the meeting, including making sure </w:t>
      </w:r>
      <w:r w:rsidR="00890A91">
        <w:t xml:space="preserve">that </w:t>
      </w:r>
      <w:r w:rsidRPr="00955A96">
        <w:t xml:space="preserve">equipment and name </w:t>
      </w:r>
      <w:r w:rsidR="00890A91">
        <w:t>plates</w:t>
      </w:r>
      <w:r w:rsidR="00890A91" w:rsidRPr="00955A96">
        <w:t xml:space="preserve"> </w:t>
      </w:r>
      <w:r w:rsidRPr="00955A96">
        <w:t xml:space="preserve">are in place in meeting rooms and </w:t>
      </w:r>
      <w:r w:rsidR="00890A91">
        <w:t xml:space="preserve">that </w:t>
      </w:r>
      <w:r w:rsidRPr="00955A96">
        <w:t>meeting rooms are arranged as requested</w:t>
      </w:r>
      <w:r w:rsidR="00433B5A">
        <w:t>;</w:t>
      </w:r>
      <w:r w:rsidRPr="00955A96">
        <w:t xml:space="preserve"> </w:t>
      </w:r>
      <w:r w:rsidR="00433B5A">
        <w:t>p</w:t>
      </w:r>
      <w:r w:rsidRPr="00955A96">
        <w:t>repar</w:t>
      </w:r>
      <w:r w:rsidR="00433B5A">
        <w:t>ation of</w:t>
      </w:r>
      <w:r w:rsidRPr="00955A96">
        <w:t xml:space="preserve"> technical specifications for the procurement of good</w:t>
      </w:r>
      <w:r w:rsidR="00A26C8A">
        <w:t>s</w:t>
      </w:r>
      <w:r w:rsidRPr="00955A96">
        <w:t xml:space="preserve"> and services, including preparation of </w:t>
      </w:r>
      <w:r w:rsidR="00433B5A">
        <w:t>terms of reference</w:t>
      </w:r>
      <w:r w:rsidRPr="00955A96">
        <w:t xml:space="preserve"> and review of technical requirements</w:t>
      </w:r>
      <w:r w:rsidR="00433B5A">
        <w:t>;</w:t>
      </w:r>
      <w:r w:rsidRPr="00955A96">
        <w:t xml:space="preserve"> manag</w:t>
      </w:r>
      <w:r w:rsidR="00D51594">
        <w:t>ement of</w:t>
      </w:r>
      <w:r w:rsidRPr="00955A96">
        <w:t xml:space="preserve"> vendors and monitoring </w:t>
      </w:r>
      <w:r w:rsidR="00D51594">
        <w:t xml:space="preserve">of </w:t>
      </w:r>
      <w:r w:rsidRPr="00955A96">
        <w:t xml:space="preserve">service delivery. </w:t>
      </w:r>
    </w:p>
    <w:p w14:paraId="1B10C97A" w14:textId="1F01E5B8" w:rsidR="00863F6A" w:rsidRPr="00955A96" w:rsidRDefault="00863F6A" w:rsidP="00955A96">
      <w:pPr>
        <w:pStyle w:val="Normalnumber"/>
        <w:numPr>
          <w:ilvl w:val="1"/>
          <w:numId w:val="4"/>
        </w:numPr>
        <w:tabs>
          <w:tab w:val="clear" w:pos="1758"/>
        </w:tabs>
        <w:ind w:left="1247" w:firstLine="624"/>
      </w:pPr>
      <w:r w:rsidRPr="00955A96">
        <w:rPr>
          <w:i/>
        </w:rPr>
        <w:t xml:space="preserve">Participant management </w:t>
      </w:r>
      <w:r w:rsidRPr="00955A96">
        <w:t xml:space="preserve">involves the </w:t>
      </w:r>
      <w:r w:rsidRPr="001A13FB">
        <w:t>following services</w:t>
      </w:r>
      <w:r w:rsidRPr="00955A96">
        <w:t xml:space="preserve">: </w:t>
      </w:r>
      <w:r w:rsidR="00D51594">
        <w:t>s</w:t>
      </w:r>
      <w:r w:rsidRPr="00955A96">
        <w:t>ending out</w:t>
      </w:r>
      <w:r w:rsidR="00890A91">
        <w:t xml:space="preserve"> of</w:t>
      </w:r>
      <w:r w:rsidRPr="00955A96">
        <w:t xml:space="preserve"> invitation letters</w:t>
      </w:r>
      <w:r w:rsidR="00D51594">
        <w:t>;</w:t>
      </w:r>
      <w:r w:rsidRPr="00955A96">
        <w:t xml:space="preserve"> creation of an online platform for </w:t>
      </w:r>
      <w:r w:rsidR="00A26C8A">
        <w:t>participant</w:t>
      </w:r>
      <w:r w:rsidR="00A26C8A" w:rsidRPr="00955A96">
        <w:t xml:space="preserve"> </w:t>
      </w:r>
      <w:r w:rsidRPr="00955A96">
        <w:t>registration</w:t>
      </w:r>
      <w:r w:rsidR="00D51594">
        <w:t>;</w:t>
      </w:r>
      <w:r w:rsidRPr="00955A96">
        <w:t xml:space="preserve"> receipt of nomination letters and preparation of lists for </w:t>
      </w:r>
      <w:r w:rsidR="00A26C8A">
        <w:t xml:space="preserve">the </w:t>
      </w:r>
      <w:r w:rsidRPr="00955A96">
        <w:t>different categories of participants (</w:t>
      </w:r>
      <w:r w:rsidR="00890A91">
        <w:t>e.g</w:t>
      </w:r>
      <w:r w:rsidRPr="00955A96">
        <w:t>., funded, non-funded, observers)</w:t>
      </w:r>
      <w:r w:rsidR="00D51594">
        <w:t>;</w:t>
      </w:r>
      <w:r w:rsidRPr="00955A96">
        <w:t xml:space="preserve"> approval of participants</w:t>
      </w:r>
      <w:r w:rsidR="00D51594">
        <w:t xml:space="preserve"> and</w:t>
      </w:r>
      <w:r w:rsidRPr="00955A96">
        <w:t xml:space="preserve"> sending out confirmation letters and visa</w:t>
      </w:r>
      <w:r w:rsidR="00D51594">
        <w:t xml:space="preserve"> </w:t>
      </w:r>
      <w:r w:rsidRPr="00955A96">
        <w:t>support letters, as applicable</w:t>
      </w:r>
      <w:r w:rsidR="00D51594">
        <w:t>;</w:t>
      </w:r>
      <w:r w:rsidRPr="00955A96">
        <w:t xml:space="preserve"> raising and certification of </w:t>
      </w:r>
      <w:r w:rsidR="00D51594">
        <w:t>t</w:t>
      </w:r>
      <w:r w:rsidRPr="00955A96">
        <w:t xml:space="preserve">ravel </w:t>
      </w:r>
      <w:r w:rsidR="00D51594">
        <w:t>r</w:t>
      </w:r>
      <w:r w:rsidRPr="00955A96">
        <w:t xml:space="preserve">equests and </w:t>
      </w:r>
      <w:r w:rsidR="00D51594">
        <w:t>e</w:t>
      </w:r>
      <w:r w:rsidRPr="00955A96">
        <w:t xml:space="preserve">xpense </w:t>
      </w:r>
      <w:r w:rsidR="00D51594">
        <w:t>c</w:t>
      </w:r>
      <w:r w:rsidRPr="00955A96">
        <w:t>laims in Umoja</w:t>
      </w:r>
      <w:r w:rsidR="00D51594">
        <w:t>;</w:t>
      </w:r>
      <w:r w:rsidRPr="00955A96">
        <w:t xml:space="preserve"> request</w:t>
      </w:r>
      <w:r w:rsidR="00D51594">
        <w:t>s</w:t>
      </w:r>
      <w:r w:rsidRPr="00955A96">
        <w:t xml:space="preserve"> to</w:t>
      </w:r>
      <w:r w:rsidR="00D51594">
        <w:t xml:space="preserve"> the</w:t>
      </w:r>
      <w:r w:rsidRPr="00955A96">
        <w:t xml:space="preserve"> United</w:t>
      </w:r>
      <w:r w:rsidR="00C501AD">
        <w:t> </w:t>
      </w:r>
      <w:r w:rsidRPr="00955A96">
        <w:t xml:space="preserve">Nations </w:t>
      </w:r>
      <w:r w:rsidR="00D51594">
        <w:t>t</w:t>
      </w:r>
      <w:r w:rsidRPr="00955A96">
        <w:t xml:space="preserve">ravel </w:t>
      </w:r>
      <w:r w:rsidR="00D51594">
        <w:t>u</w:t>
      </w:r>
      <w:r w:rsidRPr="00955A96">
        <w:t>nit for itineraries</w:t>
      </w:r>
      <w:r w:rsidR="00D51594">
        <w:t xml:space="preserve"> </w:t>
      </w:r>
      <w:r w:rsidR="00A26C8A" w:rsidRPr="00955A96">
        <w:t>and ticketing</w:t>
      </w:r>
      <w:r w:rsidR="00A26C8A">
        <w:t xml:space="preserve"> </w:t>
      </w:r>
      <w:r w:rsidR="00D51594">
        <w:t>and</w:t>
      </w:r>
      <w:r w:rsidRPr="00955A96">
        <w:t xml:space="preserve"> </w:t>
      </w:r>
      <w:r w:rsidR="00A26C8A">
        <w:t>related correspondence</w:t>
      </w:r>
      <w:r w:rsidR="00A26C8A" w:rsidRPr="00955A96">
        <w:t xml:space="preserve"> </w:t>
      </w:r>
      <w:r w:rsidRPr="00955A96">
        <w:t>with participants</w:t>
      </w:r>
      <w:r w:rsidR="00D51594">
        <w:t>;</w:t>
      </w:r>
      <w:r w:rsidRPr="00955A96">
        <w:t xml:space="preserve"> registration of participants at the meeting, </w:t>
      </w:r>
      <w:r w:rsidR="00D51594">
        <w:t>including</w:t>
      </w:r>
      <w:r w:rsidRPr="00955A96">
        <w:t xml:space="preserve"> badge delivery</w:t>
      </w:r>
      <w:r w:rsidR="00D51594">
        <w:t>;</w:t>
      </w:r>
      <w:r w:rsidRPr="00955A96">
        <w:t xml:space="preserve"> prepar</w:t>
      </w:r>
      <w:r w:rsidR="00A26C8A">
        <w:t>ation, submission and oversight of</w:t>
      </w:r>
      <w:r w:rsidR="00D51594">
        <w:t xml:space="preserve"> requests </w:t>
      </w:r>
      <w:r w:rsidR="00A26C8A">
        <w:t>for</w:t>
      </w:r>
      <w:r w:rsidRPr="00955A96">
        <w:t xml:space="preserve"> </w:t>
      </w:r>
      <w:r w:rsidR="00D51594">
        <w:t>d</w:t>
      </w:r>
      <w:r w:rsidRPr="00955A96">
        <w:t xml:space="preserve">aily </w:t>
      </w:r>
      <w:r w:rsidR="00D51594">
        <w:t>s</w:t>
      </w:r>
      <w:r w:rsidRPr="00955A96">
        <w:t xml:space="preserve">ubsistence </w:t>
      </w:r>
      <w:r w:rsidR="00D51594">
        <w:t>a</w:t>
      </w:r>
      <w:r w:rsidRPr="00955A96">
        <w:t xml:space="preserve">llowance </w:t>
      </w:r>
      <w:r w:rsidR="00A26C8A">
        <w:t>for</w:t>
      </w:r>
      <w:r w:rsidRPr="00955A96">
        <w:t xml:space="preserve"> funded participants</w:t>
      </w:r>
      <w:r w:rsidR="00D51594">
        <w:t>; and</w:t>
      </w:r>
      <w:r w:rsidRPr="00955A96">
        <w:t xml:space="preserve"> preparation of list</w:t>
      </w:r>
      <w:r w:rsidR="00D51594">
        <w:t>s</w:t>
      </w:r>
      <w:r w:rsidRPr="00955A96">
        <w:t xml:space="preserve"> of participants. </w:t>
      </w:r>
    </w:p>
    <w:p w14:paraId="6E0E02E4" w14:textId="2B139599" w:rsidR="00863F6A" w:rsidRPr="00955A96" w:rsidRDefault="00863F6A" w:rsidP="00955A96">
      <w:pPr>
        <w:pStyle w:val="Normalnumber"/>
        <w:numPr>
          <w:ilvl w:val="1"/>
          <w:numId w:val="4"/>
        </w:numPr>
        <w:tabs>
          <w:tab w:val="clear" w:pos="1758"/>
        </w:tabs>
        <w:ind w:left="1247" w:firstLine="624"/>
      </w:pPr>
      <w:r w:rsidRPr="00955A96">
        <w:rPr>
          <w:i/>
        </w:rPr>
        <w:t>Document management</w:t>
      </w:r>
      <w:r w:rsidRPr="00955A96">
        <w:t xml:space="preserve"> involves</w:t>
      </w:r>
      <w:r w:rsidR="00D51594">
        <w:t xml:space="preserve"> the following </w:t>
      </w:r>
      <w:r w:rsidR="00D51594" w:rsidRPr="00E36A5A">
        <w:t>services:</w:t>
      </w:r>
      <w:r w:rsidRPr="00C91378">
        <w:t xml:space="preserve"> </w:t>
      </w:r>
      <w:r w:rsidRPr="00E36A5A">
        <w:t>submi</w:t>
      </w:r>
      <w:r w:rsidR="00E36A5A" w:rsidRPr="00D92A40">
        <w:t>ssion of</w:t>
      </w:r>
      <w:r w:rsidRPr="00E36A5A">
        <w:t xml:space="preserve"> completed documents to </w:t>
      </w:r>
      <w:r w:rsidR="00B86026" w:rsidRPr="00C91378">
        <w:t>the English Language Unit</w:t>
      </w:r>
      <w:r w:rsidR="00B86026" w:rsidRPr="00E36A5A">
        <w:t xml:space="preserve"> at </w:t>
      </w:r>
      <w:r w:rsidR="00890A91" w:rsidRPr="00E36A5A">
        <w:t xml:space="preserve">the United Nations Office at Nairobi </w:t>
      </w:r>
      <w:r w:rsidRPr="00E36A5A">
        <w:t>for formal processing, editing and translation</w:t>
      </w:r>
      <w:r w:rsidR="00B86026" w:rsidRPr="00E36A5A">
        <w:t xml:space="preserve"> </w:t>
      </w:r>
      <w:r w:rsidR="00D51594" w:rsidRPr="00E36A5A">
        <w:t>(for which the Minamata Convention will have completed programmatic</w:t>
      </w:r>
      <w:r w:rsidR="00D51594" w:rsidRPr="00955A96">
        <w:t xml:space="preserve">, legal </w:t>
      </w:r>
      <w:r w:rsidR="00D51594">
        <w:t>and</w:t>
      </w:r>
      <w:r w:rsidR="00D51594" w:rsidRPr="00955A96">
        <w:t xml:space="preserve"> policy review</w:t>
      </w:r>
      <w:r w:rsidR="00D51594">
        <w:t>;</w:t>
      </w:r>
      <w:r w:rsidR="00D51594" w:rsidRPr="00955A96">
        <w:t xml:space="preserve"> </w:t>
      </w:r>
      <w:r w:rsidR="00D51594">
        <w:t>documents to be</w:t>
      </w:r>
      <w:r w:rsidR="00D51594" w:rsidRPr="00955A96">
        <w:t xml:space="preserve"> cleared by the Minamata Convention Executive Secretary)</w:t>
      </w:r>
      <w:r w:rsidR="00D51594">
        <w:t>;</w:t>
      </w:r>
      <w:r w:rsidRPr="00955A96">
        <w:t xml:space="preserve"> checking </w:t>
      </w:r>
      <w:r w:rsidR="00B86026">
        <w:t xml:space="preserve">of </w:t>
      </w:r>
      <w:r w:rsidRPr="00955A96">
        <w:t xml:space="preserve">translations </w:t>
      </w:r>
      <w:r w:rsidR="00B86026">
        <w:t>by</w:t>
      </w:r>
      <w:r w:rsidRPr="00955A96">
        <w:t xml:space="preserve"> staff with appropriate language abilities</w:t>
      </w:r>
      <w:r w:rsidR="00B86026">
        <w:t>;</w:t>
      </w:r>
      <w:r w:rsidRPr="00955A96">
        <w:t xml:space="preserve"> checking</w:t>
      </w:r>
      <w:r w:rsidR="00B86026">
        <w:t xml:space="preserve"> of</w:t>
      </w:r>
      <w:r w:rsidRPr="00955A96">
        <w:t xml:space="preserve"> edits proposed by </w:t>
      </w:r>
      <w:r w:rsidR="00B86026">
        <w:t xml:space="preserve">the English Language Unit at </w:t>
      </w:r>
      <w:r w:rsidR="00890A91">
        <w:t>the United Nations Office at Nairobi</w:t>
      </w:r>
      <w:r w:rsidR="00B86026" w:rsidRPr="00955A96">
        <w:t xml:space="preserve"> </w:t>
      </w:r>
      <w:r w:rsidRPr="00955A96">
        <w:t>with the author(s) of the specific document</w:t>
      </w:r>
      <w:r w:rsidR="00D11F27">
        <w:t>s</w:t>
      </w:r>
      <w:r w:rsidRPr="00955A96">
        <w:t xml:space="preserve"> and the Minamata Convention Executive Secretary</w:t>
      </w:r>
      <w:r w:rsidR="00B86026">
        <w:t>;</w:t>
      </w:r>
      <w:r w:rsidRPr="00955A96">
        <w:t xml:space="preserve"> tracking </w:t>
      </w:r>
      <w:r w:rsidR="001A13FB">
        <w:t xml:space="preserve">of </w:t>
      </w:r>
      <w:r w:rsidR="00FE1627">
        <w:t>pre</w:t>
      </w:r>
      <w:r w:rsidR="00FE1627">
        <w:noBreakHyphen/>
        <w:t>session</w:t>
      </w:r>
      <w:r w:rsidR="00D42FD5" w:rsidRPr="00D42FD5">
        <w:t xml:space="preserve">, in-session and post-session </w:t>
      </w:r>
      <w:r w:rsidRPr="00955A96">
        <w:t xml:space="preserve">progress of document processing by </w:t>
      </w:r>
      <w:r w:rsidR="00890A91">
        <w:t>the Division of C</w:t>
      </w:r>
      <w:r w:rsidRPr="00955A96">
        <w:t xml:space="preserve">onference </w:t>
      </w:r>
      <w:r w:rsidR="00890A91">
        <w:t>S</w:t>
      </w:r>
      <w:r w:rsidRPr="00955A96">
        <w:t xml:space="preserve">ervices and uploading the final versions of the documents </w:t>
      </w:r>
      <w:r w:rsidR="00D11F27">
        <w:t>to</w:t>
      </w:r>
      <w:r w:rsidRPr="00955A96">
        <w:t xml:space="preserve"> the website</w:t>
      </w:r>
      <w:r w:rsidR="00D11F27">
        <w:t xml:space="preserve"> of the</w:t>
      </w:r>
      <w:r w:rsidR="00D11F27" w:rsidRPr="00D11F27">
        <w:t xml:space="preserve"> </w:t>
      </w:r>
      <w:r w:rsidR="00D11F27">
        <w:t>C</w:t>
      </w:r>
      <w:r w:rsidR="00D11F27" w:rsidRPr="00955A96">
        <w:t>onvention</w:t>
      </w:r>
      <w:r w:rsidRPr="00955A96">
        <w:t xml:space="preserve">. </w:t>
      </w:r>
    </w:p>
    <w:p w14:paraId="2A91E029" w14:textId="34EE01EC" w:rsidR="00863F6A" w:rsidRDefault="00863F6A" w:rsidP="00D92A40">
      <w:pPr>
        <w:pStyle w:val="Normalnumber"/>
        <w:numPr>
          <w:ilvl w:val="0"/>
          <w:numId w:val="11"/>
        </w:numPr>
        <w:tabs>
          <w:tab w:val="clear" w:pos="597"/>
        </w:tabs>
        <w:ind w:left="1247"/>
      </w:pPr>
      <w:r w:rsidRPr="00EE7244">
        <w:rPr>
          <w:b/>
          <w:bCs/>
        </w:rPr>
        <w:t>Capacity</w:t>
      </w:r>
      <w:r w:rsidR="00D11F27">
        <w:rPr>
          <w:b/>
          <w:bCs/>
        </w:rPr>
        <w:t>-</w:t>
      </w:r>
      <w:r w:rsidRPr="00EE7244">
        <w:rPr>
          <w:b/>
          <w:bCs/>
        </w:rPr>
        <w:t>building and technical assistance:</w:t>
      </w:r>
      <w:r w:rsidRPr="00EE7244">
        <w:t xml:space="preserve"> This work is ordinarily part of </w:t>
      </w:r>
      <w:r w:rsidR="00D11F27">
        <w:t xml:space="preserve">the </w:t>
      </w:r>
      <w:r w:rsidRPr="00EE7244">
        <w:t xml:space="preserve">core responsibilities of the secretariats, except for the possible overlap of work involving the Basel and Stockholm </w:t>
      </w:r>
      <w:r w:rsidR="00D11F27">
        <w:t>c</w:t>
      </w:r>
      <w:r w:rsidRPr="00EE7244">
        <w:t xml:space="preserve">onvention regional centres and mercury waste activities </w:t>
      </w:r>
      <w:r w:rsidR="00F8058A">
        <w:t>that</w:t>
      </w:r>
      <w:r w:rsidRPr="00EE7244">
        <w:t xml:space="preserve"> could be provided through a shared service arrangement.</w:t>
      </w:r>
      <w:r w:rsidR="00CA4C07">
        <w:t xml:space="preserve"> </w:t>
      </w:r>
      <w:r w:rsidRPr="00EE7244">
        <w:t>This would involve shared arrangements with the regional centres and</w:t>
      </w:r>
      <w:r w:rsidR="00D11F27">
        <w:t xml:space="preserve"> the</w:t>
      </w:r>
      <w:r w:rsidRPr="00EE7244">
        <w:t xml:space="preserve"> development and </w:t>
      </w:r>
      <w:r w:rsidR="00D11F27">
        <w:t>deployment</w:t>
      </w:r>
      <w:r w:rsidRPr="00EE7244">
        <w:t xml:space="preserve"> of training and technical assistance activities to support Party efforts to implement </w:t>
      </w:r>
      <w:r w:rsidR="00D11F27">
        <w:t xml:space="preserve">the </w:t>
      </w:r>
      <w:r w:rsidRPr="00EE7244">
        <w:t>mercury waste</w:t>
      </w:r>
      <w:r w:rsidR="00D11F27">
        <w:t>-</w:t>
      </w:r>
      <w:r w:rsidRPr="00EE7244">
        <w:t>related provisions of the respective conventions.</w:t>
      </w:r>
      <w:r w:rsidR="00CA4C07">
        <w:t xml:space="preserve"> </w:t>
      </w:r>
      <w:r w:rsidRPr="00EE7244">
        <w:t xml:space="preserve">In addition, the Minamata </w:t>
      </w:r>
      <w:r w:rsidR="00F8058A">
        <w:t>s</w:t>
      </w:r>
      <w:r w:rsidRPr="00EE7244">
        <w:t>ecretariat c</w:t>
      </w:r>
      <w:r w:rsidR="00D42FD5">
        <w:t>ould</w:t>
      </w:r>
      <w:r w:rsidRPr="00EE7244">
        <w:t xml:space="preserve"> engage in programmatic collaboration with the</w:t>
      </w:r>
      <w:r w:rsidR="007A6186">
        <w:t xml:space="preserve"> </w:t>
      </w:r>
      <w:r w:rsidR="001A13FB">
        <w:t>s</w:t>
      </w:r>
      <w:r w:rsidR="00890A91">
        <w:t xml:space="preserve">ecretariat of the </w:t>
      </w:r>
      <w:r w:rsidR="007A6186">
        <w:t>Basel, Rot</w:t>
      </w:r>
      <w:r w:rsidR="00F8058A">
        <w:t xml:space="preserve">terdam and Stockholm </w:t>
      </w:r>
      <w:r w:rsidR="001A13FB">
        <w:t>c</w:t>
      </w:r>
      <w:r w:rsidR="00F8058A">
        <w:t>onvention</w:t>
      </w:r>
      <w:r w:rsidR="00890A91">
        <w:t>s</w:t>
      </w:r>
      <w:r w:rsidRPr="00EE7244">
        <w:t xml:space="preserve"> on scientific and technical work of mutual benefit to the conventions involved.</w:t>
      </w:r>
      <w:r w:rsidR="00CA4C07">
        <w:t xml:space="preserve"> </w:t>
      </w:r>
    </w:p>
    <w:p w14:paraId="01952502" w14:textId="21B7555A" w:rsidR="00863F6A" w:rsidRPr="00EE7244" w:rsidRDefault="00863F6A" w:rsidP="00D92A40">
      <w:pPr>
        <w:pStyle w:val="Normalnumber"/>
        <w:numPr>
          <w:ilvl w:val="0"/>
          <w:numId w:val="11"/>
        </w:numPr>
        <w:tabs>
          <w:tab w:val="clear" w:pos="597"/>
        </w:tabs>
        <w:ind w:left="1247"/>
      </w:pPr>
      <w:r w:rsidRPr="00EE7244">
        <w:rPr>
          <w:b/>
          <w:bCs/>
        </w:rPr>
        <w:t xml:space="preserve">Knowledge and </w:t>
      </w:r>
      <w:r w:rsidRPr="005677F3">
        <w:rPr>
          <w:b/>
        </w:rPr>
        <w:t>information</w:t>
      </w:r>
      <w:r w:rsidRPr="005677F3">
        <w:rPr>
          <w:b/>
          <w:bCs/>
        </w:rPr>
        <w:t xml:space="preserve"> </w:t>
      </w:r>
      <w:r w:rsidRPr="00EE7244">
        <w:rPr>
          <w:b/>
          <w:bCs/>
        </w:rPr>
        <w:t>management and outreach</w:t>
      </w:r>
      <w:r w:rsidRPr="00174DCA">
        <w:rPr>
          <w:b/>
        </w:rPr>
        <w:t>:</w:t>
      </w:r>
    </w:p>
    <w:p w14:paraId="51B96B5B" w14:textId="4C9C3C06" w:rsidR="00863F6A" w:rsidRPr="00955A96" w:rsidRDefault="00863F6A" w:rsidP="00955A96">
      <w:pPr>
        <w:pStyle w:val="Normalnumber"/>
        <w:numPr>
          <w:ilvl w:val="1"/>
          <w:numId w:val="4"/>
        </w:numPr>
        <w:tabs>
          <w:tab w:val="clear" w:pos="1758"/>
        </w:tabs>
        <w:ind w:left="1247" w:firstLine="624"/>
      </w:pPr>
      <w:r w:rsidRPr="00955A96">
        <w:rPr>
          <w:i/>
        </w:rPr>
        <w:t>Communications, outreach and public awareness</w:t>
      </w:r>
      <w:r w:rsidRPr="00955A96">
        <w:t xml:space="preserve"> include</w:t>
      </w:r>
      <w:r w:rsidR="00F8058A">
        <w:t>s the</w:t>
      </w:r>
      <w:r w:rsidRPr="00955A96">
        <w:t xml:space="preserve"> design, management and implementation of a communications strategy and relevant activities to guide outreach activities</w:t>
      </w:r>
      <w:r w:rsidR="00F8058A">
        <w:t>,</w:t>
      </w:r>
      <w:r w:rsidRPr="00955A96">
        <w:t xml:space="preserve"> including media engagement and press releases</w:t>
      </w:r>
      <w:r w:rsidR="00F8058A">
        <w:t>;</w:t>
      </w:r>
      <w:r w:rsidRPr="00955A96">
        <w:t xml:space="preserve"> development of website content</w:t>
      </w:r>
      <w:r w:rsidR="00F8058A">
        <w:t>;</w:t>
      </w:r>
      <w:r w:rsidRPr="00955A96">
        <w:t xml:space="preserve"> photographic and social media coverage</w:t>
      </w:r>
      <w:r w:rsidR="00F8058A">
        <w:t>;</w:t>
      </w:r>
      <w:r w:rsidRPr="00955A96">
        <w:t xml:space="preserve"> graphic design support</w:t>
      </w:r>
      <w:r w:rsidR="00F8058A">
        <w:t>;</w:t>
      </w:r>
      <w:r w:rsidRPr="00955A96">
        <w:t xml:space="preserve"> promotional materials, including exhibitions at </w:t>
      </w:r>
      <w:r w:rsidR="00F8058A">
        <w:t>conferences of the parties</w:t>
      </w:r>
      <w:r w:rsidRPr="00955A96">
        <w:t xml:space="preserve"> and other relevant meetings</w:t>
      </w:r>
      <w:r w:rsidR="00F8058A">
        <w:t>;</w:t>
      </w:r>
      <w:r w:rsidRPr="00955A96">
        <w:t xml:space="preserve"> and communications campaigns.</w:t>
      </w:r>
      <w:r w:rsidR="00CA4C07" w:rsidRPr="00955A96">
        <w:t xml:space="preserve"> </w:t>
      </w:r>
      <w:r w:rsidRPr="00955A96">
        <w:t xml:space="preserve">This work </w:t>
      </w:r>
      <w:r w:rsidR="00F8058A">
        <w:lastRenderedPageBreak/>
        <w:t xml:space="preserve">will </w:t>
      </w:r>
      <w:r w:rsidRPr="00955A96">
        <w:t xml:space="preserve">also </w:t>
      </w:r>
      <w:r w:rsidR="00F8058A">
        <w:t xml:space="preserve">involve </w:t>
      </w:r>
      <w:r w:rsidRPr="00955A96">
        <w:t xml:space="preserve">a campaign to include </w:t>
      </w:r>
      <w:r w:rsidR="00FA315C">
        <w:t xml:space="preserve">a </w:t>
      </w:r>
      <w:r w:rsidRPr="00955A96">
        <w:t xml:space="preserve">strong visual identity with related branding to promote the Minamata Convention. </w:t>
      </w:r>
    </w:p>
    <w:p w14:paraId="515873A6" w14:textId="7FC9ED81" w:rsidR="00863F6A" w:rsidRPr="00955A96" w:rsidRDefault="00863F6A" w:rsidP="00955A96">
      <w:pPr>
        <w:pStyle w:val="Normalnumber"/>
        <w:numPr>
          <w:ilvl w:val="1"/>
          <w:numId w:val="4"/>
        </w:numPr>
        <w:tabs>
          <w:tab w:val="clear" w:pos="1758"/>
        </w:tabs>
        <w:ind w:left="1247" w:firstLine="624"/>
      </w:pPr>
      <w:r w:rsidRPr="00955A96">
        <w:rPr>
          <w:i/>
        </w:rPr>
        <w:t xml:space="preserve">Knowledge and information management </w:t>
      </w:r>
      <w:r w:rsidRPr="00955A96">
        <w:t>includes compiling information exchange needs in accordance with Article 17 of the Convention</w:t>
      </w:r>
      <w:r w:rsidR="00B91117">
        <w:t>;</w:t>
      </w:r>
      <w:r w:rsidRPr="00955A96">
        <w:t xml:space="preserve"> identify</w:t>
      </w:r>
      <w:r w:rsidR="00B91117">
        <w:t>ing</w:t>
      </w:r>
      <w:r w:rsidRPr="00955A96">
        <w:t xml:space="preserve"> potential sources of information</w:t>
      </w:r>
      <w:r w:rsidR="00B91117">
        <w:t>;</w:t>
      </w:r>
      <w:r w:rsidRPr="00955A96">
        <w:t xml:space="preserve"> develop</w:t>
      </w:r>
      <w:r w:rsidR="00B91117">
        <w:t>ing</w:t>
      </w:r>
      <w:r w:rsidRPr="00955A96">
        <w:t xml:space="preserve"> and implement</w:t>
      </w:r>
      <w:r w:rsidR="00B91117">
        <w:t>ing</w:t>
      </w:r>
      <w:r w:rsidRPr="00955A96">
        <w:t xml:space="preserve"> an information exchange strategy for the Convention</w:t>
      </w:r>
      <w:r w:rsidR="00B91117">
        <w:t>;</w:t>
      </w:r>
      <w:r w:rsidR="00CA4C07" w:rsidRPr="00955A96">
        <w:t xml:space="preserve"> </w:t>
      </w:r>
      <w:r w:rsidR="00B91117">
        <w:t>d</w:t>
      </w:r>
      <w:r w:rsidRPr="00955A96">
        <w:t>esign</w:t>
      </w:r>
      <w:r w:rsidR="00B91117">
        <w:t>ing</w:t>
      </w:r>
      <w:r w:rsidRPr="00955A96">
        <w:t xml:space="preserve"> and </w:t>
      </w:r>
      <w:r w:rsidR="00B91117" w:rsidRPr="00955A96">
        <w:t>implementing</w:t>
      </w:r>
      <w:r w:rsidRPr="00955A96">
        <w:t xml:space="preserve"> a knowledge management system</w:t>
      </w:r>
      <w:r w:rsidR="00B91117">
        <w:t xml:space="preserve"> and</w:t>
      </w:r>
      <w:r w:rsidRPr="00955A96">
        <w:t xml:space="preserve"> interactive databases, which includes management of </w:t>
      </w:r>
      <w:r w:rsidR="00890A91">
        <w:t>p</w:t>
      </w:r>
      <w:r w:rsidRPr="00955A96">
        <w:t>arties</w:t>
      </w:r>
      <w:r w:rsidR="00B91117">
        <w:t xml:space="preserve">’ </w:t>
      </w:r>
      <w:r w:rsidRPr="00955A96">
        <w:t>reports under Article 21 of the Convention</w:t>
      </w:r>
      <w:r w:rsidR="00B91117">
        <w:t>;</w:t>
      </w:r>
      <w:r w:rsidRPr="00955A96">
        <w:t xml:space="preserve"> </w:t>
      </w:r>
      <w:r w:rsidR="005D00E7">
        <w:t>prepari</w:t>
      </w:r>
      <w:r w:rsidR="002C53A6">
        <w:t>ng</w:t>
      </w:r>
      <w:r w:rsidR="005D00E7">
        <w:t xml:space="preserve"> </w:t>
      </w:r>
      <w:r w:rsidRPr="00955A96">
        <w:t>meeting</w:t>
      </w:r>
      <w:r w:rsidR="00B91117" w:rsidRPr="00B91117">
        <w:t xml:space="preserve"> </w:t>
      </w:r>
      <w:r w:rsidR="00B91117" w:rsidRPr="00955A96">
        <w:t>documents</w:t>
      </w:r>
      <w:r w:rsidR="00B91117">
        <w:t xml:space="preserve"> and</w:t>
      </w:r>
      <w:r w:rsidRPr="00955A96">
        <w:t xml:space="preserve"> correspondence</w:t>
      </w:r>
      <w:r w:rsidR="00B91117">
        <w:t>;</w:t>
      </w:r>
      <w:r w:rsidRPr="00955A96">
        <w:t xml:space="preserve"> </w:t>
      </w:r>
      <w:r w:rsidR="005D00E7">
        <w:t xml:space="preserve">tracking the </w:t>
      </w:r>
      <w:r w:rsidRPr="00955A96">
        <w:t>status of ratifications and accessions</w:t>
      </w:r>
      <w:r w:rsidR="00B91117">
        <w:t>;</w:t>
      </w:r>
      <w:r w:rsidRPr="00955A96">
        <w:t xml:space="preserve"> </w:t>
      </w:r>
      <w:r w:rsidR="002C53A6">
        <w:t xml:space="preserve">managing </w:t>
      </w:r>
      <w:r w:rsidRPr="00955A96">
        <w:t>focal points and country contacts</w:t>
      </w:r>
      <w:r w:rsidR="00B91117">
        <w:t>;</w:t>
      </w:r>
      <w:r w:rsidRPr="00955A96">
        <w:t xml:space="preserve"> </w:t>
      </w:r>
      <w:r w:rsidR="002C53A6">
        <w:t xml:space="preserve">managing </w:t>
      </w:r>
      <w:r w:rsidRPr="00955A96">
        <w:t xml:space="preserve">meeting </w:t>
      </w:r>
      <w:r w:rsidR="002C53A6">
        <w:t xml:space="preserve">and </w:t>
      </w:r>
      <w:r w:rsidRPr="00955A96">
        <w:t>publications database</w:t>
      </w:r>
      <w:r w:rsidR="00D15075">
        <w:t>s</w:t>
      </w:r>
      <w:r w:rsidR="00B91117">
        <w:t>;</w:t>
      </w:r>
      <w:r w:rsidRPr="00955A96">
        <w:t xml:space="preserve"> record</w:t>
      </w:r>
      <w:r w:rsidR="00B91117">
        <w:t>-</w:t>
      </w:r>
      <w:r w:rsidRPr="00955A96">
        <w:t>keeping</w:t>
      </w:r>
      <w:r w:rsidR="00B91117">
        <w:t>;</w:t>
      </w:r>
      <w:r w:rsidRPr="00955A96">
        <w:t xml:space="preserve"> </w:t>
      </w:r>
      <w:r w:rsidR="00B91117">
        <w:t xml:space="preserve">and </w:t>
      </w:r>
      <w:r w:rsidRPr="00955A96">
        <w:t xml:space="preserve">website development and maintenance. </w:t>
      </w:r>
    </w:p>
    <w:p w14:paraId="49599AB2" w14:textId="32F0E91A" w:rsidR="00863F6A" w:rsidRPr="00EE7244" w:rsidRDefault="00863F6A" w:rsidP="00D92A40">
      <w:pPr>
        <w:pStyle w:val="Normalnumber"/>
        <w:numPr>
          <w:ilvl w:val="0"/>
          <w:numId w:val="11"/>
        </w:numPr>
        <w:tabs>
          <w:tab w:val="clear" w:pos="597"/>
        </w:tabs>
        <w:ind w:left="1247"/>
      </w:pPr>
      <w:r w:rsidRPr="00EE7244">
        <w:rPr>
          <w:b/>
          <w:bCs/>
        </w:rPr>
        <w:t>Administrative services and budget preparation</w:t>
      </w:r>
      <w:r w:rsidRPr="00EE7244">
        <w:t xml:space="preserve"> include</w:t>
      </w:r>
      <w:r w:rsidR="00B91117">
        <w:t>s</w:t>
      </w:r>
      <w:r w:rsidRPr="00EE7244">
        <w:t xml:space="preserve"> the financial and administrative functions of the secretariat</w:t>
      </w:r>
      <w:r w:rsidR="00B91117">
        <w:t>,</w:t>
      </w:r>
      <w:r w:rsidRPr="00EE7244">
        <w:t xml:space="preserve"> </w:t>
      </w:r>
      <w:r w:rsidR="00B91117">
        <w:t>such as</w:t>
      </w:r>
      <w:r w:rsidRPr="00EE7244">
        <w:t xml:space="preserve"> human resources</w:t>
      </w:r>
      <w:r w:rsidR="00B91117">
        <w:t xml:space="preserve"> management;</w:t>
      </w:r>
      <w:r w:rsidRPr="00EE7244">
        <w:t xml:space="preserve"> costing of the programme of work</w:t>
      </w:r>
      <w:r w:rsidR="00B91117">
        <w:t>;</w:t>
      </w:r>
      <w:r w:rsidRPr="00EE7244">
        <w:t xml:space="preserve"> budget</w:t>
      </w:r>
      <w:r w:rsidR="00B91117">
        <w:t>ing;</w:t>
      </w:r>
      <w:r w:rsidRPr="00EE7244">
        <w:t xml:space="preserve"> contractual arrangements with service providers and consultants</w:t>
      </w:r>
      <w:r w:rsidR="00B91117">
        <w:t>;</w:t>
      </w:r>
      <w:r w:rsidRPr="00EE7244">
        <w:t xml:space="preserve"> and procurement</w:t>
      </w:r>
      <w:r w:rsidR="00B91117">
        <w:t>,</w:t>
      </w:r>
      <w:r w:rsidRPr="00EE7244">
        <w:t xml:space="preserve"> which could be performed under shared services.</w:t>
      </w:r>
      <w:r w:rsidR="00CA4C07">
        <w:t xml:space="preserve"> </w:t>
      </w:r>
    </w:p>
    <w:p w14:paraId="0D906E04" w14:textId="1C0F6EBA" w:rsidR="00863F6A" w:rsidRPr="00EE7244" w:rsidRDefault="00863F6A" w:rsidP="00D92A40">
      <w:pPr>
        <w:pStyle w:val="Normalnumber"/>
        <w:numPr>
          <w:ilvl w:val="0"/>
          <w:numId w:val="11"/>
        </w:numPr>
        <w:tabs>
          <w:tab w:val="clear" w:pos="597"/>
        </w:tabs>
        <w:ind w:left="1247"/>
      </w:pPr>
      <w:r w:rsidRPr="00EE7244">
        <w:rPr>
          <w:b/>
          <w:bCs/>
        </w:rPr>
        <w:t xml:space="preserve">Legal </w:t>
      </w:r>
      <w:r w:rsidR="00B7535C">
        <w:rPr>
          <w:b/>
          <w:bCs/>
        </w:rPr>
        <w:t xml:space="preserve">services </w:t>
      </w:r>
      <w:r w:rsidRPr="00EE7244">
        <w:t xml:space="preserve">include legal advisory functions </w:t>
      </w:r>
      <w:r w:rsidR="00B7535C">
        <w:t xml:space="preserve">for </w:t>
      </w:r>
      <w:r w:rsidRPr="00EE7244">
        <w:t>the C</w:t>
      </w:r>
      <w:r w:rsidR="00B91117">
        <w:t xml:space="preserve">onference of the </w:t>
      </w:r>
      <w:r w:rsidRPr="00EE7244">
        <w:t>P</w:t>
      </w:r>
      <w:r w:rsidR="00B91117">
        <w:t>arties</w:t>
      </w:r>
      <w:r w:rsidRPr="00EE7244">
        <w:t xml:space="preserve"> and the Bureau</w:t>
      </w:r>
      <w:r w:rsidR="00B91117">
        <w:t>;</w:t>
      </w:r>
      <w:r w:rsidRPr="00EE7244">
        <w:t xml:space="preserve"> legal </w:t>
      </w:r>
      <w:r w:rsidR="00B91117" w:rsidRPr="00EE7244">
        <w:t xml:space="preserve">clearance </w:t>
      </w:r>
      <w:r w:rsidRPr="00EE7244">
        <w:t>of documents and draft decisions</w:t>
      </w:r>
      <w:r w:rsidR="00B91117">
        <w:t>;</w:t>
      </w:r>
      <w:r w:rsidRPr="00EE7244">
        <w:t xml:space="preserve"> drafting</w:t>
      </w:r>
      <w:r w:rsidR="00B91117">
        <w:t xml:space="preserve"> and </w:t>
      </w:r>
      <w:r w:rsidRPr="00EE7244">
        <w:t>revision of rules of procedure and other rules</w:t>
      </w:r>
      <w:r w:rsidR="00B91117">
        <w:t>;</w:t>
      </w:r>
      <w:r w:rsidRPr="00EE7244">
        <w:t xml:space="preserve"> </w:t>
      </w:r>
      <w:r w:rsidR="00B91117">
        <w:t xml:space="preserve">and </w:t>
      </w:r>
      <w:r w:rsidRPr="00EE7244">
        <w:t xml:space="preserve">review of credentials. </w:t>
      </w:r>
      <w:r w:rsidR="00D42FD5">
        <w:t>A</w:t>
      </w:r>
      <w:r w:rsidRPr="00EE7244">
        <w:t>lso include</w:t>
      </w:r>
      <w:r w:rsidR="00D42FD5">
        <w:t>d are</w:t>
      </w:r>
      <w:r w:rsidRPr="00EE7244">
        <w:t xml:space="preserve"> legal advisory services </w:t>
      </w:r>
      <w:r w:rsidR="00687A7E">
        <w:t>for</w:t>
      </w:r>
      <w:r w:rsidRPr="00EE7244">
        <w:t xml:space="preserve"> the </w:t>
      </w:r>
      <w:r w:rsidR="00B7535C">
        <w:t>C</w:t>
      </w:r>
      <w:r w:rsidRPr="00EE7244">
        <w:t>onvention</w:t>
      </w:r>
      <w:r w:rsidR="00B7535C">
        <w:t>,</w:t>
      </w:r>
      <w:r w:rsidRPr="00EE7244">
        <w:t xml:space="preserve"> individual </w:t>
      </w:r>
      <w:r w:rsidR="00890A91">
        <w:t>p</w:t>
      </w:r>
      <w:r w:rsidRPr="00EE7244">
        <w:t xml:space="preserve">arties and stakeholders </w:t>
      </w:r>
      <w:r w:rsidR="00B7535C">
        <w:t>and</w:t>
      </w:r>
      <w:r w:rsidRPr="00EE7244">
        <w:t xml:space="preserve"> the Executive Secretary</w:t>
      </w:r>
      <w:r w:rsidR="00B7535C">
        <w:t>;</w:t>
      </w:r>
      <w:r w:rsidRPr="00EE7244">
        <w:t xml:space="preserve"> compliance </w:t>
      </w:r>
      <w:r w:rsidR="00B7535C">
        <w:t>and</w:t>
      </w:r>
      <w:r w:rsidRPr="00EE7244">
        <w:t xml:space="preserve"> governance matters</w:t>
      </w:r>
      <w:r w:rsidR="00B7535C">
        <w:t>;</w:t>
      </w:r>
      <w:r w:rsidRPr="00EE7244">
        <w:t xml:space="preserve"> obligations of </w:t>
      </w:r>
      <w:r w:rsidR="00890A91">
        <w:t>p</w:t>
      </w:r>
      <w:r w:rsidRPr="00EE7244">
        <w:t>arties</w:t>
      </w:r>
      <w:r w:rsidR="00B7535C">
        <w:t xml:space="preserve">; </w:t>
      </w:r>
      <w:r w:rsidRPr="00EE7244">
        <w:t>legal and policy matters with respect to the implementation and further development of the Convention</w:t>
      </w:r>
      <w:r w:rsidR="00B7535C">
        <w:t xml:space="preserve">; and </w:t>
      </w:r>
      <w:r w:rsidR="00D42FD5">
        <w:t>corporate legal services, encompassing</w:t>
      </w:r>
      <w:r w:rsidR="00B7535C" w:rsidRPr="00EE7244">
        <w:t xml:space="preserve"> legal issues related to procurement, purchasing and co</w:t>
      </w:r>
      <w:r w:rsidR="00B7535C">
        <w:t>ntracts,</w:t>
      </w:r>
      <w:r w:rsidR="00B7535C" w:rsidRPr="00EE7244">
        <w:t xml:space="preserve"> </w:t>
      </w:r>
      <w:r w:rsidR="00B7535C">
        <w:t xml:space="preserve">and the </w:t>
      </w:r>
      <w:r w:rsidR="00B7535C" w:rsidRPr="00EE7244">
        <w:t>drafting, review, negotiation and clearance of agreements</w:t>
      </w:r>
      <w:r w:rsidRPr="00EE7244">
        <w:t xml:space="preserve">. Special support is provided to the work of the Implementation and Compliance Committee. </w:t>
      </w:r>
    </w:p>
    <w:p w14:paraId="78D950A3" w14:textId="4209C1BC" w:rsidR="00863F6A" w:rsidRDefault="00863F6A" w:rsidP="00D92A40">
      <w:pPr>
        <w:pStyle w:val="Normalnumber"/>
        <w:numPr>
          <w:ilvl w:val="0"/>
          <w:numId w:val="11"/>
        </w:numPr>
        <w:tabs>
          <w:tab w:val="clear" w:pos="597"/>
        </w:tabs>
        <w:ind w:left="1247"/>
      </w:pPr>
      <w:r w:rsidRPr="00EE7244">
        <w:rPr>
          <w:b/>
          <w:bCs/>
        </w:rPr>
        <w:t>Office maintenance and services</w:t>
      </w:r>
      <w:r w:rsidRPr="00EE7244">
        <w:t xml:space="preserve"> </w:t>
      </w:r>
      <w:r w:rsidR="00B7535C">
        <w:t xml:space="preserve">includes </w:t>
      </w:r>
      <w:r w:rsidRPr="00EE7244">
        <w:t>information technology services only</w:t>
      </w:r>
      <w:r w:rsidR="00B7535C">
        <w:t>.</w:t>
      </w:r>
      <w:r w:rsidRPr="00EE7244">
        <w:t xml:space="preserve"> The technical lead for </w:t>
      </w:r>
      <w:r w:rsidR="00B7535C" w:rsidRPr="00EE7244">
        <w:t xml:space="preserve">policy and standards </w:t>
      </w:r>
      <w:r w:rsidRPr="00EE7244">
        <w:t xml:space="preserve">oversight is </w:t>
      </w:r>
      <w:r w:rsidR="00B7535C">
        <w:t>the e</w:t>
      </w:r>
      <w:r w:rsidRPr="00EE7244">
        <w:t xml:space="preserve">nterprise </w:t>
      </w:r>
      <w:r w:rsidR="00B7535C">
        <w:t>s</w:t>
      </w:r>
      <w:r w:rsidRPr="00EE7244">
        <w:t>olutions</w:t>
      </w:r>
      <w:r w:rsidR="00B7535C">
        <w:t xml:space="preserve"> </w:t>
      </w:r>
      <w:r w:rsidR="00687A7E">
        <w:t>section of</w:t>
      </w:r>
      <w:r w:rsidR="00B7535C">
        <w:t xml:space="preserve"> the</w:t>
      </w:r>
      <w:r w:rsidRPr="00EE7244">
        <w:t xml:space="preserve"> Corporate Services Division</w:t>
      </w:r>
      <w:r w:rsidR="000262CA">
        <w:t xml:space="preserve"> of UNEP</w:t>
      </w:r>
      <w:r w:rsidRPr="00EE7244">
        <w:t xml:space="preserve">. It is understood that </w:t>
      </w:r>
      <w:r w:rsidR="007A6186">
        <w:t xml:space="preserve">the </w:t>
      </w:r>
      <w:r w:rsidR="00353A22">
        <w:t>s</w:t>
      </w:r>
      <w:r w:rsidR="00890A91">
        <w:t xml:space="preserve">ecretariat of the </w:t>
      </w:r>
      <w:r w:rsidR="007A6186">
        <w:t xml:space="preserve">Basel, Rotterdam and Stockholm </w:t>
      </w:r>
      <w:r w:rsidR="00353A22">
        <w:t>c</w:t>
      </w:r>
      <w:r w:rsidR="007A6186">
        <w:t>onventions</w:t>
      </w:r>
      <w:r w:rsidRPr="00EE7244">
        <w:t xml:space="preserve"> </w:t>
      </w:r>
      <w:r w:rsidR="00890A91">
        <w:t>is</w:t>
      </w:r>
      <w:r w:rsidRPr="00EE7244">
        <w:t xml:space="preserve"> </w:t>
      </w:r>
      <w:r w:rsidR="00687A7E" w:rsidRPr="00EE7244">
        <w:t xml:space="preserve">and </w:t>
      </w:r>
      <w:r w:rsidR="00687A7E">
        <w:t>will</w:t>
      </w:r>
      <w:r w:rsidR="00687A7E" w:rsidRPr="00EE7244">
        <w:t xml:space="preserve"> </w:t>
      </w:r>
      <w:r w:rsidR="00687A7E">
        <w:t>remain</w:t>
      </w:r>
      <w:r w:rsidR="00687A7E" w:rsidRPr="00EE7244">
        <w:t xml:space="preserve"> </w:t>
      </w:r>
      <w:r w:rsidRPr="00EE7244">
        <w:t xml:space="preserve">fully compliant with existing policies and standards. The scope, type and pricing of services will be agreed between </w:t>
      </w:r>
      <w:r w:rsidR="007A6186">
        <w:t>the</w:t>
      </w:r>
      <w:r w:rsidR="00890A91">
        <w:t xml:space="preserve"> </w:t>
      </w:r>
      <w:r w:rsidR="00353A22">
        <w:t>s</w:t>
      </w:r>
      <w:r w:rsidR="00890A91">
        <w:t>ecretariat of the</w:t>
      </w:r>
      <w:r w:rsidR="007A6186">
        <w:t xml:space="preserve"> Basel, Rotterdam and Stockholm </w:t>
      </w:r>
      <w:r w:rsidR="00353A22">
        <w:t>c</w:t>
      </w:r>
      <w:r w:rsidR="007A6186">
        <w:t>onventions</w:t>
      </w:r>
      <w:r w:rsidRPr="00EE7244">
        <w:t xml:space="preserve"> and </w:t>
      </w:r>
      <w:r w:rsidR="00687A7E">
        <w:t xml:space="preserve">the </w:t>
      </w:r>
      <w:r w:rsidR="00890A91">
        <w:t xml:space="preserve">secretariat of the </w:t>
      </w:r>
      <w:r w:rsidRPr="00EE7244">
        <w:t>Minamata</w:t>
      </w:r>
      <w:r w:rsidR="00687A7E">
        <w:t xml:space="preserve"> Convention.</w:t>
      </w:r>
      <w:r w:rsidRPr="00EE7244">
        <w:t xml:space="preserve"> This cluster deals with the infrastructure and services covering </w:t>
      </w:r>
      <w:r w:rsidR="00687A7E">
        <w:t>i</w:t>
      </w:r>
      <w:r w:rsidRPr="00EE7244">
        <w:t xml:space="preserve">nformation </w:t>
      </w:r>
      <w:r w:rsidR="00687A7E">
        <w:t>t</w:t>
      </w:r>
      <w:r w:rsidRPr="00EE7244">
        <w:t>echnology, namely</w:t>
      </w:r>
      <w:r w:rsidR="00CA4C07">
        <w:t xml:space="preserve"> </w:t>
      </w:r>
      <w:r w:rsidRPr="00EE7244">
        <w:t>personal computers and mobile devices, standard software packages, network and Internet connectivity, centrali</w:t>
      </w:r>
      <w:r w:rsidR="00053603">
        <w:t>z</w:t>
      </w:r>
      <w:r w:rsidRPr="00EE7244">
        <w:t>ed data storage and backup, purchase of</w:t>
      </w:r>
      <w:r w:rsidR="00687A7E">
        <w:t xml:space="preserve"> computers and related</w:t>
      </w:r>
      <w:r w:rsidRPr="00EE7244">
        <w:t xml:space="preserve"> equipment, photocopiers and</w:t>
      </w:r>
      <w:r w:rsidR="00CA4C07">
        <w:t xml:space="preserve"> </w:t>
      </w:r>
      <w:r w:rsidRPr="00EE7244">
        <w:t xml:space="preserve">network printers, videoconferencing, webinars, remote access services, wireless services, hosting of servers and websites, </w:t>
      </w:r>
      <w:r w:rsidR="00890A91">
        <w:t>information technology</w:t>
      </w:r>
      <w:r w:rsidR="00890A91" w:rsidRPr="00EE7244">
        <w:t xml:space="preserve"> </w:t>
      </w:r>
      <w:r w:rsidRPr="00EE7244">
        <w:t xml:space="preserve">help desk, network administration and configuration, </w:t>
      </w:r>
      <w:r w:rsidR="00890A91">
        <w:t>information technology</w:t>
      </w:r>
      <w:r w:rsidR="00890A91" w:rsidRPr="00EE7244">
        <w:t xml:space="preserve"> </w:t>
      </w:r>
      <w:r w:rsidRPr="00EE7244">
        <w:t xml:space="preserve">servicing at meetings and network security services. </w:t>
      </w:r>
    </w:p>
    <w:p w14:paraId="43F77E77" w14:textId="0B5A1CB2" w:rsidR="00863F6A" w:rsidRPr="00EE7244" w:rsidRDefault="00720BF5" w:rsidP="00D92A40">
      <w:pPr>
        <w:pStyle w:val="Normalnumber"/>
        <w:numPr>
          <w:ilvl w:val="0"/>
          <w:numId w:val="11"/>
        </w:numPr>
        <w:tabs>
          <w:tab w:val="clear" w:pos="597"/>
        </w:tabs>
        <w:ind w:left="1247"/>
      </w:pPr>
      <w:r>
        <w:t xml:space="preserve">Section B of </w:t>
      </w:r>
      <w:r w:rsidR="00863F6A">
        <w:t xml:space="preserve">Annex </w:t>
      </w:r>
      <w:r w:rsidR="00890A91">
        <w:t>I</w:t>
      </w:r>
      <w:r w:rsidR="00863F6A">
        <w:t xml:space="preserve"> </w:t>
      </w:r>
      <w:r>
        <w:t xml:space="preserve">to the present proposal </w:t>
      </w:r>
      <w:r w:rsidR="00863F6A" w:rsidRPr="00EE7244">
        <w:t xml:space="preserve">provides staff costs as presented in the Executive Secretary’s budget proposal for the biennium </w:t>
      </w:r>
      <w:r w:rsidR="00CE554D">
        <w:t>2020</w:t>
      </w:r>
      <w:r w:rsidR="00353A22">
        <w:t>–</w:t>
      </w:r>
      <w:r w:rsidR="00CE554D">
        <w:t>2021</w:t>
      </w:r>
      <w:r w:rsidR="00C20619">
        <w:t xml:space="preserve">, </w:t>
      </w:r>
      <w:r w:rsidR="00863F6A" w:rsidRPr="00EE7244">
        <w:t>and an indication of which</w:t>
      </w:r>
      <w:r w:rsidR="00D63309">
        <w:t xml:space="preserve"> costs</w:t>
      </w:r>
      <w:r w:rsidR="00863F6A" w:rsidRPr="00EE7244">
        <w:t xml:space="preserve"> could be allocated to shared services with </w:t>
      </w:r>
      <w:r w:rsidR="00D63309" w:rsidRPr="00D63309">
        <w:t xml:space="preserve">the </w:t>
      </w:r>
      <w:r>
        <w:t xml:space="preserve">Secretariat of the </w:t>
      </w:r>
      <w:r w:rsidR="00D63309" w:rsidRPr="00D63309">
        <w:t xml:space="preserve">Basel, Rotterdam and Stockholm </w:t>
      </w:r>
      <w:r>
        <w:t>C</w:t>
      </w:r>
      <w:r w:rsidR="00D63309" w:rsidRPr="00D63309">
        <w:t>onventions</w:t>
      </w:r>
      <w:r w:rsidR="00863F6A" w:rsidRPr="00EE7244">
        <w:t xml:space="preserve">. </w:t>
      </w:r>
    </w:p>
    <w:p w14:paraId="6F88251F" w14:textId="77777777" w:rsidR="00863F6A" w:rsidRPr="005677F3" w:rsidRDefault="00863F6A" w:rsidP="00D92A40">
      <w:pPr>
        <w:pStyle w:val="Normal-pool"/>
      </w:pPr>
    </w:p>
    <w:p w14:paraId="5504FCD6" w14:textId="77777777" w:rsidR="00863F6A" w:rsidRPr="00D92A40" w:rsidRDefault="00863F6A" w:rsidP="00D92A40">
      <w:pPr>
        <w:pStyle w:val="Normal-pool"/>
      </w:pPr>
      <w:r w:rsidRPr="00D92A40">
        <w:br w:type="page"/>
      </w:r>
    </w:p>
    <w:p w14:paraId="3B649135" w14:textId="260067C2" w:rsidR="00863F6A" w:rsidRDefault="000A7F53" w:rsidP="00D92A40">
      <w:pPr>
        <w:pStyle w:val="CH2"/>
      </w:pPr>
      <w:r>
        <w:lastRenderedPageBreak/>
        <w:tab/>
      </w:r>
      <w:bookmarkStart w:id="37" w:name="_Toc22825251"/>
      <w:r w:rsidR="00E14E7E">
        <w:t>B</w:t>
      </w:r>
      <w:r w:rsidR="001639C5">
        <w:t>.</w:t>
      </w:r>
      <w:bookmarkStart w:id="38" w:name="_Toc21073447"/>
      <w:r>
        <w:tab/>
      </w:r>
      <w:bookmarkStart w:id="39" w:name="_Toc22279026"/>
      <w:r w:rsidR="00863F6A" w:rsidRPr="00297F53">
        <w:t xml:space="preserve">Funding of positions </w:t>
      </w:r>
      <w:r w:rsidR="00863F6A">
        <w:t xml:space="preserve">for </w:t>
      </w:r>
      <w:r w:rsidR="00C06171">
        <w:t xml:space="preserve">redeployment of </w:t>
      </w:r>
      <w:r w:rsidR="00F15A4F" w:rsidRPr="00297F53">
        <w:t xml:space="preserve">staff </w:t>
      </w:r>
      <w:r w:rsidR="00863F6A">
        <w:t>from</w:t>
      </w:r>
      <w:r w:rsidR="00F15A4F">
        <w:t xml:space="preserve"> the</w:t>
      </w:r>
      <w:r w:rsidR="00863F6A">
        <w:t xml:space="preserve"> </w:t>
      </w:r>
      <w:r w:rsidR="001639C5">
        <w:t>secret</w:t>
      </w:r>
      <w:r w:rsidR="00E14E7E">
        <w:t xml:space="preserve">ariat of the </w:t>
      </w:r>
      <w:r w:rsidR="00863F6A">
        <w:t xml:space="preserve">Minamata Convention to </w:t>
      </w:r>
      <w:r w:rsidR="001639C5">
        <w:t xml:space="preserve">the </w:t>
      </w:r>
      <w:r w:rsidR="00353A22">
        <w:t>s</w:t>
      </w:r>
      <w:r w:rsidR="00E14E7E">
        <w:t xml:space="preserve">ecretariat of </w:t>
      </w:r>
      <w:r w:rsidR="00F15A4F">
        <w:t xml:space="preserve">the Basel, Rotterdam and Stockholm </w:t>
      </w:r>
      <w:r w:rsidR="00353A22">
        <w:t>c</w:t>
      </w:r>
      <w:r w:rsidR="00F15A4F">
        <w:t>onventions</w:t>
      </w:r>
      <w:bookmarkEnd w:id="37"/>
      <w:bookmarkEnd w:id="39"/>
      <w:r w:rsidR="00F15A4F" w:rsidRPr="00EE7244">
        <w:t xml:space="preserve"> </w:t>
      </w:r>
      <w:bookmarkEnd w:id="38"/>
    </w:p>
    <w:tbl>
      <w:tblPr>
        <w:tblStyle w:val="TableGrid"/>
        <w:tblW w:w="8307"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425"/>
        <w:gridCol w:w="1174"/>
        <w:gridCol w:w="1354"/>
        <w:gridCol w:w="1354"/>
      </w:tblGrid>
      <w:tr w:rsidR="00863F6A" w:rsidRPr="00CD2C48" w14:paraId="43983264" w14:textId="77777777" w:rsidTr="00174DCA">
        <w:trPr>
          <w:trHeight w:val="57"/>
          <w:jc w:val="right"/>
        </w:trPr>
        <w:tc>
          <w:tcPr>
            <w:tcW w:w="4425" w:type="dxa"/>
            <w:tcBorders>
              <w:top w:val="single" w:sz="2" w:space="0" w:color="auto"/>
              <w:left w:val="dotted" w:sz="4" w:space="0" w:color="auto"/>
              <w:bottom w:val="single" w:sz="12" w:space="0" w:color="auto"/>
              <w:right w:val="dotted" w:sz="4" w:space="0" w:color="auto"/>
            </w:tcBorders>
          </w:tcPr>
          <w:p w14:paraId="19769A8B" w14:textId="3E63F6EA" w:rsidR="00863F6A" w:rsidRPr="00174DCA" w:rsidRDefault="00863F6A" w:rsidP="00174DCA">
            <w:pPr>
              <w:pStyle w:val="Normal-pool"/>
              <w:spacing w:before="40" w:after="40"/>
              <w:rPr>
                <w:b/>
                <w:sz w:val="18"/>
                <w:szCs w:val="18"/>
              </w:rPr>
            </w:pPr>
            <w:r w:rsidRPr="00174DCA">
              <w:rPr>
                <w:b/>
                <w:sz w:val="18"/>
                <w:szCs w:val="18"/>
              </w:rPr>
              <w:t xml:space="preserve">A. Funded by </w:t>
            </w:r>
            <w:r w:rsidR="00954463" w:rsidRPr="00CD2C48">
              <w:rPr>
                <w:b/>
                <w:sz w:val="18"/>
                <w:szCs w:val="18"/>
              </w:rPr>
              <w:t xml:space="preserve">the </w:t>
            </w:r>
            <w:r w:rsidRPr="00174DCA">
              <w:rPr>
                <w:b/>
                <w:sz w:val="18"/>
                <w:szCs w:val="18"/>
              </w:rPr>
              <w:t>Minamata Convention Trust Fund</w:t>
            </w:r>
          </w:p>
        </w:tc>
        <w:tc>
          <w:tcPr>
            <w:tcW w:w="1174" w:type="dxa"/>
            <w:tcBorders>
              <w:top w:val="single" w:sz="2" w:space="0" w:color="auto"/>
              <w:left w:val="dotted" w:sz="4" w:space="0" w:color="auto"/>
              <w:bottom w:val="single" w:sz="12" w:space="0" w:color="auto"/>
              <w:right w:val="dotted" w:sz="4" w:space="0" w:color="auto"/>
            </w:tcBorders>
          </w:tcPr>
          <w:p w14:paraId="63F05A7D" w14:textId="51BD10DD" w:rsidR="00863F6A" w:rsidRPr="00CD2C48" w:rsidRDefault="00863F6A" w:rsidP="00174DCA">
            <w:pPr>
              <w:pStyle w:val="Normal-pool"/>
              <w:spacing w:before="40" w:after="40"/>
              <w:jc w:val="right"/>
              <w:rPr>
                <w:i/>
                <w:sz w:val="18"/>
                <w:szCs w:val="18"/>
              </w:rPr>
            </w:pPr>
            <w:r w:rsidRPr="00CD2C48">
              <w:rPr>
                <w:i/>
                <w:sz w:val="18"/>
                <w:szCs w:val="18"/>
              </w:rPr>
              <w:t xml:space="preserve">All </w:t>
            </w:r>
            <w:r w:rsidR="00954463" w:rsidRPr="00CD2C48">
              <w:rPr>
                <w:i/>
                <w:sz w:val="18"/>
                <w:szCs w:val="18"/>
              </w:rPr>
              <w:t>p</w:t>
            </w:r>
            <w:r w:rsidRPr="00CD2C48">
              <w:rPr>
                <w:i/>
                <w:sz w:val="18"/>
                <w:szCs w:val="18"/>
              </w:rPr>
              <w:t>osts</w:t>
            </w:r>
          </w:p>
        </w:tc>
        <w:tc>
          <w:tcPr>
            <w:tcW w:w="1354" w:type="dxa"/>
            <w:tcBorders>
              <w:top w:val="single" w:sz="2" w:space="0" w:color="auto"/>
              <w:left w:val="dotted" w:sz="4" w:space="0" w:color="auto"/>
              <w:bottom w:val="single" w:sz="12" w:space="0" w:color="auto"/>
              <w:right w:val="dotted" w:sz="4" w:space="0" w:color="auto"/>
            </w:tcBorders>
          </w:tcPr>
          <w:p w14:paraId="16CC6539" w14:textId="77777777" w:rsidR="00863F6A" w:rsidRPr="00CD2C48" w:rsidRDefault="00863F6A" w:rsidP="00174DCA">
            <w:pPr>
              <w:pStyle w:val="Normal-pool"/>
              <w:spacing w:before="40" w:after="40"/>
              <w:jc w:val="right"/>
              <w:rPr>
                <w:i/>
                <w:sz w:val="18"/>
                <w:szCs w:val="18"/>
              </w:rPr>
            </w:pPr>
            <w:r w:rsidRPr="00CD2C48">
              <w:rPr>
                <w:i/>
                <w:sz w:val="18"/>
                <w:szCs w:val="18"/>
              </w:rPr>
              <w:t>Transfer to BRS</w:t>
            </w:r>
          </w:p>
        </w:tc>
        <w:tc>
          <w:tcPr>
            <w:tcW w:w="1354" w:type="dxa"/>
            <w:tcBorders>
              <w:top w:val="single" w:sz="2" w:space="0" w:color="auto"/>
              <w:left w:val="dotted" w:sz="4" w:space="0" w:color="auto"/>
              <w:bottom w:val="single" w:sz="12" w:space="0" w:color="auto"/>
              <w:right w:val="dotted" w:sz="4" w:space="0" w:color="auto"/>
            </w:tcBorders>
          </w:tcPr>
          <w:p w14:paraId="3A540031" w14:textId="77777777" w:rsidR="00863F6A" w:rsidRPr="00CD2C48" w:rsidRDefault="00863F6A" w:rsidP="00174DCA">
            <w:pPr>
              <w:pStyle w:val="Normal-pool"/>
              <w:spacing w:before="40" w:after="40"/>
              <w:jc w:val="right"/>
              <w:rPr>
                <w:i/>
                <w:sz w:val="18"/>
                <w:szCs w:val="18"/>
              </w:rPr>
            </w:pPr>
            <w:r w:rsidRPr="00CD2C48">
              <w:rPr>
                <w:i/>
                <w:sz w:val="18"/>
                <w:szCs w:val="18"/>
              </w:rPr>
              <w:t>Remain in MC</w:t>
            </w:r>
          </w:p>
        </w:tc>
      </w:tr>
      <w:tr w:rsidR="00863F6A" w:rsidRPr="00CD2C48" w14:paraId="6B2CF6E5" w14:textId="77777777" w:rsidTr="00174DCA">
        <w:trPr>
          <w:trHeight w:val="57"/>
          <w:jc w:val="right"/>
        </w:trPr>
        <w:tc>
          <w:tcPr>
            <w:tcW w:w="4425" w:type="dxa"/>
            <w:tcBorders>
              <w:top w:val="single" w:sz="12" w:space="0" w:color="auto"/>
            </w:tcBorders>
          </w:tcPr>
          <w:p w14:paraId="40D1F0F5" w14:textId="77777777" w:rsidR="00863F6A" w:rsidRPr="00CD2C48" w:rsidRDefault="00863F6A" w:rsidP="00174DCA">
            <w:pPr>
              <w:pStyle w:val="Normal-pool"/>
              <w:spacing w:before="40" w:after="40"/>
              <w:rPr>
                <w:sz w:val="18"/>
                <w:szCs w:val="18"/>
              </w:rPr>
            </w:pPr>
            <w:r w:rsidRPr="00CD2C48">
              <w:rPr>
                <w:sz w:val="18"/>
                <w:szCs w:val="18"/>
              </w:rPr>
              <w:t>D1 – Executive Secretary</w:t>
            </w:r>
          </w:p>
        </w:tc>
        <w:tc>
          <w:tcPr>
            <w:tcW w:w="1174" w:type="dxa"/>
            <w:tcBorders>
              <w:top w:val="single" w:sz="12" w:space="0" w:color="auto"/>
            </w:tcBorders>
          </w:tcPr>
          <w:p w14:paraId="5115BD8C" w14:textId="5D3CDB28" w:rsidR="00863F6A" w:rsidRPr="00CD2C48" w:rsidRDefault="00863F6A" w:rsidP="00174DCA">
            <w:pPr>
              <w:pStyle w:val="Normal-pool"/>
              <w:spacing w:before="40" w:after="40"/>
              <w:jc w:val="right"/>
              <w:rPr>
                <w:sz w:val="18"/>
                <w:szCs w:val="18"/>
              </w:rPr>
            </w:pPr>
            <w:r w:rsidRPr="00CD2C48">
              <w:rPr>
                <w:sz w:val="18"/>
                <w:szCs w:val="18"/>
              </w:rPr>
              <w:t>565</w:t>
            </w:r>
            <w:r w:rsidR="00183C35" w:rsidRPr="00CD2C48">
              <w:rPr>
                <w:sz w:val="18"/>
                <w:szCs w:val="18"/>
              </w:rPr>
              <w:t xml:space="preserve"> </w:t>
            </w:r>
            <w:r w:rsidRPr="00CD2C48">
              <w:rPr>
                <w:sz w:val="18"/>
                <w:szCs w:val="18"/>
              </w:rPr>
              <w:t>496</w:t>
            </w:r>
          </w:p>
        </w:tc>
        <w:tc>
          <w:tcPr>
            <w:tcW w:w="1354" w:type="dxa"/>
            <w:tcBorders>
              <w:top w:val="single" w:sz="12" w:space="0" w:color="auto"/>
            </w:tcBorders>
          </w:tcPr>
          <w:p w14:paraId="4A1575D5" w14:textId="130C7499"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Borders>
              <w:top w:val="single" w:sz="12" w:space="0" w:color="auto"/>
            </w:tcBorders>
          </w:tcPr>
          <w:p w14:paraId="34563B48" w14:textId="02B06474" w:rsidR="00863F6A" w:rsidRPr="00CD2C48" w:rsidRDefault="00863F6A" w:rsidP="00174DCA">
            <w:pPr>
              <w:pStyle w:val="Normal-pool"/>
              <w:spacing w:before="40" w:after="40"/>
              <w:jc w:val="right"/>
              <w:rPr>
                <w:sz w:val="18"/>
                <w:szCs w:val="18"/>
              </w:rPr>
            </w:pPr>
            <w:r w:rsidRPr="00CD2C48">
              <w:rPr>
                <w:sz w:val="18"/>
                <w:szCs w:val="18"/>
              </w:rPr>
              <w:t>565</w:t>
            </w:r>
            <w:r w:rsidR="00183C35" w:rsidRPr="00CD2C48">
              <w:rPr>
                <w:sz w:val="18"/>
                <w:szCs w:val="18"/>
              </w:rPr>
              <w:t xml:space="preserve"> </w:t>
            </w:r>
            <w:r w:rsidRPr="00CD2C48">
              <w:rPr>
                <w:sz w:val="18"/>
                <w:szCs w:val="18"/>
              </w:rPr>
              <w:t>496</w:t>
            </w:r>
          </w:p>
        </w:tc>
      </w:tr>
      <w:tr w:rsidR="00863F6A" w:rsidRPr="00CD2C48" w14:paraId="4DDC1D71" w14:textId="77777777" w:rsidTr="00174DCA">
        <w:trPr>
          <w:trHeight w:val="57"/>
          <w:jc w:val="right"/>
        </w:trPr>
        <w:tc>
          <w:tcPr>
            <w:tcW w:w="4425" w:type="dxa"/>
          </w:tcPr>
          <w:p w14:paraId="3708A2CE" w14:textId="440A5E3A" w:rsidR="00863F6A" w:rsidRPr="00CD2C48" w:rsidRDefault="00863F6A" w:rsidP="00174DCA">
            <w:pPr>
              <w:pStyle w:val="Normal-pool"/>
              <w:spacing w:before="40" w:after="40"/>
              <w:rPr>
                <w:sz w:val="18"/>
                <w:szCs w:val="18"/>
              </w:rPr>
            </w:pPr>
            <w:r w:rsidRPr="00CD2C48">
              <w:rPr>
                <w:sz w:val="18"/>
                <w:szCs w:val="18"/>
              </w:rPr>
              <w:t xml:space="preserve">P5 – Coordination and </w:t>
            </w:r>
            <w:r w:rsidR="00B46134" w:rsidRPr="00CD2C48">
              <w:rPr>
                <w:sz w:val="18"/>
                <w:szCs w:val="18"/>
              </w:rPr>
              <w:t>p</w:t>
            </w:r>
            <w:r w:rsidRPr="00CD2C48">
              <w:rPr>
                <w:sz w:val="18"/>
                <w:szCs w:val="18"/>
              </w:rPr>
              <w:t>olicy</w:t>
            </w:r>
          </w:p>
        </w:tc>
        <w:tc>
          <w:tcPr>
            <w:tcW w:w="1174" w:type="dxa"/>
          </w:tcPr>
          <w:p w14:paraId="615A9D2A" w14:textId="5CCDB7BB" w:rsidR="00863F6A" w:rsidRPr="00CD2C48" w:rsidRDefault="00863F6A" w:rsidP="00174DCA">
            <w:pPr>
              <w:pStyle w:val="Normal-pool"/>
              <w:spacing w:before="40" w:after="40"/>
              <w:jc w:val="right"/>
              <w:rPr>
                <w:sz w:val="18"/>
                <w:szCs w:val="18"/>
              </w:rPr>
            </w:pPr>
            <w:r w:rsidRPr="00CD2C48">
              <w:rPr>
                <w:sz w:val="18"/>
                <w:szCs w:val="18"/>
              </w:rPr>
              <w:t>507</w:t>
            </w:r>
            <w:r w:rsidR="00183C35" w:rsidRPr="00CD2C48">
              <w:rPr>
                <w:sz w:val="18"/>
                <w:szCs w:val="18"/>
              </w:rPr>
              <w:t xml:space="preserve"> </w:t>
            </w:r>
            <w:r w:rsidRPr="00CD2C48">
              <w:rPr>
                <w:sz w:val="18"/>
                <w:szCs w:val="18"/>
              </w:rPr>
              <w:t>409</w:t>
            </w:r>
          </w:p>
        </w:tc>
        <w:tc>
          <w:tcPr>
            <w:tcW w:w="1354" w:type="dxa"/>
          </w:tcPr>
          <w:p w14:paraId="6C4C3669" w14:textId="3CED6201"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42D05866" w14:textId="5B0E578D" w:rsidR="00863F6A" w:rsidRPr="00CD2C48" w:rsidRDefault="00863F6A" w:rsidP="00174DCA">
            <w:pPr>
              <w:pStyle w:val="Normal-pool"/>
              <w:spacing w:before="40" w:after="40"/>
              <w:jc w:val="right"/>
              <w:rPr>
                <w:sz w:val="18"/>
                <w:szCs w:val="18"/>
              </w:rPr>
            </w:pPr>
            <w:r w:rsidRPr="00CD2C48">
              <w:rPr>
                <w:sz w:val="18"/>
                <w:szCs w:val="18"/>
              </w:rPr>
              <w:t>507</w:t>
            </w:r>
            <w:r w:rsidR="00183C35" w:rsidRPr="00CD2C48">
              <w:rPr>
                <w:sz w:val="18"/>
                <w:szCs w:val="18"/>
              </w:rPr>
              <w:t xml:space="preserve"> </w:t>
            </w:r>
            <w:r w:rsidRPr="00CD2C48">
              <w:rPr>
                <w:sz w:val="18"/>
                <w:szCs w:val="18"/>
              </w:rPr>
              <w:t>409</w:t>
            </w:r>
          </w:p>
        </w:tc>
      </w:tr>
      <w:tr w:rsidR="00863F6A" w:rsidRPr="00CD2C48" w14:paraId="201BE9D4" w14:textId="77777777" w:rsidTr="00174DCA">
        <w:trPr>
          <w:trHeight w:val="57"/>
          <w:jc w:val="right"/>
        </w:trPr>
        <w:tc>
          <w:tcPr>
            <w:tcW w:w="4425" w:type="dxa"/>
          </w:tcPr>
          <w:p w14:paraId="10625078" w14:textId="50419529" w:rsidR="00863F6A" w:rsidRPr="00CD2C48" w:rsidRDefault="00863F6A" w:rsidP="00174DCA">
            <w:pPr>
              <w:pStyle w:val="Normal-pool"/>
              <w:spacing w:before="40" w:after="40"/>
              <w:rPr>
                <w:sz w:val="18"/>
                <w:szCs w:val="18"/>
              </w:rPr>
            </w:pPr>
            <w:r w:rsidRPr="00CD2C48">
              <w:rPr>
                <w:sz w:val="18"/>
                <w:szCs w:val="18"/>
              </w:rPr>
              <w:t xml:space="preserve">P4 – Science and </w:t>
            </w:r>
            <w:r w:rsidR="00B46134" w:rsidRPr="00CD2C48">
              <w:rPr>
                <w:sz w:val="18"/>
                <w:szCs w:val="18"/>
              </w:rPr>
              <w:t>t</w:t>
            </w:r>
            <w:r w:rsidRPr="00CD2C48">
              <w:rPr>
                <w:sz w:val="18"/>
                <w:szCs w:val="18"/>
              </w:rPr>
              <w:t>echnology</w:t>
            </w:r>
          </w:p>
        </w:tc>
        <w:tc>
          <w:tcPr>
            <w:tcW w:w="1174" w:type="dxa"/>
          </w:tcPr>
          <w:p w14:paraId="26B5CBF6" w14:textId="7F043708"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c>
          <w:tcPr>
            <w:tcW w:w="1354" w:type="dxa"/>
          </w:tcPr>
          <w:p w14:paraId="275E50F8" w14:textId="5D548F4C"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68550133" w14:textId="5FC038BF"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r>
      <w:tr w:rsidR="00863F6A" w:rsidRPr="00CD2C48" w14:paraId="193B83F9" w14:textId="77777777" w:rsidTr="00174DCA">
        <w:trPr>
          <w:trHeight w:val="57"/>
          <w:jc w:val="right"/>
        </w:trPr>
        <w:tc>
          <w:tcPr>
            <w:tcW w:w="4425" w:type="dxa"/>
          </w:tcPr>
          <w:p w14:paraId="69E63DDC" w14:textId="03B90935" w:rsidR="00863F6A" w:rsidRPr="00CD2C48" w:rsidRDefault="00863F6A" w:rsidP="00174DCA">
            <w:pPr>
              <w:pStyle w:val="Normal-pool"/>
              <w:spacing w:before="40" w:after="40"/>
              <w:rPr>
                <w:sz w:val="18"/>
                <w:szCs w:val="18"/>
              </w:rPr>
            </w:pPr>
            <w:r w:rsidRPr="00CD2C48">
              <w:rPr>
                <w:sz w:val="18"/>
                <w:szCs w:val="18"/>
              </w:rPr>
              <w:t xml:space="preserve">P4 – Capacity-building and </w:t>
            </w:r>
            <w:r w:rsidR="00B46134" w:rsidRPr="00CD2C48">
              <w:rPr>
                <w:sz w:val="18"/>
                <w:szCs w:val="18"/>
              </w:rPr>
              <w:t>t</w:t>
            </w:r>
            <w:r w:rsidRPr="00CD2C48">
              <w:rPr>
                <w:sz w:val="18"/>
                <w:szCs w:val="18"/>
              </w:rPr>
              <w:t xml:space="preserve">echnical </w:t>
            </w:r>
            <w:r w:rsidR="00B46134" w:rsidRPr="00CD2C48">
              <w:rPr>
                <w:sz w:val="18"/>
                <w:szCs w:val="18"/>
              </w:rPr>
              <w:t>a</w:t>
            </w:r>
            <w:r w:rsidRPr="00CD2C48">
              <w:rPr>
                <w:sz w:val="18"/>
                <w:szCs w:val="18"/>
              </w:rPr>
              <w:t>ssistance</w:t>
            </w:r>
          </w:p>
        </w:tc>
        <w:tc>
          <w:tcPr>
            <w:tcW w:w="1174" w:type="dxa"/>
          </w:tcPr>
          <w:p w14:paraId="40E00494" w14:textId="6CA2E8D4"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c>
          <w:tcPr>
            <w:tcW w:w="1354" w:type="dxa"/>
          </w:tcPr>
          <w:p w14:paraId="6D1C6B91" w14:textId="40CAFE28"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c>
          <w:tcPr>
            <w:tcW w:w="1354" w:type="dxa"/>
          </w:tcPr>
          <w:p w14:paraId="765796A7" w14:textId="3995EEF9"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7F716FF1" w14:textId="77777777" w:rsidTr="001639C5">
        <w:trPr>
          <w:trHeight w:val="57"/>
          <w:jc w:val="right"/>
        </w:trPr>
        <w:tc>
          <w:tcPr>
            <w:tcW w:w="4425" w:type="dxa"/>
          </w:tcPr>
          <w:p w14:paraId="1B42B250" w14:textId="4C6A0D0D" w:rsidR="00863F6A" w:rsidRPr="00CD2C48" w:rsidRDefault="00863F6A" w:rsidP="00E14E7E">
            <w:pPr>
              <w:pStyle w:val="Normal-pool"/>
              <w:rPr>
                <w:sz w:val="18"/>
                <w:szCs w:val="18"/>
              </w:rPr>
            </w:pPr>
            <w:r w:rsidRPr="00CD2C48">
              <w:rPr>
                <w:sz w:val="18"/>
                <w:szCs w:val="18"/>
              </w:rPr>
              <w:t>P4 – Programme Officer</w:t>
            </w:r>
          </w:p>
        </w:tc>
        <w:tc>
          <w:tcPr>
            <w:tcW w:w="1174" w:type="dxa"/>
          </w:tcPr>
          <w:p w14:paraId="68BF6C25" w14:textId="46852929"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c>
          <w:tcPr>
            <w:tcW w:w="1354" w:type="dxa"/>
          </w:tcPr>
          <w:p w14:paraId="12A4B36B" w14:textId="79E6E0DF"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5383B988" w14:textId="7D88E18F"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r>
      <w:tr w:rsidR="00863F6A" w:rsidRPr="00CD2C48" w14:paraId="56A0B81C" w14:textId="77777777" w:rsidTr="001639C5">
        <w:trPr>
          <w:trHeight w:val="57"/>
          <w:jc w:val="right"/>
        </w:trPr>
        <w:tc>
          <w:tcPr>
            <w:tcW w:w="4425" w:type="dxa"/>
          </w:tcPr>
          <w:p w14:paraId="3DE07314" w14:textId="052EA5CA" w:rsidR="00863F6A" w:rsidRPr="00CD2C48" w:rsidRDefault="00863F6A" w:rsidP="00E14E7E">
            <w:pPr>
              <w:pStyle w:val="Normal-pool"/>
              <w:rPr>
                <w:sz w:val="18"/>
                <w:szCs w:val="18"/>
              </w:rPr>
            </w:pPr>
            <w:r w:rsidRPr="00CD2C48">
              <w:rPr>
                <w:sz w:val="18"/>
                <w:szCs w:val="18"/>
              </w:rPr>
              <w:t>P3 – Legal Officer</w:t>
            </w:r>
          </w:p>
        </w:tc>
        <w:tc>
          <w:tcPr>
            <w:tcW w:w="1174" w:type="dxa"/>
          </w:tcPr>
          <w:p w14:paraId="66AB89ED" w14:textId="074218B9"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c>
          <w:tcPr>
            <w:tcW w:w="1354" w:type="dxa"/>
          </w:tcPr>
          <w:p w14:paraId="5DD723C2" w14:textId="0DBB28BB"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c>
          <w:tcPr>
            <w:tcW w:w="1354" w:type="dxa"/>
          </w:tcPr>
          <w:p w14:paraId="2183C170" w14:textId="2A68E8AE"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6E9A3CE6" w14:textId="77777777" w:rsidTr="001639C5">
        <w:trPr>
          <w:trHeight w:val="57"/>
          <w:jc w:val="right"/>
        </w:trPr>
        <w:tc>
          <w:tcPr>
            <w:tcW w:w="4425" w:type="dxa"/>
          </w:tcPr>
          <w:p w14:paraId="6EC3DC84" w14:textId="67EE3AE4" w:rsidR="00863F6A" w:rsidRPr="00CD2C48" w:rsidRDefault="00863F6A" w:rsidP="00E14E7E">
            <w:pPr>
              <w:pStyle w:val="Normal-pool"/>
              <w:rPr>
                <w:sz w:val="18"/>
                <w:szCs w:val="18"/>
              </w:rPr>
            </w:pPr>
            <w:r w:rsidRPr="00CD2C48">
              <w:rPr>
                <w:sz w:val="18"/>
                <w:szCs w:val="18"/>
              </w:rPr>
              <w:t>P3 – Communications Officer</w:t>
            </w:r>
          </w:p>
        </w:tc>
        <w:tc>
          <w:tcPr>
            <w:tcW w:w="1174" w:type="dxa"/>
          </w:tcPr>
          <w:p w14:paraId="6AEFA5B1" w14:textId="60165843"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c>
          <w:tcPr>
            <w:tcW w:w="1354" w:type="dxa"/>
          </w:tcPr>
          <w:p w14:paraId="06B46D51" w14:textId="6AAB8390"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52D27333" w14:textId="5444E35F"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r>
      <w:tr w:rsidR="00863F6A" w:rsidRPr="00CD2C48" w14:paraId="1F2BFCCE" w14:textId="77777777" w:rsidTr="00174DCA">
        <w:trPr>
          <w:trHeight w:val="57"/>
          <w:jc w:val="right"/>
        </w:trPr>
        <w:tc>
          <w:tcPr>
            <w:tcW w:w="4425" w:type="dxa"/>
          </w:tcPr>
          <w:p w14:paraId="2E1F276F" w14:textId="71D395F7" w:rsidR="00863F6A" w:rsidRPr="00CD2C48" w:rsidRDefault="00863F6A" w:rsidP="00174DCA">
            <w:pPr>
              <w:pStyle w:val="Normal-pool"/>
              <w:spacing w:before="40" w:after="40"/>
              <w:rPr>
                <w:sz w:val="18"/>
                <w:szCs w:val="18"/>
              </w:rPr>
            </w:pPr>
            <w:r w:rsidRPr="00CD2C48">
              <w:rPr>
                <w:sz w:val="18"/>
                <w:szCs w:val="18"/>
              </w:rPr>
              <w:t xml:space="preserve">P3 – Knowledge </w:t>
            </w:r>
            <w:r w:rsidR="00B46134" w:rsidRPr="00CD2C48">
              <w:rPr>
                <w:sz w:val="18"/>
                <w:szCs w:val="18"/>
              </w:rPr>
              <w:t>m</w:t>
            </w:r>
            <w:r w:rsidRPr="00CD2C48">
              <w:rPr>
                <w:sz w:val="18"/>
                <w:szCs w:val="18"/>
              </w:rPr>
              <w:t>anagement</w:t>
            </w:r>
          </w:p>
        </w:tc>
        <w:tc>
          <w:tcPr>
            <w:tcW w:w="1174" w:type="dxa"/>
          </w:tcPr>
          <w:p w14:paraId="7C38AC1B" w14:textId="5D2D187E"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c>
          <w:tcPr>
            <w:tcW w:w="1354" w:type="dxa"/>
          </w:tcPr>
          <w:p w14:paraId="252F7F65" w14:textId="26118C0A"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c>
          <w:tcPr>
            <w:tcW w:w="1354" w:type="dxa"/>
          </w:tcPr>
          <w:p w14:paraId="2A371BA3" w14:textId="2DDE2651"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5647745D" w14:textId="77777777" w:rsidTr="001639C5">
        <w:trPr>
          <w:trHeight w:val="57"/>
          <w:jc w:val="right"/>
        </w:trPr>
        <w:tc>
          <w:tcPr>
            <w:tcW w:w="4425" w:type="dxa"/>
          </w:tcPr>
          <w:p w14:paraId="758E3456" w14:textId="5CB11480" w:rsidR="00863F6A" w:rsidRPr="00CD2C48" w:rsidRDefault="00863F6A" w:rsidP="00E14E7E">
            <w:pPr>
              <w:pStyle w:val="Normal-pool"/>
              <w:rPr>
                <w:sz w:val="18"/>
                <w:szCs w:val="18"/>
              </w:rPr>
            </w:pPr>
            <w:r w:rsidRPr="00CD2C48">
              <w:rPr>
                <w:sz w:val="18"/>
                <w:szCs w:val="18"/>
              </w:rPr>
              <w:t xml:space="preserve">P3 </w:t>
            </w:r>
            <w:r w:rsidR="00AE3AF5" w:rsidRPr="00CD2C48">
              <w:rPr>
                <w:sz w:val="18"/>
                <w:szCs w:val="18"/>
              </w:rPr>
              <w:t xml:space="preserve">– </w:t>
            </w:r>
            <w:r w:rsidRPr="00CD2C48">
              <w:rPr>
                <w:sz w:val="18"/>
                <w:szCs w:val="18"/>
              </w:rPr>
              <w:t>Programme Officer</w:t>
            </w:r>
          </w:p>
        </w:tc>
        <w:tc>
          <w:tcPr>
            <w:tcW w:w="1174" w:type="dxa"/>
          </w:tcPr>
          <w:p w14:paraId="6B7ACEB6" w14:textId="106C47C6"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c>
          <w:tcPr>
            <w:tcW w:w="1354" w:type="dxa"/>
          </w:tcPr>
          <w:p w14:paraId="6159058A" w14:textId="074638C9"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2F366EDA" w14:textId="250A1F2B" w:rsidR="00863F6A" w:rsidRPr="00CD2C48" w:rsidRDefault="00863F6A" w:rsidP="00174DCA">
            <w:pPr>
              <w:pStyle w:val="Normal-pool"/>
              <w:spacing w:before="40" w:after="40"/>
              <w:jc w:val="right"/>
              <w:rPr>
                <w:sz w:val="18"/>
                <w:szCs w:val="18"/>
              </w:rPr>
            </w:pPr>
            <w:r w:rsidRPr="00CD2C48">
              <w:rPr>
                <w:sz w:val="18"/>
                <w:szCs w:val="18"/>
              </w:rPr>
              <w:t>359</w:t>
            </w:r>
            <w:r w:rsidR="00183C35" w:rsidRPr="00CD2C48">
              <w:rPr>
                <w:sz w:val="18"/>
                <w:szCs w:val="18"/>
              </w:rPr>
              <w:t xml:space="preserve"> </w:t>
            </w:r>
            <w:r w:rsidRPr="00CD2C48">
              <w:rPr>
                <w:sz w:val="18"/>
                <w:szCs w:val="18"/>
              </w:rPr>
              <w:t>628</w:t>
            </w:r>
          </w:p>
        </w:tc>
      </w:tr>
      <w:tr w:rsidR="00863F6A" w:rsidRPr="00CD2C48" w14:paraId="79771588" w14:textId="77777777" w:rsidTr="001639C5">
        <w:trPr>
          <w:trHeight w:val="57"/>
          <w:jc w:val="right"/>
        </w:trPr>
        <w:tc>
          <w:tcPr>
            <w:tcW w:w="4425" w:type="dxa"/>
          </w:tcPr>
          <w:p w14:paraId="0E480574" w14:textId="105A7CDB" w:rsidR="00863F6A" w:rsidRPr="00CD2C48" w:rsidRDefault="00863F6A" w:rsidP="00E14E7E">
            <w:pPr>
              <w:pStyle w:val="Normal-pool"/>
              <w:rPr>
                <w:sz w:val="18"/>
                <w:szCs w:val="18"/>
              </w:rPr>
            </w:pPr>
            <w:r w:rsidRPr="00CD2C48">
              <w:rPr>
                <w:sz w:val="18"/>
                <w:szCs w:val="18"/>
              </w:rPr>
              <w:t xml:space="preserve">G6 </w:t>
            </w:r>
            <w:r w:rsidR="00AE3AF5" w:rsidRPr="00CD2C48">
              <w:rPr>
                <w:sz w:val="18"/>
                <w:szCs w:val="18"/>
              </w:rPr>
              <w:t xml:space="preserve">– </w:t>
            </w:r>
            <w:r w:rsidRPr="00CD2C48">
              <w:rPr>
                <w:sz w:val="18"/>
                <w:szCs w:val="18"/>
              </w:rPr>
              <w:t>Administrative Assistant</w:t>
            </w:r>
          </w:p>
        </w:tc>
        <w:tc>
          <w:tcPr>
            <w:tcW w:w="1174" w:type="dxa"/>
          </w:tcPr>
          <w:p w14:paraId="7C05FBAB" w14:textId="7A7494ED"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0C94C8BC" w14:textId="4F4D75B4"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42E58048" w14:textId="65825137"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r>
      <w:tr w:rsidR="00863F6A" w:rsidRPr="00CD2C48" w14:paraId="739D6B69" w14:textId="77777777" w:rsidTr="001639C5">
        <w:trPr>
          <w:trHeight w:val="57"/>
          <w:jc w:val="right"/>
        </w:trPr>
        <w:tc>
          <w:tcPr>
            <w:tcW w:w="4425" w:type="dxa"/>
          </w:tcPr>
          <w:p w14:paraId="6881F844" w14:textId="4C642AF2" w:rsidR="00863F6A" w:rsidRPr="00CD2C48" w:rsidRDefault="00863F6A" w:rsidP="00E14E7E">
            <w:pPr>
              <w:pStyle w:val="Normal-pool"/>
              <w:rPr>
                <w:sz w:val="18"/>
                <w:szCs w:val="18"/>
              </w:rPr>
            </w:pPr>
            <w:r w:rsidRPr="00CD2C48">
              <w:rPr>
                <w:sz w:val="18"/>
                <w:szCs w:val="18"/>
              </w:rPr>
              <w:t>G5 – Programme Management Assistant</w:t>
            </w:r>
          </w:p>
        </w:tc>
        <w:tc>
          <w:tcPr>
            <w:tcW w:w="1174" w:type="dxa"/>
          </w:tcPr>
          <w:p w14:paraId="5D1E3E44" w14:textId="53729467"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6C479051" w14:textId="397890EA" w:rsidR="00863F6A" w:rsidRPr="00CD2C48" w:rsidRDefault="00CD2C48" w:rsidP="00174DCA">
            <w:pPr>
              <w:pStyle w:val="Normal-pool"/>
              <w:spacing w:before="40" w:after="40"/>
              <w:jc w:val="right"/>
              <w:rPr>
                <w:sz w:val="18"/>
                <w:szCs w:val="18"/>
              </w:rPr>
            </w:pPr>
            <w:r w:rsidRPr="00CD2C48">
              <w:rPr>
                <w:sz w:val="18"/>
                <w:szCs w:val="18"/>
              </w:rPr>
              <w:t>–</w:t>
            </w:r>
          </w:p>
        </w:tc>
        <w:tc>
          <w:tcPr>
            <w:tcW w:w="1354" w:type="dxa"/>
          </w:tcPr>
          <w:p w14:paraId="1078568F" w14:textId="6DB4230F"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r>
      <w:tr w:rsidR="00863F6A" w:rsidRPr="00CD2C48" w14:paraId="3600343E" w14:textId="77777777" w:rsidTr="001639C5">
        <w:trPr>
          <w:trHeight w:val="57"/>
          <w:jc w:val="right"/>
        </w:trPr>
        <w:tc>
          <w:tcPr>
            <w:tcW w:w="4425" w:type="dxa"/>
          </w:tcPr>
          <w:p w14:paraId="792E9593" w14:textId="09232B46" w:rsidR="00863F6A" w:rsidRPr="00CD2C48" w:rsidRDefault="00863F6A" w:rsidP="00E14E7E">
            <w:pPr>
              <w:pStyle w:val="Normal-pool"/>
              <w:rPr>
                <w:sz w:val="18"/>
                <w:szCs w:val="18"/>
              </w:rPr>
            </w:pPr>
            <w:r w:rsidRPr="00CD2C48">
              <w:rPr>
                <w:sz w:val="18"/>
                <w:szCs w:val="18"/>
              </w:rPr>
              <w:t>G5 – Public Information Assistant</w:t>
            </w:r>
          </w:p>
        </w:tc>
        <w:tc>
          <w:tcPr>
            <w:tcW w:w="1174" w:type="dxa"/>
          </w:tcPr>
          <w:p w14:paraId="0B2D211E" w14:textId="32B1E904"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5D5C20FD" w14:textId="6E450DF3"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326A6061" w14:textId="77F83BC2"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395CFF0C" w14:textId="77777777" w:rsidTr="001639C5">
        <w:trPr>
          <w:trHeight w:val="57"/>
          <w:jc w:val="right"/>
        </w:trPr>
        <w:tc>
          <w:tcPr>
            <w:tcW w:w="4425" w:type="dxa"/>
          </w:tcPr>
          <w:p w14:paraId="40E1018B" w14:textId="7BA1250C" w:rsidR="00863F6A" w:rsidRPr="00CD2C48" w:rsidRDefault="00863F6A" w:rsidP="00E14E7E">
            <w:pPr>
              <w:pStyle w:val="Normal-pool"/>
              <w:rPr>
                <w:sz w:val="18"/>
                <w:szCs w:val="18"/>
              </w:rPr>
            </w:pPr>
            <w:r w:rsidRPr="00CD2C48">
              <w:rPr>
                <w:sz w:val="18"/>
                <w:szCs w:val="18"/>
              </w:rPr>
              <w:t>G4 – Team Assistant</w:t>
            </w:r>
          </w:p>
        </w:tc>
        <w:tc>
          <w:tcPr>
            <w:tcW w:w="1174" w:type="dxa"/>
          </w:tcPr>
          <w:p w14:paraId="1305153B" w14:textId="6A3518C3"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450C22D8" w14:textId="1203E9DA"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7DA18AF6" w14:textId="37593646"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1093F2D4" w14:textId="77777777" w:rsidTr="00174DCA">
        <w:trPr>
          <w:trHeight w:val="57"/>
          <w:jc w:val="right"/>
        </w:trPr>
        <w:tc>
          <w:tcPr>
            <w:tcW w:w="4425" w:type="dxa"/>
          </w:tcPr>
          <w:p w14:paraId="3FB1369E" w14:textId="6BFA55DF" w:rsidR="00863F6A" w:rsidRPr="00CD2C48" w:rsidRDefault="00863F6A" w:rsidP="00174DCA">
            <w:pPr>
              <w:pStyle w:val="Normal-pool"/>
              <w:spacing w:before="40" w:after="40"/>
              <w:rPr>
                <w:sz w:val="18"/>
                <w:szCs w:val="18"/>
              </w:rPr>
            </w:pPr>
            <w:r w:rsidRPr="00CD2C48">
              <w:rPr>
                <w:sz w:val="18"/>
                <w:szCs w:val="18"/>
              </w:rPr>
              <w:t>G4 – Team Assistant</w:t>
            </w:r>
          </w:p>
        </w:tc>
        <w:tc>
          <w:tcPr>
            <w:tcW w:w="1174" w:type="dxa"/>
          </w:tcPr>
          <w:p w14:paraId="0C891B47" w14:textId="3B2F1115"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02E81809" w14:textId="17AF3802"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Pr>
          <w:p w14:paraId="1CEECF50" w14:textId="4D5E3DD1"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278A8AF6" w14:textId="77777777" w:rsidTr="00174DCA">
        <w:trPr>
          <w:trHeight w:val="57"/>
          <w:jc w:val="right"/>
        </w:trPr>
        <w:tc>
          <w:tcPr>
            <w:tcW w:w="4425" w:type="dxa"/>
            <w:tcBorders>
              <w:bottom w:val="single" w:sz="4" w:space="0" w:color="auto"/>
            </w:tcBorders>
          </w:tcPr>
          <w:p w14:paraId="16D7736E" w14:textId="77777777" w:rsidR="00863F6A" w:rsidRPr="00CD2C48" w:rsidRDefault="00863F6A" w:rsidP="00174DCA">
            <w:pPr>
              <w:pStyle w:val="Normal-pool"/>
              <w:spacing w:before="40" w:after="40"/>
              <w:rPr>
                <w:sz w:val="18"/>
                <w:szCs w:val="18"/>
              </w:rPr>
            </w:pPr>
            <w:r w:rsidRPr="00CD2C48">
              <w:rPr>
                <w:sz w:val="18"/>
                <w:szCs w:val="18"/>
              </w:rPr>
              <w:t>Temporary support for COP4</w:t>
            </w:r>
          </w:p>
        </w:tc>
        <w:tc>
          <w:tcPr>
            <w:tcW w:w="1174" w:type="dxa"/>
            <w:tcBorders>
              <w:bottom w:val="single" w:sz="4" w:space="0" w:color="auto"/>
            </w:tcBorders>
          </w:tcPr>
          <w:p w14:paraId="6273F037" w14:textId="3804755A" w:rsidR="00863F6A" w:rsidRPr="00CD2C48" w:rsidRDefault="00863F6A" w:rsidP="00174DCA">
            <w:pPr>
              <w:pStyle w:val="Normal-pool"/>
              <w:spacing w:before="40" w:after="40"/>
              <w:jc w:val="right"/>
              <w:rPr>
                <w:sz w:val="18"/>
                <w:szCs w:val="18"/>
              </w:rPr>
            </w:pPr>
            <w:r w:rsidRPr="00CD2C48">
              <w:rPr>
                <w:sz w:val="18"/>
                <w:szCs w:val="18"/>
              </w:rPr>
              <w:t>270</w:t>
            </w:r>
            <w:r w:rsidR="00183C35" w:rsidRPr="00CD2C48">
              <w:rPr>
                <w:sz w:val="18"/>
                <w:szCs w:val="18"/>
              </w:rPr>
              <w:t xml:space="preserve"> </w:t>
            </w:r>
            <w:r w:rsidRPr="00CD2C48">
              <w:rPr>
                <w:sz w:val="18"/>
                <w:szCs w:val="18"/>
              </w:rPr>
              <w:t>000</w:t>
            </w:r>
          </w:p>
        </w:tc>
        <w:tc>
          <w:tcPr>
            <w:tcW w:w="1354" w:type="dxa"/>
            <w:tcBorders>
              <w:bottom w:val="single" w:sz="4" w:space="0" w:color="auto"/>
            </w:tcBorders>
          </w:tcPr>
          <w:p w14:paraId="14D36319" w14:textId="1E16C242" w:rsidR="00863F6A" w:rsidRPr="00CD2C48" w:rsidRDefault="00863F6A" w:rsidP="00174DCA">
            <w:pPr>
              <w:pStyle w:val="Normal-pool"/>
              <w:spacing w:before="40" w:after="40"/>
              <w:jc w:val="right"/>
              <w:rPr>
                <w:sz w:val="18"/>
                <w:szCs w:val="18"/>
              </w:rPr>
            </w:pPr>
            <w:r w:rsidRPr="00CD2C48">
              <w:rPr>
                <w:sz w:val="18"/>
                <w:szCs w:val="18"/>
              </w:rPr>
              <w:t>270</w:t>
            </w:r>
            <w:r w:rsidR="00183C35" w:rsidRPr="00CD2C48">
              <w:rPr>
                <w:sz w:val="18"/>
                <w:szCs w:val="18"/>
              </w:rPr>
              <w:t xml:space="preserve"> </w:t>
            </w:r>
            <w:r w:rsidRPr="00CD2C48">
              <w:rPr>
                <w:sz w:val="18"/>
                <w:szCs w:val="18"/>
              </w:rPr>
              <w:t>000</w:t>
            </w:r>
          </w:p>
        </w:tc>
        <w:tc>
          <w:tcPr>
            <w:tcW w:w="1354" w:type="dxa"/>
            <w:tcBorders>
              <w:bottom w:val="single" w:sz="4" w:space="0" w:color="auto"/>
            </w:tcBorders>
          </w:tcPr>
          <w:p w14:paraId="0C8D65E4" w14:textId="0AF7D686"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07B8BFA5" w14:textId="77777777" w:rsidTr="00174DCA">
        <w:trPr>
          <w:trHeight w:val="57"/>
          <w:jc w:val="right"/>
        </w:trPr>
        <w:tc>
          <w:tcPr>
            <w:tcW w:w="4425" w:type="dxa"/>
            <w:tcBorders>
              <w:top w:val="single" w:sz="4" w:space="0" w:color="auto"/>
              <w:bottom w:val="single" w:sz="4" w:space="0" w:color="auto"/>
            </w:tcBorders>
          </w:tcPr>
          <w:p w14:paraId="0901BC83" w14:textId="40EDD7DE" w:rsidR="00863F6A" w:rsidRPr="00174DCA" w:rsidRDefault="00863F6A" w:rsidP="00174DCA">
            <w:pPr>
              <w:pStyle w:val="Normal-pool"/>
              <w:spacing w:before="40" w:after="40"/>
              <w:rPr>
                <w:b/>
                <w:sz w:val="18"/>
                <w:szCs w:val="18"/>
              </w:rPr>
            </w:pPr>
            <w:r w:rsidRPr="00174DCA">
              <w:rPr>
                <w:b/>
                <w:sz w:val="18"/>
                <w:szCs w:val="18"/>
              </w:rPr>
              <w:t>SUB-TOTAL M</w:t>
            </w:r>
            <w:r w:rsidR="00AE3AF5" w:rsidRPr="00CD2C48">
              <w:rPr>
                <w:b/>
                <w:sz w:val="18"/>
                <w:szCs w:val="18"/>
              </w:rPr>
              <w:t xml:space="preserve">inamata </w:t>
            </w:r>
            <w:r w:rsidRPr="00174DCA">
              <w:rPr>
                <w:b/>
                <w:sz w:val="18"/>
                <w:szCs w:val="18"/>
              </w:rPr>
              <w:t>C</w:t>
            </w:r>
            <w:r w:rsidR="00AE3AF5" w:rsidRPr="00CD2C48">
              <w:rPr>
                <w:b/>
                <w:sz w:val="18"/>
                <w:szCs w:val="18"/>
              </w:rPr>
              <w:t>onvention</w:t>
            </w:r>
            <w:r w:rsidRPr="00174DCA">
              <w:rPr>
                <w:b/>
                <w:sz w:val="18"/>
                <w:szCs w:val="18"/>
              </w:rPr>
              <w:t xml:space="preserve"> Trust Fund</w:t>
            </w:r>
          </w:p>
        </w:tc>
        <w:tc>
          <w:tcPr>
            <w:tcW w:w="1174" w:type="dxa"/>
            <w:tcBorders>
              <w:top w:val="single" w:sz="4" w:space="0" w:color="auto"/>
              <w:bottom w:val="single" w:sz="4" w:space="0" w:color="auto"/>
            </w:tcBorders>
          </w:tcPr>
          <w:p w14:paraId="22A9A976" w14:textId="78FD737D" w:rsidR="00863F6A" w:rsidRPr="00174DCA" w:rsidRDefault="00863F6A" w:rsidP="00174DCA">
            <w:pPr>
              <w:pStyle w:val="Normal-pool"/>
              <w:spacing w:before="40" w:after="40"/>
              <w:jc w:val="right"/>
              <w:rPr>
                <w:b/>
                <w:sz w:val="18"/>
                <w:szCs w:val="18"/>
              </w:rPr>
            </w:pPr>
            <w:r w:rsidRPr="00174DCA">
              <w:rPr>
                <w:b/>
                <w:sz w:val="18"/>
                <w:szCs w:val="18"/>
              </w:rPr>
              <w:t>5</w:t>
            </w:r>
            <w:r w:rsidR="00183C35" w:rsidRPr="00174DCA">
              <w:rPr>
                <w:b/>
                <w:sz w:val="18"/>
                <w:szCs w:val="18"/>
              </w:rPr>
              <w:t xml:space="preserve"> </w:t>
            </w:r>
            <w:r w:rsidRPr="00174DCA">
              <w:rPr>
                <w:b/>
                <w:sz w:val="18"/>
                <w:szCs w:val="18"/>
              </w:rPr>
              <w:t>463</w:t>
            </w:r>
            <w:r w:rsidR="00183C35" w:rsidRPr="00174DCA">
              <w:rPr>
                <w:b/>
                <w:sz w:val="18"/>
                <w:szCs w:val="18"/>
              </w:rPr>
              <w:t xml:space="preserve"> </w:t>
            </w:r>
            <w:r w:rsidRPr="00174DCA">
              <w:rPr>
                <w:b/>
                <w:sz w:val="18"/>
                <w:szCs w:val="18"/>
              </w:rPr>
              <w:t>704</w:t>
            </w:r>
          </w:p>
        </w:tc>
        <w:tc>
          <w:tcPr>
            <w:tcW w:w="1354" w:type="dxa"/>
            <w:tcBorders>
              <w:top w:val="single" w:sz="4" w:space="0" w:color="auto"/>
              <w:bottom w:val="single" w:sz="4" w:space="0" w:color="auto"/>
            </w:tcBorders>
          </w:tcPr>
          <w:p w14:paraId="61D6CC5D" w14:textId="14E377C1" w:rsidR="00863F6A" w:rsidRPr="00174DCA" w:rsidRDefault="00863F6A" w:rsidP="00174DCA">
            <w:pPr>
              <w:pStyle w:val="Normal-pool"/>
              <w:spacing w:before="40" w:after="40"/>
              <w:jc w:val="right"/>
              <w:rPr>
                <w:b/>
                <w:sz w:val="18"/>
                <w:szCs w:val="18"/>
              </w:rPr>
            </w:pPr>
            <w:r w:rsidRPr="00174DCA">
              <w:rPr>
                <w:b/>
                <w:sz w:val="18"/>
                <w:szCs w:val="18"/>
              </w:rPr>
              <w:t>2</w:t>
            </w:r>
            <w:r w:rsidR="00183C35" w:rsidRPr="00174DCA">
              <w:rPr>
                <w:b/>
                <w:sz w:val="18"/>
                <w:szCs w:val="18"/>
              </w:rPr>
              <w:t xml:space="preserve"> </w:t>
            </w:r>
            <w:r w:rsidRPr="00174DCA">
              <w:rPr>
                <w:b/>
                <w:sz w:val="18"/>
                <w:szCs w:val="18"/>
              </w:rPr>
              <w:t>250</w:t>
            </w:r>
            <w:r w:rsidR="00183C35" w:rsidRPr="00174DCA">
              <w:rPr>
                <w:b/>
                <w:sz w:val="18"/>
                <w:szCs w:val="18"/>
              </w:rPr>
              <w:t xml:space="preserve"> </w:t>
            </w:r>
            <w:r w:rsidRPr="00174DCA">
              <w:rPr>
                <w:b/>
                <w:sz w:val="18"/>
                <w:szCs w:val="18"/>
              </w:rPr>
              <w:t>105</w:t>
            </w:r>
          </w:p>
        </w:tc>
        <w:tc>
          <w:tcPr>
            <w:tcW w:w="1354" w:type="dxa"/>
            <w:tcBorders>
              <w:top w:val="single" w:sz="4" w:space="0" w:color="auto"/>
              <w:bottom w:val="single" w:sz="4" w:space="0" w:color="auto"/>
            </w:tcBorders>
          </w:tcPr>
          <w:p w14:paraId="086AE3FB" w14:textId="465538C2" w:rsidR="00863F6A" w:rsidRPr="00174DCA" w:rsidRDefault="00863F6A" w:rsidP="00174DCA">
            <w:pPr>
              <w:pStyle w:val="Normal-pool"/>
              <w:spacing w:before="40" w:after="40"/>
              <w:jc w:val="right"/>
              <w:rPr>
                <w:b/>
                <w:sz w:val="18"/>
                <w:szCs w:val="18"/>
              </w:rPr>
            </w:pPr>
            <w:r w:rsidRPr="00174DCA">
              <w:rPr>
                <w:b/>
                <w:sz w:val="18"/>
                <w:szCs w:val="18"/>
              </w:rPr>
              <w:t>3</w:t>
            </w:r>
            <w:r w:rsidR="00183C35" w:rsidRPr="00174DCA">
              <w:rPr>
                <w:b/>
                <w:sz w:val="18"/>
                <w:szCs w:val="18"/>
              </w:rPr>
              <w:t xml:space="preserve"> </w:t>
            </w:r>
            <w:r w:rsidRPr="00174DCA">
              <w:rPr>
                <w:b/>
                <w:sz w:val="18"/>
                <w:szCs w:val="18"/>
              </w:rPr>
              <w:t>213</w:t>
            </w:r>
            <w:r w:rsidR="00183C35" w:rsidRPr="00174DCA">
              <w:rPr>
                <w:b/>
                <w:sz w:val="18"/>
                <w:szCs w:val="18"/>
              </w:rPr>
              <w:t xml:space="preserve"> </w:t>
            </w:r>
            <w:r w:rsidRPr="00174DCA">
              <w:rPr>
                <w:b/>
                <w:sz w:val="18"/>
                <w:szCs w:val="18"/>
              </w:rPr>
              <w:t>599</w:t>
            </w:r>
          </w:p>
        </w:tc>
      </w:tr>
      <w:tr w:rsidR="00863F6A" w:rsidRPr="00CD2C48" w14:paraId="1798B365"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7281D0FB" w14:textId="00517D73" w:rsidR="00863F6A" w:rsidRPr="00174DCA" w:rsidRDefault="00863F6A" w:rsidP="00174DCA">
            <w:pPr>
              <w:pStyle w:val="Normal-pool"/>
              <w:spacing w:before="40" w:after="40"/>
              <w:rPr>
                <w:b/>
                <w:sz w:val="18"/>
                <w:szCs w:val="18"/>
              </w:rPr>
            </w:pPr>
            <w:r w:rsidRPr="00174DCA">
              <w:rPr>
                <w:b/>
                <w:sz w:val="18"/>
                <w:szCs w:val="18"/>
              </w:rPr>
              <w:t xml:space="preserve">B. Funded by </w:t>
            </w:r>
            <w:r w:rsidR="00AE3AF5" w:rsidRPr="00CD2C48">
              <w:rPr>
                <w:b/>
                <w:sz w:val="18"/>
                <w:szCs w:val="18"/>
              </w:rPr>
              <w:t>p</w:t>
            </w:r>
            <w:r w:rsidRPr="00174DCA">
              <w:rPr>
                <w:b/>
                <w:sz w:val="18"/>
                <w:szCs w:val="18"/>
              </w:rPr>
              <w:t xml:space="preserve">rogramme </w:t>
            </w:r>
            <w:r w:rsidR="00AE3AF5" w:rsidRPr="00CD2C48">
              <w:rPr>
                <w:b/>
                <w:sz w:val="18"/>
                <w:szCs w:val="18"/>
              </w:rPr>
              <w:t>s</w:t>
            </w:r>
            <w:r w:rsidRPr="00174DCA">
              <w:rPr>
                <w:b/>
                <w:sz w:val="18"/>
                <w:szCs w:val="18"/>
              </w:rPr>
              <w:t xml:space="preserve">upport </w:t>
            </w:r>
            <w:r w:rsidR="00AE3AF5" w:rsidRPr="00CD2C48">
              <w:rPr>
                <w:b/>
                <w:sz w:val="18"/>
                <w:szCs w:val="18"/>
              </w:rPr>
              <w:t>c</w:t>
            </w:r>
            <w:r w:rsidRPr="00174DCA">
              <w:rPr>
                <w:b/>
                <w:sz w:val="18"/>
                <w:szCs w:val="18"/>
              </w:rPr>
              <w:t>ost</w:t>
            </w:r>
            <w:r w:rsidR="001639C5" w:rsidRPr="00CD2C48">
              <w:rPr>
                <w:b/>
                <w:sz w:val="18"/>
                <w:szCs w:val="18"/>
              </w:rPr>
              <w:t>s</w:t>
            </w:r>
          </w:p>
        </w:tc>
        <w:tc>
          <w:tcPr>
            <w:tcW w:w="1174" w:type="dxa"/>
            <w:tcBorders>
              <w:top w:val="single" w:sz="4" w:space="0" w:color="auto"/>
              <w:left w:val="dotted" w:sz="4" w:space="0" w:color="auto"/>
              <w:bottom w:val="single" w:sz="12" w:space="0" w:color="auto"/>
              <w:right w:val="dotted" w:sz="4" w:space="0" w:color="auto"/>
            </w:tcBorders>
          </w:tcPr>
          <w:p w14:paraId="793B2896" w14:textId="77777777" w:rsidR="00863F6A" w:rsidRPr="00174DCA" w:rsidRDefault="00863F6A" w:rsidP="00174DCA">
            <w:pPr>
              <w:pStyle w:val="Normal-pool"/>
              <w:spacing w:before="40" w:after="40"/>
              <w:jc w:val="right"/>
              <w:rPr>
                <w:b/>
                <w:sz w:val="18"/>
                <w:szCs w:val="18"/>
              </w:rPr>
            </w:pPr>
          </w:p>
        </w:tc>
        <w:tc>
          <w:tcPr>
            <w:tcW w:w="1354" w:type="dxa"/>
            <w:tcBorders>
              <w:top w:val="single" w:sz="4" w:space="0" w:color="auto"/>
              <w:left w:val="dotted" w:sz="4" w:space="0" w:color="auto"/>
              <w:bottom w:val="single" w:sz="12" w:space="0" w:color="auto"/>
              <w:right w:val="dotted" w:sz="4" w:space="0" w:color="auto"/>
            </w:tcBorders>
          </w:tcPr>
          <w:p w14:paraId="6D9108FC" w14:textId="77777777" w:rsidR="00863F6A" w:rsidRPr="00174DCA" w:rsidRDefault="00863F6A" w:rsidP="00174DCA">
            <w:pPr>
              <w:pStyle w:val="Normal-pool"/>
              <w:spacing w:before="40" w:after="40"/>
              <w:jc w:val="right"/>
              <w:rPr>
                <w:b/>
                <w:sz w:val="18"/>
                <w:szCs w:val="18"/>
              </w:rPr>
            </w:pPr>
          </w:p>
        </w:tc>
        <w:tc>
          <w:tcPr>
            <w:tcW w:w="1354" w:type="dxa"/>
            <w:tcBorders>
              <w:top w:val="single" w:sz="4" w:space="0" w:color="auto"/>
              <w:left w:val="dotted" w:sz="4" w:space="0" w:color="auto"/>
              <w:bottom w:val="single" w:sz="12" w:space="0" w:color="auto"/>
              <w:right w:val="dotted" w:sz="4" w:space="0" w:color="auto"/>
            </w:tcBorders>
          </w:tcPr>
          <w:p w14:paraId="7012AD8B" w14:textId="77777777" w:rsidR="00863F6A" w:rsidRPr="00174DCA" w:rsidRDefault="00863F6A" w:rsidP="00174DCA">
            <w:pPr>
              <w:pStyle w:val="Normal-pool"/>
              <w:spacing w:before="40" w:after="40"/>
              <w:jc w:val="right"/>
              <w:rPr>
                <w:b/>
                <w:sz w:val="18"/>
                <w:szCs w:val="18"/>
              </w:rPr>
            </w:pPr>
          </w:p>
        </w:tc>
      </w:tr>
      <w:tr w:rsidR="00863F6A" w:rsidRPr="00CD2C48" w14:paraId="5CEAEBFA" w14:textId="77777777" w:rsidTr="00174DCA">
        <w:trPr>
          <w:trHeight w:val="57"/>
          <w:jc w:val="right"/>
        </w:trPr>
        <w:tc>
          <w:tcPr>
            <w:tcW w:w="4425" w:type="dxa"/>
            <w:tcBorders>
              <w:top w:val="single" w:sz="12" w:space="0" w:color="auto"/>
            </w:tcBorders>
          </w:tcPr>
          <w:p w14:paraId="5826F3F2" w14:textId="51464F7C" w:rsidR="00863F6A" w:rsidRPr="00CD2C48" w:rsidRDefault="00863F6A" w:rsidP="00174DCA">
            <w:pPr>
              <w:pStyle w:val="Normal-pool"/>
              <w:spacing w:before="40" w:after="40"/>
              <w:rPr>
                <w:sz w:val="18"/>
                <w:szCs w:val="18"/>
              </w:rPr>
            </w:pPr>
            <w:r w:rsidRPr="00CD2C48">
              <w:rPr>
                <w:sz w:val="18"/>
                <w:szCs w:val="18"/>
              </w:rPr>
              <w:t xml:space="preserve">P4 – Administrative </w:t>
            </w:r>
            <w:r w:rsidR="00B46134" w:rsidRPr="00CD2C48">
              <w:rPr>
                <w:sz w:val="18"/>
                <w:szCs w:val="18"/>
              </w:rPr>
              <w:t>o</w:t>
            </w:r>
            <w:r w:rsidRPr="00CD2C48">
              <w:rPr>
                <w:sz w:val="18"/>
                <w:szCs w:val="18"/>
              </w:rPr>
              <w:t>fficer</w:t>
            </w:r>
          </w:p>
        </w:tc>
        <w:tc>
          <w:tcPr>
            <w:tcW w:w="1174" w:type="dxa"/>
            <w:tcBorders>
              <w:top w:val="single" w:sz="12" w:space="0" w:color="auto"/>
            </w:tcBorders>
          </w:tcPr>
          <w:p w14:paraId="696964FA" w14:textId="1164366C"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c>
          <w:tcPr>
            <w:tcW w:w="1354" w:type="dxa"/>
            <w:tcBorders>
              <w:top w:val="single" w:sz="12" w:space="0" w:color="auto"/>
            </w:tcBorders>
          </w:tcPr>
          <w:p w14:paraId="0B53B167" w14:textId="4C887E16" w:rsidR="00863F6A" w:rsidRPr="00CD2C48" w:rsidRDefault="00863F6A" w:rsidP="00174DCA">
            <w:pPr>
              <w:pStyle w:val="Normal-pool"/>
              <w:spacing w:before="40" w:after="40"/>
              <w:jc w:val="right"/>
              <w:rPr>
                <w:sz w:val="18"/>
                <w:szCs w:val="18"/>
              </w:rPr>
            </w:pPr>
            <w:r w:rsidRPr="00CD2C48">
              <w:rPr>
                <w:sz w:val="18"/>
                <w:szCs w:val="18"/>
              </w:rPr>
              <w:t>435</w:t>
            </w:r>
            <w:r w:rsidR="00183C35" w:rsidRPr="00CD2C48">
              <w:rPr>
                <w:sz w:val="18"/>
                <w:szCs w:val="18"/>
              </w:rPr>
              <w:t xml:space="preserve"> </w:t>
            </w:r>
            <w:r w:rsidRPr="00CD2C48">
              <w:rPr>
                <w:sz w:val="18"/>
                <w:szCs w:val="18"/>
              </w:rPr>
              <w:t>654</w:t>
            </w:r>
          </w:p>
        </w:tc>
        <w:tc>
          <w:tcPr>
            <w:tcW w:w="1354" w:type="dxa"/>
            <w:tcBorders>
              <w:top w:val="single" w:sz="12" w:space="0" w:color="auto"/>
            </w:tcBorders>
          </w:tcPr>
          <w:p w14:paraId="24C96315" w14:textId="3E4CF426"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5585AB32" w14:textId="77777777" w:rsidTr="00174DCA">
        <w:trPr>
          <w:trHeight w:val="57"/>
          <w:jc w:val="right"/>
        </w:trPr>
        <w:tc>
          <w:tcPr>
            <w:tcW w:w="4425" w:type="dxa"/>
            <w:tcBorders>
              <w:bottom w:val="single" w:sz="4" w:space="0" w:color="auto"/>
            </w:tcBorders>
          </w:tcPr>
          <w:p w14:paraId="3B6BBD5F" w14:textId="2B59FC51" w:rsidR="00863F6A" w:rsidRPr="00CD2C48" w:rsidRDefault="00863F6A" w:rsidP="00174DCA">
            <w:pPr>
              <w:pStyle w:val="Normal-pool"/>
              <w:spacing w:before="40" w:after="40"/>
              <w:rPr>
                <w:sz w:val="18"/>
                <w:szCs w:val="18"/>
              </w:rPr>
            </w:pPr>
            <w:r w:rsidRPr="00CD2C48">
              <w:rPr>
                <w:sz w:val="18"/>
                <w:szCs w:val="18"/>
              </w:rPr>
              <w:t xml:space="preserve">G6 – Administrative </w:t>
            </w:r>
            <w:r w:rsidR="00B46134" w:rsidRPr="00CD2C48">
              <w:rPr>
                <w:sz w:val="18"/>
                <w:szCs w:val="18"/>
              </w:rPr>
              <w:t>a</w:t>
            </w:r>
            <w:r w:rsidRPr="00CD2C48">
              <w:rPr>
                <w:sz w:val="18"/>
                <w:szCs w:val="18"/>
              </w:rPr>
              <w:t>ssistant</w:t>
            </w:r>
          </w:p>
        </w:tc>
        <w:tc>
          <w:tcPr>
            <w:tcW w:w="1174" w:type="dxa"/>
            <w:tcBorders>
              <w:bottom w:val="single" w:sz="4" w:space="0" w:color="auto"/>
            </w:tcBorders>
          </w:tcPr>
          <w:p w14:paraId="2F4CC067" w14:textId="36317F9A"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Borders>
              <w:bottom w:val="single" w:sz="4" w:space="0" w:color="auto"/>
            </w:tcBorders>
          </w:tcPr>
          <w:p w14:paraId="2E7DEF8F" w14:textId="23F8F80F" w:rsidR="00863F6A" w:rsidRPr="00CD2C48" w:rsidRDefault="00863F6A" w:rsidP="00174DCA">
            <w:pPr>
              <w:pStyle w:val="Normal-pool"/>
              <w:spacing w:before="40" w:after="40"/>
              <w:jc w:val="right"/>
              <w:rPr>
                <w:sz w:val="18"/>
                <w:szCs w:val="18"/>
              </w:rPr>
            </w:pPr>
            <w:r w:rsidRPr="00CD2C48">
              <w:rPr>
                <w:sz w:val="18"/>
                <w:szCs w:val="18"/>
              </w:rPr>
              <w:t>275</w:t>
            </w:r>
            <w:r w:rsidR="00183C35" w:rsidRPr="00CD2C48">
              <w:rPr>
                <w:sz w:val="18"/>
                <w:szCs w:val="18"/>
              </w:rPr>
              <w:t xml:space="preserve"> </w:t>
            </w:r>
            <w:r w:rsidRPr="00CD2C48">
              <w:rPr>
                <w:sz w:val="18"/>
                <w:szCs w:val="18"/>
              </w:rPr>
              <w:t>065</w:t>
            </w:r>
          </w:p>
        </w:tc>
        <w:tc>
          <w:tcPr>
            <w:tcW w:w="1354" w:type="dxa"/>
            <w:tcBorders>
              <w:bottom w:val="single" w:sz="4" w:space="0" w:color="auto"/>
            </w:tcBorders>
          </w:tcPr>
          <w:p w14:paraId="305C0702" w14:textId="55D22A2E" w:rsidR="00863F6A" w:rsidRPr="00CD2C48" w:rsidRDefault="00CD2C48" w:rsidP="00174DCA">
            <w:pPr>
              <w:pStyle w:val="Normal-pool"/>
              <w:spacing w:before="40" w:after="40"/>
              <w:jc w:val="right"/>
              <w:rPr>
                <w:sz w:val="18"/>
                <w:szCs w:val="18"/>
              </w:rPr>
            </w:pPr>
            <w:r w:rsidRPr="00CD2C48">
              <w:rPr>
                <w:sz w:val="18"/>
                <w:szCs w:val="18"/>
              </w:rPr>
              <w:t>–</w:t>
            </w:r>
          </w:p>
        </w:tc>
      </w:tr>
      <w:tr w:rsidR="00863F6A" w:rsidRPr="00CD2C48" w14:paraId="30219D33"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04058458" w14:textId="7E6A0698" w:rsidR="00863F6A" w:rsidRPr="00174DCA" w:rsidRDefault="00863F6A" w:rsidP="00174DCA">
            <w:pPr>
              <w:pStyle w:val="Normal-pool"/>
              <w:spacing w:before="40" w:after="40"/>
              <w:rPr>
                <w:b/>
                <w:sz w:val="18"/>
                <w:szCs w:val="18"/>
              </w:rPr>
            </w:pPr>
            <w:r w:rsidRPr="00174DCA">
              <w:rPr>
                <w:b/>
                <w:sz w:val="18"/>
                <w:szCs w:val="18"/>
              </w:rPr>
              <w:t xml:space="preserve">SUB-TOTAL </w:t>
            </w:r>
            <w:r w:rsidR="004C173E" w:rsidRPr="005E4AAB">
              <w:rPr>
                <w:b/>
                <w:sz w:val="18"/>
                <w:szCs w:val="18"/>
              </w:rPr>
              <w:t xml:space="preserve">PROGRAMME </w:t>
            </w:r>
            <w:r w:rsidR="004C173E" w:rsidRPr="00861297">
              <w:rPr>
                <w:b/>
                <w:sz w:val="18"/>
                <w:szCs w:val="18"/>
              </w:rPr>
              <w:t>SUPPORT COST FUNDED</w:t>
            </w:r>
          </w:p>
        </w:tc>
        <w:tc>
          <w:tcPr>
            <w:tcW w:w="1174" w:type="dxa"/>
            <w:tcBorders>
              <w:top w:val="single" w:sz="4" w:space="0" w:color="auto"/>
              <w:left w:val="dotted" w:sz="4" w:space="0" w:color="auto"/>
              <w:bottom w:val="single" w:sz="12" w:space="0" w:color="auto"/>
              <w:right w:val="dotted" w:sz="4" w:space="0" w:color="auto"/>
            </w:tcBorders>
          </w:tcPr>
          <w:p w14:paraId="62B2DC03" w14:textId="21512B5F" w:rsidR="00863F6A" w:rsidRPr="00CD2C48" w:rsidRDefault="00863F6A" w:rsidP="00174DCA">
            <w:pPr>
              <w:pStyle w:val="Normal-pool"/>
              <w:spacing w:before="40" w:after="40"/>
              <w:jc w:val="right"/>
              <w:rPr>
                <w:b/>
                <w:sz w:val="18"/>
                <w:szCs w:val="18"/>
              </w:rPr>
            </w:pPr>
            <w:r w:rsidRPr="00CD2C48">
              <w:rPr>
                <w:b/>
                <w:sz w:val="18"/>
                <w:szCs w:val="18"/>
              </w:rPr>
              <w:t>710</w:t>
            </w:r>
            <w:r w:rsidR="00183C35" w:rsidRPr="00CD2C48">
              <w:rPr>
                <w:b/>
                <w:sz w:val="18"/>
                <w:szCs w:val="18"/>
              </w:rPr>
              <w:t xml:space="preserve"> </w:t>
            </w:r>
            <w:r w:rsidRPr="00CD2C48">
              <w:rPr>
                <w:b/>
                <w:sz w:val="18"/>
                <w:szCs w:val="18"/>
              </w:rPr>
              <w:t>719</w:t>
            </w:r>
          </w:p>
        </w:tc>
        <w:tc>
          <w:tcPr>
            <w:tcW w:w="1354" w:type="dxa"/>
            <w:tcBorders>
              <w:top w:val="single" w:sz="4" w:space="0" w:color="auto"/>
              <w:left w:val="dotted" w:sz="4" w:space="0" w:color="auto"/>
              <w:bottom w:val="single" w:sz="12" w:space="0" w:color="auto"/>
              <w:right w:val="dotted" w:sz="4" w:space="0" w:color="auto"/>
            </w:tcBorders>
          </w:tcPr>
          <w:p w14:paraId="02AF5A33" w14:textId="41F99FC6" w:rsidR="00863F6A" w:rsidRPr="00CD2C48" w:rsidRDefault="00863F6A" w:rsidP="00174DCA">
            <w:pPr>
              <w:pStyle w:val="Normal-pool"/>
              <w:spacing w:before="40" w:after="40"/>
              <w:jc w:val="right"/>
              <w:rPr>
                <w:b/>
                <w:sz w:val="18"/>
                <w:szCs w:val="18"/>
              </w:rPr>
            </w:pPr>
            <w:r w:rsidRPr="00CD2C48">
              <w:rPr>
                <w:b/>
                <w:sz w:val="18"/>
                <w:szCs w:val="18"/>
              </w:rPr>
              <w:t>710</w:t>
            </w:r>
            <w:r w:rsidR="00183C35" w:rsidRPr="00CD2C48">
              <w:rPr>
                <w:b/>
                <w:sz w:val="18"/>
                <w:szCs w:val="18"/>
              </w:rPr>
              <w:t xml:space="preserve"> </w:t>
            </w:r>
            <w:r w:rsidRPr="00CD2C48">
              <w:rPr>
                <w:b/>
                <w:sz w:val="18"/>
                <w:szCs w:val="18"/>
              </w:rPr>
              <w:t>719</w:t>
            </w:r>
          </w:p>
        </w:tc>
        <w:tc>
          <w:tcPr>
            <w:tcW w:w="1354" w:type="dxa"/>
            <w:tcBorders>
              <w:top w:val="single" w:sz="4" w:space="0" w:color="auto"/>
              <w:left w:val="dotted" w:sz="4" w:space="0" w:color="auto"/>
              <w:bottom w:val="single" w:sz="12" w:space="0" w:color="auto"/>
              <w:right w:val="dotted" w:sz="4" w:space="0" w:color="auto"/>
            </w:tcBorders>
          </w:tcPr>
          <w:p w14:paraId="1C241AB7" w14:textId="7E0E42D2" w:rsidR="00863F6A" w:rsidRPr="00CD2C48" w:rsidRDefault="00CD2C48" w:rsidP="00174DCA">
            <w:pPr>
              <w:pStyle w:val="Normal-pool"/>
              <w:spacing w:before="40" w:after="40"/>
              <w:jc w:val="right"/>
              <w:rPr>
                <w:b/>
                <w:sz w:val="18"/>
                <w:szCs w:val="18"/>
              </w:rPr>
            </w:pPr>
            <w:r w:rsidRPr="00CD2C48">
              <w:rPr>
                <w:b/>
                <w:sz w:val="18"/>
                <w:szCs w:val="18"/>
              </w:rPr>
              <w:t>–</w:t>
            </w:r>
          </w:p>
        </w:tc>
      </w:tr>
      <w:tr w:rsidR="00863F6A" w:rsidRPr="00CD2C48" w14:paraId="5BF37B11" w14:textId="77777777" w:rsidTr="00174DCA">
        <w:trPr>
          <w:trHeight w:val="57"/>
          <w:jc w:val="right"/>
        </w:trPr>
        <w:tc>
          <w:tcPr>
            <w:tcW w:w="4425" w:type="dxa"/>
            <w:tcBorders>
              <w:top w:val="single" w:sz="12" w:space="0" w:color="auto"/>
              <w:bottom w:val="single" w:sz="12" w:space="0" w:color="auto"/>
            </w:tcBorders>
          </w:tcPr>
          <w:p w14:paraId="14987948" w14:textId="77777777" w:rsidR="00863F6A" w:rsidRPr="00174DCA" w:rsidRDefault="00863F6A" w:rsidP="00174DCA">
            <w:pPr>
              <w:pStyle w:val="Normal-pool"/>
              <w:spacing w:before="40" w:after="40"/>
              <w:rPr>
                <w:b/>
                <w:sz w:val="18"/>
                <w:szCs w:val="18"/>
              </w:rPr>
            </w:pPr>
            <w:r w:rsidRPr="00174DCA">
              <w:rPr>
                <w:b/>
                <w:sz w:val="18"/>
                <w:szCs w:val="18"/>
              </w:rPr>
              <w:t>GRAND TOTAL</w:t>
            </w:r>
          </w:p>
        </w:tc>
        <w:tc>
          <w:tcPr>
            <w:tcW w:w="1174" w:type="dxa"/>
            <w:tcBorders>
              <w:top w:val="single" w:sz="12" w:space="0" w:color="auto"/>
              <w:bottom w:val="single" w:sz="12" w:space="0" w:color="auto"/>
            </w:tcBorders>
          </w:tcPr>
          <w:p w14:paraId="38718B22" w14:textId="7EB64206" w:rsidR="00863F6A" w:rsidRPr="00174DCA" w:rsidRDefault="00863F6A" w:rsidP="00174DCA">
            <w:pPr>
              <w:pStyle w:val="Normal-pool"/>
              <w:spacing w:before="40" w:after="40"/>
              <w:jc w:val="right"/>
              <w:rPr>
                <w:b/>
                <w:sz w:val="18"/>
                <w:szCs w:val="18"/>
              </w:rPr>
            </w:pPr>
            <w:r w:rsidRPr="00174DCA">
              <w:rPr>
                <w:b/>
                <w:sz w:val="18"/>
                <w:szCs w:val="18"/>
              </w:rPr>
              <w:t>6</w:t>
            </w:r>
            <w:r w:rsidR="00183C35" w:rsidRPr="00174DCA">
              <w:rPr>
                <w:b/>
                <w:sz w:val="18"/>
                <w:szCs w:val="18"/>
              </w:rPr>
              <w:t xml:space="preserve"> </w:t>
            </w:r>
            <w:r w:rsidRPr="00174DCA">
              <w:rPr>
                <w:b/>
                <w:sz w:val="18"/>
                <w:szCs w:val="18"/>
              </w:rPr>
              <w:t>174</w:t>
            </w:r>
            <w:r w:rsidR="00183C35" w:rsidRPr="00174DCA">
              <w:rPr>
                <w:b/>
                <w:sz w:val="18"/>
                <w:szCs w:val="18"/>
              </w:rPr>
              <w:t xml:space="preserve"> </w:t>
            </w:r>
            <w:r w:rsidRPr="00174DCA">
              <w:rPr>
                <w:b/>
                <w:sz w:val="18"/>
                <w:szCs w:val="18"/>
              </w:rPr>
              <w:t>423</w:t>
            </w:r>
          </w:p>
        </w:tc>
        <w:tc>
          <w:tcPr>
            <w:tcW w:w="1354" w:type="dxa"/>
            <w:tcBorders>
              <w:top w:val="single" w:sz="12" w:space="0" w:color="auto"/>
              <w:bottom w:val="single" w:sz="12" w:space="0" w:color="auto"/>
            </w:tcBorders>
          </w:tcPr>
          <w:p w14:paraId="76F3783B" w14:textId="487648E7" w:rsidR="00863F6A" w:rsidRPr="00174DCA" w:rsidRDefault="00863F6A" w:rsidP="00174DCA">
            <w:pPr>
              <w:pStyle w:val="Normal-pool"/>
              <w:spacing w:before="40" w:after="40"/>
              <w:jc w:val="right"/>
              <w:rPr>
                <w:b/>
                <w:sz w:val="18"/>
                <w:szCs w:val="18"/>
              </w:rPr>
            </w:pPr>
            <w:r w:rsidRPr="00174DCA">
              <w:rPr>
                <w:b/>
                <w:sz w:val="18"/>
                <w:szCs w:val="18"/>
              </w:rPr>
              <w:t>2</w:t>
            </w:r>
            <w:r w:rsidR="00183C35" w:rsidRPr="00174DCA">
              <w:rPr>
                <w:b/>
                <w:sz w:val="18"/>
                <w:szCs w:val="18"/>
              </w:rPr>
              <w:t xml:space="preserve"> </w:t>
            </w:r>
            <w:r w:rsidRPr="00174DCA">
              <w:rPr>
                <w:b/>
                <w:sz w:val="18"/>
                <w:szCs w:val="18"/>
              </w:rPr>
              <w:t>960</w:t>
            </w:r>
            <w:r w:rsidR="00183C35" w:rsidRPr="00174DCA">
              <w:rPr>
                <w:b/>
                <w:sz w:val="18"/>
                <w:szCs w:val="18"/>
              </w:rPr>
              <w:t xml:space="preserve"> </w:t>
            </w:r>
            <w:r w:rsidRPr="00174DCA">
              <w:rPr>
                <w:b/>
                <w:sz w:val="18"/>
                <w:szCs w:val="18"/>
              </w:rPr>
              <w:t>824</w:t>
            </w:r>
          </w:p>
        </w:tc>
        <w:tc>
          <w:tcPr>
            <w:tcW w:w="1354" w:type="dxa"/>
            <w:tcBorders>
              <w:top w:val="single" w:sz="12" w:space="0" w:color="auto"/>
              <w:bottom w:val="single" w:sz="12" w:space="0" w:color="auto"/>
            </w:tcBorders>
          </w:tcPr>
          <w:p w14:paraId="75586A50" w14:textId="78F8B18C" w:rsidR="00863F6A" w:rsidRPr="00174DCA" w:rsidRDefault="00863F6A" w:rsidP="00174DCA">
            <w:pPr>
              <w:pStyle w:val="Normal-pool"/>
              <w:spacing w:before="40" w:after="40"/>
              <w:jc w:val="right"/>
              <w:rPr>
                <w:b/>
                <w:sz w:val="18"/>
                <w:szCs w:val="18"/>
              </w:rPr>
            </w:pPr>
            <w:r w:rsidRPr="00174DCA">
              <w:rPr>
                <w:b/>
                <w:sz w:val="18"/>
                <w:szCs w:val="18"/>
              </w:rPr>
              <w:t>3</w:t>
            </w:r>
            <w:r w:rsidR="00183C35" w:rsidRPr="00174DCA">
              <w:rPr>
                <w:b/>
                <w:sz w:val="18"/>
                <w:szCs w:val="18"/>
              </w:rPr>
              <w:t xml:space="preserve"> </w:t>
            </w:r>
            <w:r w:rsidRPr="00174DCA">
              <w:rPr>
                <w:b/>
                <w:sz w:val="18"/>
                <w:szCs w:val="18"/>
              </w:rPr>
              <w:t>213</w:t>
            </w:r>
            <w:r w:rsidR="00183C35" w:rsidRPr="00174DCA">
              <w:rPr>
                <w:b/>
                <w:sz w:val="18"/>
                <w:szCs w:val="18"/>
              </w:rPr>
              <w:t xml:space="preserve"> </w:t>
            </w:r>
            <w:r w:rsidRPr="00174DCA">
              <w:rPr>
                <w:b/>
                <w:sz w:val="18"/>
                <w:szCs w:val="18"/>
              </w:rPr>
              <w:t>599</w:t>
            </w:r>
          </w:p>
        </w:tc>
      </w:tr>
    </w:tbl>
    <w:p w14:paraId="26C52CB2" w14:textId="2CE5B98A" w:rsidR="00863F6A" w:rsidRPr="000A7F53" w:rsidRDefault="001639C5" w:rsidP="000A7F53">
      <w:pPr>
        <w:pStyle w:val="NormalNonumber"/>
        <w:spacing w:before="40"/>
        <w:rPr>
          <w:b/>
          <w:bCs/>
          <w:sz w:val="17"/>
          <w:szCs w:val="17"/>
        </w:rPr>
      </w:pPr>
      <w:r w:rsidRPr="000A7F53">
        <w:rPr>
          <w:i/>
          <w:sz w:val="17"/>
          <w:szCs w:val="17"/>
          <w:lang w:val="en-US"/>
        </w:rPr>
        <w:t>Abbreviations</w:t>
      </w:r>
      <w:r w:rsidRPr="000A7F53">
        <w:rPr>
          <w:sz w:val="17"/>
          <w:szCs w:val="17"/>
          <w:lang w:val="en-US"/>
        </w:rPr>
        <w:t>: BRS – Basel, Rotterdam and Stockholm conventions</w:t>
      </w:r>
      <w:r w:rsidR="00E36A5A">
        <w:rPr>
          <w:sz w:val="17"/>
          <w:szCs w:val="17"/>
          <w:lang w:val="en-US"/>
        </w:rPr>
        <w:t>;</w:t>
      </w:r>
      <w:r w:rsidRPr="000A7F53">
        <w:rPr>
          <w:sz w:val="17"/>
          <w:szCs w:val="17"/>
          <w:lang w:val="en-US"/>
        </w:rPr>
        <w:t xml:space="preserve"> MC – Minamata Convention</w:t>
      </w:r>
      <w:r w:rsidR="00E36A5A">
        <w:rPr>
          <w:sz w:val="17"/>
          <w:szCs w:val="17"/>
          <w:lang w:val="en-US"/>
        </w:rPr>
        <w:t>;</w:t>
      </w:r>
      <w:r w:rsidRPr="000A7F53">
        <w:rPr>
          <w:sz w:val="17"/>
          <w:szCs w:val="17"/>
          <w:lang w:val="en-US"/>
        </w:rPr>
        <w:t xml:space="preserve"> </w:t>
      </w:r>
      <w:r w:rsidRPr="000A7F53">
        <w:rPr>
          <w:sz w:val="17"/>
          <w:szCs w:val="17"/>
        </w:rPr>
        <w:t>COP4 – the fourth meeting of the Conference of the Parties to the Minamata Convention</w:t>
      </w:r>
      <w:r w:rsidRPr="000A7F53">
        <w:rPr>
          <w:sz w:val="17"/>
          <w:szCs w:val="17"/>
          <w:lang w:val="en-US"/>
        </w:rPr>
        <w:t>.</w:t>
      </w:r>
    </w:p>
    <w:p w14:paraId="0F9254DD" w14:textId="1799B01A" w:rsidR="00AE3AF5" w:rsidRDefault="00BD6E6D" w:rsidP="00AE3AF5">
      <w:pPr>
        <w:pStyle w:val="CommentText"/>
      </w:pPr>
      <w:r>
        <w:br w:type="page"/>
      </w:r>
    </w:p>
    <w:p w14:paraId="2ABA4EE6" w14:textId="50663940" w:rsidR="00863F6A" w:rsidRPr="00B701FA" w:rsidRDefault="000A7F53" w:rsidP="00D92A40">
      <w:pPr>
        <w:pStyle w:val="CH2"/>
      </w:pPr>
      <w:r>
        <w:lastRenderedPageBreak/>
        <w:tab/>
      </w:r>
      <w:bookmarkStart w:id="40" w:name="_Toc22825252"/>
      <w:r>
        <w:t>C.</w:t>
      </w:r>
      <w:r>
        <w:tab/>
      </w:r>
      <w:bookmarkStart w:id="41" w:name="_Toc21073448"/>
      <w:r w:rsidR="00863F6A" w:rsidRPr="00B701FA">
        <w:t xml:space="preserve">Distribution of positions proposed for </w:t>
      </w:r>
      <w:r w:rsidR="00C06171">
        <w:t xml:space="preserve">redeployment of </w:t>
      </w:r>
      <w:r w:rsidR="00AE3AF5" w:rsidRPr="00B701FA">
        <w:t xml:space="preserve">staff </w:t>
      </w:r>
      <w:r w:rsidR="00863F6A" w:rsidRPr="00B701FA">
        <w:t xml:space="preserve">from </w:t>
      </w:r>
      <w:r w:rsidR="00AE3AF5">
        <w:t xml:space="preserve">the </w:t>
      </w:r>
      <w:r w:rsidR="00E14E7E">
        <w:t xml:space="preserve">secretariat of the </w:t>
      </w:r>
      <w:r w:rsidR="00863F6A">
        <w:t>Minamata Convention</w:t>
      </w:r>
      <w:r w:rsidR="00863F6A" w:rsidRPr="00B701FA">
        <w:t xml:space="preserve"> to </w:t>
      </w:r>
      <w:r w:rsidR="00AE3AF5">
        <w:t>the</w:t>
      </w:r>
      <w:r w:rsidR="00E14E7E">
        <w:t xml:space="preserve"> </w:t>
      </w:r>
      <w:r w:rsidR="00353A22">
        <w:t>s</w:t>
      </w:r>
      <w:r w:rsidR="00E14E7E">
        <w:t>ecretariat of the</w:t>
      </w:r>
      <w:r w:rsidR="00AE3AF5">
        <w:t xml:space="preserve"> </w:t>
      </w:r>
      <w:r w:rsidR="00863F6A" w:rsidRPr="00B701FA">
        <w:t>B</w:t>
      </w:r>
      <w:r w:rsidR="00AE3AF5">
        <w:t xml:space="preserve">asel, </w:t>
      </w:r>
      <w:r w:rsidR="00863F6A" w:rsidRPr="00B701FA">
        <w:t>R</w:t>
      </w:r>
      <w:r w:rsidR="00AE3AF5">
        <w:t xml:space="preserve">otterdam and </w:t>
      </w:r>
      <w:r w:rsidR="00863F6A" w:rsidRPr="00B701FA">
        <w:t>S</w:t>
      </w:r>
      <w:bookmarkEnd w:id="41"/>
      <w:r w:rsidR="00AE3AF5">
        <w:t xml:space="preserve">tockholm </w:t>
      </w:r>
      <w:r w:rsidR="00353A22">
        <w:t>c</w:t>
      </w:r>
      <w:r w:rsidR="00AE3AF5">
        <w:t>onventions</w:t>
      </w:r>
      <w:bookmarkEnd w:id="40"/>
      <w:r w:rsidR="00863F6A" w:rsidRPr="00B701FA">
        <w:t xml:space="preserve"> </w:t>
      </w:r>
    </w:p>
    <w:tbl>
      <w:tblPr>
        <w:tblStyle w:val="TableGrid"/>
        <w:tblW w:w="8273" w:type="dxa"/>
        <w:jc w:val="right"/>
        <w:tblBorders>
          <w:top w:val="none" w:sz="0" w:space="0" w:color="auto"/>
          <w:left w:val="dotted" w:sz="4" w:space="0" w:color="auto"/>
          <w:bottom w:val="none" w:sz="0" w:space="0" w:color="auto"/>
          <w:right w:val="dotted" w:sz="4" w:space="0" w:color="auto"/>
          <w:insideH w:val="dotted" w:sz="4" w:space="0" w:color="auto"/>
          <w:insideV w:val="none" w:sz="0" w:space="0" w:color="auto"/>
        </w:tblBorders>
        <w:tblLook w:val="04A0" w:firstRow="1" w:lastRow="0" w:firstColumn="1" w:lastColumn="0" w:noHBand="0" w:noVBand="1"/>
      </w:tblPr>
      <w:tblGrid>
        <w:gridCol w:w="4330"/>
        <w:gridCol w:w="1314"/>
        <w:gridCol w:w="1314"/>
        <w:gridCol w:w="1315"/>
      </w:tblGrid>
      <w:tr w:rsidR="00863F6A" w:rsidRPr="00183C35" w14:paraId="10634B7B" w14:textId="77777777" w:rsidTr="00174DCA">
        <w:trPr>
          <w:trHeight w:val="57"/>
          <w:jc w:val="right"/>
        </w:trPr>
        <w:tc>
          <w:tcPr>
            <w:tcW w:w="4330" w:type="dxa"/>
            <w:tcBorders>
              <w:top w:val="single" w:sz="4" w:space="0" w:color="auto"/>
              <w:bottom w:val="single" w:sz="12" w:space="0" w:color="auto"/>
            </w:tcBorders>
          </w:tcPr>
          <w:p w14:paraId="7F0C05A8" w14:textId="336DFAAA" w:rsidR="00863F6A" w:rsidRPr="00174DCA" w:rsidRDefault="00863F6A" w:rsidP="00174DCA">
            <w:pPr>
              <w:pStyle w:val="Normal-pool"/>
              <w:spacing w:before="40" w:after="40"/>
              <w:ind w:left="57" w:right="57"/>
              <w:rPr>
                <w:i/>
                <w:sz w:val="18"/>
                <w:szCs w:val="18"/>
              </w:rPr>
            </w:pPr>
            <w:r w:rsidRPr="00174DCA">
              <w:rPr>
                <w:i/>
                <w:sz w:val="18"/>
                <w:szCs w:val="18"/>
              </w:rPr>
              <w:t xml:space="preserve">Position </w:t>
            </w:r>
            <w:r w:rsidR="001639C5">
              <w:rPr>
                <w:i/>
                <w:sz w:val="18"/>
                <w:szCs w:val="18"/>
              </w:rPr>
              <w:t>and</w:t>
            </w:r>
            <w:r w:rsidRPr="00174DCA">
              <w:rPr>
                <w:i/>
                <w:sz w:val="18"/>
                <w:szCs w:val="18"/>
              </w:rPr>
              <w:t xml:space="preserve"> </w:t>
            </w:r>
            <w:r w:rsidR="001639C5">
              <w:rPr>
                <w:i/>
                <w:sz w:val="18"/>
                <w:szCs w:val="18"/>
              </w:rPr>
              <w:t>l</w:t>
            </w:r>
            <w:r w:rsidRPr="00174DCA">
              <w:rPr>
                <w:i/>
                <w:sz w:val="18"/>
                <w:szCs w:val="18"/>
              </w:rPr>
              <w:t>evel</w:t>
            </w:r>
          </w:p>
        </w:tc>
        <w:tc>
          <w:tcPr>
            <w:tcW w:w="1314" w:type="dxa"/>
            <w:tcBorders>
              <w:top w:val="single" w:sz="4" w:space="0" w:color="auto"/>
              <w:bottom w:val="single" w:sz="12" w:space="0" w:color="auto"/>
            </w:tcBorders>
          </w:tcPr>
          <w:p w14:paraId="7D55DA74" w14:textId="1D362693" w:rsidR="00863F6A" w:rsidRPr="00174DCA" w:rsidRDefault="00863F6A" w:rsidP="00174DCA">
            <w:pPr>
              <w:pStyle w:val="Normal-pool"/>
              <w:spacing w:before="40" w:after="40"/>
              <w:ind w:left="57" w:right="57"/>
              <w:jc w:val="right"/>
              <w:rPr>
                <w:i/>
                <w:sz w:val="18"/>
                <w:szCs w:val="18"/>
              </w:rPr>
            </w:pPr>
            <w:r w:rsidRPr="00174DCA">
              <w:rPr>
                <w:i/>
                <w:sz w:val="18"/>
                <w:szCs w:val="18"/>
              </w:rPr>
              <w:t>Budgeted</w:t>
            </w:r>
            <w:r w:rsidR="00183C35">
              <w:rPr>
                <w:i/>
                <w:sz w:val="18"/>
                <w:szCs w:val="18"/>
              </w:rPr>
              <w:t xml:space="preserve"> </w:t>
            </w:r>
            <w:r w:rsidRPr="00174DCA">
              <w:rPr>
                <w:i/>
                <w:sz w:val="18"/>
                <w:szCs w:val="18"/>
              </w:rPr>
              <w:t>MC</w:t>
            </w:r>
          </w:p>
        </w:tc>
        <w:tc>
          <w:tcPr>
            <w:tcW w:w="1314" w:type="dxa"/>
            <w:tcBorders>
              <w:top w:val="single" w:sz="4" w:space="0" w:color="auto"/>
              <w:bottom w:val="single" w:sz="12" w:space="0" w:color="auto"/>
            </w:tcBorders>
          </w:tcPr>
          <w:p w14:paraId="61AA9E02" w14:textId="77777777" w:rsidR="00863F6A" w:rsidRPr="00174DCA" w:rsidRDefault="00863F6A" w:rsidP="00174DCA">
            <w:pPr>
              <w:pStyle w:val="Normal-pool"/>
              <w:spacing w:before="40" w:after="40"/>
              <w:ind w:left="57" w:right="57"/>
              <w:jc w:val="right"/>
              <w:rPr>
                <w:i/>
                <w:sz w:val="18"/>
                <w:szCs w:val="18"/>
              </w:rPr>
            </w:pPr>
            <w:r w:rsidRPr="00174DCA">
              <w:rPr>
                <w:i/>
                <w:sz w:val="18"/>
                <w:szCs w:val="18"/>
              </w:rPr>
              <w:t>Earmarked for BRS</w:t>
            </w:r>
          </w:p>
        </w:tc>
        <w:tc>
          <w:tcPr>
            <w:tcW w:w="1315" w:type="dxa"/>
            <w:tcBorders>
              <w:top w:val="single" w:sz="4" w:space="0" w:color="auto"/>
              <w:bottom w:val="single" w:sz="12" w:space="0" w:color="auto"/>
            </w:tcBorders>
          </w:tcPr>
          <w:p w14:paraId="6B6B59DC" w14:textId="41728E93" w:rsidR="00863F6A" w:rsidRPr="00174DCA" w:rsidRDefault="00863F6A" w:rsidP="00174DCA">
            <w:pPr>
              <w:pStyle w:val="Normal-pool"/>
              <w:spacing w:before="40" w:after="40"/>
              <w:ind w:left="57" w:right="57"/>
              <w:jc w:val="right"/>
              <w:rPr>
                <w:i/>
                <w:sz w:val="18"/>
                <w:szCs w:val="18"/>
              </w:rPr>
            </w:pPr>
            <w:r w:rsidRPr="00174DCA">
              <w:rPr>
                <w:i/>
                <w:sz w:val="18"/>
                <w:szCs w:val="18"/>
              </w:rPr>
              <w:t>Remain with</w:t>
            </w:r>
            <w:r w:rsidR="00183C35">
              <w:rPr>
                <w:i/>
                <w:sz w:val="18"/>
                <w:szCs w:val="18"/>
              </w:rPr>
              <w:t xml:space="preserve"> </w:t>
            </w:r>
            <w:r w:rsidRPr="00174DCA">
              <w:rPr>
                <w:i/>
                <w:sz w:val="18"/>
                <w:szCs w:val="18"/>
              </w:rPr>
              <w:t xml:space="preserve">MC </w:t>
            </w:r>
          </w:p>
        </w:tc>
      </w:tr>
      <w:tr w:rsidR="00863F6A" w:rsidRPr="00183C35" w14:paraId="4F84F335" w14:textId="77777777" w:rsidTr="00174DCA">
        <w:trPr>
          <w:trHeight w:val="57"/>
          <w:jc w:val="right"/>
        </w:trPr>
        <w:tc>
          <w:tcPr>
            <w:tcW w:w="4330" w:type="dxa"/>
            <w:tcBorders>
              <w:top w:val="single" w:sz="12" w:space="0" w:color="auto"/>
            </w:tcBorders>
          </w:tcPr>
          <w:p w14:paraId="4C535937" w14:textId="77777777" w:rsidR="00863F6A" w:rsidRPr="00174DCA" w:rsidRDefault="00863F6A" w:rsidP="00174DCA">
            <w:pPr>
              <w:pStyle w:val="Normal-pool"/>
              <w:spacing w:before="40" w:after="40"/>
              <w:ind w:left="57" w:right="57"/>
              <w:rPr>
                <w:sz w:val="18"/>
                <w:szCs w:val="18"/>
              </w:rPr>
            </w:pPr>
            <w:r w:rsidRPr="00174DCA">
              <w:rPr>
                <w:sz w:val="18"/>
                <w:szCs w:val="18"/>
              </w:rPr>
              <w:t>D1 – Executive Secretary</w:t>
            </w:r>
          </w:p>
        </w:tc>
        <w:tc>
          <w:tcPr>
            <w:tcW w:w="1314" w:type="dxa"/>
            <w:tcBorders>
              <w:top w:val="single" w:sz="12" w:space="0" w:color="auto"/>
            </w:tcBorders>
          </w:tcPr>
          <w:p w14:paraId="34928147"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Borders>
              <w:top w:val="single" w:sz="12" w:space="0" w:color="auto"/>
            </w:tcBorders>
          </w:tcPr>
          <w:p w14:paraId="737642A7" w14:textId="59F69483"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Borders>
              <w:top w:val="single" w:sz="12" w:space="0" w:color="auto"/>
            </w:tcBorders>
          </w:tcPr>
          <w:p w14:paraId="1AE7F3E9"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58D1F930" w14:textId="77777777" w:rsidTr="00174DCA">
        <w:trPr>
          <w:trHeight w:val="57"/>
          <w:jc w:val="right"/>
        </w:trPr>
        <w:tc>
          <w:tcPr>
            <w:tcW w:w="4330" w:type="dxa"/>
          </w:tcPr>
          <w:p w14:paraId="3A730F9F" w14:textId="62D46794" w:rsidR="00863F6A" w:rsidRPr="00174DCA" w:rsidRDefault="00863F6A" w:rsidP="00174DCA">
            <w:pPr>
              <w:pStyle w:val="Normal-pool"/>
              <w:spacing w:before="40" w:after="40"/>
              <w:ind w:left="57" w:right="57"/>
              <w:rPr>
                <w:sz w:val="18"/>
                <w:szCs w:val="18"/>
              </w:rPr>
            </w:pPr>
            <w:r w:rsidRPr="00174DCA">
              <w:rPr>
                <w:sz w:val="18"/>
                <w:szCs w:val="18"/>
              </w:rPr>
              <w:t xml:space="preserve">P5 – Coordination and </w:t>
            </w:r>
            <w:r w:rsidR="00AE3AF5" w:rsidRPr="00CD2C48">
              <w:rPr>
                <w:sz w:val="18"/>
                <w:szCs w:val="18"/>
              </w:rPr>
              <w:t>p</w:t>
            </w:r>
            <w:r w:rsidRPr="00174DCA">
              <w:rPr>
                <w:sz w:val="18"/>
                <w:szCs w:val="18"/>
              </w:rPr>
              <w:t>olicy</w:t>
            </w:r>
          </w:p>
        </w:tc>
        <w:tc>
          <w:tcPr>
            <w:tcW w:w="1314" w:type="dxa"/>
          </w:tcPr>
          <w:p w14:paraId="6B2B18A8"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6F5DD353" w14:textId="5059E021"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Pr>
          <w:p w14:paraId="7D80FF60"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6BC908DA" w14:textId="77777777" w:rsidTr="00174DCA">
        <w:trPr>
          <w:trHeight w:val="57"/>
          <w:jc w:val="right"/>
        </w:trPr>
        <w:tc>
          <w:tcPr>
            <w:tcW w:w="4330" w:type="dxa"/>
          </w:tcPr>
          <w:p w14:paraId="0A519543" w14:textId="0996923A" w:rsidR="00863F6A" w:rsidRPr="00174DCA" w:rsidRDefault="00863F6A" w:rsidP="00174DCA">
            <w:pPr>
              <w:pStyle w:val="Normal-pool"/>
              <w:spacing w:before="40" w:after="40"/>
              <w:ind w:left="57" w:right="57"/>
              <w:rPr>
                <w:sz w:val="18"/>
                <w:szCs w:val="18"/>
              </w:rPr>
            </w:pPr>
            <w:r w:rsidRPr="00174DCA">
              <w:rPr>
                <w:sz w:val="18"/>
                <w:szCs w:val="18"/>
              </w:rPr>
              <w:t xml:space="preserve">P4 – Science and </w:t>
            </w:r>
            <w:r w:rsidR="00AE3AF5" w:rsidRPr="00CD2C48">
              <w:rPr>
                <w:sz w:val="18"/>
                <w:szCs w:val="18"/>
              </w:rPr>
              <w:t>t</w:t>
            </w:r>
            <w:r w:rsidRPr="00174DCA">
              <w:rPr>
                <w:sz w:val="18"/>
                <w:szCs w:val="18"/>
              </w:rPr>
              <w:t>echnology</w:t>
            </w:r>
          </w:p>
        </w:tc>
        <w:tc>
          <w:tcPr>
            <w:tcW w:w="1314" w:type="dxa"/>
          </w:tcPr>
          <w:p w14:paraId="76D7D140"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50838101" w14:textId="2F8D7490"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Pr>
          <w:p w14:paraId="5FF8EDD6"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5A29D4E4" w14:textId="77777777" w:rsidTr="00174DCA">
        <w:trPr>
          <w:trHeight w:val="57"/>
          <w:jc w:val="right"/>
        </w:trPr>
        <w:tc>
          <w:tcPr>
            <w:tcW w:w="4330" w:type="dxa"/>
          </w:tcPr>
          <w:p w14:paraId="1A65726F" w14:textId="7CAF2EC7" w:rsidR="00863F6A" w:rsidRPr="00174DCA" w:rsidRDefault="00863F6A" w:rsidP="00174DCA">
            <w:pPr>
              <w:pStyle w:val="Normal-pool"/>
              <w:spacing w:before="40" w:after="40"/>
              <w:ind w:left="57" w:right="57"/>
              <w:rPr>
                <w:sz w:val="18"/>
                <w:szCs w:val="18"/>
              </w:rPr>
            </w:pPr>
            <w:r w:rsidRPr="00174DCA">
              <w:rPr>
                <w:sz w:val="18"/>
                <w:szCs w:val="18"/>
              </w:rPr>
              <w:t>P4 – Capacity</w:t>
            </w:r>
            <w:r w:rsidR="00AE3AF5" w:rsidRPr="00CD2C48">
              <w:rPr>
                <w:sz w:val="18"/>
                <w:szCs w:val="18"/>
              </w:rPr>
              <w:t>-</w:t>
            </w:r>
            <w:r w:rsidRPr="00174DCA">
              <w:rPr>
                <w:sz w:val="18"/>
                <w:szCs w:val="18"/>
              </w:rPr>
              <w:t xml:space="preserve">building </w:t>
            </w:r>
            <w:r w:rsidR="00353A22">
              <w:rPr>
                <w:sz w:val="18"/>
                <w:szCs w:val="18"/>
              </w:rPr>
              <w:t>and</w:t>
            </w:r>
            <w:r w:rsidR="00353A22" w:rsidRPr="00174DCA">
              <w:rPr>
                <w:sz w:val="18"/>
                <w:szCs w:val="18"/>
              </w:rPr>
              <w:t xml:space="preserve"> </w:t>
            </w:r>
            <w:r w:rsidR="00AE3AF5" w:rsidRPr="00CD2C48">
              <w:rPr>
                <w:sz w:val="18"/>
                <w:szCs w:val="18"/>
              </w:rPr>
              <w:t>t</w:t>
            </w:r>
            <w:r w:rsidRPr="00174DCA">
              <w:rPr>
                <w:sz w:val="18"/>
                <w:szCs w:val="18"/>
              </w:rPr>
              <w:t xml:space="preserve">echnical </w:t>
            </w:r>
            <w:r w:rsidR="00AE3AF5" w:rsidRPr="00CD2C48">
              <w:rPr>
                <w:sz w:val="18"/>
                <w:szCs w:val="18"/>
              </w:rPr>
              <w:t>a</w:t>
            </w:r>
            <w:r w:rsidRPr="00174DCA">
              <w:rPr>
                <w:sz w:val="18"/>
                <w:szCs w:val="18"/>
              </w:rPr>
              <w:t>ssistance</w:t>
            </w:r>
          </w:p>
        </w:tc>
        <w:tc>
          <w:tcPr>
            <w:tcW w:w="1314" w:type="dxa"/>
          </w:tcPr>
          <w:p w14:paraId="40E3BAB5"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7B7E75EF"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5" w:type="dxa"/>
          </w:tcPr>
          <w:p w14:paraId="3D7F5D44" w14:textId="75B394E0" w:rsidR="00863F6A" w:rsidRPr="00174DCA" w:rsidRDefault="00CD2C48" w:rsidP="00174DCA">
            <w:pPr>
              <w:pStyle w:val="Normal-pool"/>
              <w:spacing w:before="40" w:after="40"/>
              <w:ind w:left="57" w:right="57"/>
              <w:jc w:val="right"/>
              <w:rPr>
                <w:sz w:val="18"/>
                <w:szCs w:val="18"/>
              </w:rPr>
            </w:pPr>
            <w:r w:rsidRPr="001D27C4">
              <w:rPr>
                <w:sz w:val="17"/>
                <w:szCs w:val="17"/>
              </w:rPr>
              <w:t>–</w:t>
            </w:r>
          </w:p>
        </w:tc>
      </w:tr>
      <w:tr w:rsidR="00863F6A" w:rsidRPr="00183C35" w14:paraId="38199501" w14:textId="77777777" w:rsidTr="00CD2C48">
        <w:tblPrEx>
          <w:jc w:val="left"/>
        </w:tblPrEx>
        <w:tc>
          <w:tcPr>
            <w:tcW w:w="4330" w:type="dxa"/>
          </w:tcPr>
          <w:p w14:paraId="11D90AD8" w14:textId="048281EE"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P4 – Programme </w:t>
            </w:r>
            <w:r w:rsidRPr="00CD2C48">
              <w:rPr>
                <w:sz w:val="18"/>
                <w:szCs w:val="18"/>
              </w:rPr>
              <w:t>Of</w:t>
            </w:r>
            <w:r w:rsidRPr="00174DCA">
              <w:rPr>
                <w:sz w:val="18"/>
                <w:szCs w:val="18"/>
              </w:rPr>
              <w:t>ficer</w:t>
            </w:r>
          </w:p>
        </w:tc>
        <w:tc>
          <w:tcPr>
            <w:tcW w:w="1314" w:type="dxa"/>
          </w:tcPr>
          <w:p w14:paraId="4E81B60B"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613198F7" w14:textId="34DAEC65"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Pr>
          <w:p w14:paraId="46C614D2"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44BF21D4" w14:textId="77777777" w:rsidTr="00174DCA">
        <w:trPr>
          <w:trHeight w:val="57"/>
          <w:jc w:val="right"/>
        </w:trPr>
        <w:tc>
          <w:tcPr>
            <w:tcW w:w="4330" w:type="dxa"/>
          </w:tcPr>
          <w:p w14:paraId="4876239A" w14:textId="3EE6F055" w:rsidR="00863F6A" w:rsidRPr="00174DCA" w:rsidRDefault="00863F6A" w:rsidP="00174DCA">
            <w:pPr>
              <w:pStyle w:val="Normal-pool"/>
              <w:spacing w:before="40" w:after="40"/>
              <w:ind w:left="57" w:right="57"/>
              <w:rPr>
                <w:sz w:val="18"/>
                <w:szCs w:val="18"/>
              </w:rPr>
            </w:pPr>
            <w:r w:rsidRPr="00174DCA">
              <w:rPr>
                <w:sz w:val="18"/>
                <w:szCs w:val="18"/>
              </w:rPr>
              <w:t>P4 – Administrative Officer</w:t>
            </w:r>
          </w:p>
        </w:tc>
        <w:tc>
          <w:tcPr>
            <w:tcW w:w="1314" w:type="dxa"/>
          </w:tcPr>
          <w:p w14:paraId="7740956C"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03B13F35"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5" w:type="dxa"/>
          </w:tcPr>
          <w:p w14:paraId="41D2882E" w14:textId="6BFBDAA3" w:rsidR="00863F6A" w:rsidRPr="00174DCA" w:rsidRDefault="00CD2C48" w:rsidP="00174DCA">
            <w:pPr>
              <w:pStyle w:val="Normal-pool"/>
              <w:spacing w:before="40" w:after="40"/>
              <w:ind w:left="57" w:right="57"/>
              <w:jc w:val="right"/>
              <w:rPr>
                <w:sz w:val="18"/>
                <w:szCs w:val="18"/>
              </w:rPr>
            </w:pPr>
            <w:r w:rsidRPr="001D27C4">
              <w:rPr>
                <w:sz w:val="17"/>
                <w:szCs w:val="17"/>
              </w:rPr>
              <w:t>–</w:t>
            </w:r>
          </w:p>
        </w:tc>
      </w:tr>
      <w:tr w:rsidR="00863F6A" w:rsidRPr="00183C35" w14:paraId="6EDA8E36" w14:textId="77777777" w:rsidTr="00CD2C48">
        <w:tblPrEx>
          <w:jc w:val="left"/>
        </w:tblPrEx>
        <w:tc>
          <w:tcPr>
            <w:tcW w:w="4330" w:type="dxa"/>
          </w:tcPr>
          <w:p w14:paraId="7381A90A" w14:textId="537F163D"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P3 – Legal </w:t>
            </w:r>
            <w:r w:rsidRPr="00CD2C48">
              <w:rPr>
                <w:sz w:val="18"/>
                <w:szCs w:val="18"/>
              </w:rPr>
              <w:t>O</w:t>
            </w:r>
            <w:r w:rsidRPr="00174DCA">
              <w:rPr>
                <w:sz w:val="18"/>
                <w:szCs w:val="18"/>
              </w:rPr>
              <w:t>fficer</w:t>
            </w:r>
          </w:p>
        </w:tc>
        <w:tc>
          <w:tcPr>
            <w:tcW w:w="1314" w:type="dxa"/>
          </w:tcPr>
          <w:p w14:paraId="503EDB78"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167667BC"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5" w:type="dxa"/>
          </w:tcPr>
          <w:p w14:paraId="5776424E" w14:textId="7A47BBD6" w:rsidR="00863F6A" w:rsidRPr="00174DCA" w:rsidRDefault="00CD2C48" w:rsidP="00174DCA">
            <w:pPr>
              <w:pStyle w:val="Normal-pool"/>
              <w:spacing w:before="40" w:after="40"/>
              <w:ind w:left="57" w:right="57"/>
              <w:jc w:val="right"/>
              <w:rPr>
                <w:sz w:val="18"/>
                <w:szCs w:val="18"/>
              </w:rPr>
            </w:pPr>
            <w:r w:rsidRPr="001D27C4">
              <w:rPr>
                <w:sz w:val="17"/>
                <w:szCs w:val="17"/>
              </w:rPr>
              <w:t>–</w:t>
            </w:r>
          </w:p>
        </w:tc>
      </w:tr>
      <w:tr w:rsidR="00863F6A" w:rsidRPr="00183C35" w14:paraId="1FD66434" w14:textId="77777777" w:rsidTr="00CD2C48">
        <w:tblPrEx>
          <w:jc w:val="left"/>
        </w:tblPrEx>
        <w:tc>
          <w:tcPr>
            <w:tcW w:w="4330" w:type="dxa"/>
          </w:tcPr>
          <w:p w14:paraId="518EB2B0" w14:textId="68700AC5"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P3 – Communications </w:t>
            </w:r>
            <w:r w:rsidRPr="00CD2C48">
              <w:rPr>
                <w:sz w:val="18"/>
                <w:szCs w:val="18"/>
              </w:rPr>
              <w:t>O</w:t>
            </w:r>
            <w:r w:rsidRPr="00174DCA">
              <w:rPr>
                <w:sz w:val="18"/>
                <w:szCs w:val="18"/>
              </w:rPr>
              <w:t>fficer</w:t>
            </w:r>
          </w:p>
        </w:tc>
        <w:tc>
          <w:tcPr>
            <w:tcW w:w="1314" w:type="dxa"/>
          </w:tcPr>
          <w:p w14:paraId="6A69FA8D"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7EBDF3A5" w14:textId="31CF970D"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Pr>
          <w:p w14:paraId="58390DE1"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20FF7BEA" w14:textId="77777777" w:rsidTr="00174DCA">
        <w:trPr>
          <w:trHeight w:val="57"/>
          <w:jc w:val="right"/>
        </w:trPr>
        <w:tc>
          <w:tcPr>
            <w:tcW w:w="4330" w:type="dxa"/>
          </w:tcPr>
          <w:p w14:paraId="7ECEF534" w14:textId="124A21D5" w:rsidR="00863F6A" w:rsidRPr="00174DCA" w:rsidRDefault="00863F6A" w:rsidP="00174DCA">
            <w:pPr>
              <w:pStyle w:val="Normal-pool"/>
              <w:spacing w:before="40" w:after="40"/>
              <w:ind w:left="57" w:right="57"/>
              <w:rPr>
                <w:sz w:val="18"/>
                <w:szCs w:val="18"/>
              </w:rPr>
            </w:pPr>
            <w:r w:rsidRPr="00174DCA">
              <w:rPr>
                <w:sz w:val="18"/>
                <w:szCs w:val="18"/>
              </w:rPr>
              <w:t xml:space="preserve">P3 – Knowledge </w:t>
            </w:r>
            <w:r w:rsidR="00AE3AF5" w:rsidRPr="00CD2C48">
              <w:rPr>
                <w:sz w:val="18"/>
                <w:szCs w:val="18"/>
              </w:rPr>
              <w:t>m</w:t>
            </w:r>
            <w:r w:rsidRPr="00174DCA">
              <w:rPr>
                <w:sz w:val="18"/>
                <w:szCs w:val="18"/>
              </w:rPr>
              <w:t>anagement</w:t>
            </w:r>
          </w:p>
        </w:tc>
        <w:tc>
          <w:tcPr>
            <w:tcW w:w="1314" w:type="dxa"/>
          </w:tcPr>
          <w:p w14:paraId="64A1D5AF"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2F8F75EA"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5" w:type="dxa"/>
          </w:tcPr>
          <w:p w14:paraId="2DAB5598" w14:textId="7C30F1F7" w:rsidR="00863F6A" w:rsidRPr="00174DCA" w:rsidRDefault="00CD2C48" w:rsidP="00174DCA">
            <w:pPr>
              <w:pStyle w:val="Normal-pool"/>
              <w:spacing w:before="40" w:after="40"/>
              <w:ind w:left="57" w:right="57"/>
              <w:jc w:val="right"/>
              <w:rPr>
                <w:sz w:val="18"/>
                <w:szCs w:val="18"/>
              </w:rPr>
            </w:pPr>
            <w:r w:rsidRPr="001D27C4">
              <w:rPr>
                <w:sz w:val="17"/>
                <w:szCs w:val="17"/>
              </w:rPr>
              <w:t>–</w:t>
            </w:r>
          </w:p>
        </w:tc>
      </w:tr>
      <w:tr w:rsidR="00863F6A" w:rsidRPr="00183C35" w14:paraId="11DAF2A4" w14:textId="77777777" w:rsidTr="00CD2C48">
        <w:tblPrEx>
          <w:jc w:val="left"/>
        </w:tblPrEx>
        <w:tc>
          <w:tcPr>
            <w:tcW w:w="4330" w:type="dxa"/>
          </w:tcPr>
          <w:p w14:paraId="044195BB" w14:textId="1DC5CAEC"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P3 </w:t>
            </w:r>
            <w:r w:rsidR="00CD2C48" w:rsidRPr="001D27C4">
              <w:rPr>
                <w:sz w:val="17"/>
                <w:szCs w:val="17"/>
              </w:rPr>
              <w:t>–</w:t>
            </w:r>
            <w:r w:rsidRPr="00174DCA">
              <w:rPr>
                <w:sz w:val="18"/>
                <w:szCs w:val="18"/>
              </w:rPr>
              <w:t xml:space="preserve"> Programme </w:t>
            </w:r>
            <w:r w:rsidRPr="00CD2C48">
              <w:rPr>
                <w:sz w:val="18"/>
                <w:szCs w:val="18"/>
              </w:rPr>
              <w:t>O</w:t>
            </w:r>
            <w:r w:rsidRPr="00174DCA">
              <w:rPr>
                <w:sz w:val="18"/>
                <w:szCs w:val="18"/>
              </w:rPr>
              <w:t>fficer</w:t>
            </w:r>
          </w:p>
        </w:tc>
        <w:tc>
          <w:tcPr>
            <w:tcW w:w="1314" w:type="dxa"/>
          </w:tcPr>
          <w:p w14:paraId="6319D29D"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70B1CD43" w14:textId="6B813617"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Pr>
          <w:p w14:paraId="701C89AF" w14:textId="77777777" w:rsidR="00863F6A" w:rsidRPr="00174DCA" w:rsidRDefault="00863F6A" w:rsidP="00174DCA">
            <w:pPr>
              <w:pStyle w:val="Normal-pool"/>
              <w:spacing w:before="40" w:after="40"/>
              <w:ind w:left="57" w:right="57"/>
              <w:jc w:val="right"/>
              <w:rPr>
                <w:sz w:val="18"/>
                <w:szCs w:val="18"/>
                <w:lang w:val="es-CO"/>
              </w:rPr>
            </w:pPr>
            <w:r w:rsidRPr="00174DCA">
              <w:rPr>
                <w:sz w:val="18"/>
                <w:szCs w:val="18"/>
              </w:rPr>
              <w:t>1</w:t>
            </w:r>
          </w:p>
        </w:tc>
      </w:tr>
      <w:tr w:rsidR="00863F6A" w:rsidRPr="00183C35" w14:paraId="206077EA" w14:textId="77777777" w:rsidTr="00CD2C48">
        <w:tblPrEx>
          <w:jc w:val="left"/>
        </w:tblPrEx>
        <w:tc>
          <w:tcPr>
            <w:tcW w:w="4330" w:type="dxa"/>
          </w:tcPr>
          <w:p w14:paraId="179B3EFE" w14:textId="0380E56D"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G6 </w:t>
            </w:r>
            <w:r w:rsidR="00CD2C48" w:rsidRPr="001D27C4">
              <w:rPr>
                <w:sz w:val="17"/>
                <w:szCs w:val="17"/>
              </w:rPr>
              <w:t>–</w:t>
            </w:r>
            <w:r w:rsidRPr="00174DCA">
              <w:rPr>
                <w:sz w:val="18"/>
                <w:szCs w:val="18"/>
              </w:rPr>
              <w:t xml:space="preserve"> Administrative </w:t>
            </w:r>
            <w:r w:rsidRPr="00CD2C48">
              <w:rPr>
                <w:sz w:val="18"/>
                <w:szCs w:val="18"/>
              </w:rPr>
              <w:t>A</w:t>
            </w:r>
            <w:r w:rsidRPr="00174DCA">
              <w:rPr>
                <w:sz w:val="18"/>
                <w:szCs w:val="18"/>
              </w:rPr>
              <w:t>ssistant</w:t>
            </w:r>
          </w:p>
        </w:tc>
        <w:tc>
          <w:tcPr>
            <w:tcW w:w="1314" w:type="dxa"/>
          </w:tcPr>
          <w:p w14:paraId="39CC5FB4" w14:textId="77777777" w:rsidR="00863F6A" w:rsidRPr="00174DCA" w:rsidRDefault="00863F6A" w:rsidP="00174DCA">
            <w:pPr>
              <w:pStyle w:val="Normal-pool"/>
              <w:spacing w:before="40" w:after="40"/>
              <w:ind w:left="57" w:right="57"/>
              <w:jc w:val="right"/>
              <w:rPr>
                <w:sz w:val="18"/>
                <w:szCs w:val="18"/>
              </w:rPr>
            </w:pPr>
            <w:r w:rsidRPr="00174DCA">
              <w:rPr>
                <w:sz w:val="18"/>
                <w:szCs w:val="18"/>
              </w:rPr>
              <w:t>2</w:t>
            </w:r>
          </w:p>
        </w:tc>
        <w:tc>
          <w:tcPr>
            <w:tcW w:w="1314" w:type="dxa"/>
          </w:tcPr>
          <w:p w14:paraId="70805687"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5" w:type="dxa"/>
          </w:tcPr>
          <w:p w14:paraId="06846698"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7C9EAEC0" w14:textId="77777777" w:rsidTr="00CD2C48">
        <w:tblPrEx>
          <w:jc w:val="left"/>
        </w:tblPrEx>
        <w:tc>
          <w:tcPr>
            <w:tcW w:w="4330" w:type="dxa"/>
          </w:tcPr>
          <w:p w14:paraId="2FE5034E" w14:textId="0766C27F"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G5 – Programme </w:t>
            </w:r>
            <w:r w:rsidRPr="00CD2C48">
              <w:rPr>
                <w:sz w:val="18"/>
                <w:szCs w:val="18"/>
              </w:rPr>
              <w:t>Management A</w:t>
            </w:r>
            <w:r w:rsidRPr="00174DCA">
              <w:rPr>
                <w:sz w:val="18"/>
                <w:szCs w:val="18"/>
              </w:rPr>
              <w:t>ssistant</w:t>
            </w:r>
          </w:p>
        </w:tc>
        <w:tc>
          <w:tcPr>
            <w:tcW w:w="1314" w:type="dxa"/>
          </w:tcPr>
          <w:p w14:paraId="7FBCA31F" w14:textId="77777777" w:rsidR="00863F6A" w:rsidRPr="00174DCA" w:rsidRDefault="00863F6A" w:rsidP="00174DCA">
            <w:pPr>
              <w:pStyle w:val="Normal-pool"/>
              <w:spacing w:before="40" w:after="40"/>
              <w:ind w:left="57" w:right="57"/>
              <w:jc w:val="right"/>
              <w:rPr>
                <w:sz w:val="18"/>
                <w:szCs w:val="18"/>
                <w:highlight w:val="yellow"/>
              </w:rPr>
            </w:pPr>
            <w:r w:rsidRPr="00174DCA">
              <w:rPr>
                <w:sz w:val="18"/>
                <w:szCs w:val="18"/>
              </w:rPr>
              <w:t>1</w:t>
            </w:r>
          </w:p>
        </w:tc>
        <w:tc>
          <w:tcPr>
            <w:tcW w:w="1314" w:type="dxa"/>
          </w:tcPr>
          <w:p w14:paraId="02CAC9A9" w14:textId="7E1E1F73" w:rsidR="00863F6A" w:rsidRPr="00174DCA" w:rsidRDefault="00CD2C48" w:rsidP="00174DCA">
            <w:pPr>
              <w:pStyle w:val="Normal-pool"/>
              <w:spacing w:before="40" w:after="40"/>
              <w:ind w:left="57" w:right="57"/>
              <w:jc w:val="right"/>
              <w:rPr>
                <w:sz w:val="18"/>
                <w:szCs w:val="18"/>
              </w:rPr>
            </w:pPr>
            <w:r w:rsidRPr="001D27C4">
              <w:rPr>
                <w:sz w:val="17"/>
                <w:szCs w:val="17"/>
              </w:rPr>
              <w:t>–</w:t>
            </w:r>
          </w:p>
        </w:tc>
        <w:tc>
          <w:tcPr>
            <w:tcW w:w="1315" w:type="dxa"/>
          </w:tcPr>
          <w:p w14:paraId="38A7135D"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r>
      <w:tr w:rsidR="00863F6A" w:rsidRPr="00183C35" w14:paraId="41EA0083" w14:textId="77777777" w:rsidTr="00CD2C48">
        <w:tblPrEx>
          <w:jc w:val="left"/>
        </w:tblPrEx>
        <w:tc>
          <w:tcPr>
            <w:tcW w:w="4330" w:type="dxa"/>
          </w:tcPr>
          <w:p w14:paraId="6EA2F608" w14:textId="43BB6D4B"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G5 – Public</w:t>
            </w:r>
            <w:r w:rsidRPr="00CD2C48">
              <w:rPr>
                <w:sz w:val="18"/>
                <w:szCs w:val="18"/>
              </w:rPr>
              <w:t xml:space="preserve"> Information As</w:t>
            </w:r>
            <w:r w:rsidRPr="00174DCA">
              <w:rPr>
                <w:sz w:val="18"/>
                <w:szCs w:val="18"/>
              </w:rPr>
              <w:t>sistant</w:t>
            </w:r>
          </w:p>
        </w:tc>
        <w:tc>
          <w:tcPr>
            <w:tcW w:w="1314" w:type="dxa"/>
          </w:tcPr>
          <w:p w14:paraId="7CC57B87"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4" w:type="dxa"/>
          </w:tcPr>
          <w:p w14:paraId="3F20D62A" w14:textId="77777777" w:rsidR="00863F6A" w:rsidRPr="00174DCA" w:rsidRDefault="00863F6A" w:rsidP="00174DCA">
            <w:pPr>
              <w:pStyle w:val="Normal-pool"/>
              <w:spacing w:before="40" w:after="40"/>
              <w:ind w:left="57" w:right="57"/>
              <w:jc w:val="right"/>
              <w:rPr>
                <w:sz w:val="18"/>
                <w:szCs w:val="18"/>
              </w:rPr>
            </w:pPr>
            <w:r w:rsidRPr="00174DCA">
              <w:rPr>
                <w:sz w:val="18"/>
                <w:szCs w:val="18"/>
              </w:rPr>
              <w:t>1</w:t>
            </w:r>
          </w:p>
        </w:tc>
        <w:tc>
          <w:tcPr>
            <w:tcW w:w="1315" w:type="dxa"/>
          </w:tcPr>
          <w:p w14:paraId="69C4E74A" w14:textId="4E71432C" w:rsidR="00863F6A" w:rsidRPr="00174DCA" w:rsidRDefault="00CD2C48" w:rsidP="00174DCA">
            <w:pPr>
              <w:pStyle w:val="Normal-pool"/>
              <w:spacing w:before="40" w:after="40"/>
              <w:ind w:left="57" w:right="57"/>
              <w:jc w:val="right"/>
              <w:rPr>
                <w:sz w:val="18"/>
                <w:szCs w:val="18"/>
              </w:rPr>
            </w:pPr>
            <w:r w:rsidRPr="001D27C4">
              <w:rPr>
                <w:sz w:val="17"/>
                <w:szCs w:val="17"/>
              </w:rPr>
              <w:t>–</w:t>
            </w:r>
          </w:p>
        </w:tc>
      </w:tr>
      <w:tr w:rsidR="00863F6A" w:rsidRPr="00183C35" w14:paraId="4D188E7C" w14:textId="77777777" w:rsidTr="00CD2C48">
        <w:tblPrEx>
          <w:jc w:val="left"/>
        </w:tblPrEx>
        <w:tc>
          <w:tcPr>
            <w:tcW w:w="4330" w:type="dxa"/>
            <w:tcBorders>
              <w:bottom w:val="single" w:sz="4" w:space="0" w:color="auto"/>
            </w:tcBorders>
          </w:tcPr>
          <w:p w14:paraId="49227A61" w14:textId="67F0228B" w:rsidR="00863F6A" w:rsidRPr="00174DCA" w:rsidRDefault="00863F6A" w:rsidP="00CD2C48">
            <w:pPr>
              <w:tabs>
                <w:tab w:val="clear" w:pos="1247"/>
                <w:tab w:val="clear" w:pos="1814"/>
                <w:tab w:val="clear" w:pos="2381"/>
                <w:tab w:val="clear" w:pos="2948"/>
                <w:tab w:val="clear" w:pos="3515"/>
              </w:tabs>
              <w:spacing w:line="288" w:lineRule="auto"/>
              <w:ind w:left="57"/>
              <w:rPr>
                <w:sz w:val="18"/>
                <w:szCs w:val="18"/>
              </w:rPr>
            </w:pPr>
            <w:r w:rsidRPr="00174DCA">
              <w:rPr>
                <w:sz w:val="18"/>
                <w:szCs w:val="18"/>
              </w:rPr>
              <w:t xml:space="preserve">G4 – Team </w:t>
            </w:r>
            <w:r w:rsidRPr="00CD2C48">
              <w:rPr>
                <w:sz w:val="18"/>
                <w:szCs w:val="18"/>
              </w:rPr>
              <w:t>A</w:t>
            </w:r>
            <w:r w:rsidRPr="00174DCA">
              <w:rPr>
                <w:sz w:val="18"/>
                <w:szCs w:val="18"/>
              </w:rPr>
              <w:t>ssistant</w:t>
            </w:r>
          </w:p>
        </w:tc>
        <w:tc>
          <w:tcPr>
            <w:tcW w:w="1314" w:type="dxa"/>
            <w:tcBorders>
              <w:bottom w:val="single" w:sz="4" w:space="0" w:color="auto"/>
            </w:tcBorders>
          </w:tcPr>
          <w:p w14:paraId="4ABDBE71" w14:textId="77777777" w:rsidR="00863F6A" w:rsidRPr="00174DCA" w:rsidRDefault="00863F6A" w:rsidP="00174DCA">
            <w:pPr>
              <w:pStyle w:val="Normal-pool"/>
              <w:spacing w:before="40" w:after="40"/>
              <w:ind w:left="57" w:right="57"/>
              <w:jc w:val="right"/>
              <w:rPr>
                <w:sz w:val="18"/>
                <w:szCs w:val="18"/>
              </w:rPr>
            </w:pPr>
            <w:r w:rsidRPr="00174DCA">
              <w:rPr>
                <w:sz w:val="18"/>
                <w:szCs w:val="18"/>
              </w:rPr>
              <w:t>2</w:t>
            </w:r>
          </w:p>
        </w:tc>
        <w:tc>
          <w:tcPr>
            <w:tcW w:w="1314" w:type="dxa"/>
            <w:tcBorders>
              <w:bottom w:val="single" w:sz="4" w:space="0" w:color="auto"/>
            </w:tcBorders>
          </w:tcPr>
          <w:p w14:paraId="6C3FE1C5" w14:textId="77777777" w:rsidR="00863F6A" w:rsidRPr="00174DCA" w:rsidRDefault="00863F6A" w:rsidP="00174DCA">
            <w:pPr>
              <w:pStyle w:val="Normal-pool"/>
              <w:spacing w:before="40" w:after="40"/>
              <w:ind w:left="57" w:right="57"/>
              <w:jc w:val="right"/>
              <w:rPr>
                <w:sz w:val="18"/>
                <w:szCs w:val="18"/>
              </w:rPr>
            </w:pPr>
            <w:r w:rsidRPr="00174DCA">
              <w:rPr>
                <w:sz w:val="18"/>
                <w:szCs w:val="18"/>
              </w:rPr>
              <w:t>2</w:t>
            </w:r>
          </w:p>
        </w:tc>
        <w:tc>
          <w:tcPr>
            <w:tcW w:w="1315" w:type="dxa"/>
            <w:tcBorders>
              <w:bottom w:val="single" w:sz="4" w:space="0" w:color="auto"/>
            </w:tcBorders>
          </w:tcPr>
          <w:p w14:paraId="69C531E8" w14:textId="5A2CB029" w:rsidR="00863F6A" w:rsidRPr="00174DCA" w:rsidRDefault="00CD2C48" w:rsidP="00174DCA">
            <w:pPr>
              <w:pStyle w:val="Normal-pool"/>
              <w:spacing w:before="40" w:after="40"/>
              <w:ind w:left="57" w:right="57"/>
              <w:jc w:val="right"/>
              <w:rPr>
                <w:sz w:val="18"/>
                <w:szCs w:val="18"/>
              </w:rPr>
            </w:pPr>
            <w:r w:rsidRPr="001D27C4">
              <w:rPr>
                <w:sz w:val="17"/>
                <w:szCs w:val="17"/>
              </w:rPr>
              <w:t>–</w:t>
            </w:r>
          </w:p>
        </w:tc>
      </w:tr>
      <w:tr w:rsidR="00863F6A" w:rsidRPr="00183C35" w14:paraId="563F408B" w14:textId="77777777" w:rsidTr="00174DCA">
        <w:trPr>
          <w:trHeight w:val="57"/>
          <w:jc w:val="right"/>
        </w:trPr>
        <w:tc>
          <w:tcPr>
            <w:tcW w:w="4330" w:type="dxa"/>
            <w:tcBorders>
              <w:top w:val="single" w:sz="4" w:space="0" w:color="auto"/>
              <w:bottom w:val="single" w:sz="12" w:space="0" w:color="auto"/>
            </w:tcBorders>
          </w:tcPr>
          <w:p w14:paraId="421F18E4" w14:textId="77777777" w:rsidR="00863F6A" w:rsidRPr="00174DCA" w:rsidRDefault="00863F6A" w:rsidP="00174DCA">
            <w:pPr>
              <w:pStyle w:val="Normal-pool"/>
              <w:spacing w:before="40" w:after="40"/>
              <w:ind w:left="57" w:right="57"/>
              <w:rPr>
                <w:b/>
                <w:sz w:val="18"/>
                <w:szCs w:val="18"/>
              </w:rPr>
            </w:pPr>
            <w:r w:rsidRPr="00174DCA">
              <w:rPr>
                <w:b/>
                <w:sz w:val="18"/>
                <w:szCs w:val="18"/>
              </w:rPr>
              <w:t>TOTAL</w:t>
            </w:r>
          </w:p>
        </w:tc>
        <w:tc>
          <w:tcPr>
            <w:tcW w:w="1314" w:type="dxa"/>
            <w:tcBorders>
              <w:top w:val="single" w:sz="4" w:space="0" w:color="auto"/>
              <w:bottom w:val="single" w:sz="12" w:space="0" w:color="auto"/>
            </w:tcBorders>
          </w:tcPr>
          <w:p w14:paraId="3E0AC79B" w14:textId="77777777" w:rsidR="00863F6A" w:rsidRPr="00174DCA" w:rsidRDefault="00863F6A" w:rsidP="00174DCA">
            <w:pPr>
              <w:pStyle w:val="Normal-pool"/>
              <w:spacing w:before="40" w:after="40"/>
              <w:ind w:left="57" w:right="57"/>
              <w:jc w:val="right"/>
              <w:rPr>
                <w:b/>
                <w:sz w:val="18"/>
                <w:szCs w:val="18"/>
              </w:rPr>
            </w:pPr>
            <w:r w:rsidRPr="00174DCA">
              <w:rPr>
                <w:b/>
                <w:sz w:val="18"/>
                <w:szCs w:val="18"/>
              </w:rPr>
              <w:t>16</w:t>
            </w:r>
          </w:p>
        </w:tc>
        <w:tc>
          <w:tcPr>
            <w:tcW w:w="1314" w:type="dxa"/>
            <w:tcBorders>
              <w:top w:val="single" w:sz="4" w:space="0" w:color="auto"/>
              <w:bottom w:val="single" w:sz="12" w:space="0" w:color="auto"/>
            </w:tcBorders>
          </w:tcPr>
          <w:p w14:paraId="3E986AE9" w14:textId="77777777" w:rsidR="00863F6A" w:rsidRPr="00174DCA" w:rsidRDefault="00863F6A" w:rsidP="00174DCA">
            <w:pPr>
              <w:pStyle w:val="Normal-pool"/>
              <w:spacing w:before="40" w:after="40"/>
              <w:ind w:left="57" w:right="57"/>
              <w:jc w:val="right"/>
              <w:rPr>
                <w:b/>
                <w:sz w:val="18"/>
                <w:szCs w:val="18"/>
              </w:rPr>
            </w:pPr>
            <w:r w:rsidRPr="00174DCA">
              <w:rPr>
                <w:b/>
                <w:sz w:val="18"/>
                <w:szCs w:val="18"/>
              </w:rPr>
              <w:t>8</w:t>
            </w:r>
          </w:p>
        </w:tc>
        <w:tc>
          <w:tcPr>
            <w:tcW w:w="1315" w:type="dxa"/>
            <w:tcBorders>
              <w:top w:val="single" w:sz="4" w:space="0" w:color="auto"/>
              <w:bottom w:val="single" w:sz="12" w:space="0" w:color="auto"/>
            </w:tcBorders>
          </w:tcPr>
          <w:p w14:paraId="784A522B" w14:textId="77777777" w:rsidR="00863F6A" w:rsidRPr="00174DCA" w:rsidRDefault="00863F6A" w:rsidP="00174DCA">
            <w:pPr>
              <w:pStyle w:val="Normal-pool"/>
              <w:spacing w:before="40" w:after="40"/>
              <w:ind w:left="57" w:right="57"/>
              <w:jc w:val="right"/>
              <w:rPr>
                <w:b/>
                <w:sz w:val="18"/>
                <w:szCs w:val="18"/>
              </w:rPr>
            </w:pPr>
            <w:r w:rsidRPr="00174DCA">
              <w:rPr>
                <w:b/>
                <w:sz w:val="18"/>
                <w:szCs w:val="18"/>
              </w:rPr>
              <w:t>8</w:t>
            </w:r>
          </w:p>
        </w:tc>
      </w:tr>
    </w:tbl>
    <w:p w14:paraId="4B63CF47" w14:textId="67A28306" w:rsidR="00863F6A" w:rsidRPr="000A7F53" w:rsidRDefault="001639C5" w:rsidP="00174DCA">
      <w:pPr>
        <w:pStyle w:val="NormalNonumber"/>
        <w:spacing w:before="40"/>
        <w:rPr>
          <w:sz w:val="17"/>
          <w:szCs w:val="17"/>
        </w:rPr>
      </w:pPr>
      <w:r w:rsidRPr="00CD2C48">
        <w:rPr>
          <w:i/>
          <w:sz w:val="17"/>
          <w:szCs w:val="17"/>
          <w:lang w:val="en-US"/>
        </w:rPr>
        <w:t>Abbreviations</w:t>
      </w:r>
      <w:r w:rsidRPr="00CD2C48">
        <w:rPr>
          <w:sz w:val="17"/>
          <w:szCs w:val="17"/>
          <w:lang w:val="en-US"/>
        </w:rPr>
        <w:t>: BRS – Basel, Rotterdam and Stockholm conventions</w:t>
      </w:r>
      <w:r w:rsidR="00E36A5A">
        <w:rPr>
          <w:sz w:val="17"/>
          <w:szCs w:val="17"/>
          <w:lang w:val="en-US"/>
        </w:rPr>
        <w:t>;</w:t>
      </w:r>
      <w:r w:rsidRPr="00CD2C48">
        <w:rPr>
          <w:sz w:val="17"/>
          <w:szCs w:val="17"/>
          <w:lang w:val="en-US"/>
        </w:rPr>
        <w:t xml:space="preserve"> MC – Minamata Convention.</w:t>
      </w:r>
    </w:p>
    <w:p w14:paraId="4F13AB9C" w14:textId="77777777" w:rsidR="00863F6A" w:rsidRPr="00174DCA" w:rsidRDefault="00863F6A" w:rsidP="00174DCA">
      <w:pPr>
        <w:pStyle w:val="Normal-pool"/>
      </w:pPr>
      <w:r w:rsidRPr="00174DCA">
        <w:br w:type="page"/>
      </w:r>
    </w:p>
    <w:p w14:paraId="1CC1CF12" w14:textId="015627F5" w:rsidR="00183C35" w:rsidRDefault="00863F6A" w:rsidP="00174DCA">
      <w:pPr>
        <w:pStyle w:val="ZZAnxheader"/>
      </w:pPr>
      <w:bookmarkStart w:id="42" w:name="_Toc22825253"/>
      <w:r w:rsidRPr="00EE7244">
        <w:lastRenderedPageBreak/>
        <w:t xml:space="preserve">Annex </w:t>
      </w:r>
      <w:r w:rsidR="00E14E7E">
        <w:t>II</w:t>
      </w:r>
      <w:bookmarkEnd w:id="42"/>
    </w:p>
    <w:p w14:paraId="40AB7130" w14:textId="7AF9045A" w:rsidR="00863F6A" w:rsidRPr="00EE7244" w:rsidRDefault="00863F6A" w:rsidP="00174DCA">
      <w:pPr>
        <w:pStyle w:val="ZZAnxtitle"/>
      </w:pPr>
      <w:bookmarkStart w:id="43" w:name="_Toc21073449"/>
      <w:r w:rsidRPr="00EE7244">
        <w:t xml:space="preserve">Services in support of the Minamata </w:t>
      </w:r>
      <w:r w:rsidR="004F09E7">
        <w:t>C</w:t>
      </w:r>
      <w:r w:rsidRPr="00EE7244">
        <w:t xml:space="preserve">onvention for meetings of </w:t>
      </w:r>
      <w:r w:rsidR="004F09E7">
        <w:t xml:space="preserve">the </w:t>
      </w:r>
      <w:r w:rsidRPr="00EE7244">
        <w:t xml:space="preserve">Conference of </w:t>
      </w:r>
      <w:r w:rsidR="004F09E7">
        <w:t xml:space="preserve">the </w:t>
      </w:r>
      <w:r w:rsidRPr="00EE7244">
        <w:t>Parties</w:t>
      </w:r>
      <w:bookmarkEnd w:id="43"/>
      <w:r w:rsidR="001639C5">
        <w:t xml:space="preserve"> </w:t>
      </w:r>
    </w:p>
    <w:p w14:paraId="141B412F" w14:textId="37741310" w:rsidR="00863F6A" w:rsidRPr="00EE7244" w:rsidRDefault="00863F6A" w:rsidP="00174DCA">
      <w:pPr>
        <w:pStyle w:val="NormalNonumber"/>
      </w:pPr>
      <w:r w:rsidRPr="00EE7244">
        <w:t xml:space="preserve">The table below </w:t>
      </w:r>
      <w:r w:rsidR="000A2E65">
        <w:t>reflects</w:t>
      </w:r>
      <w:r w:rsidRPr="00EE7244">
        <w:t xml:space="preserve"> the list of activities included in the proposed programme of work</w:t>
      </w:r>
      <w:r w:rsidR="000A2E65">
        <w:t xml:space="preserve"> </w:t>
      </w:r>
      <w:r w:rsidR="000A2E65" w:rsidRPr="00EE7244">
        <w:t>of the Minamata Convention</w:t>
      </w:r>
      <w:r w:rsidR="000A2E65">
        <w:t xml:space="preserve"> for the biennium</w:t>
      </w:r>
      <w:r w:rsidRPr="00EE7244">
        <w:t xml:space="preserve"> </w:t>
      </w:r>
      <w:r w:rsidR="00CE554D">
        <w:t>2020</w:t>
      </w:r>
      <w:r w:rsidR="007668FF">
        <w:t>–</w:t>
      </w:r>
      <w:r w:rsidR="00CE554D">
        <w:t>2021</w:t>
      </w:r>
      <w:r w:rsidRPr="00EE7244">
        <w:t xml:space="preserve">, following the programmatic format </w:t>
      </w:r>
      <w:r w:rsidR="000A2E65">
        <w:t>of</w:t>
      </w:r>
      <w:r w:rsidRPr="00EE7244">
        <w:t xml:space="preserve"> the </w:t>
      </w:r>
      <w:r w:rsidR="003C6AE9">
        <w:t>s</w:t>
      </w:r>
      <w:r w:rsidR="00720BF5">
        <w:t xml:space="preserve">ecretariat of the </w:t>
      </w:r>
      <w:r w:rsidRPr="00EE7244">
        <w:t>B</w:t>
      </w:r>
      <w:r w:rsidR="000A2E65">
        <w:t xml:space="preserve">asel, </w:t>
      </w:r>
      <w:r w:rsidRPr="00EE7244">
        <w:t>R</w:t>
      </w:r>
      <w:r w:rsidR="000A2E65">
        <w:t xml:space="preserve">otterdam and </w:t>
      </w:r>
      <w:r w:rsidRPr="00EE7244">
        <w:t>S</w:t>
      </w:r>
      <w:r w:rsidR="000A2E65">
        <w:t xml:space="preserve">tockholm </w:t>
      </w:r>
      <w:r w:rsidR="003C6AE9">
        <w:t>c</w:t>
      </w:r>
      <w:r w:rsidR="000A2E65">
        <w:t>onvention</w:t>
      </w:r>
      <w:r w:rsidR="00720BF5">
        <w:t>s</w:t>
      </w:r>
      <w:r w:rsidRPr="00EE7244">
        <w:t xml:space="preserve"> </w:t>
      </w:r>
      <w:r w:rsidR="000A2E65">
        <w:t>and</w:t>
      </w:r>
      <w:r w:rsidRPr="00EE7244">
        <w:t xml:space="preserve"> as established in the </w:t>
      </w:r>
      <w:r w:rsidR="000A2E65">
        <w:t>f</w:t>
      </w:r>
      <w:r w:rsidRPr="00EE7244">
        <w:t xml:space="preserve">inancial </w:t>
      </w:r>
      <w:r w:rsidR="000A2E65">
        <w:t>r</w:t>
      </w:r>
      <w:r w:rsidRPr="00EE7244">
        <w:t xml:space="preserve">ules of the Minamata Convention. </w:t>
      </w:r>
      <w:r>
        <w:t xml:space="preserve">The table shows the </w:t>
      </w:r>
      <w:r w:rsidR="00311085">
        <w:t xml:space="preserve">cost </w:t>
      </w:r>
      <w:r>
        <w:t>incre</w:t>
      </w:r>
      <w:r w:rsidR="000A2E65">
        <w:t>ase</w:t>
      </w:r>
      <w:r>
        <w:t xml:space="preserve"> that would be incurred for biennial meetings of the Conference of Parties under (a) the consolidation model and (b) the staff redeployment and </w:t>
      </w:r>
      <w:r w:rsidR="00CE554D">
        <w:t>cost</w:t>
      </w:r>
      <w:r w:rsidR="00CE554D">
        <w:noBreakHyphen/>
        <w:t>recovery</w:t>
      </w:r>
      <w:r>
        <w:t xml:space="preserve"> models. </w:t>
      </w:r>
    </w:p>
    <w:tbl>
      <w:tblPr>
        <w:tblW w:w="8307" w:type="dxa"/>
        <w:jc w:val="right"/>
        <w:tblBorders>
          <w:top w:val="single" w:sz="4" w:space="0" w:color="auto"/>
          <w:left w:val="dotted" w:sz="4" w:space="0" w:color="auto"/>
          <w:bottom w:val="single" w:sz="12" w:space="0" w:color="auto"/>
          <w:right w:val="dotted" w:sz="4" w:space="0" w:color="auto"/>
        </w:tblBorders>
        <w:tblLayout w:type="fixed"/>
        <w:tblLook w:val="04A0" w:firstRow="1" w:lastRow="0" w:firstColumn="1" w:lastColumn="0" w:noHBand="0" w:noVBand="1"/>
      </w:tblPr>
      <w:tblGrid>
        <w:gridCol w:w="487"/>
        <w:gridCol w:w="3975"/>
        <w:gridCol w:w="1922"/>
        <w:gridCol w:w="1923"/>
      </w:tblGrid>
      <w:tr w:rsidR="00183C35" w:rsidRPr="000B269A" w14:paraId="65F56CD8"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09FE9DCC" w14:textId="77777777" w:rsidR="00183C35" w:rsidRPr="00174DCA" w:rsidRDefault="00183C35" w:rsidP="00174DCA">
            <w:pPr>
              <w:pStyle w:val="Normal-pool"/>
              <w:spacing w:before="40" w:after="40"/>
              <w:rPr>
                <w:i/>
                <w:sz w:val="18"/>
                <w:szCs w:val="18"/>
              </w:rPr>
            </w:pPr>
          </w:p>
        </w:tc>
        <w:tc>
          <w:tcPr>
            <w:tcW w:w="3975" w:type="dxa"/>
            <w:tcBorders>
              <w:top w:val="single" w:sz="4" w:space="0" w:color="auto"/>
              <w:left w:val="dotted" w:sz="4" w:space="0" w:color="auto"/>
              <w:bottom w:val="single" w:sz="12" w:space="0" w:color="auto"/>
            </w:tcBorders>
          </w:tcPr>
          <w:p w14:paraId="07F846B9" w14:textId="77777777" w:rsidR="00183C35" w:rsidRPr="00174DCA" w:rsidRDefault="00183C35" w:rsidP="00174DCA">
            <w:pPr>
              <w:pStyle w:val="Normal-pool"/>
              <w:spacing w:before="40" w:after="40"/>
              <w:rPr>
                <w:i/>
                <w:sz w:val="18"/>
                <w:szCs w:val="18"/>
              </w:rPr>
            </w:pPr>
            <w:r w:rsidRPr="00174DCA">
              <w:rPr>
                <w:i/>
                <w:sz w:val="18"/>
                <w:szCs w:val="18"/>
              </w:rPr>
              <w:t>Activities</w:t>
            </w:r>
          </w:p>
        </w:tc>
        <w:tc>
          <w:tcPr>
            <w:tcW w:w="1922" w:type="dxa"/>
            <w:tcBorders>
              <w:top w:val="single" w:sz="4" w:space="0" w:color="auto"/>
              <w:bottom w:val="single" w:sz="12" w:space="0" w:color="auto"/>
              <w:right w:val="dotted" w:sz="4" w:space="0" w:color="auto"/>
            </w:tcBorders>
          </w:tcPr>
          <w:p w14:paraId="6EC10F3D" w14:textId="12BE6BF8" w:rsidR="00183C35" w:rsidRPr="00174DCA" w:rsidRDefault="00183C35" w:rsidP="00174DCA">
            <w:pPr>
              <w:pStyle w:val="Normal-pool"/>
              <w:spacing w:before="40" w:after="40"/>
              <w:jc w:val="right"/>
              <w:rPr>
                <w:i/>
                <w:sz w:val="18"/>
                <w:szCs w:val="18"/>
              </w:rPr>
            </w:pPr>
            <w:r w:rsidRPr="00174DCA">
              <w:rPr>
                <w:i/>
                <w:sz w:val="18"/>
                <w:szCs w:val="18"/>
              </w:rPr>
              <w:t xml:space="preserve">Consolidation </w:t>
            </w:r>
            <w:r w:rsidR="004F09E7">
              <w:rPr>
                <w:i/>
                <w:sz w:val="18"/>
                <w:szCs w:val="18"/>
              </w:rPr>
              <w:t>m</w:t>
            </w:r>
            <w:r w:rsidRPr="00174DCA">
              <w:rPr>
                <w:i/>
                <w:sz w:val="18"/>
                <w:szCs w:val="18"/>
              </w:rPr>
              <w:t>odel</w:t>
            </w:r>
          </w:p>
        </w:tc>
        <w:tc>
          <w:tcPr>
            <w:tcW w:w="1923" w:type="dxa"/>
            <w:tcBorders>
              <w:top w:val="single" w:sz="4" w:space="0" w:color="auto"/>
              <w:left w:val="dotted" w:sz="4" w:space="0" w:color="auto"/>
              <w:bottom w:val="single" w:sz="12" w:space="0" w:color="auto"/>
            </w:tcBorders>
            <w:shd w:val="clear" w:color="auto" w:fill="auto"/>
            <w:noWrap/>
          </w:tcPr>
          <w:p w14:paraId="7F727B69" w14:textId="7D2CED1F" w:rsidR="00183C35" w:rsidRPr="00174DCA" w:rsidRDefault="00183C35" w:rsidP="00174DCA">
            <w:pPr>
              <w:pStyle w:val="Normal-pool"/>
              <w:spacing w:before="40" w:after="40"/>
              <w:jc w:val="right"/>
              <w:rPr>
                <w:i/>
                <w:sz w:val="18"/>
                <w:szCs w:val="18"/>
              </w:rPr>
            </w:pPr>
            <w:r w:rsidRPr="00174DCA">
              <w:rPr>
                <w:i/>
                <w:sz w:val="18"/>
                <w:szCs w:val="18"/>
              </w:rPr>
              <w:t xml:space="preserve">Staff redeployment &amp; </w:t>
            </w:r>
            <w:r w:rsidR="00CE554D">
              <w:rPr>
                <w:i/>
                <w:sz w:val="18"/>
                <w:szCs w:val="18"/>
              </w:rPr>
              <w:t>cost</w:t>
            </w:r>
            <w:r w:rsidR="00CE554D">
              <w:rPr>
                <w:i/>
                <w:sz w:val="18"/>
                <w:szCs w:val="18"/>
              </w:rPr>
              <w:noBreakHyphen/>
              <w:t>recovery</w:t>
            </w:r>
            <w:r w:rsidRPr="00174DCA">
              <w:rPr>
                <w:i/>
                <w:sz w:val="18"/>
                <w:szCs w:val="18"/>
              </w:rPr>
              <w:t xml:space="preserve"> models</w:t>
            </w:r>
          </w:p>
        </w:tc>
      </w:tr>
      <w:tr w:rsidR="00183C35" w:rsidRPr="000B269A" w14:paraId="1F4519EF" w14:textId="77777777" w:rsidTr="00174DCA">
        <w:trPr>
          <w:trHeight w:val="57"/>
          <w:jc w:val="right"/>
        </w:trPr>
        <w:tc>
          <w:tcPr>
            <w:tcW w:w="487" w:type="dxa"/>
            <w:tcBorders>
              <w:top w:val="single" w:sz="12" w:space="0" w:color="auto"/>
              <w:bottom w:val="single" w:sz="4" w:space="0" w:color="auto"/>
              <w:right w:val="dotted" w:sz="4" w:space="0" w:color="auto"/>
            </w:tcBorders>
            <w:shd w:val="clear" w:color="auto" w:fill="auto"/>
            <w:noWrap/>
          </w:tcPr>
          <w:p w14:paraId="135D847F" w14:textId="77777777" w:rsidR="00183C35" w:rsidRPr="00174DCA" w:rsidRDefault="00183C35" w:rsidP="00174DCA">
            <w:pPr>
              <w:pStyle w:val="Normal-pool"/>
              <w:spacing w:before="40" w:after="40"/>
              <w:rPr>
                <w:b/>
                <w:bCs/>
                <w:sz w:val="18"/>
                <w:szCs w:val="18"/>
              </w:rPr>
            </w:pPr>
            <w:r w:rsidRPr="00174DCA">
              <w:rPr>
                <w:b/>
                <w:bCs/>
                <w:sz w:val="18"/>
                <w:szCs w:val="18"/>
              </w:rPr>
              <w:t>A</w:t>
            </w:r>
          </w:p>
        </w:tc>
        <w:tc>
          <w:tcPr>
            <w:tcW w:w="3975" w:type="dxa"/>
            <w:tcBorders>
              <w:top w:val="single" w:sz="12" w:space="0" w:color="auto"/>
              <w:left w:val="dotted" w:sz="4" w:space="0" w:color="auto"/>
              <w:bottom w:val="single" w:sz="4" w:space="0" w:color="auto"/>
            </w:tcBorders>
          </w:tcPr>
          <w:p w14:paraId="05B0B071" w14:textId="77777777" w:rsidR="00183C35" w:rsidRPr="00174DCA" w:rsidRDefault="00183C35" w:rsidP="00174DCA">
            <w:pPr>
              <w:pStyle w:val="Normal-pool"/>
              <w:spacing w:before="40" w:after="40"/>
              <w:rPr>
                <w:b/>
                <w:bCs/>
                <w:sz w:val="18"/>
                <w:szCs w:val="18"/>
              </w:rPr>
            </w:pPr>
            <w:r w:rsidRPr="00174DCA">
              <w:rPr>
                <w:b/>
                <w:bCs/>
                <w:sz w:val="18"/>
                <w:szCs w:val="18"/>
              </w:rPr>
              <w:t>Management oversight</w:t>
            </w:r>
          </w:p>
        </w:tc>
        <w:tc>
          <w:tcPr>
            <w:tcW w:w="1922" w:type="dxa"/>
            <w:tcBorders>
              <w:top w:val="single" w:sz="12" w:space="0" w:color="auto"/>
              <w:bottom w:val="single" w:sz="4" w:space="0" w:color="auto"/>
              <w:right w:val="dotted" w:sz="4" w:space="0" w:color="auto"/>
            </w:tcBorders>
          </w:tcPr>
          <w:p w14:paraId="135EE4F2" w14:textId="0A687298" w:rsidR="00183C35" w:rsidRPr="00174DCA" w:rsidRDefault="00FE1627" w:rsidP="00174DCA">
            <w:pPr>
              <w:pStyle w:val="Normal-pool"/>
              <w:spacing w:before="40" w:after="40"/>
              <w:jc w:val="right"/>
              <w:rPr>
                <w:b/>
                <w:bCs/>
                <w:sz w:val="18"/>
                <w:szCs w:val="18"/>
              </w:rPr>
            </w:pPr>
            <w:r w:rsidRPr="001D27C4">
              <w:rPr>
                <w:sz w:val="17"/>
                <w:szCs w:val="17"/>
              </w:rPr>
              <w:t>–</w:t>
            </w:r>
          </w:p>
        </w:tc>
        <w:tc>
          <w:tcPr>
            <w:tcW w:w="1923" w:type="dxa"/>
            <w:tcBorders>
              <w:top w:val="single" w:sz="12" w:space="0" w:color="auto"/>
              <w:left w:val="dotted" w:sz="4" w:space="0" w:color="auto"/>
              <w:bottom w:val="single" w:sz="4" w:space="0" w:color="auto"/>
            </w:tcBorders>
            <w:shd w:val="clear" w:color="auto" w:fill="auto"/>
            <w:noWrap/>
            <w:hideMark/>
          </w:tcPr>
          <w:p w14:paraId="3A81C3E6" w14:textId="07F8D766" w:rsidR="00183C35" w:rsidRPr="00174DCA" w:rsidRDefault="00183C35" w:rsidP="00174DCA">
            <w:pPr>
              <w:pStyle w:val="Normal-pool"/>
              <w:spacing w:before="40" w:after="40"/>
              <w:jc w:val="right"/>
              <w:rPr>
                <w:b/>
                <w:bCs/>
                <w:sz w:val="18"/>
                <w:szCs w:val="18"/>
              </w:rPr>
            </w:pPr>
            <w:r w:rsidRPr="00174DCA">
              <w:rPr>
                <w:b/>
                <w:bCs/>
                <w:sz w:val="18"/>
                <w:szCs w:val="18"/>
              </w:rPr>
              <w:t>8</w:t>
            </w:r>
            <w:r w:rsidR="000B269A">
              <w:rPr>
                <w:b/>
                <w:bCs/>
                <w:sz w:val="18"/>
                <w:szCs w:val="18"/>
              </w:rPr>
              <w:t xml:space="preserve"> </w:t>
            </w:r>
            <w:r w:rsidRPr="00174DCA">
              <w:rPr>
                <w:b/>
                <w:bCs/>
                <w:sz w:val="18"/>
                <w:szCs w:val="18"/>
              </w:rPr>
              <w:t>500</w:t>
            </w:r>
          </w:p>
        </w:tc>
      </w:tr>
      <w:tr w:rsidR="00183C35" w:rsidRPr="000B269A" w14:paraId="47F614F0"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0E0E9ABD" w14:textId="77777777" w:rsidR="00183C35" w:rsidRPr="00174DCA" w:rsidRDefault="00183C35" w:rsidP="00174DCA">
            <w:pPr>
              <w:pStyle w:val="Normal-pool"/>
              <w:spacing w:before="40" w:after="40"/>
              <w:rPr>
                <w:b/>
                <w:bCs/>
                <w:sz w:val="18"/>
                <w:szCs w:val="18"/>
              </w:rPr>
            </w:pPr>
            <w:r w:rsidRPr="00174DCA">
              <w:rPr>
                <w:b/>
                <w:bCs/>
                <w:sz w:val="18"/>
                <w:szCs w:val="18"/>
              </w:rPr>
              <w:t>B</w:t>
            </w:r>
          </w:p>
        </w:tc>
        <w:tc>
          <w:tcPr>
            <w:tcW w:w="3975" w:type="dxa"/>
            <w:tcBorders>
              <w:top w:val="single" w:sz="4" w:space="0" w:color="auto"/>
              <w:left w:val="dotted" w:sz="4" w:space="0" w:color="auto"/>
              <w:bottom w:val="single" w:sz="4" w:space="0" w:color="auto"/>
            </w:tcBorders>
          </w:tcPr>
          <w:p w14:paraId="6152FC55" w14:textId="7FB83817" w:rsidR="00183C35" w:rsidRPr="00174DCA" w:rsidRDefault="00183C35" w:rsidP="00174DCA">
            <w:pPr>
              <w:pStyle w:val="Normal-pool"/>
              <w:spacing w:before="40" w:after="40"/>
              <w:rPr>
                <w:b/>
                <w:bCs/>
                <w:sz w:val="18"/>
                <w:szCs w:val="18"/>
              </w:rPr>
            </w:pPr>
            <w:r w:rsidRPr="00174DCA">
              <w:rPr>
                <w:b/>
                <w:bCs/>
                <w:sz w:val="18"/>
                <w:szCs w:val="18"/>
              </w:rPr>
              <w:t xml:space="preserve">Registration </w:t>
            </w:r>
            <w:r w:rsidR="004F09E7">
              <w:rPr>
                <w:b/>
                <w:bCs/>
                <w:sz w:val="18"/>
                <w:szCs w:val="18"/>
              </w:rPr>
              <w:t>and</w:t>
            </w:r>
            <w:r w:rsidRPr="00174DCA">
              <w:rPr>
                <w:b/>
                <w:bCs/>
                <w:sz w:val="18"/>
                <w:szCs w:val="18"/>
              </w:rPr>
              <w:t xml:space="preserve"> </w:t>
            </w:r>
            <w:r w:rsidR="004F09E7">
              <w:rPr>
                <w:b/>
                <w:bCs/>
                <w:sz w:val="18"/>
                <w:szCs w:val="18"/>
              </w:rPr>
              <w:t>t</w:t>
            </w:r>
            <w:r w:rsidRPr="00174DCA">
              <w:rPr>
                <w:b/>
                <w:bCs/>
                <w:sz w:val="18"/>
                <w:szCs w:val="18"/>
              </w:rPr>
              <w:t>ravel</w:t>
            </w:r>
          </w:p>
        </w:tc>
        <w:tc>
          <w:tcPr>
            <w:tcW w:w="1922" w:type="dxa"/>
            <w:tcBorders>
              <w:top w:val="single" w:sz="4" w:space="0" w:color="auto"/>
              <w:bottom w:val="single" w:sz="4" w:space="0" w:color="auto"/>
              <w:right w:val="dotted" w:sz="4" w:space="0" w:color="auto"/>
            </w:tcBorders>
          </w:tcPr>
          <w:p w14:paraId="71AF613B" w14:textId="339F61F1" w:rsidR="00183C35" w:rsidRPr="00174DCA" w:rsidRDefault="00183C35" w:rsidP="00174DCA">
            <w:pPr>
              <w:pStyle w:val="Normal-pool"/>
              <w:spacing w:before="40" w:after="40"/>
              <w:jc w:val="right"/>
              <w:rPr>
                <w:b/>
                <w:bCs/>
                <w:sz w:val="18"/>
                <w:szCs w:val="18"/>
              </w:rPr>
            </w:pPr>
          </w:p>
        </w:tc>
        <w:tc>
          <w:tcPr>
            <w:tcW w:w="1923" w:type="dxa"/>
            <w:tcBorders>
              <w:top w:val="single" w:sz="4" w:space="0" w:color="auto"/>
              <w:left w:val="dotted" w:sz="4" w:space="0" w:color="auto"/>
              <w:bottom w:val="single" w:sz="4" w:space="0" w:color="auto"/>
            </w:tcBorders>
            <w:shd w:val="clear" w:color="auto" w:fill="auto"/>
            <w:noWrap/>
          </w:tcPr>
          <w:p w14:paraId="7031F7A3" w14:textId="55D9D82F" w:rsidR="00183C35" w:rsidRPr="00174DCA" w:rsidRDefault="00183C35" w:rsidP="00174DCA">
            <w:pPr>
              <w:pStyle w:val="Normal-pool"/>
              <w:spacing w:before="40" w:after="40"/>
              <w:jc w:val="right"/>
              <w:rPr>
                <w:b/>
                <w:bCs/>
                <w:sz w:val="18"/>
                <w:szCs w:val="18"/>
              </w:rPr>
            </w:pPr>
          </w:p>
        </w:tc>
      </w:tr>
      <w:tr w:rsidR="00183C35" w:rsidRPr="000B269A" w14:paraId="3E9E0585"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468E043E" w14:textId="77777777" w:rsidR="00183C35" w:rsidRPr="00174DCA" w:rsidRDefault="00183C35" w:rsidP="00174DCA">
            <w:pPr>
              <w:pStyle w:val="Normal-pool"/>
              <w:spacing w:before="40" w:after="40"/>
              <w:rPr>
                <w:b/>
                <w:bCs/>
                <w:sz w:val="18"/>
                <w:szCs w:val="18"/>
              </w:rPr>
            </w:pPr>
          </w:p>
        </w:tc>
        <w:tc>
          <w:tcPr>
            <w:tcW w:w="3975" w:type="dxa"/>
            <w:tcBorders>
              <w:top w:val="single" w:sz="4" w:space="0" w:color="auto"/>
              <w:left w:val="dotted" w:sz="4" w:space="0" w:color="auto"/>
              <w:bottom w:val="dotted" w:sz="4" w:space="0" w:color="auto"/>
            </w:tcBorders>
          </w:tcPr>
          <w:p w14:paraId="51459C2F" w14:textId="77777777" w:rsidR="00183C35" w:rsidRPr="00174DCA" w:rsidRDefault="00183C35" w:rsidP="00174DCA">
            <w:pPr>
              <w:pStyle w:val="Normal-pool"/>
              <w:spacing w:before="40" w:after="40"/>
              <w:rPr>
                <w:sz w:val="18"/>
                <w:szCs w:val="18"/>
              </w:rPr>
            </w:pPr>
            <w:r w:rsidRPr="00174DCA">
              <w:rPr>
                <w:sz w:val="18"/>
                <w:szCs w:val="18"/>
              </w:rPr>
              <w:t>Participants’ management coordination</w:t>
            </w:r>
          </w:p>
        </w:tc>
        <w:tc>
          <w:tcPr>
            <w:tcW w:w="1922" w:type="dxa"/>
            <w:tcBorders>
              <w:top w:val="single" w:sz="4" w:space="0" w:color="auto"/>
              <w:bottom w:val="dotted" w:sz="4" w:space="0" w:color="auto"/>
              <w:right w:val="dotted" w:sz="4" w:space="0" w:color="auto"/>
            </w:tcBorders>
          </w:tcPr>
          <w:p w14:paraId="7D5FEF50" w14:textId="674FAABB" w:rsidR="00183C35" w:rsidRPr="00174DCA" w:rsidRDefault="00FE1627" w:rsidP="00174DCA">
            <w:pPr>
              <w:pStyle w:val="Normal-pool"/>
              <w:spacing w:before="40" w:after="40"/>
              <w:jc w:val="right"/>
              <w:rPr>
                <w:sz w:val="18"/>
                <w:szCs w:val="18"/>
              </w:rPr>
            </w:pPr>
            <w:r w:rsidRPr="001D27C4">
              <w:rPr>
                <w:sz w:val="17"/>
                <w:szCs w:val="17"/>
              </w:rPr>
              <w:t>–</w:t>
            </w:r>
          </w:p>
        </w:tc>
        <w:tc>
          <w:tcPr>
            <w:tcW w:w="1923" w:type="dxa"/>
            <w:tcBorders>
              <w:top w:val="single" w:sz="4" w:space="0" w:color="auto"/>
              <w:left w:val="dotted" w:sz="4" w:space="0" w:color="auto"/>
              <w:bottom w:val="dotted" w:sz="4" w:space="0" w:color="auto"/>
            </w:tcBorders>
            <w:shd w:val="clear" w:color="auto" w:fill="auto"/>
            <w:noWrap/>
          </w:tcPr>
          <w:p w14:paraId="646CD7C1" w14:textId="594CC011" w:rsidR="00183C35" w:rsidRPr="00174DCA" w:rsidRDefault="00183C35" w:rsidP="00174DCA">
            <w:pPr>
              <w:pStyle w:val="Normal-pool"/>
              <w:spacing w:before="40" w:after="40"/>
              <w:jc w:val="right"/>
              <w:rPr>
                <w:sz w:val="18"/>
                <w:szCs w:val="18"/>
              </w:rPr>
            </w:pPr>
            <w:r w:rsidRPr="00174DCA">
              <w:rPr>
                <w:sz w:val="18"/>
                <w:szCs w:val="18"/>
              </w:rPr>
              <w:t>13</w:t>
            </w:r>
            <w:r w:rsidR="000B269A">
              <w:rPr>
                <w:sz w:val="18"/>
                <w:szCs w:val="18"/>
              </w:rPr>
              <w:t xml:space="preserve"> </w:t>
            </w:r>
            <w:r w:rsidRPr="00174DCA">
              <w:rPr>
                <w:sz w:val="18"/>
                <w:szCs w:val="18"/>
              </w:rPr>
              <w:t>453</w:t>
            </w:r>
          </w:p>
        </w:tc>
      </w:tr>
      <w:tr w:rsidR="00183C35" w:rsidRPr="000B269A" w14:paraId="7E568B72"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4F468333"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dotted" w:sz="4" w:space="0" w:color="auto"/>
            </w:tcBorders>
          </w:tcPr>
          <w:p w14:paraId="5F242B18" w14:textId="34D83FDC" w:rsidR="00183C35" w:rsidRPr="00174DCA" w:rsidRDefault="00183C35" w:rsidP="00174DCA">
            <w:pPr>
              <w:pStyle w:val="Normal-pool"/>
              <w:spacing w:before="40" w:after="40"/>
              <w:rPr>
                <w:sz w:val="18"/>
                <w:szCs w:val="18"/>
              </w:rPr>
            </w:pPr>
            <w:r w:rsidRPr="00174DCA">
              <w:rPr>
                <w:sz w:val="18"/>
                <w:szCs w:val="18"/>
              </w:rPr>
              <w:t>Registration for Gov</w:t>
            </w:r>
            <w:r w:rsidR="004F09E7">
              <w:rPr>
                <w:sz w:val="18"/>
                <w:szCs w:val="18"/>
              </w:rPr>
              <w:t>ernmen</w:t>
            </w:r>
            <w:r w:rsidRPr="00174DCA">
              <w:rPr>
                <w:sz w:val="18"/>
                <w:szCs w:val="18"/>
              </w:rPr>
              <w:t>ts</w:t>
            </w:r>
          </w:p>
        </w:tc>
        <w:tc>
          <w:tcPr>
            <w:tcW w:w="1922" w:type="dxa"/>
            <w:tcBorders>
              <w:top w:val="dotted" w:sz="4" w:space="0" w:color="auto"/>
              <w:bottom w:val="dotted" w:sz="4" w:space="0" w:color="auto"/>
              <w:right w:val="dotted" w:sz="4" w:space="0" w:color="auto"/>
            </w:tcBorders>
          </w:tcPr>
          <w:p w14:paraId="5FD5ADF8" w14:textId="707133CD" w:rsidR="00183C35" w:rsidRPr="00174DCA" w:rsidRDefault="00183C35" w:rsidP="00174DCA">
            <w:pPr>
              <w:pStyle w:val="Normal-pool"/>
              <w:spacing w:before="40" w:after="40"/>
              <w:jc w:val="right"/>
              <w:rPr>
                <w:sz w:val="18"/>
                <w:szCs w:val="18"/>
              </w:rPr>
            </w:pPr>
            <w:r w:rsidRPr="00174DCA">
              <w:rPr>
                <w:sz w:val="18"/>
                <w:szCs w:val="18"/>
              </w:rPr>
              <w:t>67</w:t>
            </w:r>
            <w:r w:rsidR="000B269A">
              <w:rPr>
                <w:sz w:val="18"/>
                <w:szCs w:val="18"/>
              </w:rPr>
              <w:t xml:space="preserve"> </w:t>
            </w:r>
            <w:r w:rsidRPr="00174DCA">
              <w:rPr>
                <w:sz w:val="18"/>
                <w:szCs w:val="18"/>
              </w:rPr>
              <w:t>265</w:t>
            </w:r>
          </w:p>
        </w:tc>
        <w:tc>
          <w:tcPr>
            <w:tcW w:w="1923" w:type="dxa"/>
            <w:tcBorders>
              <w:top w:val="dotted" w:sz="4" w:space="0" w:color="auto"/>
              <w:left w:val="dotted" w:sz="4" w:space="0" w:color="auto"/>
              <w:bottom w:val="dotted" w:sz="4" w:space="0" w:color="auto"/>
            </w:tcBorders>
            <w:shd w:val="clear" w:color="auto" w:fill="auto"/>
            <w:noWrap/>
          </w:tcPr>
          <w:p w14:paraId="237FF13E" w14:textId="41DD2154" w:rsidR="00183C35" w:rsidRPr="00174DCA" w:rsidRDefault="00183C35" w:rsidP="00174DCA">
            <w:pPr>
              <w:pStyle w:val="Normal-pool"/>
              <w:spacing w:before="40" w:after="40"/>
              <w:jc w:val="right"/>
              <w:rPr>
                <w:sz w:val="18"/>
                <w:szCs w:val="18"/>
              </w:rPr>
            </w:pPr>
            <w:r w:rsidRPr="00174DCA">
              <w:rPr>
                <w:sz w:val="18"/>
                <w:szCs w:val="18"/>
              </w:rPr>
              <w:t>67</w:t>
            </w:r>
            <w:r w:rsidR="000B269A">
              <w:rPr>
                <w:sz w:val="18"/>
                <w:szCs w:val="18"/>
              </w:rPr>
              <w:t xml:space="preserve"> </w:t>
            </w:r>
            <w:r w:rsidRPr="00174DCA">
              <w:rPr>
                <w:sz w:val="18"/>
                <w:szCs w:val="18"/>
              </w:rPr>
              <w:t>265</w:t>
            </w:r>
          </w:p>
        </w:tc>
      </w:tr>
      <w:tr w:rsidR="00183C35" w:rsidRPr="000B269A" w14:paraId="6CB31C2B"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59308FE5"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dotted" w:sz="4" w:space="0" w:color="auto"/>
            </w:tcBorders>
          </w:tcPr>
          <w:p w14:paraId="370D2B38" w14:textId="77777777" w:rsidR="00183C35" w:rsidRPr="00174DCA" w:rsidRDefault="00183C35" w:rsidP="00174DCA">
            <w:pPr>
              <w:pStyle w:val="Normal-pool"/>
              <w:spacing w:before="40" w:after="40"/>
              <w:rPr>
                <w:sz w:val="18"/>
                <w:szCs w:val="18"/>
              </w:rPr>
            </w:pPr>
            <w:r w:rsidRPr="00174DCA">
              <w:rPr>
                <w:sz w:val="18"/>
                <w:szCs w:val="18"/>
              </w:rPr>
              <w:t>Registration for observers</w:t>
            </w:r>
          </w:p>
        </w:tc>
        <w:tc>
          <w:tcPr>
            <w:tcW w:w="1922" w:type="dxa"/>
            <w:tcBorders>
              <w:top w:val="dotted" w:sz="4" w:space="0" w:color="auto"/>
              <w:bottom w:val="dotted" w:sz="4" w:space="0" w:color="auto"/>
              <w:right w:val="dotted" w:sz="4" w:space="0" w:color="auto"/>
            </w:tcBorders>
          </w:tcPr>
          <w:p w14:paraId="1EADD5EA" w14:textId="5B54760C" w:rsidR="00183C35" w:rsidRPr="00174DCA" w:rsidRDefault="00183C35" w:rsidP="00174DCA">
            <w:pPr>
              <w:pStyle w:val="Normal-pool"/>
              <w:spacing w:before="40" w:after="40"/>
              <w:jc w:val="right"/>
              <w:rPr>
                <w:sz w:val="18"/>
                <w:szCs w:val="18"/>
              </w:rPr>
            </w:pPr>
            <w:r w:rsidRPr="00174DCA">
              <w:rPr>
                <w:sz w:val="18"/>
                <w:szCs w:val="18"/>
              </w:rPr>
              <w:t>47</w:t>
            </w:r>
            <w:r w:rsidR="000B269A">
              <w:rPr>
                <w:sz w:val="18"/>
                <w:szCs w:val="18"/>
              </w:rPr>
              <w:t xml:space="preserve"> </w:t>
            </w:r>
            <w:r w:rsidRPr="00174DCA">
              <w:rPr>
                <w:sz w:val="18"/>
                <w:szCs w:val="18"/>
              </w:rPr>
              <w:t>086</w:t>
            </w:r>
          </w:p>
        </w:tc>
        <w:tc>
          <w:tcPr>
            <w:tcW w:w="1923" w:type="dxa"/>
            <w:tcBorders>
              <w:top w:val="dotted" w:sz="4" w:space="0" w:color="auto"/>
              <w:left w:val="dotted" w:sz="4" w:space="0" w:color="auto"/>
              <w:bottom w:val="dotted" w:sz="4" w:space="0" w:color="auto"/>
            </w:tcBorders>
            <w:shd w:val="clear" w:color="auto" w:fill="auto"/>
            <w:noWrap/>
          </w:tcPr>
          <w:p w14:paraId="0DF43572" w14:textId="52417EBA" w:rsidR="00183C35" w:rsidRPr="00174DCA" w:rsidRDefault="00183C35" w:rsidP="00174DCA">
            <w:pPr>
              <w:pStyle w:val="Normal-pool"/>
              <w:spacing w:before="40" w:after="40"/>
              <w:jc w:val="right"/>
              <w:rPr>
                <w:sz w:val="18"/>
                <w:szCs w:val="18"/>
              </w:rPr>
            </w:pPr>
            <w:r w:rsidRPr="00174DCA">
              <w:rPr>
                <w:sz w:val="18"/>
                <w:szCs w:val="18"/>
              </w:rPr>
              <w:t>47</w:t>
            </w:r>
            <w:r w:rsidR="000B269A">
              <w:rPr>
                <w:sz w:val="18"/>
                <w:szCs w:val="18"/>
              </w:rPr>
              <w:t xml:space="preserve"> </w:t>
            </w:r>
            <w:r w:rsidRPr="00174DCA">
              <w:rPr>
                <w:sz w:val="18"/>
                <w:szCs w:val="18"/>
              </w:rPr>
              <w:t>086</w:t>
            </w:r>
          </w:p>
        </w:tc>
      </w:tr>
      <w:tr w:rsidR="00183C35" w:rsidRPr="000B269A" w14:paraId="71D513EF"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2E4CA1F2"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dotted" w:sz="4" w:space="0" w:color="auto"/>
            </w:tcBorders>
          </w:tcPr>
          <w:p w14:paraId="4CED925C" w14:textId="78D7CDE5" w:rsidR="00183C35" w:rsidRPr="00174DCA" w:rsidRDefault="00183C35" w:rsidP="00174DCA">
            <w:pPr>
              <w:pStyle w:val="Normal-pool"/>
              <w:spacing w:before="40" w:after="40"/>
              <w:rPr>
                <w:sz w:val="18"/>
                <w:szCs w:val="18"/>
              </w:rPr>
            </w:pPr>
            <w:r w:rsidRPr="00174DCA">
              <w:rPr>
                <w:sz w:val="18"/>
                <w:szCs w:val="18"/>
              </w:rPr>
              <w:t xml:space="preserve">Travel arrangements </w:t>
            </w:r>
            <w:r w:rsidR="00E14E7E">
              <w:rPr>
                <w:sz w:val="18"/>
                <w:szCs w:val="18"/>
              </w:rPr>
              <w:t>and</w:t>
            </w:r>
            <w:r w:rsidRPr="00174DCA">
              <w:rPr>
                <w:sz w:val="18"/>
                <w:szCs w:val="18"/>
              </w:rPr>
              <w:t xml:space="preserve"> </w:t>
            </w:r>
            <w:r w:rsidR="004F09E7">
              <w:rPr>
                <w:sz w:val="18"/>
                <w:szCs w:val="18"/>
              </w:rPr>
              <w:t>daily subsistence allowance</w:t>
            </w:r>
          </w:p>
        </w:tc>
        <w:tc>
          <w:tcPr>
            <w:tcW w:w="1922" w:type="dxa"/>
            <w:tcBorders>
              <w:top w:val="dotted" w:sz="4" w:space="0" w:color="auto"/>
              <w:bottom w:val="dotted" w:sz="4" w:space="0" w:color="auto"/>
              <w:right w:val="dotted" w:sz="4" w:space="0" w:color="auto"/>
            </w:tcBorders>
          </w:tcPr>
          <w:p w14:paraId="23D437A8" w14:textId="0A02C9CC" w:rsidR="00183C35" w:rsidRPr="00174DCA" w:rsidRDefault="00183C35" w:rsidP="00174DCA">
            <w:pPr>
              <w:pStyle w:val="Normal-pool"/>
              <w:spacing w:before="40" w:after="40"/>
              <w:jc w:val="right"/>
              <w:rPr>
                <w:sz w:val="18"/>
                <w:szCs w:val="18"/>
              </w:rPr>
            </w:pPr>
            <w:r w:rsidRPr="00174DCA">
              <w:rPr>
                <w:sz w:val="18"/>
                <w:szCs w:val="18"/>
              </w:rPr>
              <w:t>8</w:t>
            </w:r>
            <w:r w:rsidR="000B269A">
              <w:rPr>
                <w:sz w:val="18"/>
                <w:szCs w:val="18"/>
              </w:rPr>
              <w:t xml:space="preserve"> </w:t>
            </w:r>
            <w:r w:rsidRPr="00174DCA">
              <w:rPr>
                <w:sz w:val="18"/>
                <w:szCs w:val="18"/>
              </w:rPr>
              <w:t>745</w:t>
            </w:r>
          </w:p>
        </w:tc>
        <w:tc>
          <w:tcPr>
            <w:tcW w:w="1923" w:type="dxa"/>
            <w:tcBorders>
              <w:top w:val="dotted" w:sz="4" w:space="0" w:color="auto"/>
              <w:left w:val="dotted" w:sz="4" w:space="0" w:color="auto"/>
              <w:bottom w:val="dotted" w:sz="4" w:space="0" w:color="auto"/>
            </w:tcBorders>
            <w:shd w:val="clear" w:color="auto" w:fill="auto"/>
            <w:noWrap/>
          </w:tcPr>
          <w:p w14:paraId="1F67F2AA" w14:textId="28045779" w:rsidR="00183C35" w:rsidRPr="00174DCA" w:rsidRDefault="00183C35" w:rsidP="00174DCA">
            <w:pPr>
              <w:pStyle w:val="Normal-pool"/>
              <w:spacing w:before="40" w:after="40"/>
              <w:jc w:val="right"/>
              <w:rPr>
                <w:sz w:val="18"/>
                <w:szCs w:val="18"/>
              </w:rPr>
            </w:pPr>
            <w:r w:rsidRPr="00174DCA">
              <w:rPr>
                <w:sz w:val="18"/>
                <w:szCs w:val="18"/>
              </w:rPr>
              <w:t>8</w:t>
            </w:r>
            <w:r w:rsidR="000B269A">
              <w:rPr>
                <w:sz w:val="18"/>
                <w:szCs w:val="18"/>
              </w:rPr>
              <w:t xml:space="preserve"> </w:t>
            </w:r>
            <w:r w:rsidRPr="00174DCA">
              <w:rPr>
                <w:sz w:val="18"/>
                <w:szCs w:val="18"/>
              </w:rPr>
              <w:t>745</w:t>
            </w:r>
          </w:p>
        </w:tc>
      </w:tr>
      <w:tr w:rsidR="00183C35" w:rsidRPr="000B269A" w14:paraId="346294EB"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166AB029"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single" w:sz="4" w:space="0" w:color="auto"/>
            </w:tcBorders>
          </w:tcPr>
          <w:p w14:paraId="15F4E3F2" w14:textId="499C97EB" w:rsidR="00183C35" w:rsidRPr="00174DCA" w:rsidRDefault="00183C35" w:rsidP="00174DCA">
            <w:pPr>
              <w:pStyle w:val="Normal-pool"/>
              <w:spacing w:before="40" w:after="40"/>
              <w:rPr>
                <w:sz w:val="18"/>
                <w:szCs w:val="18"/>
              </w:rPr>
            </w:pPr>
            <w:r w:rsidRPr="00174DCA">
              <w:rPr>
                <w:sz w:val="18"/>
                <w:szCs w:val="18"/>
              </w:rPr>
              <w:t>Records (</w:t>
            </w:r>
            <w:r w:rsidR="004F09E7">
              <w:rPr>
                <w:sz w:val="18"/>
                <w:szCs w:val="18"/>
              </w:rPr>
              <w:t>customer relations management</w:t>
            </w:r>
            <w:r w:rsidRPr="00174DCA">
              <w:rPr>
                <w:sz w:val="18"/>
                <w:szCs w:val="18"/>
              </w:rPr>
              <w:t>, Indico)</w:t>
            </w:r>
          </w:p>
        </w:tc>
        <w:tc>
          <w:tcPr>
            <w:tcW w:w="1922" w:type="dxa"/>
            <w:tcBorders>
              <w:top w:val="dotted" w:sz="4" w:space="0" w:color="auto"/>
              <w:bottom w:val="single" w:sz="4" w:space="0" w:color="auto"/>
              <w:right w:val="dotted" w:sz="4" w:space="0" w:color="auto"/>
            </w:tcBorders>
          </w:tcPr>
          <w:p w14:paraId="2A0D3A3B" w14:textId="177CFFD8" w:rsidR="00183C35" w:rsidRPr="00174DCA" w:rsidRDefault="00183C35" w:rsidP="00174DCA">
            <w:pPr>
              <w:pStyle w:val="Normal-pool"/>
              <w:spacing w:before="40" w:after="40"/>
              <w:jc w:val="right"/>
              <w:rPr>
                <w:sz w:val="18"/>
                <w:szCs w:val="18"/>
              </w:rPr>
            </w:pPr>
            <w:r w:rsidRPr="00174DCA">
              <w:rPr>
                <w:sz w:val="18"/>
                <w:szCs w:val="18"/>
              </w:rPr>
              <w:t>28</w:t>
            </w:r>
            <w:r w:rsidR="000B269A">
              <w:rPr>
                <w:sz w:val="18"/>
                <w:szCs w:val="18"/>
              </w:rPr>
              <w:t xml:space="preserve"> </w:t>
            </w:r>
            <w:r w:rsidRPr="00174DCA">
              <w:rPr>
                <w:sz w:val="18"/>
                <w:szCs w:val="18"/>
              </w:rPr>
              <w:t>251</w:t>
            </w:r>
          </w:p>
        </w:tc>
        <w:tc>
          <w:tcPr>
            <w:tcW w:w="1923" w:type="dxa"/>
            <w:tcBorders>
              <w:top w:val="dotted" w:sz="4" w:space="0" w:color="auto"/>
              <w:left w:val="dotted" w:sz="4" w:space="0" w:color="auto"/>
              <w:bottom w:val="single" w:sz="4" w:space="0" w:color="auto"/>
            </w:tcBorders>
            <w:shd w:val="clear" w:color="auto" w:fill="auto"/>
            <w:noWrap/>
          </w:tcPr>
          <w:p w14:paraId="587FA826" w14:textId="316FC368" w:rsidR="00183C35" w:rsidRPr="00174DCA" w:rsidRDefault="00183C35" w:rsidP="00174DCA">
            <w:pPr>
              <w:pStyle w:val="Normal-pool"/>
              <w:spacing w:before="40" w:after="40"/>
              <w:jc w:val="right"/>
              <w:rPr>
                <w:sz w:val="18"/>
                <w:szCs w:val="18"/>
              </w:rPr>
            </w:pPr>
            <w:r w:rsidRPr="00174DCA">
              <w:rPr>
                <w:sz w:val="18"/>
                <w:szCs w:val="18"/>
              </w:rPr>
              <w:t>28</w:t>
            </w:r>
            <w:r w:rsidR="000B269A">
              <w:rPr>
                <w:sz w:val="18"/>
                <w:szCs w:val="18"/>
              </w:rPr>
              <w:t xml:space="preserve"> </w:t>
            </w:r>
            <w:r w:rsidRPr="00174DCA">
              <w:rPr>
                <w:sz w:val="18"/>
                <w:szCs w:val="18"/>
              </w:rPr>
              <w:t>251</w:t>
            </w:r>
          </w:p>
        </w:tc>
      </w:tr>
      <w:tr w:rsidR="00183C35" w:rsidRPr="000B269A" w14:paraId="2CC9AFE0"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44F7D06A" w14:textId="77777777" w:rsidR="00183C35" w:rsidRPr="00174DCA" w:rsidRDefault="00183C35" w:rsidP="00174DCA">
            <w:pPr>
              <w:pStyle w:val="Normal-pool"/>
              <w:spacing w:before="40" w:after="40"/>
              <w:rPr>
                <w:b/>
                <w:bCs/>
                <w:sz w:val="18"/>
                <w:szCs w:val="18"/>
              </w:rPr>
            </w:pPr>
          </w:p>
        </w:tc>
        <w:tc>
          <w:tcPr>
            <w:tcW w:w="3975" w:type="dxa"/>
            <w:tcBorders>
              <w:top w:val="single" w:sz="4" w:space="0" w:color="auto"/>
              <w:left w:val="dotted" w:sz="4" w:space="0" w:color="auto"/>
              <w:bottom w:val="single" w:sz="4" w:space="0" w:color="auto"/>
            </w:tcBorders>
          </w:tcPr>
          <w:p w14:paraId="72035290" w14:textId="77777777" w:rsidR="00183C35" w:rsidRPr="00174DCA" w:rsidRDefault="00183C35" w:rsidP="00174DCA">
            <w:pPr>
              <w:pStyle w:val="Normal-pool"/>
              <w:spacing w:before="40" w:after="40"/>
              <w:rPr>
                <w:b/>
                <w:bCs/>
                <w:sz w:val="18"/>
                <w:szCs w:val="18"/>
              </w:rPr>
            </w:pPr>
          </w:p>
        </w:tc>
        <w:tc>
          <w:tcPr>
            <w:tcW w:w="1922" w:type="dxa"/>
            <w:tcBorders>
              <w:top w:val="single" w:sz="4" w:space="0" w:color="auto"/>
              <w:bottom w:val="single" w:sz="4" w:space="0" w:color="auto"/>
              <w:right w:val="dotted" w:sz="4" w:space="0" w:color="auto"/>
            </w:tcBorders>
          </w:tcPr>
          <w:p w14:paraId="3E0488C1" w14:textId="27A840A1" w:rsidR="00183C35" w:rsidRPr="00174DCA" w:rsidRDefault="00183C35" w:rsidP="00174DCA">
            <w:pPr>
              <w:pStyle w:val="Normal-pool"/>
              <w:spacing w:before="40" w:after="40"/>
              <w:jc w:val="right"/>
              <w:rPr>
                <w:b/>
                <w:bCs/>
                <w:sz w:val="18"/>
                <w:szCs w:val="18"/>
              </w:rPr>
            </w:pPr>
            <w:r w:rsidRPr="00174DCA">
              <w:rPr>
                <w:b/>
                <w:bCs/>
                <w:sz w:val="18"/>
                <w:szCs w:val="18"/>
              </w:rPr>
              <w:t>151</w:t>
            </w:r>
            <w:r w:rsidR="000B269A">
              <w:rPr>
                <w:b/>
                <w:bCs/>
                <w:sz w:val="18"/>
                <w:szCs w:val="18"/>
              </w:rPr>
              <w:t xml:space="preserve"> </w:t>
            </w:r>
            <w:r w:rsidRPr="00174DCA">
              <w:rPr>
                <w:b/>
                <w:bCs/>
                <w:sz w:val="18"/>
                <w:szCs w:val="18"/>
              </w:rPr>
              <w:t>347</w:t>
            </w:r>
          </w:p>
        </w:tc>
        <w:tc>
          <w:tcPr>
            <w:tcW w:w="1923" w:type="dxa"/>
            <w:tcBorders>
              <w:top w:val="single" w:sz="4" w:space="0" w:color="auto"/>
              <w:left w:val="dotted" w:sz="4" w:space="0" w:color="auto"/>
              <w:bottom w:val="single" w:sz="4" w:space="0" w:color="auto"/>
            </w:tcBorders>
            <w:shd w:val="clear" w:color="auto" w:fill="auto"/>
            <w:noWrap/>
          </w:tcPr>
          <w:p w14:paraId="4EFF220A" w14:textId="7CC41DC7" w:rsidR="00183C35" w:rsidRPr="00174DCA" w:rsidRDefault="00183C35" w:rsidP="00174DCA">
            <w:pPr>
              <w:pStyle w:val="Normal-pool"/>
              <w:spacing w:before="40" w:after="40"/>
              <w:jc w:val="right"/>
              <w:rPr>
                <w:b/>
                <w:bCs/>
                <w:sz w:val="18"/>
                <w:szCs w:val="18"/>
              </w:rPr>
            </w:pPr>
            <w:r w:rsidRPr="00174DCA">
              <w:rPr>
                <w:b/>
                <w:bCs/>
                <w:sz w:val="18"/>
                <w:szCs w:val="18"/>
              </w:rPr>
              <w:t>164</w:t>
            </w:r>
            <w:r w:rsidR="000B269A">
              <w:rPr>
                <w:b/>
                <w:bCs/>
                <w:sz w:val="18"/>
                <w:szCs w:val="18"/>
              </w:rPr>
              <w:t xml:space="preserve"> </w:t>
            </w:r>
            <w:r w:rsidRPr="00174DCA">
              <w:rPr>
                <w:b/>
                <w:bCs/>
                <w:sz w:val="18"/>
                <w:szCs w:val="18"/>
              </w:rPr>
              <w:t>800</w:t>
            </w:r>
          </w:p>
        </w:tc>
      </w:tr>
      <w:tr w:rsidR="00183C35" w:rsidRPr="000B269A" w14:paraId="59D9430E"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0103F770" w14:textId="77777777" w:rsidR="00183C35" w:rsidRPr="00174DCA" w:rsidRDefault="00183C35" w:rsidP="00174DCA">
            <w:pPr>
              <w:pStyle w:val="Normal-pool"/>
              <w:spacing w:before="40" w:after="40"/>
              <w:rPr>
                <w:b/>
                <w:bCs/>
                <w:sz w:val="18"/>
                <w:szCs w:val="18"/>
              </w:rPr>
            </w:pPr>
            <w:r w:rsidRPr="00174DCA">
              <w:rPr>
                <w:b/>
                <w:bCs/>
                <w:sz w:val="18"/>
                <w:szCs w:val="18"/>
              </w:rPr>
              <w:t>C</w:t>
            </w:r>
          </w:p>
        </w:tc>
        <w:tc>
          <w:tcPr>
            <w:tcW w:w="3975" w:type="dxa"/>
            <w:tcBorders>
              <w:top w:val="single" w:sz="4" w:space="0" w:color="auto"/>
              <w:left w:val="dotted" w:sz="4" w:space="0" w:color="auto"/>
              <w:bottom w:val="single" w:sz="4" w:space="0" w:color="auto"/>
            </w:tcBorders>
          </w:tcPr>
          <w:p w14:paraId="10382269" w14:textId="77777777" w:rsidR="00183C35" w:rsidRPr="00174DCA" w:rsidRDefault="00183C35" w:rsidP="00174DCA">
            <w:pPr>
              <w:pStyle w:val="Normal-pool"/>
              <w:spacing w:before="40" w:after="40"/>
              <w:rPr>
                <w:b/>
                <w:bCs/>
                <w:sz w:val="18"/>
                <w:szCs w:val="18"/>
              </w:rPr>
            </w:pPr>
            <w:r w:rsidRPr="00174DCA">
              <w:rPr>
                <w:b/>
                <w:bCs/>
                <w:sz w:val="18"/>
                <w:szCs w:val="18"/>
              </w:rPr>
              <w:t>Logistics coordination</w:t>
            </w:r>
          </w:p>
        </w:tc>
        <w:tc>
          <w:tcPr>
            <w:tcW w:w="1922" w:type="dxa"/>
            <w:tcBorders>
              <w:top w:val="single" w:sz="4" w:space="0" w:color="auto"/>
              <w:bottom w:val="single" w:sz="4" w:space="0" w:color="auto"/>
              <w:right w:val="dotted" w:sz="4" w:space="0" w:color="auto"/>
            </w:tcBorders>
          </w:tcPr>
          <w:p w14:paraId="3AD756A4" w14:textId="0AB74B77" w:rsidR="00183C35" w:rsidRPr="00174DCA" w:rsidRDefault="00183C35" w:rsidP="00174DCA">
            <w:pPr>
              <w:pStyle w:val="Normal-pool"/>
              <w:spacing w:before="40" w:after="40"/>
              <w:jc w:val="right"/>
              <w:rPr>
                <w:b/>
                <w:bCs/>
                <w:sz w:val="18"/>
                <w:szCs w:val="18"/>
              </w:rPr>
            </w:pPr>
            <w:r w:rsidRPr="00174DCA">
              <w:rPr>
                <w:b/>
                <w:bCs/>
                <w:sz w:val="18"/>
                <w:szCs w:val="18"/>
              </w:rPr>
              <w:t>38</w:t>
            </w:r>
            <w:r w:rsidR="000B269A">
              <w:rPr>
                <w:b/>
                <w:bCs/>
                <w:sz w:val="18"/>
                <w:szCs w:val="18"/>
              </w:rPr>
              <w:t xml:space="preserve"> </w:t>
            </w:r>
            <w:r w:rsidRPr="00174DCA">
              <w:rPr>
                <w:b/>
                <w:bCs/>
                <w:sz w:val="18"/>
                <w:szCs w:val="18"/>
              </w:rPr>
              <w:t>678</w:t>
            </w:r>
          </w:p>
        </w:tc>
        <w:tc>
          <w:tcPr>
            <w:tcW w:w="1923" w:type="dxa"/>
            <w:tcBorders>
              <w:top w:val="single" w:sz="4" w:space="0" w:color="auto"/>
              <w:left w:val="dotted" w:sz="4" w:space="0" w:color="auto"/>
              <w:bottom w:val="single" w:sz="4" w:space="0" w:color="auto"/>
            </w:tcBorders>
            <w:shd w:val="clear" w:color="auto" w:fill="auto"/>
            <w:noWrap/>
          </w:tcPr>
          <w:p w14:paraId="7223935D" w14:textId="34D6C48F" w:rsidR="00183C35" w:rsidRPr="00174DCA" w:rsidRDefault="00183C35" w:rsidP="00174DCA">
            <w:pPr>
              <w:pStyle w:val="Normal-pool"/>
              <w:spacing w:before="40" w:after="40"/>
              <w:jc w:val="right"/>
              <w:rPr>
                <w:b/>
                <w:bCs/>
                <w:sz w:val="18"/>
                <w:szCs w:val="18"/>
              </w:rPr>
            </w:pPr>
            <w:r w:rsidRPr="00174DCA">
              <w:rPr>
                <w:b/>
                <w:bCs/>
                <w:sz w:val="18"/>
                <w:szCs w:val="18"/>
              </w:rPr>
              <w:t>38</w:t>
            </w:r>
            <w:r w:rsidR="000B269A">
              <w:rPr>
                <w:b/>
                <w:bCs/>
                <w:sz w:val="18"/>
                <w:szCs w:val="18"/>
              </w:rPr>
              <w:t xml:space="preserve"> </w:t>
            </w:r>
            <w:r w:rsidRPr="00174DCA">
              <w:rPr>
                <w:b/>
                <w:bCs/>
                <w:sz w:val="18"/>
                <w:szCs w:val="18"/>
              </w:rPr>
              <w:t>678</w:t>
            </w:r>
          </w:p>
        </w:tc>
      </w:tr>
      <w:tr w:rsidR="00183C35" w:rsidRPr="000B269A" w14:paraId="5726024E"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2774498D" w14:textId="77777777" w:rsidR="00183C35" w:rsidRPr="00174DCA" w:rsidRDefault="00183C35" w:rsidP="00174DCA">
            <w:pPr>
              <w:pStyle w:val="Normal-pool"/>
              <w:spacing w:before="40" w:after="40"/>
              <w:rPr>
                <w:b/>
                <w:bCs/>
                <w:sz w:val="18"/>
                <w:szCs w:val="18"/>
              </w:rPr>
            </w:pPr>
            <w:r w:rsidRPr="00174DCA">
              <w:rPr>
                <w:b/>
                <w:bCs/>
                <w:sz w:val="18"/>
                <w:szCs w:val="18"/>
              </w:rPr>
              <w:t>D</w:t>
            </w:r>
          </w:p>
        </w:tc>
        <w:tc>
          <w:tcPr>
            <w:tcW w:w="3975" w:type="dxa"/>
            <w:tcBorders>
              <w:top w:val="single" w:sz="4" w:space="0" w:color="auto"/>
              <w:left w:val="dotted" w:sz="4" w:space="0" w:color="auto"/>
              <w:bottom w:val="single" w:sz="4" w:space="0" w:color="auto"/>
            </w:tcBorders>
          </w:tcPr>
          <w:p w14:paraId="333678A5" w14:textId="60C3D6F8" w:rsidR="00183C35" w:rsidRPr="00174DCA" w:rsidRDefault="00D8019A" w:rsidP="00174DCA">
            <w:pPr>
              <w:pStyle w:val="Normal-pool"/>
              <w:spacing w:before="40" w:after="40"/>
              <w:rPr>
                <w:b/>
                <w:bCs/>
                <w:sz w:val="18"/>
                <w:szCs w:val="18"/>
              </w:rPr>
            </w:pPr>
            <w:r>
              <w:rPr>
                <w:b/>
                <w:bCs/>
                <w:sz w:val="18"/>
                <w:szCs w:val="18"/>
              </w:rPr>
              <w:t>Information technology</w:t>
            </w:r>
            <w:r w:rsidR="00183C35" w:rsidRPr="00174DCA">
              <w:rPr>
                <w:b/>
                <w:bCs/>
                <w:sz w:val="18"/>
                <w:szCs w:val="18"/>
              </w:rPr>
              <w:t xml:space="preserve"> </w:t>
            </w:r>
            <w:r>
              <w:rPr>
                <w:b/>
                <w:bCs/>
                <w:sz w:val="18"/>
                <w:szCs w:val="18"/>
              </w:rPr>
              <w:t>and</w:t>
            </w:r>
            <w:r w:rsidR="00183C35" w:rsidRPr="00174DCA">
              <w:rPr>
                <w:b/>
                <w:bCs/>
                <w:sz w:val="18"/>
                <w:szCs w:val="18"/>
              </w:rPr>
              <w:t xml:space="preserve"> </w:t>
            </w:r>
            <w:r w:rsidR="004F09E7">
              <w:rPr>
                <w:b/>
                <w:bCs/>
                <w:sz w:val="18"/>
                <w:szCs w:val="18"/>
              </w:rPr>
              <w:t>p</w:t>
            </w:r>
            <w:r w:rsidR="00183C35" w:rsidRPr="00174DCA">
              <w:rPr>
                <w:b/>
                <w:bCs/>
                <w:sz w:val="18"/>
                <w:szCs w:val="18"/>
              </w:rPr>
              <w:t>aperless</w:t>
            </w:r>
          </w:p>
        </w:tc>
        <w:tc>
          <w:tcPr>
            <w:tcW w:w="1922" w:type="dxa"/>
            <w:tcBorders>
              <w:top w:val="single" w:sz="4" w:space="0" w:color="auto"/>
              <w:bottom w:val="single" w:sz="4" w:space="0" w:color="auto"/>
              <w:right w:val="dotted" w:sz="4" w:space="0" w:color="auto"/>
            </w:tcBorders>
          </w:tcPr>
          <w:p w14:paraId="7EDFF642" w14:textId="541AC980" w:rsidR="00183C35" w:rsidRPr="00174DCA" w:rsidRDefault="00183C35" w:rsidP="00174DCA">
            <w:pPr>
              <w:pStyle w:val="Normal-pool"/>
              <w:spacing w:before="40" w:after="40"/>
              <w:jc w:val="right"/>
              <w:rPr>
                <w:b/>
                <w:bCs/>
                <w:sz w:val="18"/>
                <w:szCs w:val="18"/>
              </w:rPr>
            </w:pPr>
            <w:r w:rsidRPr="00174DCA">
              <w:rPr>
                <w:b/>
                <w:bCs/>
                <w:sz w:val="18"/>
                <w:szCs w:val="18"/>
              </w:rPr>
              <w:t>28</w:t>
            </w:r>
            <w:r w:rsidR="000B269A">
              <w:rPr>
                <w:b/>
                <w:bCs/>
                <w:sz w:val="18"/>
                <w:szCs w:val="18"/>
              </w:rPr>
              <w:t xml:space="preserve"> </w:t>
            </w:r>
            <w:r w:rsidRPr="00174DCA">
              <w:rPr>
                <w:b/>
                <w:bCs/>
                <w:sz w:val="18"/>
                <w:szCs w:val="18"/>
              </w:rPr>
              <w:t>699</w:t>
            </w:r>
          </w:p>
        </w:tc>
        <w:tc>
          <w:tcPr>
            <w:tcW w:w="1923" w:type="dxa"/>
            <w:tcBorders>
              <w:top w:val="single" w:sz="4" w:space="0" w:color="auto"/>
              <w:left w:val="dotted" w:sz="4" w:space="0" w:color="auto"/>
              <w:bottom w:val="single" w:sz="4" w:space="0" w:color="auto"/>
            </w:tcBorders>
            <w:shd w:val="clear" w:color="auto" w:fill="auto"/>
            <w:noWrap/>
          </w:tcPr>
          <w:p w14:paraId="70F737D6" w14:textId="22B11270" w:rsidR="00183C35" w:rsidRPr="00174DCA" w:rsidRDefault="00183C35" w:rsidP="00174DCA">
            <w:pPr>
              <w:pStyle w:val="Normal-pool"/>
              <w:spacing w:before="40" w:after="40"/>
              <w:jc w:val="right"/>
              <w:rPr>
                <w:b/>
                <w:bCs/>
                <w:sz w:val="18"/>
                <w:szCs w:val="18"/>
              </w:rPr>
            </w:pPr>
            <w:r w:rsidRPr="00174DCA">
              <w:rPr>
                <w:b/>
                <w:bCs/>
                <w:sz w:val="18"/>
                <w:szCs w:val="18"/>
              </w:rPr>
              <w:t>28</w:t>
            </w:r>
            <w:r w:rsidR="000B269A">
              <w:rPr>
                <w:b/>
                <w:bCs/>
                <w:sz w:val="18"/>
                <w:szCs w:val="18"/>
              </w:rPr>
              <w:t xml:space="preserve"> </w:t>
            </w:r>
            <w:r w:rsidRPr="00174DCA">
              <w:rPr>
                <w:b/>
                <w:bCs/>
                <w:sz w:val="18"/>
                <w:szCs w:val="18"/>
              </w:rPr>
              <w:t>699</w:t>
            </w:r>
          </w:p>
        </w:tc>
      </w:tr>
      <w:tr w:rsidR="00183C35" w:rsidRPr="000B269A" w14:paraId="32857C1D"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5170C055" w14:textId="77777777" w:rsidR="00183C35" w:rsidRPr="00174DCA" w:rsidRDefault="00183C35" w:rsidP="00174DCA">
            <w:pPr>
              <w:pStyle w:val="Normal-pool"/>
              <w:spacing w:before="40" w:after="40"/>
              <w:rPr>
                <w:b/>
                <w:bCs/>
                <w:sz w:val="18"/>
                <w:szCs w:val="18"/>
              </w:rPr>
            </w:pPr>
            <w:r w:rsidRPr="00174DCA">
              <w:rPr>
                <w:b/>
                <w:bCs/>
                <w:sz w:val="18"/>
                <w:szCs w:val="18"/>
              </w:rPr>
              <w:t>E</w:t>
            </w:r>
          </w:p>
        </w:tc>
        <w:tc>
          <w:tcPr>
            <w:tcW w:w="3975" w:type="dxa"/>
            <w:tcBorders>
              <w:top w:val="single" w:sz="4" w:space="0" w:color="auto"/>
              <w:left w:val="dotted" w:sz="4" w:space="0" w:color="auto"/>
              <w:bottom w:val="single" w:sz="4" w:space="0" w:color="auto"/>
            </w:tcBorders>
          </w:tcPr>
          <w:p w14:paraId="6D8F4E40" w14:textId="3B4E61C0" w:rsidR="00183C35" w:rsidRPr="00174DCA" w:rsidRDefault="00183C35" w:rsidP="00174DCA">
            <w:pPr>
              <w:pStyle w:val="Normal-pool"/>
              <w:spacing w:before="40" w:after="40"/>
              <w:rPr>
                <w:b/>
                <w:bCs/>
                <w:sz w:val="18"/>
                <w:szCs w:val="18"/>
              </w:rPr>
            </w:pPr>
            <w:r w:rsidRPr="00174DCA">
              <w:rPr>
                <w:b/>
                <w:bCs/>
                <w:sz w:val="18"/>
                <w:szCs w:val="18"/>
              </w:rPr>
              <w:t xml:space="preserve">Documents control </w:t>
            </w:r>
            <w:r w:rsidR="00D8019A">
              <w:rPr>
                <w:b/>
                <w:bCs/>
                <w:sz w:val="18"/>
                <w:szCs w:val="18"/>
              </w:rPr>
              <w:t>and</w:t>
            </w:r>
            <w:r w:rsidRPr="00174DCA">
              <w:rPr>
                <w:b/>
                <w:bCs/>
                <w:sz w:val="18"/>
                <w:szCs w:val="18"/>
              </w:rPr>
              <w:t xml:space="preserve"> </w:t>
            </w:r>
            <w:r w:rsidR="004F09E7">
              <w:rPr>
                <w:b/>
                <w:bCs/>
                <w:sz w:val="18"/>
                <w:szCs w:val="18"/>
              </w:rPr>
              <w:t>l</w:t>
            </w:r>
            <w:r w:rsidRPr="00174DCA">
              <w:rPr>
                <w:b/>
                <w:bCs/>
                <w:sz w:val="18"/>
                <w:szCs w:val="18"/>
              </w:rPr>
              <w:t>egal</w:t>
            </w:r>
          </w:p>
        </w:tc>
        <w:tc>
          <w:tcPr>
            <w:tcW w:w="1922" w:type="dxa"/>
            <w:tcBorders>
              <w:top w:val="single" w:sz="4" w:space="0" w:color="auto"/>
              <w:bottom w:val="single" w:sz="4" w:space="0" w:color="auto"/>
              <w:right w:val="dotted" w:sz="4" w:space="0" w:color="auto"/>
            </w:tcBorders>
          </w:tcPr>
          <w:p w14:paraId="4C98BDC6" w14:textId="77777777" w:rsidR="00183C35" w:rsidRPr="00174DCA" w:rsidRDefault="00183C35" w:rsidP="00174DCA">
            <w:pPr>
              <w:pStyle w:val="Normal-pool"/>
              <w:spacing w:before="40" w:after="40"/>
              <w:jc w:val="right"/>
              <w:rPr>
                <w:b/>
                <w:bCs/>
                <w:sz w:val="18"/>
                <w:szCs w:val="18"/>
              </w:rPr>
            </w:pPr>
          </w:p>
        </w:tc>
        <w:tc>
          <w:tcPr>
            <w:tcW w:w="1923" w:type="dxa"/>
            <w:tcBorders>
              <w:top w:val="single" w:sz="4" w:space="0" w:color="auto"/>
              <w:left w:val="dotted" w:sz="4" w:space="0" w:color="auto"/>
              <w:bottom w:val="single" w:sz="4" w:space="0" w:color="auto"/>
            </w:tcBorders>
            <w:shd w:val="clear" w:color="auto" w:fill="auto"/>
            <w:noWrap/>
          </w:tcPr>
          <w:p w14:paraId="1AB52628" w14:textId="77777777" w:rsidR="00183C35" w:rsidRPr="00174DCA" w:rsidRDefault="00183C35" w:rsidP="00174DCA">
            <w:pPr>
              <w:pStyle w:val="Normal-pool"/>
              <w:spacing w:before="40" w:after="40"/>
              <w:jc w:val="right"/>
              <w:rPr>
                <w:b/>
                <w:bCs/>
                <w:sz w:val="18"/>
                <w:szCs w:val="18"/>
              </w:rPr>
            </w:pPr>
          </w:p>
        </w:tc>
      </w:tr>
      <w:tr w:rsidR="00183C35" w:rsidRPr="000B269A" w14:paraId="2BB1208F"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45F72520" w14:textId="77777777" w:rsidR="00183C35" w:rsidRPr="00174DCA" w:rsidRDefault="00183C35" w:rsidP="00174DCA">
            <w:pPr>
              <w:pStyle w:val="Normal-pool"/>
              <w:spacing w:before="40" w:after="40"/>
              <w:rPr>
                <w:b/>
                <w:bCs/>
                <w:sz w:val="18"/>
                <w:szCs w:val="18"/>
              </w:rPr>
            </w:pPr>
          </w:p>
        </w:tc>
        <w:tc>
          <w:tcPr>
            <w:tcW w:w="3975" w:type="dxa"/>
            <w:tcBorders>
              <w:top w:val="single" w:sz="4" w:space="0" w:color="auto"/>
              <w:left w:val="dotted" w:sz="4" w:space="0" w:color="auto"/>
              <w:bottom w:val="dotted" w:sz="4" w:space="0" w:color="auto"/>
            </w:tcBorders>
          </w:tcPr>
          <w:p w14:paraId="35580621" w14:textId="77777777" w:rsidR="00183C35" w:rsidRPr="00174DCA" w:rsidRDefault="00183C35" w:rsidP="00174DCA">
            <w:pPr>
              <w:pStyle w:val="Normal-pool"/>
              <w:spacing w:before="40" w:after="40"/>
              <w:rPr>
                <w:sz w:val="18"/>
                <w:szCs w:val="18"/>
              </w:rPr>
            </w:pPr>
            <w:r w:rsidRPr="00174DCA">
              <w:rPr>
                <w:sz w:val="18"/>
                <w:szCs w:val="18"/>
              </w:rPr>
              <w:t>Documents management</w:t>
            </w:r>
          </w:p>
        </w:tc>
        <w:tc>
          <w:tcPr>
            <w:tcW w:w="1922" w:type="dxa"/>
            <w:tcBorders>
              <w:top w:val="single" w:sz="4" w:space="0" w:color="auto"/>
              <w:bottom w:val="dotted" w:sz="4" w:space="0" w:color="auto"/>
              <w:right w:val="dotted" w:sz="4" w:space="0" w:color="auto"/>
            </w:tcBorders>
          </w:tcPr>
          <w:p w14:paraId="6E66DF24" w14:textId="5CF0A7F3" w:rsidR="00183C35" w:rsidRPr="00174DCA" w:rsidRDefault="00FE1627" w:rsidP="00174DCA">
            <w:pPr>
              <w:pStyle w:val="Normal-pool"/>
              <w:spacing w:before="40" w:after="40"/>
              <w:jc w:val="right"/>
              <w:rPr>
                <w:sz w:val="18"/>
                <w:szCs w:val="18"/>
              </w:rPr>
            </w:pPr>
            <w:r w:rsidRPr="001D27C4">
              <w:rPr>
                <w:sz w:val="17"/>
                <w:szCs w:val="17"/>
              </w:rPr>
              <w:t>–</w:t>
            </w:r>
          </w:p>
        </w:tc>
        <w:tc>
          <w:tcPr>
            <w:tcW w:w="1923" w:type="dxa"/>
            <w:tcBorders>
              <w:top w:val="single" w:sz="4" w:space="0" w:color="auto"/>
              <w:left w:val="dotted" w:sz="4" w:space="0" w:color="auto"/>
              <w:bottom w:val="dotted" w:sz="4" w:space="0" w:color="auto"/>
            </w:tcBorders>
            <w:shd w:val="clear" w:color="auto" w:fill="auto"/>
            <w:noWrap/>
          </w:tcPr>
          <w:p w14:paraId="7B8B57B8" w14:textId="77777777" w:rsidR="00183C35" w:rsidRPr="00174DCA" w:rsidRDefault="00183C35" w:rsidP="00174DCA">
            <w:pPr>
              <w:pStyle w:val="Normal-pool"/>
              <w:spacing w:before="40" w:after="40"/>
              <w:jc w:val="right"/>
              <w:rPr>
                <w:sz w:val="18"/>
                <w:szCs w:val="18"/>
              </w:rPr>
            </w:pPr>
            <w:r w:rsidRPr="00174DCA">
              <w:rPr>
                <w:sz w:val="18"/>
                <w:szCs w:val="18"/>
              </w:rPr>
              <w:t>4.443</w:t>
            </w:r>
          </w:p>
        </w:tc>
      </w:tr>
      <w:tr w:rsidR="00183C35" w:rsidRPr="000B269A" w14:paraId="21BD55B1"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453AEB63"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dotted" w:sz="4" w:space="0" w:color="auto"/>
            </w:tcBorders>
          </w:tcPr>
          <w:p w14:paraId="0064FBDA" w14:textId="77777777" w:rsidR="00183C35" w:rsidRPr="00174DCA" w:rsidRDefault="00183C35" w:rsidP="00174DCA">
            <w:pPr>
              <w:pStyle w:val="Normal-pool"/>
              <w:spacing w:before="40" w:after="40"/>
              <w:rPr>
                <w:sz w:val="18"/>
                <w:szCs w:val="18"/>
              </w:rPr>
            </w:pPr>
            <w:r w:rsidRPr="00174DCA">
              <w:rPr>
                <w:sz w:val="18"/>
                <w:szCs w:val="18"/>
              </w:rPr>
              <w:t>Reports management</w:t>
            </w:r>
          </w:p>
        </w:tc>
        <w:tc>
          <w:tcPr>
            <w:tcW w:w="1922" w:type="dxa"/>
            <w:tcBorders>
              <w:top w:val="dotted" w:sz="4" w:space="0" w:color="auto"/>
              <w:bottom w:val="dotted" w:sz="4" w:space="0" w:color="auto"/>
              <w:right w:val="dotted" w:sz="4" w:space="0" w:color="auto"/>
            </w:tcBorders>
          </w:tcPr>
          <w:p w14:paraId="57369C47" w14:textId="4ECF4B48" w:rsidR="00183C35" w:rsidRPr="00174DCA" w:rsidRDefault="00FE1627" w:rsidP="00174DCA">
            <w:pPr>
              <w:pStyle w:val="Normal-pool"/>
              <w:spacing w:before="40" w:after="40"/>
              <w:jc w:val="right"/>
              <w:rPr>
                <w:sz w:val="18"/>
                <w:szCs w:val="18"/>
              </w:rPr>
            </w:pPr>
            <w:r w:rsidRPr="001D27C4">
              <w:rPr>
                <w:sz w:val="17"/>
                <w:szCs w:val="17"/>
              </w:rPr>
              <w:t>–</w:t>
            </w:r>
          </w:p>
        </w:tc>
        <w:tc>
          <w:tcPr>
            <w:tcW w:w="1923" w:type="dxa"/>
            <w:tcBorders>
              <w:top w:val="dotted" w:sz="4" w:space="0" w:color="auto"/>
              <w:left w:val="dotted" w:sz="4" w:space="0" w:color="auto"/>
              <w:bottom w:val="dotted" w:sz="4" w:space="0" w:color="auto"/>
            </w:tcBorders>
            <w:shd w:val="clear" w:color="auto" w:fill="auto"/>
            <w:noWrap/>
          </w:tcPr>
          <w:p w14:paraId="651640B5" w14:textId="4A0EEED1" w:rsidR="00183C35" w:rsidRPr="00174DCA" w:rsidRDefault="00183C35" w:rsidP="00174DCA">
            <w:pPr>
              <w:pStyle w:val="Normal-pool"/>
              <w:spacing w:before="40" w:after="40"/>
              <w:jc w:val="right"/>
              <w:rPr>
                <w:sz w:val="18"/>
                <w:szCs w:val="18"/>
              </w:rPr>
            </w:pPr>
            <w:r w:rsidRPr="00174DCA">
              <w:rPr>
                <w:sz w:val="18"/>
                <w:szCs w:val="18"/>
              </w:rPr>
              <w:t>4</w:t>
            </w:r>
            <w:r w:rsidR="000B269A">
              <w:rPr>
                <w:sz w:val="18"/>
                <w:szCs w:val="18"/>
              </w:rPr>
              <w:t xml:space="preserve"> </w:t>
            </w:r>
            <w:r w:rsidRPr="00174DCA">
              <w:rPr>
                <w:sz w:val="18"/>
                <w:szCs w:val="18"/>
              </w:rPr>
              <w:t>443</w:t>
            </w:r>
          </w:p>
        </w:tc>
      </w:tr>
      <w:tr w:rsidR="00183C35" w:rsidRPr="000B269A" w14:paraId="0F2E6E3A"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778D3D64"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dotted" w:sz="4" w:space="0" w:color="auto"/>
            </w:tcBorders>
          </w:tcPr>
          <w:p w14:paraId="00791A38" w14:textId="629570E8" w:rsidR="00183C35" w:rsidRPr="00174DCA" w:rsidRDefault="00183C35" w:rsidP="00174DCA">
            <w:pPr>
              <w:pStyle w:val="Normal-pool"/>
              <w:spacing w:before="40" w:after="40"/>
              <w:rPr>
                <w:sz w:val="18"/>
                <w:szCs w:val="18"/>
              </w:rPr>
            </w:pPr>
            <w:r w:rsidRPr="00174DCA">
              <w:rPr>
                <w:sz w:val="18"/>
                <w:szCs w:val="18"/>
              </w:rPr>
              <w:t>Doc</w:t>
            </w:r>
            <w:r w:rsidR="004F09E7">
              <w:rPr>
                <w:sz w:val="18"/>
                <w:szCs w:val="18"/>
              </w:rPr>
              <w:t>ument</w:t>
            </w:r>
            <w:r w:rsidRPr="00174DCA">
              <w:rPr>
                <w:sz w:val="18"/>
                <w:szCs w:val="18"/>
              </w:rPr>
              <w:t>s control</w:t>
            </w:r>
          </w:p>
        </w:tc>
        <w:tc>
          <w:tcPr>
            <w:tcW w:w="1922" w:type="dxa"/>
            <w:tcBorders>
              <w:top w:val="dotted" w:sz="4" w:space="0" w:color="auto"/>
              <w:bottom w:val="dotted" w:sz="4" w:space="0" w:color="auto"/>
              <w:right w:val="dotted" w:sz="4" w:space="0" w:color="auto"/>
            </w:tcBorders>
          </w:tcPr>
          <w:p w14:paraId="4297F72B" w14:textId="29B87138" w:rsidR="00183C35" w:rsidRPr="00174DCA" w:rsidRDefault="00FE1627" w:rsidP="00174DCA">
            <w:pPr>
              <w:pStyle w:val="Normal-pool"/>
              <w:spacing w:before="40" w:after="40"/>
              <w:jc w:val="right"/>
              <w:rPr>
                <w:sz w:val="18"/>
                <w:szCs w:val="18"/>
              </w:rPr>
            </w:pPr>
            <w:r w:rsidRPr="001D27C4">
              <w:rPr>
                <w:sz w:val="17"/>
                <w:szCs w:val="17"/>
              </w:rPr>
              <w:t>–</w:t>
            </w:r>
          </w:p>
        </w:tc>
        <w:tc>
          <w:tcPr>
            <w:tcW w:w="1923" w:type="dxa"/>
            <w:tcBorders>
              <w:top w:val="dotted" w:sz="4" w:space="0" w:color="auto"/>
              <w:left w:val="dotted" w:sz="4" w:space="0" w:color="auto"/>
              <w:bottom w:val="dotted" w:sz="4" w:space="0" w:color="auto"/>
            </w:tcBorders>
            <w:shd w:val="clear" w:color="auto" w:fill="auto"/>
            <w:noWrap/>
          </w:tcPr>
          <w:p w14:paraId="5AF1F41A" w14:textId="778509FC" w:rsidR="00183C35" w:rsidRPr="00174DCA" w:rsidRDefault="00183C35" w:rsidP="00174DCA">
            <w:pPr>
              <w:pStyle w:val="Normal-pool"/>
              <w:spacing w:before="40" w:after="40"/>
              <w:jc w:val="right"/>
              <w:rPr>
                <w:sz w:val="18"/>
                <w:szCs w:val="18"/>
              </w:rPr>
            </w:pPr>
            <w:r w:rsidRPr="00174DCA">
              <w:rPr>
                <w:sz w:val="18"/>
                <w:szCs w:val="18"/>
              </w:rPr>
              <w:t>6</w:t>
            </w:r>
            <w:r w:rsidR="000B269A">
              <w:rPr>
                <w:sz w:val="18"/>
                <w:szCs w:val="18"/>
              </w:rPr>
              <w:t xml:space="preserve"> </w:t>
            </w:r>
            <w:r w:rsidRPr="00174DCA">
              <w:rPr>
                <w:sz w:val="18"/>
                <w:szCs w:val="18"/>
              </w:rPr>
              <w:t>727</w:t>
            </w:r>
          </w:p>
        </w:tc>
      </w:tr>
      <w:tr w:rsidR="00183C35" w:rsidRPr="000B269A" w14:paraId="0939B45E"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03476650"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dotted" w:sz="4" w:space="0" w:color="auto"/>
            </w:tcBorders>
          </w:tcPr>
          <w:p w14:paraId="652CCA3A" w14:textId="77777777" w:rsidR="00183C35" w:rsidRPr="00174DCA" w:rsidRDefault="00183C35" w:rsidP="00174DCA">
            <w:pPr>
              <w:pStyle w:val="Normal-pool"/>
              <w:spacing w:before="40" w:after="40"/>
              <w:rPr>
                <w:sz w:val="18"/>
                <w:szCs w:val="18"/>
              </w:rPr>
            </w:pPr>
            <w:r w:rsidRPr="00174DCA">
              <w:rPr>
                <w:sz w:val="18"/>
                <w:szCs w:val="18"/>
              </w:rPr>
              <w:t>Legal clearance</w:t>
            </w:r>
          </w:p>
        </w:tc>
        <w:tc>
          <w:tcPr>
            <w:tcW w:w="1922" w:type="dxa"/>
            <w:tcBorders>
              <w:top w:val="dotted" w:sz="4" w:space="0" w:color="auto"/>
              <w:bottom w:val="dotted" w:sz="4" w:space="0" w:color="auto"/>
              <w:right w:val="dotted" w:sz="4" w:space="0" w:color="auto"/>
            </w:tcBorders>
          </w:tcPr>
          <w:p w14:paraId="5C80A72C" w14:textId="67903075" w:rsidR="00183C35" w:rsidRPr="00174DCA" w:rsidRDefault="00FE1627" w:rsidP="00174DCA">
            <w:pPr>
              <w:pStyle w:val="Normal-pool"/>
              <w:spacing w:before="40" w:after="40"/>
              <w:jc w:val="right"/>
              <w:rPr>
                <w:sz w:val="18"/>
                <w:szCs w:val="18"/>
              </w:rPr>
            </w:pPr>
            <w:r w:rsidRPr="001D27C4">
              <w:rPr>
                <w:sz w:val="17"/>
                <w:szCs w:val="17"/>
              </w:rPr>
              <w:t>–</w:t>
            </w:r>
          </w:p>
        </w:tc>
        <w:tc>
          <w:tcPr>
            <w:tcW w:w="1923" w:type="dxa"/>
            <w:tcBorders>
              <w:top w:val="dotted" w:sz="4" w:space="0" w:color="auto"/>
              <w:left w:val="dotted" w:sz="4" w:space="0" w:color="auto"/>
              <w:bottom w:val="dotted" w:sz="4" w:space="0" w:color="auto"/>
            </w:tcBorders>
            <w:shd w:val="clear" w:color="auto" w:fill="auto"/>
            <w:noWrap/>
          </w:tcPr>
          <w:p w14:paraId="4E9A1C3A" w14:textId="52A36213" w:rsidR="00183C35" w:rsidRPr="00174DCA" w:rsidRDefault="00183C35" w:rsidP="00174DCA">
            <w:pPr>
              <w:pStyle w:val="Normal-pool"/>
              <w:spacing w:before="40" w:after="40"/>
              <w:jc w:val="right"/>
              <w:rPr>
                <w:sz w:val="18"/>
                <w:szCs w:val="18"/>
              </w:rPr>
            </w:pPr>
            <w:r w:rsidRPr="00174DCA">
              <w:rPr>
                <w:sz w:val="18"/>
                <w:szCs w:val="18"/>
              </w:rPr>
              <w:t>4</w:t>
            </w:r>
            <w:r w:rsidR="000B269A">
              <w:rPr>
                <w:sz w:val="18"/>
                <w:szCs w:val="18"/>
              </w:rPr>
              <w:t xml:space="preserve"> </w:t>
            </w:r>
            <w:r w:rsidRPr="00174DCA">
              <w:rPr>
                <w:sz w:val="18"/>
                <w:szCs w:val="18"/>
              </w:rPr>
              <w:t>443</w:t>
            </w:r>
          </w:p>
        </w:tc>
      </w:tr>
      <w:tr w:rsidR="00183C35" w:rsidRPr="000B269A" w14:paraId="515EAFBF"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05C91EB8" w14:textId="77777777" w:rsidR="00183C35" w:rsidRPr="00174DCA" w:rsidRDefault="00183C35" w:rsidP="00174DCA">
            <w:pPr>
              <w:pStyle w:val="Normal-pool"/>
              <w:spacing w:before="40" w:after="40"/>
              <w:rPr>
                <w:b/>
                <w:bCs/>
                <w:sz w:val="18"/>
                <w:szCs w:val="18"/>
              </w:rPr>
            </w:pPr>
          </w:p>
        </w:tc>
        <w:tc>
          <w:tcPr>
            <w:tcW w:w="3975" w:type="dxa"/>
            <w:tcBorders>
              <w:top w:val="dotted" w:sz="4" w:space="0" w:color="auto"/>
              <w:left w:val="dotted" w:sz="4" w:space="0" w:color="auto"/>
              <w:bottom w:val="single" w:sz="4" w:space="0" w:color="auto"/>
            </w:tcBorders>
          </w:tcPr>
          <w:p w14:paraId="0FAC1E89" w14:textId="77777777" w:rsidR="00183C35" w:rsidRPr="00174DCA" w:rsidRDefault="00183C35" w:rsidP="00174DCA">
            <w:pPr>
              <w:pStyle w:val="Normal-pool"/>
              <w:spacing w:before="40" w:after="40"/>
              <w:rPr>
                <w:sz w:val="18"/>
                <w:szCs w:val="18"/>
              </w:rPr>
            </w:pPr>
            <w:r w:rsidRPr="00174DCA">
              <w:rPr>
                <w:sz w:val="18"/>
                <w:szCs w:val="18"/>
              </w:rPr>
              <w:t>Contingency</w:t>
            </w:r>
          </w:p>
        </w:tc>
        <w:tc>
          <w:tcPr>
            <w:tcW w:w="1922" w:type="dxa"/>
            <w:tcBorders>
              <w:top w:val="dotted" w:sz="4" w:space="0" w:color="auto"/>
              <w:bottom w:val="single" w:sz="4" w:space="0" w:color="auto"/>
              <w:right w:val="dotted" w:sz="4" w:space="0" w:color="auto"/>
            </w:tcBorders>
          </w:tcPr>
          <w:p w14:paraId="294DC760" w14:textId="60F66085" w:rsidR="00183C35" w:rsidRPr="00174DCA" w:rsidRDefault="00183C35" w:rsidP="00174DCA">
            <w:pPr>
              <w:pStyle w:val="Normal-pool"/>
              <w:spacing w:before="40" w:after="40"/>
              <w:jc w:val="right"/>
              <w:rPr>
                <w:sz w:val="18"/>
                <w:szCs w:val="18"/>
              </w:rPr>
            </w:pPr>
            <w:r w:rsidRPr="00174DCA">
              <w:rPr>
                <w:sz w:val="18"/>
                <w:szCs w:val="18"/>
              </w:rPr>
              <w:t>9</w:t>
            </w:r>
            <w:r w:rsidR="000B269A">
              <w:rPr>
                <w:sz w:val="18"/>
                <w:szCs w:val="18"/>
              </w:rPr>
              <w:t xml:space="preserve"> </w:t>
            </w:r>
            <w:r w:rsidRPr="00174DCA">
              <w:rPr>
                <w:sz w:val="18"/>
                <w:szCs w:val="18"/>
              </w:rPr>
              <w:t>267</w:t>
            </w:r>
          </w:p>
        </w:tc>
        <w:tc>
          <w:tcPr>
            <w:tcW w:w="1923" w:type="dxa"/>
            <w:tcBorders>
              <w:top w:val="dotted" w:sz="4" w:space="0" w:color="auto"/>
              <w:left w:val="dotted" w:sz="4" w:space="0" w:color="auto"/>
              <w:bottom w:val="single" w:sz="4" w:space="0" w:color="auto"/>
            </w:tcBorders>
            <w:shd w:val="clear" w:color="auto" w:fill="auto"/>
            <w:noWrap/>
          </w:tcPr>
          <w:p w14:paraId="27E683E5" w14:textId="66E1C48D" w:rsidR="00183C35" w:rsidRPr="00174DCA" w:rsidRDefault="00183C35" w:rsidP="00174DCA">
            <w:pPr>
              <w:pStyle w:val="Normal-pool"/>
              <w:spacing w:before="40" w:after="40"/>
              <w:jc w:val="right"/>
              <w:rPr>
                <w:sz w:val="18"/>
                <w:szCs w:val="18"/>
              </w:rPr>
            </w:pPr>
            <w:r w:rsidRPr="00174DCA">
              <w:rPr>
                <w:sz w:val="18"/>
                <w:szCs w:val="18"/>
              </w:rPr>
              <w:t>9</w:t>
            </w:r>
            <w:r w:rsidR="000B269A">
              <w:rPr>
                <w:sz w:val="18"/>
                <w:szCs w:val="18"/>
              </w:rPr>
              <w:t xml:space="preserve"> </w:t>
            </w:r>
            <w:r w:rsidRPr="00174DCA">
              <w:rPr>
                <w:sz w:val="18"/>
                <w:szCs w:val="18"/>
              </w:rPr>
              <w:t>267</w:t>
            </w:r>
          </w:p>
        </w:tc>
      </w:tr>
      <w:tr w:rsidR="00183C35" w:rsidRPr="000B269A" w14:paraId="7A1B5556"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38891E22" w14:textId="77777777" w:rsidR="00183C35" w:rsidRPr="00174DCA" w:rsidRDefault="00183C35" w:rsidP="00174DCA">
            <w:pPr>
              <w:pStyle w:val="Normal-pool"/>
              <w:spacing w:before="40" w:after="40"/>
              <w:rPr>
                <w:b/>
                <w:bCs/>
                <w:sz w:val="18"/>
                <w:szCs w:val="18"/>
              </w:rPr>
            </w:pPr>
          </w:p>
        </w:tc>
        <w:tc>
          <w:tcPr>
            <w:tcW w:w="3975" w:type="dxa"/>
            <w:tcBorders>
              <w:top w:val="single" w:sz="4" w:space="0" w:color="auto"/>
              <w:left w:val="dotted" w:sz="4" w:space="0" w:color="auto"/>
              <w:bottom w:val="single" w:sz="4" w:space="0" w:color="auto"/>
            </w:tcBorders>
          </w:tcPr>
          <w:p w14:paraId="7F55DFD4" w14:textId="77777777" w:rsidR="00183C35" w:rsidRPr="00174DCA" w:rsidRDefault="00183C35" w:rsidP="00174DCA">
            <w:pPr>
              <w:pStyle w:val="Normal-pool"/>
              <w:spacing w:before="40" w:after="40"/>
              <w:rPr>
                <w:b/>
                <w:bCs/>
                <w:sz w:val="18"/>
                <w:szCs w:val="18"/>
              </w:rPr>
            </w:pPr>
          </w:p>
        </w:tc>
        <w:tc>
          <w:tcPr>
            <w:tcW w:w="1922" w:type="dxa"/>
            <w:tcBorders>
              <w:top w:val="single" w:sz="4" w:space="0" w:color="auto"/>
              <w:bottom w:val="single" w:sz="4" w:space="0" w:color="auto"/>
              <w:right w:val="dotted" w:sz="4" w:space="0" w:color="auto"/>
            </w:tcBorders>
          </w:tcPr>
          <w:p w14:paraId="6274A931" w14:textId="7E3E472F" w:rsidR="00183C35" w:rsidRPr="00174DCA" w:rsidRDefault="00183C35" w:rsidP="00174DCA">
            <w:pPr>
              <w:pStyle w:val="Normal-pool"/>
              <w:spacing w:before="40" w:after="40"/>
              <w:jc w:val="right"/>
              <w:rPr>
                <w:b/>
                <w:bCs/>
                <w:sz w:val="18"/>
                <w:szCs w:val="18"/>
              </w:rPr>
            </w:pPr>
            <w:r w:rsidRPr="00174DCA">
              <w:rPr>
                <w:b/>
                <w:bCs/>
                <w:sz w:val="18"/>
                <w:szCs w:val="18"/>
              </w:rPr>
              <w:t>9</w:t>
            </w:r>
            <w:r w:rsidR="000B269A">
              <w:rPr>
                <w:b/>
                <w:bCs/>
                <w:sz w:val="18"/>
                <w:szCs w:val="18"/>
              </w:rPr>
              <w:t xml:space="preserve"> </w:t>
            </w:r>
            <w:r w:rsidRPr="00174DCA">
              <w:rPr>
                <w:b/>
                <w:bCs/>
                <w:sz w:val="18"/>
                <w:szCs w:val="18"/>
              </w:rPr>
              <w:t>267</w:t>
            </w:r>
          </w:p>
        </w:tc>
        <w:tc>
          <w:tcPr>
            <w:tcW w:w="1923" w:type="dxa"/>
            <w:tcBorders>
              <w:top w:val="single" w:sz="4" w:space="0" w:color="auto"/>
              <w:left w:val="dotted" w:sz="4" w:space="0" w:color="auto"/>
              <w:bottom w:val="single" w:sz="4" w:space="0" w:color="auto"/>
            </w:tcBorders>
            <w:shd w:val="clear" w:color="auto" w:fill="auto"/>
            <w:noWrap/>
          </w:tcPr>
          <w:p w14:paraId="308BB13E" w14:textId="363DE0D8" w:rsidR="00183C35" w:rsidRPr="00174DCA" w:rsidRDefault="00183C35" w:rsidP="00174DCA">
            <w:pPr>
              <w:pStyle w:val="Normal-pool"/>
              <w:spacing w:before="40" w:after="40"/>
              <w:jc w:val="right"/>
              <w:rPr>
                <w:b/>
                <w:bCs/>
                <w:sz w:val="18"/>
                <w:szCs w:val="18"/>
              </w:rPr>
            </w:pPr>
            <w:r w:rsidRPr="00174DCA">
              <w:rPr>
                <w:b/>
                <w:bCs/>
                <w:sz w:val="18"/>
                <w:szCs w:val="18"/>
              </w:rPr>
              <w:t>29</w:t>
            </w:r>
            <w:r w:rsidR="000B269A">
              <w:rPr>
                <w:b/>
                <w:bCs/>
                <w:sz w:val="18"/>
                <w:szCs w:val="18"/>
              </w:rPr>
              <w:t xml:space="preserve"> </w:t>
            </w:r>
            <w:r w:rsidRPr="00174DCA">
              <w:rPr>
                <w:b/>
                <w:bCs/>
                <w:sz w:val="18"/>
                <w:szCs w:val="18"/>
              </w:rPr>
              <w:t>323</w:t>
            </w:r>
          </w:p>
        </w:tc>
      </w:tr>
      <w:tr w:rsidR="00183C35" w:rsidRPr="000B269A" w14:paraId="46C4A7D4"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40C58BDF" w14:textId="77777777" w:rsidR="00183C35" w:rsidRPr="00174DCA" w:rsidRDefault="00183C35" w:rsidP="00174DCA">
            <w:pPr>
              <w:pStyle w:val="Normal-pool"/>
              <w:spacing w:before="40" w:after="40"/>
              <w:rPr>
                <w:b/>
                <w:bCs/>
                <w:sz w:val="18"/>
                <w:szCs w:val="18"/>
              </w:rPr>
            </w:pPr>
          </w:p>
        </w:tc>
        <w:tc>
          <w:tcPr>
            <w:tcW w:w="3975" w:type="dxa"/>
            <w:tcBorders>
              <w:top w:val="single" w:sz="4" w:space="0" w:color="auto"/>
              <w:left w:val="dotted" w:sz="4" w:space="0" w:color="auto"/>
              <w:bottom w:val="single" w:sz="12" w:space="0" w:color="auto"/>
            </w:tcBorders>
          </w:tcPr>
          <w:p w14:paraId="7593AF64" w14:textId="7EE7813A" w:rsidR="00183C35" w:rsidRPr="00174DCA" w:rsidRDefault="00183C35" w:rsidP="00174DCA">
            <w:pPr>
              <w:pStyle w:val="Normal-pool"/>
              <w:spacing w:before="40" w:after="40"/>
              <w:rPr>
                <w:b/>
                <w:bCs/>
                <w:sz w:val="18"/>
                <w:szCs w:val="18"/>
              </w:rPr>
            </w:pPr>
            <w:r w:rsidRPr="00174DCA">
              <w:rPr>
                <w:b/>
                <w:bCs/>
                <w:sz w:val="18"/>
                <w:szCs w:val="18"/>
              </w:rPr>
              <w:t xml:space="preserve">Grand </w:t>
            </w:r>
            <w:r w:rsidR="004F09E7">
              <w:rPr>
                <w:b/>
                <w:bCs/>
                <w:sz w:val="18"/>
                <w:szCs w:val="18"/>
              </w:rPr>
              <w:t>t</w:t>
            </w:r>
            <w:r w:rsidRPr="00174DCA">
              <w:rPr>
                <w:b/>
                <w:bCs/>
                <w:sz w:val="18"/>
                <w:szCs w:val="18"/>
              </w:rPr>
              <w:t>otal</w:t>
            </w:r>
          </w:p>
        </w:tc>
        <w:tc>
          <w:tcPr>
            <w:tcW w:w="1922" w:type="dxa"/>
            <w:tcBorders>
              <w:top w:val="single" w:sz="4" w:space="0" w:color="auto"/>
              <w:bottom w:val="single" w:sz="12" w:space="0" w:color="auto"/>
              <w:right w:val="dotted" w:sz="4" w:space="0" w:color="auto"/>
            </w:tcBorders>
          </w:tcPr>
          <w:p w14:paraId="070058F7" w14:textId="12558835" w:rsidR="00183C35" w:rsidRPr="00174DCA" w:rsidRDefault="00183C35" w:rsidP="00174DCA">
            <w:pPr>
              <w:pStyle w:val="Normal-pool"/>
              <w:spacing w:before="40" w:after="40"/>
              <w:jc w:val="right"/>
              <w:rPr>
                <w:b/>
                <w:bCs/>
                <w:sz w:val="18"/>
                <w:szCs w:val="18"/>
              </w:rPr>
            </w:pPr>
            <w:r w:rsidRPr="00174DCA">
              <w:rPr>
                <w:b/>
                <w:bCs/>
                <w:sz w:val="18"/>
                <w:szCs w:val="18"/>
              </w:rPr>
              <w:t>227</w:t>
            </w:r>
            <w:r w:rsidR="000B269A">
              <w:rPr>
                <w:b/>
                <w:bCs/>
                <w:sz w:val="18"/>
                <w:szCs w:val="18"/>
              </w:rPr>
              <w:t xml:space="preserve"> </w:t>
            </w:r>
            <w:r w:rsidRPr="00174DCA">
              <w:rPr>
                <w:b/>
                <w:bCs/>
                <w:sz w:val="18"/>
                <w:szCs w:val="18"/>
              </w:rPr>
              <w:t>991</w:t>
            </w:r>
          </w:p>
        </w:tc>
        <w:tc>
          <w:tcPr>
            <w:tcW w:w="1923" w:type="dxa"/>
            <w:tcBorders>
              <w:top w:val="single" w:sz="4" w:space="0" w:color="auto"/>
              <w:left w:val="dotted" w:sz="4" w:space="0" w:color="auto"/>
              <w:bottom w:val="single" w:sz="12" w:space="0" w:color="auto"/>
            </w:tcBorders>
            <w:shd w:val="clear" w:color="auto" w:fill="auto"/>
            <w:noWrap/>
          </w:tcPr>
          <w:p w14:paraId="3361B760" w14:textId="76570FB9" w:rsidR="00183C35" w:rsidRPr="00174DCA" w:rsidRDefault="00183C35" w:rsidP="00174DCA">
            <w:pPr>
              <w:pStyle w:val="Normal-pool"/>
              <w:spacing w:before="40" w:after="40"/>
              <w:jc w:val="right"/>
              <w:rPr>
                <w:b/>
                <w:bCs/>
                <w:sz w:val="18"/>
                <w:szCs w:val="18"/>
              </w:rPr>
            </w:pPr>
            <w:r w:rsidRPr="00174DCA">
              <w:rPr>
                <w:b/>
                <w:bCs/>
                <w:sz w:val="18"/>
                <w:szCs w:val="18"/>
              </w:rPr>
              <w:t>270</w:t>
            </w:r>
            <w:r w:rsidR="000B269A">
              <w:rPr>
                <w:b/>
                <w:bCs/>
                <w:sz w:val="18"/>
                <w:szCs w:val="18"/>
              </w:rPr>
              <w:t xml:space="preserve"> </w:t>
            </w:r>
            <w:r w:rsidRPr="00174DCA">
              <w:rPr>
                <w:b/>
                <w:bCs/>
                <w:sz w:val="18"/>
                <w:szCs w:val="18"/>
              </w:rPr>
              <w:t>000</w:t>
            </w:r>
          </w:p>
        </w:tc>
      </w:tr>
    </w:tbl>
    <w:p w14:paraId="5A34962D" w14:textId="77777777" w:rsidR="00BD6E6D" w:rsidRPr="00174DCA" w:rsidRDefault="00BD6E6D" w:rsidP="00174DCA">
      <w:pPr>
        <w:pStyle w:val="Normal-pool"/>
      </w:pPr>
    </w:p>
    <w:p w14:paraId="74C29BAD" w14:textId="72F5070F" w:rsidR="00BD6E6D" w:rsidRPr="00174DCA" w:rsidRDefault="00BD6E6D" w:rsidP="00174DCA">
      <w:pPr>
        <w:pStyle w:val="Normal-pool"/>
      </w:pPr>
      <w:r w:rsidRPr="00174DCA">
        <w:br w:type="page"/>
      </w:r>
    </w:p>
    <w:p w14:paraId="60F214A1" w14:textId="77A9AB45" w:rsidR="000B269A" w:rsidRDefault="00863F6A" w:rsidP="00174DCA">
      <w:pPr>
        <w:pStyle w:val="ZZAnxheader"/>
      </w:pPr>
      <w:bookmarkStart w:id="44" w:name="_Toc22825254"/>
      <w:r w:rsidRPr="00B701FA">
        <w:lastRenderedPageBreak/>
        <w:t xml:space="preserve">Annex </w:t>
      </w:r>
      <w:r w:rsidR="00D8019A">
        <w:t>III</w:t>
      </w:r>
      <w:bookmarkEnd w:id="44"/>
    </w:p>
    <w:p w14:paraId="2A71044E" w14:textId="54E71C1D" w:rsidR="00863F6A" w:rsidRPr="00B701FA" w:rsidRDefault="00863F6A" w:rsidP="00174DCA">
      <w:pPr>
        <w:pStyle w:val="ZZAnxtitle"/>
      </w:pPr>
      <w:bookmarkStart w:id="45" w:name="_Toc21073450"/>
      <w:r w:rsidRPr="00B701FA">
        <w:t>UNEP administrative services in support of the Minamata Convention</w:t>
      </w:r>
      <w:bookmarkEnd w:id="45"/>
    </w:p>
    <w:p w14:paraId="51EE26C6" w14:textId="2E6DF1F1" w:rsidR="00863F6A" w:rsidRPr="00EE7244" w:rsidRDefault="00B538A9" w:rsidP="00B538A9">
      <w:pPr>
        <w:pStyle w:val="CH2"/>
        <w:rPr>
          <w:bCs/>
        </w:rPr>
      </w:pPr>
      <w:r>
        <w:tab/>
        <w:t>A.</w:t>
      </w:r>
      <w:r>
        <w:tab/>
      </w:r>
      <w:r w:rsidR="00863F6A" w:rsidRPr="00EE7244">
        <w:rPr>
          <w:bCs/>
        </w:rPr>
        <w:t>Policy, guidelines and procedure</w:t>
      </w:r>
      <w:bookmarkStart w:id="46" w:name="_bookmark0"/>
      <w:bookmarkEnd w:id="46"/>
      <w:r w:rsidR="00863F6A" w:rsidRPr="00EE7244">
        <w:rPr>
          <w:bCs/>
        </w:rPr>
        <w:t>s</w:t>
      </w:r>
    </w:p>
    <w:p w14:paraId="4C303E09" w14:textId="35C22E69" w:rsidR="00863F6A" w:rsidRPr="00EE7244" w:rsidRDefault="00863F6A" w:rsidP="00996969">
      <w:pPr>
        <w:pStyle w:val="Normalnumber"/>
        <w:numPr>
          <w:ilvl w:val="0"/>
          <w:numId w:val="19"/>
        </w:numPr>
        <w:tabs>
          <w:tab w:val="clear" w:pos="597"/>
        </w:tabs>
        <w:ind w:left="1247"/>
      </w:pPr>
      <w:r w:rsidRPr="00EE7244">
        <w:t xml:space="preserve">All policies </w:t>
      </w:r>
      <w:r w:rsidRPr="00E01376">
        <w:t>concerning administrative</w:t>
      </w:r>
      <w:r w:rsidRPr="00EE7244">
        <w:t xml:space="preserve"> arrangements are governed by </w:t>
      </w:r>
      <w:r w:rsidR="004F09E7">
        <w:t xml:space="preserve">the </w:t>
      </w:r>
      <w:r w:rsidR="004F09E7" w:rsidRPr="00EE7244">
        <w:t xml:space="preserve">resolutions </w:t>
      </w:r>
      <w:r w:rsidR="004F09E7">
        <w:t xml:space="preserve">of </w:t>
      </w:r>
      <w:r w:rsidRPr="00EE7244">
        <w:t xml:space="preserve">the United Nations General Assembly and of </w:t>
      </w:r>
      <w:r w:rsidR="004F09E7">
        <w:t xml:space="preserve">the </w:t>
      </w:r>
      <w:r w:rsidR="004F09E7" w:rsidRPr="00EE7244">
        <w:t>governing body</w:t>
      </w:r>
      <w:r w:rsidR="004F09E7">
        <w:t xml:space="preserve"> of the</w:t>
      </w:r>
      <w:r w:rsidR="004F09E7" w:rsidRPr="00EE7244">
        <w:t xml:space="preserve"> </w:t>
      </w:r>
      <w:r w:rsidRPr="00EE7244">
        <w:t>United Nations Environment Programme</w:t>
      </w:r>
      <w:r w:rsidR="00720BF5">
        <w:t xml:space="preserve"> (UNEP)</w:t>
      </w:r>
      <w:r w:rsidRPr="00EE7244">
        <w:t xml:space="preserve">. </w:t>
      </w:r>
      <w:r w:rsidR="004F09E7">
        <w:t xml:space="preserve">The </w:t>
      </w:r>
      <w:r w:rsidRPr="00EE7244">
        <w:t>Financial Regulations and Rules</w:t>
      </w:r>
      <w:r w:rsidR="004F09E7">
        <w:t xml:space="preserve"> of the</w:t>
      </w:r>
      <w:r w:rsidRPr="00EE7244">
        <w:t xml:space="preserve"> </w:t>
      </w:r>
      <w:r w:rsidR="004F09E7" w:rsidRPr="00EE7244">
        <w:t>United Nations</w:t>
      </w:r>
      <w:r w:rsidR="004F09E7">
        <w:t>,</w:t>
      </w:r>
      <w:r w:rsidR="004F09E7" w:rsidRPr="00EE7244">
        <w:t xml:space="preserve"> </w:t>
      </w:r>
      <w:r w:rsidRPr="00EE7244">
        <w:t xml:space="preserve">supplemented by </w:t>
      </w:r>
      <w:r w:rsidR="00720BF5">
        <w:t xml:space="preserve">the financial procedures and rules of the </w:t>
      </w:r>
      <w:r w:rsidR="004F09E7">
        <w:t>m</w:t>
      </w:r>
      <w:r w:rsidRPr="00EE7244">
        <w:t xml:space="preserve">ultilateral </w:t>
      </w:r>
      <w:r w:rsidR="004F09E7">
        <w:t>e</w:t>
      </w:r>
      <w:r w:rsidRPr="00EE7244">
        <w:t xml:space="preserve">nvironmental </w:t>
      </w:r>
      <w:r w:rsidR="004F09E7">
        <w:t>a</w:t>
      </w:r>
      <w:r w:rsidRPr="00EE7244">
        <w:t>greements</w:t>
      </w:r>
      <w:r w:rsidR="004F09E7">
        <w:t>,</w:t>
      </w:r>
      <w:r w:rsidR="004F09E7" w:rsidRPr="00EE7244">
        <w:t xml:space="preserve"> </w:t>
      </w:r>
      <w:r w:rsidRPr="00EE7244">
        <w:t xml:space="preserve">ensure </w:t>
      </w:r>
      <w:r w:rsidR="00720BF5">
        <w:t xml:space="preserve">the </w:t>
      </w:r>
      <w:r w:rsidRPr="00EE7244">
        <w:t>effective and efficient use of resources in accordance with the purposes for which funds are provided</w:t>
      </w:r>
      <w:r w:rsidR="004F09E7">
        <w:t xml:space="preserve"> and</w:t>
      </w:r>
      <w:r w:rsidRPr="00EE7244">
        <w:t xml:space="preserve"> within authorized limits and available income. The </w:t>
      </w:r>
      <w:r w:rsidR="004F09E7" w:rsidRPr="00EE7244">
        <w:t>Financial Regulations and Rules</w:t>
      </w:r>
      <w:r w:rsidR="004F09E7">
        <w:t xml:space="preserve"> of the</w:t>
      </w:r>
      <w:r w:rsidR="004F09E7" w:rsidRPr="00EE7244">
        <w:t xml:space="preserve"> </w:t>
      </w:r>
      <w:r w:rsidRPr="00EE7244">
        <w:t>United Nations also regulate the procurement activities</w:t>
      </w:r>
      <w:r w:rsidR="004F09E7" w:rsidRPr="004F09E7">
        <w:t xml:space="preserve"> </w:t>
      </w:r>
      <w:r w:rsidR="004F09E7">
        <w:t xml:space="preserve">of the </w:t>
      </w:r>
      <w:r w:rsidR="004F09E7" w:rsidRPr="00EE7244">
        <w:t>organization</w:t>
      </w:r>
      <w:r w:rsidRPr="00EE7244">
        <w:t>.</w:t>
      </w:r>
    </w:p>
    <w:p w14:paraId="3DD3C8F0" w14:textId="3F361435" w:rsidR="00863F6A" w:rsidRPr="00EE7244" w:rsidRDefault="004F09E7" w:rsidP="001420F5">
      <w:pPr>
        <w:pStyle w:val="Normalnumber"/>
        <w:numPr>
          <w:ilvl w:val="0"/>
          <w:numId w:val="19"/>
        </w:numPr>
        <w:ind w:left="1247"/>
      </w:pPr>
      <w:r>
        <w:t xml:space="preserve">The </w:t>
      </w:r>
      <w:r w:rsidR="00863F6A" w:rsidRPr="00EE7244">
        <w:t>Staff Regulations and Rules</w:t>
      </w:r>
      <w:r>
        <w:t xml:space="preserve"> of the</w:t>
      </w:r>
      <w:r w:rsidR="00863F6A" w:rsidRPr="00EE7244">
        <w:t xml:space="preserve"> </w:t>
      </w:r>
      <w:r w:rsidRPr="00EE7244">
        <w:t xml:space="preserve">United Nations </w:t>
      </w:r>
      <w:r w:rsidR="00863F6A" w:rsidRPr="00EE7244">
        <w:t xml:space="preserve">set the framework within which </w:t>
      </w:r>
      <w:r>
        <w:t xml:space="preserve">the </w:t>
      </w:r>
      <w:r w:rsidRPr="00EE7244">
        <w:t xml:space="preserve">personnel </w:t>
      </w:r>
      <w:r>
        <w:t>of UNEP</w:t>
      </w:r>
      <w:r w:rsidR="00863F6A" w:rsidRPr="00EE7244">
        <w:t xml:space="preserve">, including </w:t>
      </w:r>
      <w:r>
        <w:t>the various</w:t>
      </w:r>
      <w:r w:rsidRPr="00EE7244">
        <w:t xml:space="preserve"> </w:t>
      </w:r>
      <w:r w:rsidR="00863F6A" w:rsidRPr="00EE7244">
        <w:t xml:space="preserve">categories of staff members, consultants and independent contractors, are recruited and administered. </w:t>
      </w:r>
      <w:r>
        <w:t xml:space="preserve">The </w:t>
      </w:r>
      <w:r w:rsidRPr="00EE7244">
        <w:t xml:space="preserve">policies </w:t>
      </w:r>
      <w:r>
        <w:t xml:space="preserve">of the </w:t>
      </w:r>
      <w:r w:rsidR="00863F6A" w:rsidRPr="00EE7244">
        <w:t>United Nations Secretariat supplement and provide details on the implementation of resolutions and regulations. The</w:t>
      </w:r>
      <w:r w:rsidR="0026065A">
        <w:t xml:space="preserve"> policies</w:t>
      </w:r>
      <w:r w:rsidR="00863F6A" w:rsidRPr="00EE7244">
        <w:t xml:space="preserve"> are embodied in United Nations administrative issuances</w:t>
      </w:r>
      <w:r>
        <w:t>,</w:t>
      </w:r>
      <w:r w:rsidR="00863F6A" w:rsidRPr="00EE7244">
        <w:t xml:space="preserve"> </w:t>
      </w:r>
      <w:r w:rsidR="0026065A">
        <w:t>such as</w:t>
      </w:r>
      <w:r w:rsidR="00863F6A" w:rsidRPr="00EE7244">
        <w:t xml:space="preserve"> </w:t>
      </w:r>
      <w:r>
        <w:t>b</w:t>
      </w:r>
      <w:r w:rsidRPr="00EE7244">
        <w:t>ulletins</w:t>
      </w:r>
      <w:r>
        <w:t xml:space="preserve"> issued by the</w:t>
      </w:r>
      <w:r w:rsidRPr="00EE7244">
        <w:t xml:space="preserve"> </w:t>
      </w:r>
      <w:r w:rsidR="00863F6A" w:rsidRPr="00EE7244">
        <w:t xml:space="preserve">Secretary-General, </w:t>
      </w:r>
      <w:r>
        <w:t>a</w:t>
      </w:r>
      <w:r w:rsidR="00863F6A" w:rsidRPr="00EE7244">
        <w:t xml:space="preserve">dministrative </w:t>
      </w:r>
      <w:r>
        <w:t>i</w:t>
      </w:r>
      <w:r w:rsidR="00863F6A" w:rsidRPr="00EE7244">
        <w:t xml:space="preserve">nstructions and </w:t>
      </w:r>
      <w:r>
        <w:t>i</w:t>
      </w:r>
      <w:r w:rsidR="00863F6A" w:rsidRPr="00EE7244">
        <w:t xml:space="preserve">nformation </w:t>
      </w:r>
      <w:r>
        <w:t>c</w:t>
      </w:r>
      <w:r w:rsidR="00863F6A" w:rsidRPr="00EE7244">
        <w:t>irculars</w:t>
      </w:r>
      <w:r>
        <w:t>,</w:t>
      </w:r>
      <w:r w:rsidR="00863F6A" w:rsidRPr="00EE7244">
        <w:t xml:space="preserve"> which may be further interpreted and translated into guidelines and procedures for day</w:t>
      </w:r>
      <w:r w:rsidR="009431AF">
        <w:t>-</w:t>
      </w:r>
      <w:r w:rsidR="00863F6A" w:rsidRPr="00EE7244">
        <w:t>to</w:t>
      </w:r>
      <w:r w:rsidR="009431AF">
        <w:t>-</w:t>
      </w:r>
      <w:r w:rsidR="00863F6A" w:rsidRPr="00EE7244">
        <w:t>day operations.</w:t>
      </w:r>
    </w:p>
    <w:p w14:paraId="36BB96D6" w14:textId="18B2079A" w:rsidR="00863F6A" w:rsidRPr="00EE7244" w:rsidRDefault="00B538A9" w:rsidP="00B538A9">
      <w:pPr>
        <w:pStyle w:val="CH2"/>
      </w:pPr>
      <w:r>
        <w:tab/>
      </w:r>
      <w:r w:rsidR="00863F6A" w:rsidRPr="00EE7244">
        <w:t>B</w:t>
      </w:r>
      <w:r w:rsidR="007629AD">
        <w:t>.</w:t>
      </w:r>
      <w:r>
        <w:tab/>
      </w:r>
      <w:r w:rsidR="00863F6A" w:rsidRPr="00EE7244">
        <w:t xml:space="preserve">Human </w:t>
      </w:r>
      <w:r w:rsidR="00386847">
        <w:t>r</w:t>
      </w:r>
      <w:r w:rsidR="00863F6A" w:rsidRPr="00EE7244">
        <w:t>esources</w:t>
      </w:r>
    </w:p>
    <w:p w14:paraId="05B0D290" w14:textId="77777777" w:rsidR="00863F6A" w:rsidRPr="00EE7244" w:rsidRDefault="00863F6A" w:rsidP="001420F5">
      <w:pPr>
        <w:pStyle w:val="Normalnumber"/>
        <w:numPr>
          <w:ilvl w:val="0"/>
          <w:numId w:val="19"/>
        </w:numPr>
        <w:ind w:left="1247"/>
      </w:pPr>
      <w:r w:rsidRPr="00EE7244">
        <w:t>Recruitment, staff administration, training and performance management.</w:t>
      </w:r>
    </w:p>
    <w:p w14:paraId="6B8AA26C" w14:textId="346AF2CB" w:rsidR="00863F6A" w:rsidRPr="00EE7244" w:rsidRDefault="00863F6A" w:rsidP="001D0FB8">
      <w:pPr>
        <w:pStyle w:val="Normalnumber"/>
        <w:numPr>
          <w:ilvl w:val="1"/>
          <w:numId w:val="4"/>
        </w:numPr>
        <w:tabs>
          <w:tab w:val="clear" w:pos="1758"/>
        </w:tabs>
        <w:ind w:left="1247" w:firstLine="624"/>
      </w:pPr>
      <w:r w:rsidRPr="00EE7244">
        <w:rPr>
          <w:i/>
          <w:iCs/>
        </w:rPr>
        <w:t xml:space="preserve">Talent </w:t>
      </w:r>
      <w:r w:rsidR="007629AD">
        <w:rPr>
          <w:i/>
          <w:iCs/>
        </w:rPr>
        <w:t>a</w:t>
      </w:r>
      <w:r w:rsidRPr="00EE7244">
        <w:rPr>
          <w:i/>
          <w:iCs/>
        </w:rPr>
        <w:t xml:space="preserve">cquisition and </w:t>
      </w:r>
      <w:r w:rsidR="007629AD">
        <w:rPr>
          <w:i/>
          <w:iCs/>
        </w:rPr>
        <w:t>m</w:t>
      </w:r>
      <w:r w:rsidRPr="00EE7244">
        <w:rPr>
          <w:i/>
          <w:iCs/>
        </w:rPr>
        <w:t>anagement</w:t>
      </w:r>
      <w:r w:rsidRPr="00EE7244">
        <w:t xml:space="preserve">: </w:t>
      </w:r>
      <w:r w:rsidR="007629AD">
        <w:t>d</w:t>
      </w:r>
      <w:r w:rsidRPr="00EE7244">
        <w:t>eveloping staffing plans and implementing related recruitment activities</w:t>
      </w:r>
      <w:r w:rsidR="007629AD">
        <w:t>,</w:t>
      </w:r>
      <w:r w:rsidRPr="00EE7244">
        <w:t xml:space="preserve"> namely classification, vacancy announcement</w:t>
      </w:r>
      <w:r w:rsidR="007629AD">
        <w:t>s</w:t>
      </w:r>
      <w:r w:rsidRPr="00EE7244">
        <w:t>, assessments, evaluation</w:t>
      </w:r>
      <w:r w:rsidR="007629AD">
        <w:t>s</w:t>
      </w:r>
      <w:r w:rsidRPr="00EE7244">
        <w:t>, review and selection.</w:t>
      </w:r>
    </w:p>
    <w:p w14:paraId="4085E758" w14:textId="7B0C0DD9" w:rsidR="00863F6A" w:rsidRPr="00EE7244" w:rsidRDefault="00863F6A" w:rsidP="001D0FB8">
      <w:pPr>
        <w:pStyle w:val="Normalnumber"/>
        <w:numPr>
          <w:ilvl w:val="1"/>
          <w:numId w:val="4"/>
        </w:numPr>
        <w:tabs>
          <w:tab w:val="clear" w:pos="1758"/>
        </w:tabs>
        <w:ind w:left="1247" w:firstLine="624"/>
      </w:pPr>
      <w:r w:rsidRPr="00EE7244">
        <w:rPr>
          <w:i/>
          <w:iCs/>
        </w:rPr>
        <w:t xml:space="preserve">Staff </w:t>
      </w:r>
      <w:r w:rsidR="007629AD">
        <w:rPr>
          <w:i/>
          <w:iCs/>
        </w:rPr>
        <w:t>a</w:t>
      </w:r>
      <w:r w:rsidRPr="00EE7244">
        <w:rPr>
          <w:i/>
          <w:iCs/>
        </w:rPr>
        <w:t>dministration:</w:t>
      </w:r>
      <w:r w:rsidRPr="00EE7244">
        <w:t xml:space="preserve"> </w:t>
      </w:r>
      <w:r w:rsidR="007629AD">
        <w:t>o</w:t>
      </w:r>
      <w:r w:rsidRPr="00EE7244">
        <w:t>nboarding, administering contracts, processing entitlements and benefits</w:t>
      </w:r>
      <w:r w:rsidR="009F4448">
        <w:t>;</w:t>
      </w:r>
      <w:r w:rsidRPr="00EE7244">
        <w:t xml:space="preserve"> review</w:t>
      </w:r>
      <w:r w:rsidR="007629AD">
        <w:t>ing</w:t>
      </w:r>
      <w:r w:rsidRPr="00EE7244">
        <w:t xml:space="preserve"> and updat</w:t>
      </w:r>
      <w:r w:rsidR="007629AD">
        <w:t>ing</w:t>
      </w:r>
      <w:r w:rsidRPr="00EE7244">
        <w:t xml:space="preserve"> dependency status</w:t>
      </w:r>
      <w:r w:rsidR="009F4448">
        <w:t xml:space="preserve"> and</w:t>
      </w:r>
      <w:r w:rsidRPr="00EE7244">
        <w:t xml:space="preserve"> leave records</w:t>
      </w:r>
      <w:r w:rsidR="009F4448">
        <w:t>;</w:t>
      </w:r>
      <w:r w:rsidRPr="00EE7244">
        <w:t xml:space="preserve"> lateral movements, separation from service</w:t>
      </w:r>
      <w:r w:rsidR="0009472F">
        <w:t xml:space="preserve"> and related functions</w:t>
      </w:r>
      <w:r w:rsidR="009F4448">
        <w:t>;</w:t>
      </w:r>
      <w:r w:rsidRPr="00EE7244">
        <w:t xml:space="preserve"> </w:t>
      </w:r>
      <w:r w:rsidR="009F4448">
        <w:t>a</w:t>
      </w:r>
      <w:r w:rsidRPr="00EE7244">
        <w:t>dministering end-of-service and post-retirement benefits</w:t>
      </w:r>
      <w:r w:rsidR="007629AD">
        <w:t>,</w:t>
      </w:r>
      <w:r w:rsidRPr="00EE7244">
        <w:t xml:space="preserve"> including pension fund deductions and </w:t>
      </w:r>
      <w:r w:rsidR="007629AD">
        <w:t>a</w:t>
      </w:r>
      <w:r w:rsidRPr="00EE7244">
        <w:t>fter</w:t>
      </w:r>
      <w:r w:rsidR="0009472F">
        <w:t>-</w:t>
      </w:r>
      <w:r w:rsidR="007629AD">
        <w:t>s</w:t>
      </w:r>
      <w:r w:rsidRPr="00EE7244">
        <w:t xml:space="preserve">ervice </w:t>
      </w:r>
      <w:r w:rsidR="007629AD">
        <w:t>h</w:t>
      </w:r>
      <w:r w:rsidRPr="00EE7244">
        <w:t xml:space="preserve">ealth </w:t>
      </w:r>
      <w:r w:rsidR="007629AD">
        <w:t>i</w:t>
      </w:r>
      <w:r w:rsidRPr="00EE7244">
        <w:t>nsurance scheme.</w:t>
      </w:r>
    </w:p>
    <w:p w14:paraId="6C08FA33" w14:textId="022B504A" w:rsidR="00863F6A" w:rsidRPr="00EE7244" w:rsidRDefault="00863F6A" w:rsidP="001D0FB8">
      <w:pPr>
        <w:pStyle w:val="Normalnumber"/>
        <w:numPr>
          <w:ilvl w:val="1"/>
          <w:numId w:val="4"/>
        </w:numPr>
        <w:tabs>
          <w:tab w:val="clear" w:pos="1758"/>
        </w:tabs>
        <w:ind w:left="1247" w:firstLine="624"/>
      </w:pPr>
      <w:r w:rsidRPr="00EE7244">
        <w:rPr>
          <w:i/>
          <w:iCs/>
        </w:rPr>
        <w:t>Staff development and training:</w:t>
      </w:r>
      <w:r w:rsidRPr="00EE7244">
        <w:t xml:space="preserve"> </w:t>
      </w:r>
      <w:r w:rsidR="007629AD">
        <w:t>m</w:t>
      </w:r>
      <w:r w:rsidRPr="00EE7244">
        <w:t>andatory training of personnel on issues such as security, ethics and integrity, competency</w:t>
      </w:r>
      <w:r w:rsidR="007629AD">
        <w:t>-</w:t>
      </w:r>
      <w:r w:rsidRPr="00EE7244">
        <w:t>based interviewing skills, management development programme</w:t>
      </w:r>
      <w:r w:rsidR="0009472F">
        <w:t xml:space="preserve"> and related functions</w:t>
      </w:r>
      <w:r w:rsidR="007B1CA6">
        <w:t xml:space="preserve">; </w:t>
      </w:r>
      <w:r w:rsidRPr="00EE7244">
        <w:t>identification of capacity</w:t>
      </w:r>
      <w:r w:rsidR="007629AD">
        <w:t>-</w:t>
      </w:r>
      <w:r w:rsidRPr="00EE7244">
        <w:t>building needs to provide opportunities for continuous learning with a view to build</w:t>
      </w:r>
      <w:r w:rsidR="007629AD">
        <w:t>ing</w:t>
      </w:r>
      <w:r w:rsidRPr="00EE7244">
        <w:t xml:space="preserve"> a multi-skilled workforce</w:t>
      </w:r>
      <w:r w:rsidR="007629AD">
        <w:t xml:space="preserve"> and</w:t>
      </w:r>
      <w:r w:rsidRPr="00EE7244">
        <w:t xml:space="preserve"> promoting career development for staff.</w:t>
      </w:r>
    </w:p>
    <w:p w14:paraId="2F737190" w14:textId="544F8B44" w:rsidR="00863F6A" w:rsidRPr="00EE7244" w:rsidRDefault="00863F6A" w:rsidP="001D0FB8">
      <w:pPr>
        <w:pStyle w:val="Normalnumber"/>
        <w:numPr>
          <w:ilvl w:val="1"/>
          <w:numId w:val="4"/>
        </w:numPr>
        <w:tabs>
          <w:tab w:val="clear" w:pos="1758"/>
        </w:tabs>
        <w:ind w:left="1247" w:firstLine="624"/>
      </w:pPr>
      <w:r w:rsidRPr="00EE7244">
        <w:rPr>
          <w:i/>
          <w:iCs/>
        </w:rPr>
        <w:t xml:space="preserve">Performance </w:t>
      </w:r>
      <w:r w:rsidR="007629AD">
        <w:rPr>
          <w:i/>
          <w:iCs/>
        </w:rPr>
        <w:t>m</w:t>
      </w:r>
      <w:r w:rsidRPr="00EE7244">
        <w:rPr>
          <w:i/>
          <w:iCs/>
        </w:rPr>
        <w:t>anagement:</w:t>
      </w:r>
      <w:r w:rsidRPr="00EE7244">
        <w:t xml:space="preserve"> </w:t>
      </w:r>
      <w:r w:rsidR="007629AD">
        <w:t>i</w:t>
      </w:r>
      <w:r w:rsidRPr="00EE7244">
        <w:t>mplementing and monitoring compliance with performance management policies, process</w:t>
      </w:r>
      <w:r w:rsidR="007629AD">
        <w:t>es</w:t>
      </w:r>
      <w:r w:rsidRPr="00EE7244">
        <w:t xml:space="preserve"> and tools </w:t>
      </w:r>
      <w:r w:rsidR="005A70CE">
        <w:t xml:space="preserve">such as </w:t>
      </w:r>
      <w:proofErr w:type="spellStart"/>
      <w:r w:rsidR="005A70CE" w:rsidRPr="00EE7244">
        <w:t>Inspira</w:t>
      </w:r>
      <w:proofErr w:type="spellEnd"/>
      <w:r w:rsidR="005A70CE">
        <w:t>,</w:t>
      </w:r>
      <w:r w:rsidRPr="00EE7244">
        <w:t xml:space="preserve"> to reward</w:t>
      </w:r>
      <w:r w:rsidR="007629AD">
        <w:t xml:space="preserve">, </w:t>
      </w:r>
      <w:r w:rsidRPr="00EE7244">
        <w:t>recognize</w:t>
      </w:r>
      <w:r w:rsidR="007629AD">
        <w:t xml:space="preserve"> and </w:t>
      </w:r>
      <w:r w:rsidRPr="00EE7244">
        <w:t xml:space="preserve">retain staff and </w:t>
      </w:r>
      <w:r w:rsidR="007629AD">
        <w:t xml:space="preserve">to </w:t>
      </w:r>
      <w:r w:rsidRPr="00EE7244">
        <w:t>address underperformance</w:t>
      </w:r>
      <w:r w:rsidR="009F4448">
        <w:t>;</w:t>
      </w:r>
      <w:r w:rsidRPr="00EE7244">
        <w:t xml:space="preserve"> </w:t>
      </w:r>
      <w:r w:rsidR="009F4448">
        <w:t>s</w:t>
      </w:r>
      <w:r w:rsidRPr="00EE7244">
        <w:t>upporting rebuttal process guidance and conducting training on writing workplans and performance assessments</w:t>
      </w:r>
      <w:r w:rsidR="009F4448">
        <w:t>;</w:t>
      </w:r>
      <w:r w:rsidRPr="00EE7244">
        <w:t xml:space="preserve"> </w:t>
      </w:r>
      <w:r w:rsidR="009F4448">
        <w:t>m</w:t>
      </w:r>
      <w:r w:rsidRPr="00EE7244">
        <w:t xml:space="preserve">anaging the </w:t>
      </w:r>
      <w:r w:rsidR="007629AD">
        <w:t>f</w:t>
      </w:r>
      <w:r w:rsidRPr="00EE7244">
        <w:t xml:space="preserve">inancial </w:t>
      </w:r>
      <w:r w:rsidR="007629AD">
        <w:t>d</w:t>
      </w:r>
      <w:r w:rsidRPr="00EE7244">
        <w:t>isclosure programme.</w:t>
      </w:r>
    </w:p>
    <w:p w14:paraId="114CDB32" w14:textId="10380ADA" w:rsidR="00863F6A" w:rsidRPr="00EE7244" w:rsidRDefault="00B538A9" w:rsidP="00B538A9">
      <w:pPr>
        <w:pStyle w:val="CH2"/>
      </w:pPr>
      <w:r>
        <w:tab/>
        <w:t>C.</w:t>
      </w:r>
      <w:r>
        <w:tab/>
      </w:r>
      <w:r w:rsidR="00863F6A" w:rsidRPr="00EE7244">
        <w:t>Finance</w:t>
      </w:r>
    </w:p>
    <w:p w14:paraId="2ACAAE1A" w14:textId="4BEAD89D" w:rsidR="00863F6A" w:rsidRPr="00EE7244" w:rsidRDefault="00863F6A" w:rsidP="001420F5">
      <w:pPr>
        <w:pStyle w:val="Normalnumber"/>
        <w:numPr>
          <w:ilvl w:val="0"/>
          <w:numId w:val="19"/>
        </w:numPr>
        <w:ind w:left="1247"/>
      </w:pPr>
      <w:r w:rsidRPr="00EE7244">
        <w:rPr>
          <w:i/>
          <w:iCs/>
        </w:rPr>
        <w:t>Budgeting/</w:t>
      </w:r>
      <w:r w:rsidR="007629AD">
        <w:rPr>
          <w:i/>
          <w:iCs/>
        </w:rPr>
        <w:t>f</w:t>
      </w:r>
      <w:r w:rsidRPr="00EE7244">
        <w:rPr>
          <w:i/>
          <w:iCs/>
        </w:rPr>
        <w:t xml:space="preserve">und </w:t>
      </w:r>
      <w:r w:rsidR="007629AD">
        <w:rPr>
          <w:i/>
          <w:iCs/>
        </w:rPr>
        <w:t>m</w:t>
      </w:r>
      <w:r w:rsidRPr="00EE7244">
        <w:rPr>
          <w:i/>
          <w:iCs/>
        </w:rPr>
        <w:t>anagement:</w:t>
      </w:r>
      <w:r w:rsidRPr="00EE7244">
        <w:t xml:space="preserve"> </w:t>
      </w:r>
      <w:bookmarkStart w:id="47" w:name="_Hlk23420029"/>
      <w:r w:rsidR="007629AD">
        <w:t>r</w:t>
      </w:r>
      <w:r w:rsidRPr="00EE7244">
        <w:t xml:space="preserve">eview of budget documents </w:t>
      </w:r>
      <w:r w:rsidR="00C1568B">
        <w:t xml:space="preserve">presented </w:t>
      </w:r>
      <w:r w:rsidRPr="00C1568B">
        <w:t>to</w:t>
      </w:r>
      <w:r w:rsidRPr="00EE7244">
        <w:t xml:space="preserve"> the governing bodies</w:t>
      </w:r>
      <w:bookmarkEnd w:id="47"/>
      <w:r w:rsidR="009F4448">
        <w:t>;</w:t>
      </w:r>
      <w:r w:rsidRPr="00EE7244">
        <w:t xml:space="preserve"> </w:t>
      </w:r>
      <w:r w:rsidR="009F4448">
        <w:t>a</w:t>
      </w:r>
      <w:r w:rsidRPr="00EE7244">
        <w:t>dvising staff, management and governing bodies on the use of financial resources</w:t>
      </w:r>
      <w:r w:rsidR="009F4448">
        <w:t>;</w:t>
      </w:r>
      <w:r w:rsidRPr="00EE7244">
        <w:t xml:space="preserve"> </w:t>
      </w:r>
      <w:r w:rsidR="009F4448">
        <w:t>c</w:t>
      </w:r>
      <w:r w:rsidRPr="00EE7244">
        <w:t xml:space="preserve">reating, maintaining and closing </w:t>
      </w:r>
      <w:r w:rsidR="007629AD">
        <w:t>t</w:t>
      </w:r>
      <w:r w:rsidRPr="00EE7244">
        <w:t xml:space="preserve">rust </w:t>
      </w:r>
      <w:r w:rsidR="007629AD">
        <w:t>f</w:t>
      </w:r>
      <w:r w:rsidRPr="00EE7244">
        <w:t>unds</w:t>
      </w:r>
      <w:hyperlink w:anchor="_bookmark0" w:history="1">
        <w:r w:rsidRPr="00EE7244">
          <w:t>.</w:t>
        </w:r>
      </w:hyperlink>
    </w:p>
    <w:p w14:paraId="78BE3318" w14:textId="3AB71C7A" w:rsidR="00863F6A" w:rsidRPr="00EE7244" w:rsidRDefault="00863F6A" w:rsidP="001420F5">
      <w:pPr>
        <w:pStyle w:val="Normalnumber"/>
        <w:numPr>
          <w:ilvl w:val="0"/>
          <w:numId w:val="19"/>
        </w:numPr>
        <w:ind w:left="1247"/>
      </w:pPr>
      <w:r w:rsidRPr="00EE7244">
        <w:rPr>
          <w:i/>
          <w:iCs/>
        </w:rPr>
        <w:t xml:space="preserve">General </w:t>
      </w:r>
      <w:r w:rsidR="007629AD">
        <w:rPr>
          <w:i/>
          <w:iCs/>
        </w:rPr>
        <w:t>a</w:t>
      </w:r>
      <w:r w:rsidRPr="00EE7244">
        <w:rPr>
          <w:i/>
          <w:iCs/>
        </w:rPr>
        <w:t>ccounting/</w:t>
      </w:r>
      <w:r w:rsidR="007629AD">
        <w:rPr>
          <w:i/>
          <w:iCs/>
        </w:rPr>
        <w:t>f</w:t>
      </w:r>
      <w:r w:rsidRPr="00EE7244">
        <w:rPr>
          <w:i/>
          <w:iCs/>
        </w:rPr>
        <w:t xml:space="preserve">inancial </w:t>
      </w:r>
      <w:r w:rsidR="007629AD">
        <w:rPr>
          <w:i/>
          <w:iCs/>
        </w:rPr>
        <w:t>s</w:t>
      </w:r>
      <w:r w:rsidRPr="00EE7244">
        <w:rPr>
          <w:i/>
          <w:iCs/>
        </w:rPr>
        <w:t>tatements:</w:t>
      </w:r>
      <w:r w:rsidRPr="00EE7244">
        <w:t xml:space="preserve"> sign</w:t>
      </w:r>
      <w:r w:rsidR="007B1CA6">
        <w:t>ing</w:t>
      </w:r>
      <w:r w:rsidRPr="00EE7244">
        <w:t xml:space="preserve"> consolidated financial statements </w:t>
      </w:r>
      <w:r w:rsidR="007B1CA6">
        <w:t>(</w:t>
      </w:r>
      <w:r w:rsidRPr="00EE7244">
        <w:t>Executive Director</w:t>
      </w:r>
      <w:r w:rsidR="007B1CA6">
        <w:t xml:space="preserve"> of UNEP);</w:t>
      </w:r>
      <w:r w:rsidRPr="00EE7244">
        <w:t xml:space="preserve"> </w:t>
      </w:r>
      <w:r w:rsidR="007B1CA6">
        <w:t>signing e</w:t>
      </w:r>
      <w:r w:rsidRPr="00EE7244">
        <w:t xml:space="preserve">xtracts from the </w:t>
      </w:r>
      <w:r w:rsidRPr="007B1CA6">
        <w:t>consolidated</w:t>
      </w:r>
      <w:r w:rsidR="007B1CA6">
        <w:t xml:space="preserve"> financial</w:t>
      </w:r>
      <w:r w:rsidRPr="007B1CA6">
        <w:t xml:space="preserve"> statements </w:t>
      </w:r>
      <w:r w:rsidR="007B1CA6">
        <w:t>(officials</w:t>
      </w:r>
      <w:r w:rsidR="00720BF5">
        <w:t xml:space="preserve"> of the United</w:t>
      </w:r>
      <w:r w:rsidR="00FE1627">
        <w:t> </w:t>
      </w:r>
      <w:r w:rsidR="00720BF5">
        <w:t>Nations Office at Nairobi</w:t>
      </w:r>
      <w:r w:rsidR="007B1CA6">
        <w:t xml:space="preserve">); </w:t>
      </w:r>
      <w:r w:rsidRPr="00EE7244">
        <w:t xml:space="preserve">maintenance of accounts and preparation of </w:t>
      </w:r>
      <w:r w:rsidR="007629AD">
        <w:t>f</w:t>
      </w:r>
      <w:r w:rsidRPr="00EE7244">
        <w:t xml:space="preserve">inancial </w:t>
      </w:r>
      <w:r w:rsidR="007629AD">
        <w:t>s</w:t>
      </w:r>
      <w:r w:rsidRPr="00EE7244">
        <w:t>tatements</w:t>
      </w:r>
      <w:r w:rsidR="007629AD">
        <w:t>,</w:t>
      </w:r>
      <w:r w:rsidRPr="00EE7244">
        <w:t xml:space="preserve"> including the </w:t>
      </w:r>
      <w:r w:rsidR="007629AD">
        <w:t>p</w:t>
      </w:r>
      <w:r w:rsidRPr="00EE7244">
        <w:t xml:space="preserve">rogramme </w:t>
      </w:r>
      <w:r w:rsidR="007629AD">
        <w:t>s</w:t>
      </w:r>
      <w:r w:rsidRPr="00EE7244">
        <w:t>upport account</w:t>
      </w:r>
      <w:r w:rsidR="007B1CA6">
        <w:t>;</w:t>
      </w:r>
      <w:r w:rsidRPr="00EE7244">
        <w:t xml:space="preserve"> </w:t>
      </w:r>
      <w:r w:rsidR="007B1CA6">
        <w:t>p</w:t>
      </w:r>
      <w:r w:rsidRPr="00EE7244">
        <w:t>rocessing accounting entries</w:t>
      </w:r>
      <w:r w:rsidR="007629AD">
        <w:t xml:space="preserve"> and </w:t>
      </w:r>
      <w:r w:rsidRPr="00EE7244">
        <w:t>adjustments</w:t>
      </w:r>
      <w:r w:rsidR="007629AD">
        <w:t>,</w:t>
      </w:r>
      <w:r w:rsidRPr="00EE7244">
        <w:t xml:space="preserve"> including donor refunds; year-end accruals; statutory reporting and </w:t>
      </w:r>
      <w:r w:rsidR="007629AD">
        <w:t xml:space="preserve">providing </w:t>
      </w:r>
      <w:r w:rsidRPr="00EE7244">
        <w:t>support to the annual external audit.</w:t>
      </w:r>
    </w:p>
    <w:p w14:paraId="2DEC853D" w14:textId="204565E9" w:rsidR="00863F6A" w:rsidRPr="00EE7244" w:rsidRDefault="00863F6A" w:rsidP="001420F5">
      <w:pPr>
        <w:pStyle w:val="Normalnumber"/>
        <w:numPr>
          <w:ilvl w:val="0"/>
          <w:numId w:val="19"/>
        </w:numPr>
        <w:ind w:left="1247"/>
      </w:pPr>
      <w:r w:rsidRPr="00EE7244">
        <w:rPr>
          <w:i/>
          <w:iCs/>
        </w:rPr>
        <w:t>Payments/</w:t>
      </w:r>
      <w:r w:rsidR="007629AD">
        <w:rPr>
          <w:i/>
          <w:iCs/>
        </w:rPr>
        <w:t>e</w:t>
      </w:r>
      <w:r w:rsidRPr="00EE7244">
        <w:rPr>
          <w:i/>
          <w:iCs/>
        </w:rPr>
        <w:t>xpenditure</w:t>
      </w:r>
      <w:r w:rsidR="007629AD">
        <w:rPr>
          <w:i/>
          <w:iCs/>
        </w:rPr>
        <w:t>s</w:t>
      </w:r>
      <w:r w:rsidRPr="00EE7244">
        <w:rPr>
          <w:i/>
          <w:iCs/>
        </w:rPr>
        <w:t>:</w:t>
      </w:r>
      <w:r w:rsidRPr="00EE7244">
        <w:t xml:space="preserve"> </w:t>
      </w:r>
      <w:r w:rsidR="007629AD">
        <w:t>p</w:t>
      </w:r>
      <w:r w:rsidRPr="00EE7244">
        <w:t xml:space="preserve">rocessing payments to </w:t>
      </w:r>
      <w:r w:rsidR="007629AD">
        <w:t>i</w:t>
      </w:r>
      <w:r w:rsidRPr="00EE7244">
        <w:t xml:space="preserve">mplementing </w:t>
      </w:r>
      <w:r w:rsidR="007629AD">
        <w:t>p</w:t>
      </w:r>
      <w:r w:rsidRPr="00EE7244">
        <w:t>artners, consultants, vendors and meeting participants</w:t>
      </w:r>
      <w:r w:rsidR="009F4448">
        <w:t>;</w:t>
      </w:r>
      <w:r w:rsidRPr="00EE7244">
        <w:t xml:space="preserve"> </w:t>
      </w:r>
      <w:r w:rsidR="009F4448">
        <w:t>m</w:t>
      </w:r>
      <w:r w:rsidRPr="00EE7244">
        <w:t xml:space="preserve">onitoring advances and recording expenditures from financial reports received from </w:t>
      </w:r>
      <w:r w:rsidR="007629AD">
        <w:t>i</w:t>
      </w:r>
      <w:r w:rsidRPr="00EE7244">
        <w:t xml:space="preserve">mplementing </w:t>
      </w:r>
      <w:r w:rsidR="007629AD">
        <w:t>p</w:t>
      </w:r>
      <w:r w:rsidRPr="00EE7244">
        <w:t>artners.</w:t>
      </w:r>
    </w:p>
    <w:p w14:paraId="198A53E1" w14:textId="7D20C46D" w:rsidR="00863F6A" w:rsidRPr="00EE7244" w:rsidRDefault="00863F6A" w:rsidP="001420F5">
      <w:pPr>
        <w:pStyle w:val="Normalnumber"/>
        <w:numPr>
          <w:ilvl w:val="0"/>
          <w:numId w:val="19"/>
        </w:numPr>
        <w:ind w:left="1247"/>
      </w:pPr>
      <w:r w:rsidRPr="00EE7244">
        <w:rPr>
          <w:i/>
          <w:iCs/>
        </w:rPr>
        <w:lastRenderedPageBreak/>
        <w:t>Payroll:</w:t>
      </w:r>
      <w:r w:rsidRPr="00EE7244">
        <w:t xml:space="preserve"> </w:t>
      </w:r>
      <w:r w:rsidR="007629AD">
        <w:t>p</w:t>
      </w:r>
      <w:r w:rsidRPr="00EE7244">
        <w:t xml:space="preserve">rocessing </w:t>
      </w:r>
      <w:r w:rsidR="007B1CA6">
        <w:t xml:space="preserve">the </w:t>
      </w:r>
      <w:r w:rsidRPr="00EE7244">
        <w:t>payment of salaries, entitlements and related advances and maint</w:t>
      </w:r>
      <w:r w:rsidR="00D023DB">
        <w:t>aining</w:t>
      </w:r>
      <w:r w:rsidRPr="00EE7244">
        <w:t xml:space="preserve"> payroll accounts.</w:t>
      </w:r>
    </w:p>
    <w:p w14:paraId="79D86C96" w14:textId="05A548BA" w:rsidR="00863F6A" w:rsidRPr="00EE7244" w:rsidRDefault="00863F6A" w:rsidP="001420F5">
      <w:pPr>
        <w:pStyle w:val="Normalnumber"/>
        <w:numPr>
          <w:ilvl w:val="0"/>
          <w:numId w:val="19"/>
        </w:numPr>
        <w:ind w:left="1247"/>
      </w:pPr>
      <w:r w:rsidRPr="00EE7244">
        <w:rPr>
          <w:i/>
          <w:iCs/>
        </w:rPr>
        <w:t>Contributions/</w:t>
      </w:r>
      <w:r w:rsidR="007629AD">
        <w:rPr>
          <w:i/>
          <w:iCs/>
        </w:rPr>
        <w:t>c</w:t>
      </w:r>
      <w:r w:rsidRPr="00EE7244">
        <w:rPr>
          <w:i/>
          <w:iCs/>
        </w:rPr>
        <w:t xml:space="preserve">ash </w:t>
      </w:r>
      <w:r w:rsidR="007629AD">
        <w:rPr>
          <w:i/>
          <w:iCs/>
        </w:rPr>
        <w:t>m</w:t>
      </w:r>
      <w:r w:rsidRPr="00EE7244">
        <w:rPr>
          <w:i/>
          <w:iCs/>
        </w:rPr>
        <w:t>anagement</w:t>
      </w:r>
      <w:r w:rsidRPr="00EE7244">
        <w:t>: accept</w:t>
      </w:r>
      <w:r w:rsidR="00D023DB">
        <w:t>ing</w:t>
      </w:r>
      <w:r w:rsidRPr="00EE7244">
        <w:t xml:space="preserve"> contributions from the </w:t>
      </w:r>
      <w:r w:rsidR="00720BF5">
        <w:t>p</w:t>
      </w:r>
      <w:r w:rsidRPr="00EE7244">
        <w:t xml:space="preserve">arties </w:t>
      </w:r>
      <w:r w:rsidR="00D023DB">
        <w:t>(UNEP</w:t>
      </w:r>
      <w:r w:rsidRPr="00EE7244">
        <w:t xml:space="preserve"> Executive Director</w:t>
      </w:r>
      <w:r w:rsidR="00D023DB">
        <w:t>)</w:t>
      </w:r>
      <w:r w:rsidR="009F4448">
        <w:t>;</w:t>
      </w:r>
      <w:r w:rsidRPr="00EE7244">
        <w:t xml:space="preserve"> </w:t>
      </w:r>
      <w:r w:rsidR="009F4448">
        <w:t>i</w:t>
      </w:r>
      <w:r w:rsidRPr="00EE7244">
        <w:t xml:space="preserve">ssuing invoices to </w:t>
      </w:r>
      <w:r w:rsidR="00720BF5">
        <w:t>p</w:t>
      </w:r>
      <w:r w:rsidRPr="00EE7244">
        <w:t>arties</w:t>
      </w:r>
      <w:r w:rsidR="009F4448">
        <w:t>;</w:t>
      </w:r>
      <w:r w:rsidRPr="00EE7244">
        <w:t xml:space="preserve"> recording and monitoring contribution receivables</w:t>
      </w:r>
      <w:r w:rsidR="007B1CA6">
        <w:t xml:space="preserve"> and</w:t>
      </w:r>
      <w:r w:rsidRPr="00EE7244">
        <w:t xml:space="preserve"> processing contributions upon receipt of payments; reconciling applied deposit accounts.</w:t>
      </w:r>
    </w:p>
    <w:p w14:paraId="429BB34E" w14:textId="759B9E22" w:rsidR="00863F6A" w:rsidRPr="001D0FB8" w:rsidRDefault="00863F6A" w:rsidP="001420F5">
      <w:pPr>
        <w:pStyle w:val="Normalnumber"/>
        <w:numPr>
          <w:ilvl w:val="0"/>
          <w:numId w:val="19"/>
        </w:numPr>
        <w:ind w:left="1247"/>
      </w:pPr>
      <w:r w:rsidRPr="00174DCA">
        <w:rPr>
          <w:i/>
          <w:iCs/>
        </w:rPr>
        <w:t>Treasury functions:</w:t>
      </w:r>
      <w:r w:rsidRPr="00174DCA">
        <w:t xml:space="preserve"> </w:t>
      </w:r>
      <w:r w:rsidR="007629AD">
        <w:t>r</w:t>
      </w:r>
      <w:r w:rsidRPr="00174DCA">
        <w:t xml:space="preserve">eceipt and disbursement of </w:t>
      </w:r>
      <w:r w:rsidRPr="001D0FB8">
        <w:t>funds</w:t>
      </w:r>
      <w:r w:rsidR="00EF5666">
        <w:t>;</w:t>
      </w:r>
      <w:r w:rsidRPr="00174DCA">
        <w:t xml:space="preserve"> </w:t>
      </w:r>
      <w:r w:rsidR="007629AD">
        <w:t>h</w:t>
      </w:r>
      <w:r w:rsidRPr="00174DCA">
        <w:t xml:space="preserve">ouse </w:t>
      </w:r>
      <w:r w:rsidR="007629AD">
        <w:t>b</w:t>
      </w:r>
      <w:r w:rsidRPr="00174DCA">
        <w:t>ank management</w:t>
      </w:r>
      <w:r w:rsidR="00EF5666">
        <w:t xml:space="preserve"> and</w:t>
      </w:r>
      <w:r w:rsidRPr="00174DCA">
        <w:t xml:space="preserve"> bank reconciliations</w:t>
      </w:r>
      <w:r w:rsidR="007B1CA6">
        <w:t>;</w:t>
      </w:r>
      <w:r w:rsidRPr="001D0FB8">
        <w:t xml:space="preserve"> </w:t>
      </w:r>
      <w:r w:rsidR="007B1CA6">
        <w:t>m</w:t>
      </w:r>
      <w:r w:rsidRPr="001D0FB8">
        <w:t>aintenance of banking details for staff, vendors, implementing partners and consultants</w:t>
      </w:r>
      <w:r w:rsidR="007B1CA6">
        <w:t>;</w:t>
      </w:r>
      <w:r w:rsidRPr="001D0FB8">
        <w:t xml:space="preserve"> </w:t>
      </w:r>
      <w:r w:rsidR="007B1CA6">
        <w:t>i</w:t>
      </w:r>
      <w:r w:rsidRPr="001D0FB8">
        <w:t xml:space="preserve">nvestment of </w:t>
      </w:r>
      <w:r w:rsidR="00720BF5">
        <w:t>UNEP</w:t>
      </w:r>
      <w:r w:rsidRPr="001D0FB8">
        <w:t xml:space="preserve"> funds in the </w:t>
      </w:r>
      <w:r w:rsidR="00EF5666">
        <w:t>appropriate</w:t>
      </w:r>
      <w:r w:rsidRPr="001D0FB8">
        <w:t xml:space="preserve"> products </w:t>
      </w:r>
      <w:r w:rsidR="007B1CA6">
        <w:t>(</w:t>
      </w:r>
      <w:r w:rsidR="007629AD">
        <w:t>t</w:t>
      </w:r>
      <w:r w:rsidRPr="001D0FB8">
        <w:t>reasury</w:t>
      </w:r>
      <w:r w:rsidR="007629AD" w:rsidRPr="007629AD">
        <w:t xml:space="preserve"> </w:t>
      </w:r>
      <w:r w:rsidR="007629AD">
        <w:t>at United Nations Headquarters</w:t>
      </w:r>
      <w:r w:rsidR="007B1CA6">
        <w:t>)</w:t>
      </w:r>
      <w:r w:rsidRPr="001D0FB8">
        <w:t>.</w:t>
      </w:r>
    </w:p>
    <w:p w14:paraId="5E0FD983" w14:textId="4965D988" w:rsidR="00863F6A" w:rsidRPr="00EE7244" w:rsidRDefault="00B538A9" w:rsidP="00B538A9">
      <w:pPr>
        <w:pStyle w:val="CH2"/>
      </w:pPr>
      <w:r>
        <w:tab/>
        <w:t>D.</w:t>
      </w:r>
      <w:r>
        <w:tab/>
      </w:r>
      <w:r w:rsidR="00863F6A" w:rsidRPr="00EE7244">
        <w:t xml:space="preserve">Oversight </w:t>
      </w:r>
    </w:p>
    <w:p w14:paraId="3EB827C7" w14:textId="3C92C556" w:rsidR="00863F6A" w:rsidRPr="00EE7244" w:rsidRDefault="00863F6A" w:rsidP="001420F5">
      <w:pPr>
        <w:pStyle w:val="Normalnumber"/>
        <w:numPr>
          <w:ilvl w:val="0"/>
          <w:numId w:val="19"/>
        </w:numPr>
        <w:ind w:left="1247"/>
      </w:pPr>
      <w:r w:rsidRPr="00EE7244">
        <w:t>Coordinat</w:t>
      </w:r>
      <w:r w:rsidR="007629AD">
        <w:t>ing</w:t>
      </w:r>
      <w:r w:rsidRPr="00EE7244">
        <w:t xml:space="preserve"> internal audits, investigations</w:t>
      </w:r>
      <w:r w:rsidR="007629AD">
        <w:t xml:space="preserve"> and</w:t>
      </w:r>
      <w:r w:rsidRPr="00EE7244">
        <w:t xml:space="preserve"> inspections and external audits.</w:t>
      </w:r>
    </w:p>
    <w:p w14:paraId="1A87B005" w14:textId="079C0CC4" w:rsidR="00863F6A" w:rsidRPr="00EE7244" w:rsidRDefault="00863F6A" w:rsidP="001420F5">
      <w:pPr>
        <w:pStyle w:val="Normalnumber"/>
        <w:numPr>
          <w:ilvl w:val="0"/>
          <w:numId w:val="19"/>
        </w:numPr>
        <w:ind w:left="1247"/>
      </w:pPr>
      <w:r w:rsidRPr="00EE7244">
        <w:t>Coordinating audits, inspections and evaluations undertaken by the Office of Internal Oversight Services</w:t>
      </w:r>
      <w:r w:rsidR="007629AD">
        <w:t>.</w:t>
      </w:r>
    </w:p>
    <w:p w14:paraId="5A651D17" w14:textId="5E84BCAA" w:rsidR="00863F6A" w:rsidRPr="00EE7244" w:rsidRDefault="00B538A9" w:rsidP="00B538A9">
      <w:pPr>
        <w:pStyle w:val="CH2"/>
      </w:pPr>
      <w:r>
        <w:tab/>
        <w:t>E.</w:t>
      </w:r>
      <w:r>
        <w:tab/>
      </w:r>
      <w:r w:rsidR="00863F6A" w:rsidRPr="00EE7244">
        <w:t>Legal</w:t>
      </w:r>
    </w:p>
    <w:p w14:paraId="1FC3DD70" w14:textId="3CF8E670" w:rsidR="00863F6A" w:rsidRPr="00EE7244" w:rsidRDefault="00863F6A" w:rsidP="001420F5">
      <w:pPr>
        <w:pStyle w:val="Normalnumber"/>
        <w:numPr>
          <w:ilvl w:val="0"/>
          <w:numId w:val="19"/>
        </w:numPr>
        <w:ind w:left="1247"/>
      </w:pPr>
      <w:r w:rsidRPr="00EE7244">
        <w:t xml:space="preserve">Legal advice, opinions and </w:t>
      </w:r>
      <w:r w:rsidRPr="008D5A48">
        <w:t xml:space="preserve">representation </w:t>
      </w:r>
      <w:r w:rsidR="007629AD" w:rsidRPr="008D5A48">
        <w:t>thr</w:t>
      </w:r>
      <w:r w:rsidR="007629AD">
        <w:t>ough</w:t>
      </w:r>
      <w:r w:rsidR="007629AD" w:rsidRPr="00EE7244">
        <w:t xml:space="preserve"> </w:t>
      </w:r>
      <w:r w:rsidRPr="00EE7244">
        <w:t xml:space="preserve">the </w:t>
      </w:r>
      <w:r w:rsidR="007629AD">
        <w:t>i</w:t>
      </w:r>
      <w:r w:rsidRPr="00EE7244">
        <w:t xml:space="preserve">nternal </w:t>
      </w:r>
      <w:r w:rsidR="007629AD">
        <w:t>j</w:t>
      </w:r>
      <w:r w:rsidRPr="00EE7244">
        <w:t xml:space="preserve">ustice </w:t>
      </w:r>
      <w:r w:rsidR="007629AD">
        <w:t>s</w:t>
      </w:r>
      <w:r w:rsidRPr="00EE7244">
        <w:t>ystem</w:t>
      </w:r>
      <w:r w:rsidR="00B251AC">
        <w:t>, including</w:t>
      </w:r>
      <w:r w:rsidRPr="00EE7244">
        <w:t xml:space="preserve"> </w:t>
      </w:r>
      <w:r w:rsidR="007629AD">
        <w:t>a</w:t>
      </w:r>
      <w:r w:rsidRPr="00EE7244">
        <w:t>dvisory</w:t>
      </w:r>
      <w:r w:rsidR="00B251AC">
        <w:t xml:space="preserve"> services</w:t>
      </w:r>
      <w:r w:rsidRPr="00EE7244">
        <w:t xml:space="preserve"> and </w:t>
      </w:r>
      <w:r w:rsidR="007629AD">
        <w:t>r</w:t>
      </w:r>
      <w:r w:rsidRPr="00EE7244">
        <w:t xml:space="preserve">epresentation; corporate legal advice and institutional support; </w:t>
      </w:r>
      <w:r w:rsidR="00B251AC">
        <w:t>r</w:t>
      </w:r>
      <w:r w:rsidRPr="00EE7244">
        <w:t>epresenting the organi</w:t>
      </w:r>
      <w:r w:rsidR="00B251AC">
        <w:t>z</w:t>
      </w:r>
      <w:r w:rsidRPr="00EE7244">
        <w:t xml:space="preserve">ation before the Management Evaluation Unit </w:t>
      </w:r>
      <w:proofErr w:type="gramStart"/>
      <w:r w:rsidRPr="00EE7244">
        <w:t>with regard to</w:t>
      </w:r>
      <w:proofErr w:type="gramEnd"/>
      <w:r w:rsidRPr="00EE7244">
        <w:t xml:space="preserve"> requests filed by staff members.</w:t>
      </w:r>
    </w:p>
    <w:p w14:paraId="482A73FE" w14:textId="618CABD6" w:rsidR="00863F6A" w:rsidRPr="00EE7244" w:rsidRDefault="00863F6A" w:rsidP="0064729A">
      <w:pPr>
        <w:pStyle w:val="Normalnumber"/>
        <w:numPr>
          <w:ilvl w:val="0"/>
          <w:numId w:val="19"/>
        </w:numPr>
        <w:ind w:left="1247"/>
      </w:pPr>
      <w:r w:rsidRPr="00EE7244">
        <w:t>Representing the organi</w:t>
      </w:r>
      <w:r w:rsidR="00B251AC">
        <w:t>z</w:t>
      </w:r>
      <w:r w:rsidRPr="00EE7244">
        <w:t>ation at the United Nations Dispute Tribunal and provi</w:t>
      </w:r>
      <w:r w:rsidR="00B251AC">
        <w:t>ding</w:t>
      </w:r>
      <w:r w:rsidRPr="00EE7244">
        <w:t xml:space="preserve"> support to the Office of Legal Affairs </w:t>
      </w:r>
      <w:proofErr w:type="gramStart"/>
      <w:r w:rsidRPr="00EE7244">
        <w:t>with regard to</w:t>
      </w:r>
      <w:proofErr w:type="gramEnd"/>
      <w:r w:rsidRPr="00EE7244">
        <w:t xml:space="preserve"> appeals filed </w:t>
      </w:r>
      <w:r w:rsidR="00B251AC">
        <w:t>before</w:t>
      </w:r>
      <w:r w:rsidRPr="00EE7244">
        <w:t xml:space="preserve"> the United Nations Appeals Tribunal. </w:t>
      </w:r>
    </w:p>
    <w:p w14:paraId="57BE4042" w14:textId="6A728A47" w:rsidR="00863F6A" w:rsidRPr="00EE7244" w:rsidRDefault="00863F6A" w:rsidP="001420F5">
      <w:pPr>
        <w:pStyle w:val="Normalnumber"/>
        <w:numPr>
          <w:ilvl w:val="0"/>
          <w:numId w:val="19"/>
        </w:numPr>
        <w:ind w:left="1247"/>
      </w:pPr>
      <w:r w:rsidRPr="00EE7244">
        <w:t>Negotiating settlements of claims; provi</w:t>
      </w:r>
      <w:r w:rsidR="00B251AC">
        <w:t>ding</w:t>
      </w:r>
      <w:r w:rsidRPr="00EE7244">
        <w:t xml:space="preserve"> legal support and advice in mediation, conciliation and arbitration; </w:t>
      </w:r>
      <w:r w:rsidR="00B251AC">
        <w:t>l</w:t>
      </w:r>
      <w:r w:rsidRPr="00EE7244">
        <w:t>egal and institutional support in disciplinary procedures; provi</w:t>
      </w:r>
      <w:r w:rsidR="00B251AC">
        <w:t>ding</w:t>
      </w:r>
      <w:r w:rsidRPr="00EE7244">
        <w:t xml:space="preserve"> legal advice in cases of alleged misconduct and</w:t>
      </w:r>
      <w:r w:rsidR="00B251AC">
        <w:t xml:space="preserve"> during</w:t>
      </w:r>
      <w:r w:rsidRPr="00EE7244">
        <w:t xml:space="preserve"> relevant investigations.</w:t>
      </w:r>
    </w:p>
    <w:p w14:paraId="6F086AF8" w14:textId="0EA52ACB" w:rsidR="00863F6A" w:rsidRPr="00EE7244" w:rsidRDefault="00863F6A" w:rsidP="001420F5">
      <w:pPr>
        <w:pStyle w:val="Normalnumber"/>
        <w:numPr>
          <w:ilvl w:val="0"/>
          <w:numId w:val="19"/>
        </w:numPr>
        <w:ind w:left="1247"/>
      </w:pPr>
      <w:bookmarkStart w:id="48" w:name="_Hlk23420097"/>
      <w:r w:rsidRPr="00EE7244">
        <w:t xml:space="preserve">Reviewing and clearing </w:t>
      </w:r>
      <w:r w:rsidR="00B251AC">
        <w:t>h</w:t>
      </w:r>
      <w:r w:rsidRPr="00EE7244">
        <w:t xml:space="preserve">ost </w:t>
      </w:r>
      <w:r w:rsidR="00B251AC">
        <w:t>c</w:t>
      </w:r>
      <w:r w:rsidRPr="00EE7244">
        <w:t xml:space="preserve">ountry </w:t>
      </w:r>
      <w:r w:rsidR="00B251AC">
        <w:t>a</w:t>
      </w:r>
      <w:r w:rsidRPr="00EE7244">
        <w:t xml:space="preserve">greements and legal instruments in accordance with the </w:t>
      </w:r>
      <w:r w:rsidRPr="00C1568B">
        <w:t>Delegation of Authority Policy</w:t>
      </w:r>
      <w:r w:rsidRPr="00EE7244">
        <w:t xml:space="preserve"> and </w:t>
      </w:r>
      <w:r w:rsidR="00E36A5A">
        <w:t xml:space="preserve">the </w:t>
      </w:r>
      <w:r w:rsidRPr="00C1568B">
        <w:t>Framework for the Management and Administration of Multilateral Environmental Agreements</w:t>
      </w:r>
      <w:r w:rsidR="00B251AC">
        <w:t xml:space="preserve"> of UNEP</w:t>
      </w:r>
      <w:r w:rsidRPr="00EE7244">
        <w:t>.</w:t>
      </w:r>
      <w:bookmarkEnd w:id="48"/>
    </w:p>
    <w:p w14:paraId="68C0ED79" w14:textId="71C8628C" w:rsidR="00863F6A" w:rsidRPr="00EE7244" w:rsidRDefault="00863F6A" w:rsidP="001420F5">
      <w:pPr>
        <w:pStyle w:val="Normalnumber"/>
        <w:numPr>
          <w:ilvl w:val="0"/>
          <w:numId w:val="19"/>
        </w:numPr>
        <w:ind w:left="1247"/>
      </w:pPr>
      <w:r w:rsidRPr="00EE7244">
        <w:t>Provi</w:t>
      </w:r>
      <w:r w:rsidR="00B251AC">
        <w:t>ding</w:t>
      </w:r>
      <w:r w:rsidRPr="00EE7244">
        <w:t xml:space="preserve"> legal advice on human resources issues,</w:t>
      </w:r>
      <w:r w:rsidR="00B251AC">
        <w:t xml:space="preserve"> such as</w:t>
      </w:r>
      <w:r w:rsidRPr="00EE7244">
        <w:t xml:space="preserve"> interpret</w:t>
      </w:r>
      <w:r w:rsidR="00B251AC">
        <w:t>ing</w:t>
      </w:r>
      <w:r w:rsidRPr="00EE7244">
        <w:t xml:space="preserve"> the Staff Regulations and Rules, advi</w:t>
      </w:r>
      <w:r w:rsidR="00B251AC">
        <w:t>c</w:t>
      </w:r>
      <w:r w:rsidRPr="00EE7244">
        <w:t>e on outside activities, separation from employment</w:t>
      </w:r>
      <w:r w:rsidR="00B251AC">
        <w:t xml:space="preserve"> and </w:t>
      </w:r>
      <w:r w:rsidRPr="00EE7244">
        <w:t>settlements.</w:t>
      </w:r>
    </w:p>
    <w:p w14:paraId="61951A04" w14:textId="62D4A11D" w:rsidR="00863F6A" w:rsidRPr="00EE7244" w:rsidRDefault="00B538A9" w:rsidP="00B538A9">
      <w:pPr>
        <w:pStyle w:val="CH2"/>
      </w:pPr>
      <w:r>
        <w:tab/>
        <w:t>F.</w:t>
      </w:r>
      <w:r>
        <w:tab/>
      </w:r>
      <w:r w:rsidR="00863F6A" w:rsidRPr="00EE7244">
        <w:t xml:space="preserve">Support </w:t>
      </w:r>
      <w:r w:rsidR="00B251AC">
        <w:t>s</w:t>
      </w:r>
      <w:r w:rsidR="00863F6A" w:rsidRPr="00EE7244">
        <w:t xml:space="preserve">ervices </w:t>
      </w:r>
    </w:p>
    <w:p w14:paraId="08CE6336" w14:textId="5A28BC0D" w:rsidR="00863F6A" w:rsidRPr="00EE7244" w:rsidRDefault="00863F6A" w:rsidP="001420F5">
      <w:pPr>
        <w:pStyle w:val="Normalnumber"/>
        <w:numPr>
          <w:ilvl w:val="0"/>
          <w:numId w:val="19"/>
        </w:numPr>
        <w:ind w:left="1247"/>
      </w:pPr>
      <w:r w:rsidRPr="00EE7244">
        <w:rPr>
          <w:i/>
          <w:iCs/>
        </w:rPr>
        <w:t xml:space="preserve">Contracts and </w:t>
      </w:r>
      <w:r w:rsidR="00B251AC">
        <w:rPr>
          <w:i/>
          <w:iCs/>
        </w:rPr>
        <w:t>p</w:t>
      </w:r>
      <w:r w:rsidRPr="00EE7244">
        <w:rPr>
          <w:i/>
          <w:iCs/>
        </w:rPr>
        <w:t>rocurement:</w:t>
      </w:r>
      <w:r w:rsidRPr="00EE7244">
        <w:t xml:space="preserve"> </w:t>
      </w:r>
      <w:r w:rsidR="00B251AC">
        <w:t>s</w:t>
      </w:r>
      <w:r w:rsidRPr="00EE7244">
        <w:t>upervising procurement</w:t>
      </w:r>
      <w:r w:rsidR="00B251AC">
        <w:t>-</w:t>
      </w:r>
      <w:r w:rsidRPr="00EE7244">
        <w:t xml:space="preserve">related functions and providing advice on procurement proposals of significant financial or operational impact; reviewing the proposed strategy/approach to best serve </w:t>
      </w:r>
      <w:r w:rsidR="00B251AC">
        <w:t>the</w:t>
      </w:r>
      <w:r w:rsidR="00B251AC" w:rsidRPr="00EE7244">
        <w:t xml:space="preserve"> </w:t>
      </w:r>
      <w:r w:rsidRPr="00EE7244">
        <w:t>interests</w:t>
      </w:r>
      <w:r w:rsidR="00B251AC">
        <w:t xml:space="preserve"> of the Programme; p</w:t>
      </w:r>
      <w:r w:rsidRPr="00EE7244">
        <w:t xml:space="preserve">roviding oversight </w:t>
      </w:r>
      <w:r w:rsidR="00B251AC">
        <w:t>for</w:t>
      </w:r>
      <w:r w:rsidRPr="00EE7244">
        <w:t xml:space="preserve"> service providers</w:t>
      </w:r>
      <w:r w:rsidR="00B251AC">
        <w:t>; providing</w:t>
      </w:r>
      <w:r w:rsidRPr="00EE7244">
        <w:t xml:space="preserve"> </w:t>
      </w:r>
      <w:r w:rsidR="00B251AC">
        <w:t>r</w:t>
      </w:r>
      <w:r w:rsidRPr="00EE7244">
        <w:t xml:space="preserve">epresentation at the </w:t>
      </w:r>
      <w:r w:rsidR="008D5A48" w:rsidRPr="00EE7244">
        <w:t xml:space="preserve">Procurement Network </w:t>
      </w:r>
      <w:r w:rsidR="008D5A48">
        <w:t xml:space="preserve">of the </w:t>
      </w:r>
      <w:r w:rsidRPr="00EE7244">
        <w:t xml:space="preserve">High-Level Committee on Management on </w:t>
      </w:r>
      <w:r w:rsidR="00906EFF">
        <w:t xml:space="preserve">the </w:t>
      </w:r>
      <w:r w:rsidRPr="00EE7244">
        <w:t>development of policies and procedures</w:t>
      </w:r>
      <w:r w:rsidR="00906EFF">
        <w:t>;</w:t>
      </w:r>
      <w:r w:rsidRPr="00EE7244">
        <w:t xml:space="preserve"> </w:t>
      </w:r>
      <w:r w:rsidR="00906EFF">
        <w:t>l</w:t>
      </w:r>
      <w:r w:rsidRPr="00EE7244">
        <w:t xml:space="preserve">iaising with the contracts committee </w:t>
      </w:r>
      <w:r w:rsidR="00906EFF">
        <w:t>to prepare and present</w:t>
      </w:r>
      <w:r w:rsidRPr="00EE7244">
        <w:t xml:space="preserve"> cases for approval and addressing follow-up queries</w:t>
      </w:r>
      <w:r w:rsidR="00906EFF">
        <w:t>;</w:t>
      </w:r>
      <w:r w:rsidRPr="00EE7244">
        <w:t xml:space="preserve"> general contract administration services</w:t>
      </w:r>
      <w:r w:rsidR="00906EFF">
        <w:t>,</w:t>
      </w:r>
      <w:r w:rsidRPr="00EE7244">
        <w:t xml:space="preserve"> including </w:t>
      </w:r>
      <w:r w:rsidR="00652ED8">
        <w:t xml:space="preserve">contract </w:t>
      </w:r>
      <w:r w:rsidRPr="00EE7244">
        <w:t>amendment, extension or closure.</w:t>
      </w:r>
    </w:p>
    <w:p w14:paraId="782E71FE" w14:textId="0C27785A" w:rsidR="00863F6A" w:rsidRPr="00EE7244" w:rsidRDefault="00863F6A" w:rsidP="001420F5">
      <w:pPr>
        <w:pStyle w:val="Normalnumber"/>
        <w:numPr>
          <w:ilvl w:val="0"/>
          <w:numId w:val="19"/>
        </w:numPr>
        <w:ind w:left="1247"/>
      </w:pPr>
      <w:r w:rsidRPr="00BD6E6D">
        <w:rPr>
          <w:i/>
          <w:iCs/>
        </w:rPr>
        <w:t>Inventory/</w:t>
      </w:r>
      <w:r w:rsidR="00652ED8">
        <w:rPr>
          <w:i/>
          <w:iCs/>
        </w:rPr>
        <w:t>a</w:t>
      </w:r>
      <w:r w:rsidRPr="00BD6E6D">
        <w:rPr>
          <w:i/>
          <w:iCs/>
        </w:rPr>
        <w:t xml:space="preserve">sset </w:t>
      </w:r>
      <w:r w:rsidR="00652ED8">
        <w:rPr>
          <w:i/>
          <w:iCs/>
        </w:rPr>
        <w:t>m</w:t>
      </w:r>
      <w:r w:rsidRPr="00BD6E6D">
        <w:rPr>
          <w:i/>
          <w:iCs/>
        </w:rPr>
        <w:t>anagement:</w:t>
      </w:r>
      <w:r w:rsidRPr="00EE7244">
        <w:t xml:space="preserve"> </w:t>
      </w:r>
      <w:r w:rsidR="00652ED8">
        <w:t>p</w:t>
      </w:r>
      <w:r w:rsidRPr="00EE7244">
        <w:t>rovi</w:t>
      </w:r>
      <w:r w:rsidR="00652ED8">
        <w:t>ding</w:t>
      </w:r>
      <w:r w:rsidRPr="00EE7244">
        <w:t xml:space="preserve"> services to manage inventory of equipment and assets</w:t>
      </w:r>
      <w:r w:rsidR="00652ED8">
        <w:t>,</w:t>
      </w:r>
      <w:r w:rsidRPr="00EE7244">
        <w:t xml:space="preserve"> including bar coding, maintain</w:t>
      </w:r>
      <w:r w:rsidR="00652ED8">
        <w:t>ing</w:t>
      </w:r>
      <w:r w:rsidRPr="00EE7244">
        <w:t xml:space="preserve"> records and track</w:t>
      </w:r>
      <w:r w:rsidR="00652ED8">
        <w:t>ing</w:t>
      </w:r>
      <w:r w:rsidRPr="00EE7244">
        <w:t xml:space="preserve"> movement of items</w:t>
      </w:r>
      <w:r w:rsidR="00652ED8">
        <w:t>,</w:t>
      </w:r>
      <w:r w:rsidRPr="00EE7244">
        <w:t xml:space="preserve"> conduct</w:t>
      </w:r>
      <w:r w:rsidR="00652ED8">
        <w:t>ing</w:t>
      </w:r>
      <w:r w:rsidRPr="00EE7244">
        <w:t xml:space="preserve"> physical inventories</w:t>
      </w:r>
      <w:r w:rsidR="00652ED8">
        <w:t xml:space="preserve"> and</w:t>
      </w:r>
      <w:r w:rsidRPr="00EE7244">
        <w:t xml:space="preserve"> process</w:t>
      </w:r>
      <w:r w:rsidR="00652ED8">
        <w:t>ing</w:t>
      </w:r>
      <w:r w:rsidRPr="00EE7244">
        <w:t xml:space="preserve"> the disposal of obsolete and unserviceable items.</w:t>
      </w:r>
    </w:p>
    <w:p w14:paraId="28D81469" w14:textId="0FFCA620" w:rsidR="00863F6A" w:rsidRPr="00EE7244" w:rsidRDefault="00863F6A" w:rsidP="001420F5">
      <w:pPr>
        <w:pStyle w:val="Normalnumber"/>
        <w:numPr>
          <w:ilvl w:val="0"/>
          <w:numId w:val="19"/>
        </w:numPr>
        <w:ind w:left="1247"/>
      </w:pPr>
      <w:r w:rsidRPr="00EE7244">
        <w:rPr>
          <w:i/>
          <w:iCs/>
        </w:rPr>
        <w:t xml:space="preserve">Travel, </w:t>
      </w:r>
      <w:r w:rsidR="00652ED8">
        <w:rPr>
          <w:i/>
          <w:iCs/>
        </w:rPr>
        <w:t>s</w:t>
      </w:r>
      <w:r w:rsidRPr="00EE7244">
        <w:rPr>
          <w:i/>
          <w:iCs/>
        </w:rPr>
        <w:t xml:space="preserve">hipping and </w:t>
      </w:r>
      <w:r w:rsidR="00652ED8">
        <w:rPr>
          <w:i/>
          <w:iCs/>
        </w:rPr>
        <w:t>v</w:t>
      </w:r>
      <w:r w:rsidRPr="00EE7244">
        <w:rPr>
          <w:i/>
          <w:iCs/>
        </w:rPr>
        <w:t>isa</w:t>
      </w:r>
      <w:r w:rsidR="00C91378">
        <w:rPr>
          <w:i/>
          <w:iCs/>
        </w:rPr>
        <w:t>s</w:t>
      </w:r>
      <w:r w:rsidRPr="00EE7244">
        <w:rPr>
          <w:i/>
          <w:iCs/>
        </w:rPr>
        <w:t>:</w:t>
      </w:r>
      <w:r w:rsidRPr="00EE7244">
        <w:t xml:space="preserve"> </w:t>
      </w:r>
      <w:r w:rsidR="00EF5666">
        <w:t>p</w:t>
      </w:r>
      <w:r w:rsidRPr="00EE7244">
        <w:t>roviding advice on developments in Secretariat travel policies and procedures</w:t>
      </w:r>
      <w:r w:rsidR="00652ED8">
        <w:t>;</w:t>
      </w:r>
      <w:r w:rsidRPr="00EE7244">
        <w:t xml:space="preserve"> </w:t>
      </w:r>
      <w:r w:rsidR="00652ED8">
        <w:t>m</w:t>
      </w:r>
      <w:r w:rsidRPr="00EE7244">
        <w:t>anagement of travel agent contract and airline negotiations</w:t>
      </w:r>
      <w:r w:rsidR="00652ED8">
        <w:t>;</w:t>
      </w:r>
      <w:r w:rsidRPr="00EE7244">
        <w:t xml:space="preserve"> </w:t>
      </w:r>
      <w:r w:rsidR="00652ED8">
        <w:t>s</w:t>
      </w:r>
      <w:r w:rsidRPr="00EE7244">
        <w:t>hipping services, handled through external contract</w:t>
      </w:r>
      <w:r w:rsidR="00652ED8">
        <w:t>or</w:t>
      </w:r>
      <w:r w:rsidRPr="00EE7244">
        <w:t xml:space="preserve">s </w:t>
      </w:r>
      <w:r w:rsidR="00652ED8">
        <w:t xml:space="preserve">and </w:t>
      </w:r>
      <w:r w:rsidRPr="00EE7244">
        <w:t>includ</w:t>
      </w:r>
      <w:r w:rsidR="00652ED8">
        <w:t>ing</w:t>
      </w:r>
      <w:r w:rsidRPr="00EE7244">
        <w:t xml:space="preserve"> all aspects of incoming and outgoing official shipments of organizational goods and property as well as staff members' personal effects during recruitment, transfer and separation.</w:t>
      </w:r>
    </w:p>
    <w:p w14:paraId="360A76A3" w14:textId="3B7C198B" w:rsidR="00863F6A" w:rsidRPr="00EE7244" w:rsidRDefault="00863F6A" w:rsidP="001420F5">
      <w:pPr>
        <w:pStyle w:val="Normalnumber"/>
        <w:numPr>
          <w:ilvl w:val="0"/>
          <w:numId w:val="19"/>
        </w:numPr>
        <w:ind w:left="1247"/>
      </w:pPr>
      <w:r w:rsidRPr="00EE7244">
        <w:rPr>
          <w:i/>
          <w:iCs/>
        </w:rPr>
        <w:t xml:space="preserve">Host </w:t>
      </w:r>
      <w:r w:rsidR="00652ED8">
        <w:rPr>
          <w:i/>
          <w:iCs/>
        </w:rPr>
        <w:t>c</w:t>
      </w:r>
      <w:r w:rsidRPr="00EE7244">
        <w:rPr>
          <w:i/>
          <w:iCs/>
        </w:rPr>
        <w:t xml:space="preserve">ountry </w:t>
      </w:r>
      <w:r w:rsidR="00652ED8">
        <w:rPr>
          <w:i/>
          <w:iCs/>
        </w:rPr>
        <w:t>r</w:t>
      </w:r>
      <w:r w:rsidRPr="00EE7244">
        <w:rPr>
          <w:i/>
          <w:iCs/>
        </w:rPr>
        <w:t>elations:</w:t>
      </w:r>
      <w:r w:rsidRPr="00EE7244">
        <w:t xml:space="preserve"> administering the hosting agreement with the country of </w:t>
      </w:r>
      <w:r w:rsidR="00652ED8">
        <w:t xml:space="preserve">the </w:t>
      </w:r>
      <w:r w:rsidRPr="00EE7244">
        <w:t>duty station</w:t>
      </w:r>
      <w:r w:rsidR="00652ED8">
        <w:t>;</w:t>
      </w:r>
      <w:r w:rsidRPr="00EE7244">
        <w:t xml:space="preserve"> re-entry passes </w:t>
      </w:r>
      <w:r w:rsidR="00652ED8">
        <w:t>for</w:t>
      </w:r>
      <w:r w:rsidRPr="00EE7244">
        <w:t xml:space="preserve"> staff and dependents, consultants and interns; duty</w:t>
      </w:r>
      <w:r w:rsidR="00652ED8">
        <w:t>-</w:t>
      </w:r>
      <w:r w:rsidRPr="00EE7244">
        <w:t>free import of goods and fuel; tax exemptions; registration of vehicles, issuance/renewal of driving licenses and transfer of ownership; processing special visa request</w:t>
      </w:r>
      <w:r w:rsidR="00652ED8">
        <w:t>s</w:t>
      </w:r>
      <w:r w:rsidRPr="00EE7244">
        <w:t xml:space="preserve"> in emergency situations and for </w:t>
      </w:r>
      <w:r w:rsidR="00720BF5">
        <w:t>very important persons</w:t>
      </w:r>
      <w:r w:rsidRPr="00EE7244">
        <w:t>.</w:t>
      </w:r>
    </w:p>
    <w:p w14:paraId="2D734A0F" w14:textId="110ED10D" w:rsidR="00863F6A" w:rsidRPr="00EE7244" w:rsidRDefault="00863F6A" w:rsidP="001420F5">
      <w:pPr>
        <w:pStyle w:val="Normalnumber"/>
        <w:numPr>
          <w:ilvl w:val="0"/>
          <w:numId w:val="19"/>
        </w:numPr>
        <w:ind w:left="1247"/>
      </w:pPr>
      <w:r w:rsidRPr="00EE7244">
        <w:rPr>
          <w:i/>
          <w:iCs/>
        </w:rPr>
        <w:t xml:space="preserve">Facilities </w:t>
      </w:r>
      <w:r w:rsidR="00652ED8">
        <w:rPr>
          <w:i/>
          <w:iCs/>
        </w:rPr>
        <w:t>m</w:t>
      </w:r>
      <w:r w:rsidRPr="00EE7244">
        <w:rPr>
          <w:i/>
          <w:iCs/>
        </w:rPr>
        <w:t>anagement:</w:t>
      </w:r>
      <w:r w:rsidRPr="00EE7244">
        <w:t xml:space="preserve"> </w:t>
      </w:r>
      <w:r w:rsidR="00652ED8">
        <w:t>providing a</w:t>
      </w:r>
      <w:r w:rsidRPr="00EE7244">
        <w:t xml:space="preserve"> comfortable and efficient working environment for staff </w:t>
      </w:r>
      <w:r w:rsidR="00652ED8">
        <w:t>and</w:t>
      </w:r>
      <w:r w:rsidRPr="00EE7244">
        <w:t xml:space="preserve"> visitors by maintaining office premises</w:t>
      </w:r>
      <w:r w:rsidR="00652ED8">
        <w:t>,</w:t>
      </w:r>
      <w:r w:rsidRPr="00EE7244">
        <w:t xml:space="preserve"> including garden</w:t>
      </w:r>
      <w:r w:rsidR="00652ED8">
        <w:t>s</w:t>
      </w:r>
      <w:r w:rsidRPr="00EE7244">
        <w:t xml:space="preserve"> and parking areas; </w:t>
      </w:r>
      <w:r w:rsidR="00652ED8">
        <w:t xml:space="preserve">managing </w:t>
      </w:r>
      <w:r w:rsidRPr="00EE7244">
        <w:t>utilities and maint</w:t>
      </w:r>
      <w:r w:rsidR="00652ED8">
        <w:t xml:space="preserve">aining </w:t>
      </w:r>
      <w:r w:rsidRPr="00EE7244">
        <w:t>security systems.</w:t>
      </w:r>
    </w:p>
    <w:p w14:paraId="2D40BC49" w14:textId="2F2E0DE7" w:rsidR="00863F6A" w:rsidRPr="00EE7244" w:rsidRDefault="00863F6A" w:rsidP="001420F5">
      <w:pPr>
        <w:pStyle w:val="Normalnumber"/>
        <w:numPr>
          <w:ilvl w:val="0"/>
          <w:numId w:val="19"/>
        </w:numPr>
        <w:ind w:left="1247"/>
      </w:pPr>
      <w:r w:rsidRPr="00EE7244">
        <w:rPr>
          <w:i/>
          <w:iCs/>
        </w:rPr>
        <w:lastRenderedPageBreak/>
        <w:t>Archives/</w:t>
      </w:r>
      <w:r w:rsidR="00386847">
        <w:rPr>
          <w:i/>
          <w:iCs/>
        </w:rPr>
        <w:t>d</w:t>
      </w:r>
      <w:r w:rsidRPr="00EE7244">
        <w:rPr>
          <w:i/>
          <w:iCs/>
        </w:rPr>
        <w:t xml:space="preserve">ocument </w:t>
      </w:r>
      <w:r w:rsidR="00386847">
        <w:rPr>
          <w:i/>
          <w:iCs/>
        </w:rPr>
        <w:t>m</w:t>
      </w:r>
      <w:r w:rsidRPr="00EE7244">
        <w:rPr>
          <w:i/>
          <w:iCs/>
        </w:rPr>
        <w:t>anagement:</w:t>
      </w:r>
      <w:r w:rsidRPr="00EE7244">
        <w:t xml:space="preserve"> </w:t>
      </w:r>
      <w:r w:rsidR="00386847">
        <w:t>a</w:t>
      </w:r>
      <w:r w:rsidRPr="00EE7244">
        <w:t>dvising on and overseeing the implementation of policies for the management of archives in accordance with established archival standards and practices</w:t>
      </w:r>
      <w:hyperlink w:anchor="_bookmark0" w:history="1">
        <w:r w:rsidRPr="00EE7244">
          <w:t>.</w:t>
        </w:r>
      </w:hyperlink>
    </w:p>
    <w:p w14:paraId="38B94F51" w14:textId="3B629E55" w:rsidR="00863F6A" w:rsidRPr="00EE7244" w:rsidRDefault="00B538A9" w:rsidP="00B538A9">
      <w:pPr>
        <w:pStyle w:val="CH2"/>
      </w:pPr>
      <w:r>
        <w:tab/>
        <w:t>G.</w:t>
      </w:r>
      <w:r>
        <w:tab/>
      </w:r>
      <w:r w:rsidR="00863F6A" w:rsidRPr="00EE7244">
        <w:t xml:space="preserve">Enterprise </w:t>
      </w:r>
      <w:r w:rsidR="00386847">
        <w:t>r</w:t>
      </w:r>
      <w:r w:rsidR="00863F6A" w:rsidRPr="00EE7244">
        <w:t xml:space="preserve">esource </w:t>
      </w:r>
      <w:r w:rsidR="00386847">
        <w:t>p</w:t>
      </w:r>
      <w:r w:rsidR="00863F6A" w:rsidRPr="00EE7244">
        <w:t>rogramme Umoja</w:t>
      </w:r>
    </w:p>
    <w:p w14:paraId="1F65779A" w14:textId="79C41E2C" w:rsidR="00CA0BD4" w:rsidRPr="00EE7244" w:rsidRDefault="00863F6A" w:rsidP="00174DCA">
      <w:pPr>
        <w:pStyle w:val="Normalnumber"/>
        <w:numPr>
          <w:ilvl w:val="0"/>
          <w:numId w:val="19"/>
        </w:numPr>
        <w:ind w:left="1260"/>
      </w:pPr>
      <w:r w:rsidRPr="00EE7244">
        <w:t>Advising on all aspects of workflow analysis, business process re</w:t>
      </w:r>
      <w:r w:rsidR="00386847">
        <w:t>-</w:t>
      </w:r>
      <w:r w:rsidRPr="00EE7244">
        <w:t>engineering and organizational transformation</w:t>
      </w:r>
      <w:hyperlink w:anchor="_bookmark0" w:history="1">
        <w:r w:rsidR="00CA0BD4">
          <w:t>;</w:t>
        </w:r>
      </w:hyperlink>
      <w:r w:rsidR="00CA0BD4" w:rsidRPr="00CA0BD4">
        <w:t xml:space="preserve"> </w:t>
      </w:r>
      <w:r w:rsidR="00CA0BD4">
        <w:t>m</w:t>
      </w:r>
      <w:r w:rsidR="00CA0BD4" w:rsidRPr="00EE7244">
        <w:t>anaging core transformational activities connected to the Umoja implementation and system life cycle</w:t>
      </w:r>
      <w:r w:rsidR="00CA0BD4">
        <w:t>;</w:t>
      </w:r>
      <w:r w:rsidR="00CA0BD4" w:rsidRPr="00EE7244">
        <w:t xml:space="preserve"> </w:t>
      </w:r>
      <w:r w:rsidR="00CA0BD4">
        <w:t>p</w:t>
      </w:r>
      <w:r w:rsidR="00CA0BD4" w:rsidRPr="00EE7244">
        <w:t>roviding training and guidance on Umoja functionality, access and modality for the execut</w:t>
      </w:r>
      <w:r w:rsidR="00CA0BD4">
        <w:t>ion of administrative processes;</w:t>
      </w:r>
      <w:r w:rsidR="00CA0BD4" w:rsidRPr="00CA0BD4">
        <w:t xml:space="preserve"> </w:t>
      </w:r>
      <w:r w:rsidR="006E7390" w:rsidRPr="00BE1DA1">
        <w:t>managing</w:t>
      </w:r>
      <w:r w:rsidR="00CA0BD4" w:rsidRPr="00BE1DA1">
        <w:t xml:space="preserve"> administrative costs associated with services provided by </w:t>
      </w:r>
      <w:r w:rsidR="00D8019A" w:rsidRPr="00BE1DA1">
        <w:t>the United Nations Office at Nairobi</w:t>
      </w:r>
      <w:r w:rsidR="00CA0BD4" w:rsidRPr="00BE1DA1">
        <w:t xml:space="preserve"> and </w:t>
      </w:r>
      <w:r w:rsidR="00D8019A" w:rsidRPr="00BE1DA1">
        <w:t>the United Nations Office at Geneva</w:t>
      </w:r>
      <w:r w:rsidR="00CA0BD4" w:rsidRPr="00BE1DA1">
        <w:t xml:space="preserve">, especially </w:t>
      </w:r>
      <w:r w:rsidR="006E7390" w:rsidRPr="00BE1DA1">
        <w:t xml:space="preserve">services </w:t>
      </w:r>
      <w:r w:rsidR="00CA0BD4" w:rsidRPr="00BE1DA1">
        <w:t>previously delivered through the</w:t>
      </w:r>
      <w:r w:rsidR="006E7390" w:rsidRPr="00BE1DA1">
        <w:t xml:space="preserve"> now defunct</w:t>
      </w:r>
      <w:r w:rsidR="00CA0BD4" w:rsidRPr="00BE1DA1">
        <w:t xml:space="preserve"> </w:t>
      </w:r>
      <w:r w:rsidR="006E7390" w:rsidRPr="00BE1DA1">
        <w:t>o</w:t>
      </w:r>
      <w:r w:rsidR="005D00E7" w:rsidRPr="00BE1DA1">
        <w:t xml:space="preserve">perations </w:t>
      </w:r>
      <w:r w:rsidR="006E7390" w:rsidRPr="00BE1DA1">
        <w:t>s</w:t>
      </w:r>
      <w:r w:rsidR="005D00E7" w:rsidRPr="00BE1DA1">
        <w:t xml:space="preserve">ervice </w:t>
      </w:r>
      <w:r w:rsidR="006E7390" w:rsidRPr="00BE1DA1">
        <w:t>c</w:t>
      </w:r>
      <w:r w:rsidR="005D00E7" w:rsidRPr="00BE1DA1">
        <w:t>entre</w:t>
      </w:r>
      <w:r w:rsidR="00CA0BD4" w:rsidRPr="00EE7244">
        <w:t xml:space="preserve"> (</w:t>
      </w:r>
      <w:r w:rsidR="00EF5666">
        <w:t>travel, payment of invoices, human resources/</w:t>
      </w:r>
      <w:r w:rsidR="00CA0BD4" w:rsidRPr="00EE7244">
        <w:t>consultant services).</w:t>
      </w:r>
    </w:p>
    <w:p w14:paraId="5E80AEDE" w14:textId="789E51AD" w:rsidR="00863F6A" w:rsidRPr="00EE7244" w:rsidRDefault="00B538A9" w:rsidP="00B538A9">
      <w:pPr>
        <w:pStyle w:val="CH2"/>
      </w:pPr>
      <w:r>
        <w:tab/>
      </w:r>
      <w:r w:rsidR="00863F6A" w:rsidRPr="00EE7244">
        <w:t>H.</w:t>
      </w:r>
      <w:r>
        <w:tab/>
      </w:r>
      <w:r w:rsidR="00863F6A" w:rsidRPr="00EE7244">
        <w:t xml:space="preserve">Enterprise </w:t>
      </w:r>
      <w:r w:rsidR="00386847">
        <w:t>r</w:t>
      </w:r>
      <w:r w:rsidR="00863F6A" w:rsidRPr="00EE7244">
        <w:t xml:space="preserve">isk </w:t>
      </w:r>
      <w:r w:rsidR="00386847">
        <w:t>m</w:t>
      </w:r>
      <w:r w:rsidR="00863F6A" w:rsidRPr="00EE7244">
        <w:t xml:space="preserve">anagement and </w:t>
      </w:r>
      <w:r w:rsidR="00386847">
        <w:t>i</w:t>
      </w:r>
      <w:r w:rsidR="00863F6A" w:rsidRPr="00EE7244">
        <w:t xml:space="preserve">nternal </w:t>
      </w:r>
      <w:r w:rsidR="00386847">
        <w:t>c</w:t>
      </w:r>
      <w:r w:rsidR="00863F6A" w:rsidRPr="00EE7244">
        <w:t>ontrols</w:t>
      </w:r>
    </w:p>
    <w:p w14:paraId="58EA100C" w14:textId="00AFFCB2" w:rsidR="00863F6A" w:rsidRPr="00EE7244" w:rsidRDefault="00863F6A" w:rsidP="001420F5">
      <w:pPr>
        <w:pStyle w:val="Normalnumber"/>
        <w:numPr>
          <w:ilvl w:val="0"/>
          <w:numId w:val="19"/>
        </w:numPr>
        <w:ind w:left="1247"/>
      </w:pPr>
      <w:r w:rsidRPr="00EE7244">
        <w:t>Implementation</w:t>
      </w:r>
      <w:r w:rsidR="00386847">
        <w:t>,</w:t>
      </w:r>
      <w:r w:rsidRPr="00EE7244">
        <w:t xml:space="preserve"> </w:t>
      </w:r>
      <w:r w:rsidR="00386847" w:rsidRPr="00EE7244">
        <w:t xml:space="preserve">monitoring and development </w:t>
      </w:r>
      <w:r w:rsidRPr="00EE7244">
        <w:t xml:space="preserve">of the United Nations Secretariat </w:t>
      </w:r>
      <w:r w:rsidR="00386847">
        <w:t xml:space="preserve">enterprise risk management </w:t>
      </w:r>
      <w:r w:rsidRPr="00EE7244">
        <w:t>policy and framework</w:t>
      </w:r>
      <w:r w:rsidR="00386847">
        <w:t>;</w:t>
      </w:r>
      <w:r w:rsidRPr="00EE7244">
        <w:t xml:space="preserve"> </w:t>
      </w:r>
      <w:r w:rsidR="00386847">
        <w:t>a</w:t>
      </w:r>
      <w:r w:rsidRPr="00EE7244">
        <w:t>dvi</w:t>
      </w:r>
      <w:r w:rsidR="00386847">
        <w:t>c</w:t>
      </w:r>
      <w:r w:rsidRPr="00EE7244">
        <w:t xml:space="preserve">e on developments and activities related to the </w:t>
      </w:r>
      <w:r w:rsidR="00386847">
        <w:t xml:space="preserve">enterprise risk management </w:t>
      </w:r>
      <w:r w:rsidRPr="00EE7244">
        <w:t>life cycle</w:t>
      </w:r>
      <w:r w:rsidR="00386847">
        <w:t>;</w:t>
      </w:r>
      <w:r w:rsidRPr="00EE7244">
        <w:t xml:space="preserve"> </w:t>
      </w:r>
      <w:r w:rsidR="00386847">
        <w:t>l</w:t>
      </w:r>
      <w:r w:rsidRPr="00EE7244">
        <w:t>iais</w:t>
      </w:r>
      <w:r w:rsidR="00386847">
        <w:t>ing</w:t>
      </w:r>
      <w:r w:rsidRPr="00EE7244">
        <w:t xml:space="preserve"> with the </w:t>
      </w:r>
      <w:r w:rsidR="00386847">
        <w:t>department of m</w:t>
      </w:r>
      <w:r w:rsidR="00386847" w:rsidRPr="00EE7244">
        <w:t>anagement</w:t>
      </w:r>
      <w:r w:rsidR="00386847">
        <w:t xml:space="preserve"> at United Nations Headquarters</w:t>
      </w:r>
      <w:r w:rsidR="00386847" w:rsidRPr="00EE7244">
        <w:t xml:space="preserve"> </w:t>
      </w:r>
      <w:r w:rsidRPr="00EE7244">
        <w:t xml:space="preserve">for all issues relating to </w:t>
      </w:r>
      <w:r w:rsidR="00386847">
        <w:t>enterprise risk management, internal controls</w:t>
      </w:r>
      <w:r w:rsidR="009C6BF9">
        <w:t>,</w:t>
      </w:r>
      <w:r w:rsidRPr="00EE7244">
        <w:t xml:space="preserve"> and </w:t>
      </w:r>
      <w:r w:rsidR="00386847">
        <w:t>the</w:t>
      </w:r>
      <w:r w:rsidRPr="00EE7244">
        <w:t xml:space="preserve"> implementation and update of </w:t>
      </w:r>
      <w:r w:rsidR="00386847">
        <w:t>related</w:t>
      </w:r>
      <w:r w:rsidRPr="00EE7244">
        <w:t xml:space="preserve"> plan</w:t>
      </w:r>
      <w:r w:rsidR="00386847">
        <w:t>s</w:t>
      </w:r>
      <w:r w:rsidRPr="00EE7244">
        <w:t>.</w:t>
      </w:r>
    </w:p>
    <w:p w14:paraId="1B4F4EB4" w14:textId="49830DA7" w:rsidR="00863F6A" w:rsidRPr="00EE7244" w:rsidRDefault="00B538A9" w:rsidP="00B538A9">
      <w:pPr>
        <w:pStyle w:val="CH2"/>
      </w:pPr>
      <w:r>
        <w:tab/>
        <w:t>I.</w:t>
      </w:r>
      <w:r>
        <w:tab/>
      </w:r>
      <w:r w:rsidR="00863F6A" w:rsidRPr="00EE7244">
        <w:t xml:space="preserve">Information and </w:t>
      </w:r>
      <w:r w:rsidR="00386847">
        <w:t>c</w:t>
      </w:r>
      <w:r w:rsidR="00863F6A" w:rsidRPr="00EE7244">
        <w:t xml:space="preserve">ommunications </w:t>
      </w:r>
      <w:r w:rsidR="00386847">
        <w:t>t</w:t>
      </w:r>
      <w:r w:rsidR="00863F6A" w:rsidRPr="00EE7244">
        <w:t>echnology</w:t>
      </w:r>
    </w:p>
    <w:p w14:paraId="0DF0D9B1" w14:textId="43AF8B6C" w:rsidR="00863F6A" w:rsidRPr="00EE7244" w:rsidRDefault="00863F6A" w:rsidP="001420F5">
      <w:pPr>
        <w:pStyle w:val="Normalnumber"/>
        <w:numPr>
          <w:ilvl w:val="0"/>
          <w:numId w:val="19"/>
        </w:numPr>
        <w:ind w:left="1247"/>
      </w:pPr>
      <w:r w:rsidRPr="00EE7244">
        <w:t xml:space="preserve">Oversight to ensure compliance with </w:t>
      </w:r>
      <w:r w:rsidR="00CA0BD4">
        <w:t xml:space="preserve">information and communications technology </w:t>
      </w:r>
      <w:r w:rsidRPr="00EE7244">
        <w:t>policy and standards</w:t>
      </w:r>
      <w:r w:rsidR="009C6BF9">
        <w:t>.</w:t>
      </w:r>
    </w:p>
    <w:p w14:paraId="75468D6B" w14:textId="40847A36" w:rsidR="00863F6A" w:rsidRPr="00EE7244" w:rsidRDefault="00863F6A" w:rsidP="001420F5">
      <w:pPr>
        <w:pStyle w:val="Normalnumber"/>
        <w:numPr>
          <w:ilvl w:val="0"/>
          <w:numId w:val="19"/>
        </w:numPr>
        <w:ind w:left="1247"/>
      </w:pPr>
      <w:r w:rsidRPr="00EE7244">
        <w:t>Computing, telecommunications, office automation</w:t>
      </w:r>
      <w:r w:rsidR="009C6BF9">
        <w:t xml:space="preserve"> and</w:t>
      </w:r>
      <w:r w:rsidRPr="00EE7244">
        <w:t xml:space="preserve"> infrastructure support</w:t>
      </w:r>
      <w:r w:rsidR="009C6BF9">
        <w:t>,</w:t>
      </w:r>
      <w:r w:rsidRPr="00EE7244">
        <w:t xml:space="preserve"> including</w:t>
      </w:r>
      <w:r w:rsidR="009C6BF9">
        <w:t xml:space="preserve"> for</w:t>
      </w:r>
      <w:r w:rsidRPr="00EE7244">
        <w:t xml:space="preserve"> electronic mail</w:t>
      </w:r>
      <w:r w:rsidR="009C6BF9">
        <w:t>,</w:t>
      </w:r>
      <w:r w:rsidRPr="00EE7244">
        <w:t xml:space="preserve"> as well as consulting, advisory and help desk services.</w:t>
      </w:r>
    </w:p>
    <w:p w14:paraId="1EF7411A" w14:textId="0B33E588" w:rsidR="00863F6A" w:rsidRPr="00EE7244" w:rsidRDefault="00CA0BD4" w:rsidP="001420F5">
      <w:pPr>
        <w:pStyle w:val="Normalnumber"/>
        <w:numPr>
          <w:ilvl w:val="0"/>
          <w:numId w:val="19"/>
        </w:numPr>
        <w:ind w:left="1247"/>
      </w:pPr>
      <w:r>
        <w:t>Managing i</w:t>
      </w:r>
      <w:r w:rsidRPr="00CA0BD4">
        <w:t>nformation and communications technology</w:t>
      </w:r>
      <w:r w:rsidRPr="00CA0BD4" w:rsidDel="00CA0BD4">
        <w:t xml:space="preserve"> </w:t>
      </w:r>
      <w:r>
        <w:t>i</w:t>
      </w:r>
      <w:r w:rsidR="00863F6A" w:rsidRPr="00EE7244">
        <w:t xml:space="preserve">nfrastructure and services, including </w:t>
      </w:r>
      <w:r>
        <w:t xml:space="preserve">by </w:t>
      </w:r>
      <w:r w:rsidR="00863F6A" w:rsidRPr="00EE7244">
        <w:t>support</w:t>
      </w:r>
      <w:r>
        <w:t>ing the</w:t>
      </w:r>
      <w:r w:rsidR="00863F6A" w:rsidRPr="00EE7244">
        <w:t xml:space="preserve"> procurement of equipment and software licenses and </w:t>
      </w:r>
      <w:r>
        <w:t xml:space="preserve">the </w:t>
      </w:r>
      <w:r w:rsidR="00863F6A" w:rsidRPr="00EE7244">
        <w:t xml:space="preserve">application of </w:t>
      </w:r>
      <w:r>
        <w:t>relevant</w:t>
      </w:r>
      <w:r w:rsidR="00863F6A" w:rsidRPr="00EE7244">
        <w:t xml:space="preserve"> policies</w:t>
      </w:r>
      <w:r w:rsidR="009C6BF9">
        <w:t>;</w:t>
      </w:r>
      <w:r w:rsidR="00863F6A" w:rsidRPr="00EE7244">
        <w:t xml:space="preserve"> </w:t>
      </w:r>
      <w:r w:rsidR="009C6BF9">
        <w:t>a</w:t>
      </w:r>
      <w:r w:rsidR="00863F6A" w:rsidRPr="00EE7244">
        <w:t>ccess to corporate internet/intranet and mail systems.</w:t>
      </w:r>
    </w:p>
    <w:p w14:paraId="4583DB41" w14:textId="6544BDFE" w:rsidR="00863F6A" w:rsidRPr="00EE7244" w:rsidRDefault="00863F6A" w:rsidP="001420F5">
      <w:pPr>
        <w:pStyle w:val="Normalnumber"/>
        <w:numPr>
          <w:ilvl w:val="0"/>
          <w:numId w:val="19"/>
        </w:numPr>
        <w:ind w:left="1247"/>
      </w:pPr>
      <w:r w:rsidRPr="00EE7244">
        <w:t xml:space="preserve">Software development and </w:t>
      </w:r>
      <w:r w:rsidR="00CA0BD4">
        <w:t>m</w:t>
      </w:r>
      <w:r w:rsidRPr="00EE7244">
        <w:t>aintenance</w:t>
      </w:r>
      <w:r w:rsidR="009C6BF9">
        <w:t>, including</w:t>
      </w:r>
      <w:r w:rsidRPr="00EE7244">
        <w:t xml:space="preserve"> </w:t>
      </w:r>
      <w:r w:rsidR="00CA0BD4">
        <w:t>p</w:t>
      </w:r>
      <w:r w:rsidRPr="00EE7244">
        <w:t xml:space="preserve">roviding </w:t>
      </w:r>
      <w:r w:rsidR="00CA0BD4" w:rsidRPr="00EE7244">
        <w:t xml:space="preserve">tactical, operational and strategic </w:t>
      </w:r>
      <w:r w:rsidRPr="00EE7244">
        <w:t>advice</w:t>
      </w:r>
      <w:r w:rsidR="009C6BF9">
        <w:t xml:space="preserve"> while</w:t>
      </w:r>
      <w:r w:rsidR="00CA0BD4">
        <w:t xml:space="preserve"> considering </w:t>
      </w:r>
      <w:r w:rsidRPr="00EE7244">
        <w:t>the specific needs of the office</w:t>
      </w:r>
      <w:r w:rsidR="009C6BF9">
        <w:t>;</w:t>
      </w:r>
      <w:r w:rsidRPr="00EE7244">
        <w:t xml:space="preserve"> </w:t>
      </w:r>
      <w:r w:rsidR="009C6BF9">
        <w:t>m</w:t>
      </w:r>
      <w:r w:rsidR="00CA0BD4">
        <w:t>anaging the</w:t>
      </w:r>
      <w:r w:rsidRPr="00EE7244">
        <w:t xml:space="preserve"> cost</w:t>
      </w:r>
      <w:r w:rsidR="00CA0BD4">
        <w:t>-</w:t>
      </w:r>
      <w:r w:rsidRPr="00EE7244">
        <w:t>effective</w:t>
      </w:r>
      <w:r w:rsidR="00CA0BD4">
        <w:t>ness of</w:t>
      </w:r>
      <w:r w:rsidRPr="00EE7244">
        <w:t xml:space="preserve"> outsourc</w:t>
      </w:r>
      <w:r w:rsidR="00CA0BD4">
        <w:t>ed</w:t>
      </w:r>
      <w:r w:rsidRPr="00EE7244">
        <w:t xml:space="preserve"> </w:t>
      </w:r>
      <w:r w:rsidR="00CA0BD4">
        <w:t>and</w:t>
      </w:r>
      <w:r w:rsidRPr="00EE7244">
        <w:t xml:space="preserve"> in-house services</w:t>
      </w:r>
      <w:r w:rsidR="009C6BF9">
        <w:t>;</w:t>
      </w:r>
      <w:r w:rsidRPr="00EE7244">
        <w:t xml:space="preserve"> </w:t>
      </w:r>
      <w:r w:rsidR="009C6BF9">
        <w:t>p</w:t>
      </w:r>
      <w:r w:rsidR="00CA0BD4">
        <w:t>roviding</w:t>
      </w:r>
      <w:r w:rsidRPr="00EE7244">
        <w:t xml:space="preserve"> customi</w:t>
      </w:r>
      <w:r w:rsidR="009C6BF9">
        <w:t>z</w:t>
      </w:r>
      <w:r w:rsidRPr="00EE7244">
        <w:t xml:space="preserve">ed </w:t>
      </w:r>
      <w:r w:rsidR="00CA0BD4">
        <w:t>or</w:t>
      </w:r>
      <w:r w:rsidRPr="00EE7244">
        <w:t xml:space="preserve"> off</w:t>
      </w:r>
      <w:r w:rsidR="00CA0BD4">
        <w:t>-</w:t>
      </w:r>
      <w:r w:rsidRPr="00EE7244">
        <w:t>the</w:t>
      </w:r>
      <w:r w:rsidR="00CA0BD4">
        <w:t>-</w:t>
      </w:r>
      <w:r w:rsidRPr="00EE7244">
        <w:t>shelf software applications to support specific needs</w:t>
      </w:r>
      <w:r w:rsidR="00CA0BD4">
        <w:t>.</w:t>
      </w:r>
    </w:p>
    <w:p w14:paraId="0A291C20" w14:textId="0EA3A4C7" w:rsidR="00353EC0" w:rsidRDefault="00863F6A" w:rsidP="00174DCA">
      <w:pPr>
        <w:pStyle w:val="Normalnumber"/>
        <w:numPr>
          <w:ilvl w:val="0"/>
          <w:numId w:val="19"/>
        </w:numPr>
        <w:tabs>
          <w:tab w:val="clear" w:pos="597"/>
        </w:tabs>
        <w:ind w:left="1247"/>
      </w:pPr>
      <w:r w:rsidRPr="00EE7244">
        <w:t>Help desk services</w:t>
      </w:r>
      <w:r w:rsidR="009C6BF9">
        <w:t>, including</w:t>
      </w:r>
      <w:r w:rsidRPr="00EE7244">
        <w:t xml:space="preserve"> local and global staff </w:t>
      </w:r>
      <w:r w:rsidR="00CA0BD4">
        <w:t>support to</w:t>
      </w:r>
      <w:r w:rsidRPr="00EE7244">
        <w:t xml:space="preserve"> resolv</w:t>
      </w:r>
      <w:r w:rsidR="00CA0BD4">
        <w:t>e</w:t>
      </w:r>
      <w:r w:rsidRPr="00EE7244">
        <w:t xml:space="preserve"> </w:t>
      </w:r>
      <w:r w:rsidR="00CA0BD4">
        <w:t>computer-related challenges in operating the enterprise applications of the organization.</w:t>
      </w:r>
    </w:p>
    <w:p w14:paraId="36F5315F" w14:textId="77777777" w:rsidR="00D95EF1" w:rsidRPr="00353EC0" w:rsidRDefault="00D95EF1" w:rsidP="00D92A40">
      <w:pPr>
        <w:pStyle w:val="Normal-pool"/>
      </w:pPr>
    </w:p>
    <w:tbl>
      <w:tblPr>
        <w:tblW w:w="0" w:type="auto"/>
        <w:tblLook w:val="04A0" w:firstRow="1" w:lastRow="0" w:firstColumn="1" w:lastColumn="0" w:noHBand="0" w:noVBand="1"/>
      </w:tblPr>
      <w:tblGrid>
        <w:gridCol w:w="1899"/>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p>
        </w:tc>
        <w:tc>
          <w:tcPr>
            <w:tcW w:w="1943" w:type="dxa"/>
            <w:shd w:val="clear" w:color="auto" w:fill="auto"/>
          </w:tcPr>
          <w:p w14:paraId="457D2993" w14:textId="77777777" w:rsidR="00E976AB" w:rsidRPr="00D25175" w:rsidRDefault="00E976AB" w:rsidP="00990918">
            <w:pPr>
              <w:pStyle w:val="Normal-pool"/>
              <w:spacing w:before="520"/>
            </w:pPr>
          </w:p>
        </w:tc>
      </w:tr>
    </w:tbl>
    <w:p w14:paraId="29F01CA0" w14:textId="77777777" w:rsidR="00634E0D" w:rsidRPr="00D25175" w:rsidRDefault="00634E0D" w:rsidP="00D013F5">
      <w:pPr>
        <w:pStyle w:val="Normal-pool"/>
      </w:pPr>
    </w:p>
    <w:sectPr w:rsidR="00634E0D" w:rsidRPr="00D25175" w:rsidSect="009E0757">
      <w:headerReference w:type="even" r:id="rId25"/>
      <w:headerReference w:type="default" r:id="rId26"/>
      <w:headerReference w:type="first" r:id="rId27"/>
      <w:footerReference w:type="first" r:id="rId28"/>
      <w:footnotePr>
        <w:numRestart w:val="eachSect"/>
      </w:footnotePr>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822B4" w14:textId="77777777" w:rsidR="008402DC" w:rsidRDefault="008402DC">
      <w:r>
        <w:separator/>
      </w:r>
    </w:p>
  </w:endnote>
  <w:endnote w:type="continuationSeparator" w:id="0">
    <w:p w14:paraId="24406C12" w14:textId="77777777" w:rsidR="008402DC" w:rsidRDefault="0084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54BEB81" w:rsidR="008402DC" w:rsidRDefault="008402DC">
    <w:pPr>
      <w:pStyle w:val="Footer"/>
    </w:pPr>
    <w:r>
      <w:rPr>
        <w:rStyle w:val="PageNumber"/>
      </w:rPr>
      <w:fldChar w:fldCharType="begin"/>
    </w:r>
    <w:r>
      <w:rPr>
        <w:rStyle w:val="PageNumber"/>
      </w:rPr>
      <w:instrText xml:space="preserve"> PAGE </w:instrText>
    </w:r>
    <w:r>
      <w:rPr>
        <w:rStyle w:val="PageNumber"/>
      </w:rPr>
      <w:fldChar w:fldCharType="separate"/>
    </w:r>
    <w:r w:rsidR="00A92DFD">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276E92A" w:rsidR="008402DC" w:rsidRDefault="008402D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val="0"/>
      </w:rPr>
      <w:id w:val="-327828656"/>
      <w:docPartObj>
        <w:docPartGallery w:val="Page Numbers (Bottom of Page)"/>
        <w:docPartUnique/>
      </w:docPartObj>
    </w:sdtPr>
    <w:sdtEndPr>
      <w:rPr>
        <w:noProof/>
      </w:rPr>
    </w:sdtEndPr>
    <w:sdtContent>
      <w:p w14:paraId="521EB5F1" w14:textId="7D3ECD86" w:rsidR="008402DC" w:rsidRPr="009E0757" w:rsidRDefault="008402DC" w:rsidP="009E0757">
        <w:pPr>
          <w:pStyle w:val="Footer-pool"/>
          <w:rPr>
            <w:b w:val="0"/>
          </w:rPr>
        </w:pPr>
        <w:r>
          <w:rPr>
            <w:b w:val="0"/>
          </w:rPr>
          <w:t>K1904258</w:t>
        </w:r>
        <w:r>
          <w:rPr>
            <w:b w:val="0"/>
          </w:rPr>
          <w:tab/>
          <w:t>1</w:t>
        </w:r>
        <w:r w:rsidR="006D2451">
          <w:rPr>
            <w:b w:val="0"/>
          </w:rPr>
          <w:t>3</w:t>
        </w:r>
        <w:r>
          <w:rPr>
            <w:b w:val="0"/>
          </w:rPr>
          <w:t>11</w:t>
        </w:r>
        <w:r w:rsidRPr="009E0757">
          <w:rPr>
            <w:b w:val="0"/>
          </w:rPr>
          <w:t>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664C" w14:textId="0403E3E1" w:rsidR="008402DC" w:rsidRDefault="008402D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92DFD">
      <w:rPr>
        <w:rStyle w:val="PageNumber"/>
        <w:noProof/>
      </w:rPr>
      <w:t>15</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539255"/>
      <w:docPartObj>
        <w:docPartGallery w:val="Page Numbers (Bottom of Page)"/>
        <w:docPartUnique/>
      </w:docPartObj>
    </w:sdtPr>
    <w:sdtEndPr>
      <w:rPr>
        <w:noProof/>
      </w:rPr>
    </w:sdtEndPr>
    <w:sdtContent>
      <w:p w14:paraId="14AEA514" w14:textId="1406F231" w:rsidR="008402DC" w:rsidRDefault="008402DC" w:rsidP="00174DCA">
        <w:pPr>
          <w:pStyle w:val="Footer-pool"/>
        </w:pPr>
        <w:r>
          <w:fldChar w:fldCharType="begin"/>
        </w:r>
        <w:r>
          <w:instrText xml:space="preserve"> PAGE   \* MERGEFORMAT </w:instrText>
        </w:r>
        <w:r>
          <w:fldChar w:fldCharType="separate"/>
        </w:r>
        <w:r w:rsidR="00A92DFD">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371454"/>
      <w:docPartObj>
        <w:docPartGallery w:val="Page Numbers (Bottom of Page)"/>
        <w:docPartUnique/>
      </w:docPartObj>
    </w:sdtPr>
    <w:sdtEndPr>
      <w:rPr>
        <w:noProof/>
      </w:rPr>
    </w:sdtEndPr>
    <w:sdtContent>
      <w:p w14:paraId="0649769A" w14:textId="6D7DEC28" w:rsidR="008402DC" w:rsidRDefault="008402DC" w:rsidP="00174DCA">
        <w:pPr>
          <w:pStyle w:val="Footer-pool"/>
        </w:pPr>
        <w:r>
          <w:fldChar w:fldCharType="begin"/>
        </w:r>
        <w:r>
          <w:instrText xml:space="preserve"> PAGE   \* MERGEFORMAT </w:instrText>
        </w:r>
        <w:r>
          <w:fldChar w:fldCharType="separate"/>
        </w:r>
        <w:r w:rsidR="00A92DFD">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4CEF9" w14:textId="77777777" w:rsidR="008402DC" w:rsidRPr="00174DCA" w:rsidRDefault="008402DC" w:rsidP="00174DCA">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174DCA">
        <w:rPr>
          <w:sz w:val="18"/>
          <w:szCs w:val="18"/>
        </w:rPr>
        <w:separator/>
      </w:r>
    </w:p>
  </w:footnote>
  <w:footnote w:type="continuationSeparator" w:id="0">
    <w:p w14:paraId="4470704F" w14:textId="77777777" w:rsidR="008402DC" w:rsidRDefault="008402DC">
      <w:r>
        <w:continuationSeparator/>
      </w:r>
    </w:p>
  </w:footnote>
  <w:footnote w:id="1">
    <w:p w14:paraId="64947AE8" w14:textId="77777777" w:rsidR="008402DC" w:rsidRPr="00174DCA" w:rsidRDefault="008402DC" w:rsidP="001D0FB8">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74DCA">
        <w:rPr>
          <w:sz w:val="18"/>
          <w:szCs w:val="18"/>
          <w:lang w:val="fr-FR"/>
        </w:rPr>
        <w:t xml:space="preserve">* </w:t>
      </w:r>
      <w:bookmarkStart w:id="4" w:name="_GoBack"/>
      <w:bookmarkEnd w:id="4"/>
      <w:r w:rsidRPr="00174DCA">
        <w:rPr>
          <w:sz w:val="18"/>
          <w:szCs w:val="18"/>
          <w:lang w:val="fr-FR"/>
        </w:rPr>
        <w:t>UNEP/MC/COP.3/1.</w:t>
      </w:r>
    </w:p>
  </w:footnote>
  <w:footnote w:id="2">
    <w:p w14:paraId="2F3BF5AB" w14:textId="5F1E49ED" w:rsidR="008402DC" w:rsidRPr="00423A85" w:rsidRDefault="008402DC" w:rsidP="00174DCA">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74DCA">
        <w:rPr>
          <w:sz w:val="18"/>
          <w:szCs w:val="18"/>
          <w:vertAlign w:val="superscript"/>
        </w:rPr>
        <w:footnoteRef/>
      </w:r>
      <w:r w:rsidRPr="00E65E72">
        <w:rPr>
          <w:sz w:val="18"/>
          <w:szCs w:val="18"/>
          <w:lang w:val="fr-FR"/>
        </w:rPr>
        <w:t xml:space="preserve"> BC-13/24, para. </w:t>
      </w:r>
      <w:proofErr w:type="gramStart"/>
      <w:r w:rsidRPr="00E65E72">
        <w:rPr>
          <w:sz w:val="18"/>
          <w:szCs w:val="18"/>
          <w:lang w:val="fr-FR"/>
        </w:rPr>
        <w:t>13;</w:t>
      </w:r>
      <w:proofErr w:type="gramEnd"/>
      <w:r w:rsidRPr="00E65E72">
        <w:rPr>
          <w:sz w:val="18"/>
          <w:szCs w:val="18"/>
          <w:lang w:val="fr-FR"/>
        </w:rPr>
        <w:t xml:space="preserve"> RC-8/17, para. </w:t>
      </w:r>
      <w:proofErr w:type="gramStart"/>
      <w:r w:rsidRPr="00E65E72">
        <w:rPr>
          <w:sz w:val="18"/>
          <w:szCs w:val="18"/>
          <w:lang w:val="fr-FR"/>
        </w:rPr>
        <w:t>17;</w:t>
      </w:r>
      <w:proofErr w:type="gramEnd"/>
      <w:r w:rsidRPr="00E65E72">
        <w:rPr>
          <w:sz w:val="18"/>
          <w:szCs w:val="18"/>
          <w:lang w:val="fr-FR"/>
        </w:rPr>
        <w:t xml:space="preserve"> SC-8/27, para. </w:t>
      </w:r>
      <w:r w:rsidRPr="00174DCA">
        <w:rPr>
          <w:sz w:val="18"/>
          <w:szCs w:val="18"/>
          <w:lang w:val="fr-FR"/>
        </w:rPr>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2DDB005" w:rsidR="008402DC" w:rsidRPr="00CA5CA9" w:rsidRDefault="008402DC" w:rsidP="001224E5">
    <w:pPr>
      <w:pStyle w:val="Header-pool"/>
    </w:pPr>
    <w:r w:rsidRPr="00353EC0">
      <w:rPr>
        <w:bCs/>
      </w:rPr>
      <w:t>UNEP</w:t>
    </w:r>
    <w:r w:rsidRPr="00353EC0">
      <w:t>/MC/COP.3/</w:t>
    </w:r>
    <w: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DB677D2" w:rsidR="008402DC" w:rsidRPr="00CA5CA9" w:rsidRDefault="008402DC" w:rsidP="00F7137B">
    <w:pPr>
      <w:pStyle w:val="Header"/>
      <w:jc w:val="right"/>
      <w:rPr>
        <w:szCs w:val="18"/>
      </w:rPr>
    </w:pPr>
    <w:r w:rsidRPr="00353EC0">
      <w:rPr>
        <w:bCs/>
        <w:szCs w:val="18"/>
      </w:rPr>
      <w:t>UNEP</w:t>
    </w:r>
    <w:r w:rsidRPr="00353EC0">
      <w:rPr>
        <w:szCs w:val="18"/>
      </w:rPr>
      <w:t>/MC/COP.3/</w:t>
    </w:r>
    <w:r>
      <w:rPr>
        <w:szCs w:val="18"/>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40E479B" w:rsidR="008402DC" w:rsidRPr="009E0757" w:rsidRDefault="008402DC" w:rsidP="009E0757">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639BF" w14:textId="128505F8" w:rsidR="008402DC" w:rsidRPr="005F2B12" w:rsidRDefault="008402DC" w:rsidP="005F2B12">
    <w:pPr>
      <w:pStyle w:val="Header"/>
      <w:rPr>
        <w:szCs w:val="18"/>
      </w:rPr>
    </w:pPr>
    <w:r w:rsidRPr="00353EC0">
      <w:rPr>
        <w:bCs/>
        <w:szCs w:val="18"/>
      </w:rPr>
      <w:t>UNEP</w:t>
    </w:r>
    <w:r w:rsidRPr="00353EC0">
      <w:rPr>
        <w:szCs w:val="18"/>
      </w:rPr>
      <w:t>/MC/COP.3/</w:t>
    </w:r>
    <w:r>
      <w:rPr>
        <w:szCs w:val="18"/>
      </w:rPr>
      <w:t>16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F0998" w14:textId="2ACE9BA0" w:rsidR="008402DC" w:rsidRPr="00CA5CA9" w:rsidRDefault="008402DC" w:rsidP="00F7137B">
    <w:pPr>
      <w:pStyle w:val="Header"/>
      <w:jc w:val="right"/>
      <w:rPr>
        <w:szCs w:val="18"/>
      </w:rPr>
    </w:pPr>
    <w:r w:rsidRPr="00353EC0">
      <w:rPr>
        <w:bCs/>
        <w:szCs w:val="18"/>
      </w:rPr>
      <w:t>UNEP</w:t>
    </w:r>
    <w:r w:rsidRPr="00353EC0">
      <w:rPr>
        <w:szCs w:val="18"/>
      </w:rPr>
      <w:t>/MC/COP.3/</w:t>
    </w:r>
    <w:r>
      <w:rPr>
        <w:szCs w:val="18"/>
      </w:rPr>
      <w:t>16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0B05C" w14:textId="5C1FA27B" w:rsidR="008402DC" w:rsidRPr="009E0757" w:rsidRDefault="008402DC" w:rsidP="009E0757">
    <w:pPr>
      <w:pStyle w:val="Header"/>
      <w:rPr>
        <w:szCs w:val="18"/>
      </w:rPr>
    </w:pPr>
    <w:r w:rsidRPr="00353EC0">
      <w:rPr>
        <w:bCs/>
        <w:szCs w:val="18"/>
      </w:rPr>
      <w:t>UNEP</w:t>
    </w:r>
    <w:r w:rsidRPr="00353EC0">
      <w:rPr>
        <w:szCs w:val="18"/>
      </w:rPr>
      <w:t>/MC/COP.3/</w:t>
    </w:r>
    <w:r>
      <w:rPr>
        <w:szCs w:val="18"/>
      </w:rPr>
      <w:t>16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E07E" w14:textId="16FEB715" w:rsidR="008402DC" w:rsidRPr="005F2B12" w:rsidRDefault="008402DC" w:rsidP="005F2B12">
    <w:pPr>
      <w:pStyle w:val="Header"/>
      <w:rPr>
        <w:szCs w:val="18"/>
      </w:rPr>
    </w:pPr>
    <w:r w:rsidRPr="00353EC0">
      <w:rPr>
        <w:bCs/>
        <w:szCs w:val="18"/>
      </w:rPr>
      <w:t>UNEP</w:t>
    </w:r>
    <w:r w:rsidRPr="00353EC0">
      <w:rPr>
        <w:szCs w:val="18"/>
      </w:rPr>
      <w:t>/MC/COP.3/</w:t>
    </w:r>
    <w:r>
      <w:rPr>
        <w:szCs w:val="18"/>
      </w:rPr>
      <w:t>16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0EACC" w14:textId="02B04940" w:rsidR="008402DC" w:rsidRPr="005F2B12" w:rsidRDefault="008402DC" w:rsidP="005F2B12">
    <w:pPr>
      <w:pStyle w:val="Header"/>
      <w:jc w:val="right"/>
      <w:rPr>
        <w:szCs w:val="18"/>
      </w:rPr>
    </w:pPr>
    <w:r w:rsidRPr="00353EC0">
      <w:rPr>
        <w:bCs/>
        <w:szCs w:val="18"/>
      </w:rPr>
      <w:t>UNEP</w:t>
    </w:r>
    <w:r w:rsidRPr="00353EC0">
      <w:rPr>
        <w:szCs w:val="18"/>
      </w:rPr>
      <w:t>/MC/COP.3/</w:t>
    </w:r>
    <w:r>
      <w:rPr>
        <w:szCs w:val="18"/>
      </w:rPr>
      <w:t>16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06380" w14:textId="53350F08" w:rsidR="008402DC" w:rsidRPr="009E0757" w:rsidRDefault="008402DC" w:rsidP="009E0757">
    <w:pPr>
      <w:pStyle w:val="Header"/>
      <w:rPr>
        <w:szCs w:val="18"/>
      </w:rPr>
    </w:pPr>
    <w:r w:rsidRPr="00353EC0">
      <w:rPr>
        <w:bCs/>
        <w:szCs w:val="18"/>
      </w:rPr>
      <w:t>UNEP</w:t>
    </w:r>
    <w:r w:rsidRPr="00353EC0">
      <w:rPr>
        <w:szCs w:val="18"/>
      </w:rPr>
      <w:t>/MC/COP.3/</w:t>
    </w:r>
    <w:r>
      <w:rPr>
        <w:szCs w:val="18"/>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C58"/>
    <w:multiLevelType w:val="hybridMultilevel"/>
    <w:tmpl w:val="110C4B44"/>
    <w:lvl w:ilvl="0" w:tplc="73CAA2FC">
      <w:start w:val="3"/>
      <w:numFmt w:val="upperLetter"/>
      <w:lvlText w:val="%1."/>
      <w:lvlJc w:val="left"/>
      <w:pPr>
        <w:ind w:left="2102" w:hanging="360"/>
      </w:pPr>
      <w:rPr>
        <w:rFonts w:hint="default"/>
      </w:rPr>
    </w:lvl>
    <w:lvl w:ilvl="1" w:tplc="08090019" w:tentative="1">
      <w:start w:val="1"/>
      <w:numFmt w:val="lowerLetter"/>
      <w:lvlText w:val="%2."/>
      <w:lvlJc w:val="left"/>
      <w:pPr>
        <w:ind w:left="2822" w:hanging="360"/>
      </w:pPr>
    </w:lvl>
    <w:lvl w:ilvl="2" w:tplc="0809001B" w:tentative="1">
      <w:start w:val="1"/>
      <w:numFmt w:val="lowerRoman"/>
      <w:lvlText w:val="%3."/>
      <w:lvlJc w:val="right"/>
      <w:pPr>
        <w:ind w:left="3542" w:hanging="180"/>
      </w:pPr>
    </w:lvl>
    <w:lvl w:ilvl="3" w:tplc="0809000F" w:tentative="1">
      <w:start w:val="1"/>
      <w:numFmt w:val="decimal"/>
      <w:lvlText w:val="%4."/>
      <w:lvlJc w:val="left"/>
      <w:pPr>
        <w:ind w:left="4262" w:hanging="360"/>
      </w:pPr>
    </w:lvl>
    <w:lvl w:ilvl="4" w:tplc="08090019" w:tentative="1">
      <w:start w:val="1"/>
      <w:numFmt w:val="lowerLetter"/>
      <w:lvlText w:val="%5."/>
      <w:lvlJc w:val="left"/>
      <w:pPr>
        <w:ind w:left="4982" w:hanging="360"/>
      </w:pPr>
    </w:lvl>
    <w:lvl w:ilvl="5" w:tplc="0809001B" w:tentative="1">
      <w:start w:val="1"/>
      <w:numFmt w:val="lowerRoman"/>
      <w:lvlText w:val="%6."/>
      <w:lvlJc w:val="right"/>
      <w:pPr>
        <w:ind w:left="5702" w:hanging="180"/>
      </w:pPr>
    </w:lvl>
    <w:lvl w:ilvl="6" w:tplc="0809000F" w:tentative="1">
      <w:start w:val="1"/>
      <w:numFmt w:val="decimal"/>
      <w:lvlText w:val="%7."/>
      <w:lvlJc w:val="left"/>
      <w:pPr>
        <w:ind w:left="6422" w:hanging="360"/>
      </w:pPr>
    </w:lvl>
    <w:lvl w:ilvl="7" w:tplc="08090019" w:tentative="1">
      <w:start w:val="1"/>
      <w:numFmt w:val="lowerLetter"/>
      <w:lvlText w:val="%8."/>
      <w:lvlJc w:val="left"/>
      <w:pPr>
        <w:ind w:left="7142" w:hanging="360"/>
      </w:pPr>
    </w:lvl>
    <w:lvl w:ilvl="8" w:tplc="0809001B" w:tentative="1">
      <w:start w:val="1"/>
      <w:numFmt w:val="lowerRoman"/>
      <w:lvlText w:val="%9."/>
      <w:lvlJc w:val="right"/>
      <w:pPr>
        <w:ind w:left="7862" w:hanging="180"/>
      </w:pPr>
    </w:lvl>
  </w:abstractNum>
  <w:abstractNum w:abstractNumId="1" w15:restartNumberingAfterBreak="0">
    <w:nsid w:val="0AFE6C14"/>
    <w:multiLevelType w:val="multilevel"/>
    <w:tmpl w:val="0B1C823A"/>
    <w:lvl w:ilvl="0">
      <w:start w:val="1"/>
      <w:numFmt w:val="lowerLetter"/>
      <w:lvlText w:val="(%1)"/>
      <w:lvlJc w:val="left"/>
      <w:pPr>
        <w:tabs>
          <w:tab w:val="num" w:pos="1758"/>
        </w:tabs>
        <w:ind w:left="1871" w:firstLine="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2" w15:restartNumberingAfterBreak="0">
    <w:nsid w:val="0EDD6AFC"/>
    <w:multiLevelType w:val="hybridMultilevel"/>
    <w:tmpl w:val="599E6AF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42E80D86"/>
    <w:multiLevelType w:val="hybridMultilevel"/>
    <w:tmpl w:val="FE5EF4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82232A"/>
    <w:multiLevelType w:val="hybridMultilevel"/>
    <w:tmpl w:val="11740C70"/>
    <w:lvl w:ilvl="0" w:tplc="FFAACE82">
      <w:start w:val="1"/>
      <w:numFmt w:val="upperLetter"/>
      <w:lvlText w:val="%1."/>
      <w:lvlJc w:val="left"/>
      <w:pPr>
        <w:ind w:left="1742" w:hanging="360"/>
      </w:pPr>
      <w:rPr>
        <w:rFonts w:hint="default"/>
        <w:b/>
      </w:rPr>
    </w:lvl>
    <w:lvl w:ilvl="1" w:tplc="08090019" w:tentative="1">
      <w:start w:val="1"/>
      <w:numFmt w:val="lowerLetter"/>
      <w:lvlText w:val="%2."/>
      <w:lvlJc w:val="left"/>
      <w:pPr>
        <w:ind w:left="2462" w:hanging="360"/>
      </w:pPr>
    </w:lvl>
    <w:lvl w:ilvl="2" w:tplc="0809001B" w:tentative="1">
      <w:start w:val="1"/>
      <w:numFmt w:val="lowerRoman"/>
      <w:lvlText w:val="%3."/>
      <w:lvlJc w:val="right"/>
      <w:pPr>
        <w:ind w:left="3182" w:hanging="180"/>
      </w:pPr>
    </w:lvl>
    <w:lvl w:ilvl="3" w:tplc="0809000F" w:tentative="1">
      <w:start w:val="1"/>
      <w:numFmt w:val="decimal"/>
      <w:lvlText w:val="%4."/>
      <w:lvlJc w:val="left"/>
      <w:pPr>
        <w:ind w:left="3902" w:hanging="360"/>
      </w:pPr>
    </w:lvl>
    <w:lvl w:ilvl="4" w:tplc="08090019" w:tentative="1">
      <w:start w:val="1"/>
      <w:numFmt w:val="lowerLetter"/>
      <w:lvlText w:val="%5."/>
      <w:lvlJc w:val="left"/>
      <w:pPr>
        <w:ind w:left="4622" w:hanging="360"/>
      </w:pPr>
    </w:lvl>
    <w:lvl w:ilvl="5" w:tplc="0809001B" w:tentative="1">
      <w:start w:val="1"/>
      <w:numFmt w:val="lowerRoman"/>
      <w:lvlText w:val="%6."/>
      <w:lvlJc w:val="right"/>
      <w:pPr>
        <w:ind w:left="5342" w:hanging="180"/>
      </w:pPr>
    </w:lvl>
    <w:lvl w:ilvl="6" w:tplc="0809000F" w:tentative="1">
      <w:start w:val="1"/>
      <w:numFmt w:val="decimal"/>
      <w:lvlText w:val="%7."/>
      <w:lvlJc w:val="left"/>
      <w:pPr>
        <w:ind w:left="6062" w:hanging="360"/>
      </w:pPr>
    </w:lvl>
    <w:lvl w:ilvl="7" w:tplc="08090019" w:tentative="1">
      <w:start w:val="1"/>
      <w:numFmt w:val="lowerLetter"/>
      <w:lvlText w:val="%8."/>
      <w:lvlJc w:val="left"/>
      <w:pPr>
        <w:ind w:left="6782" w:hanging="360"/>
      </w:pPr>
    </w:lvl>
    <w:lvl w:ilvl="8" w:tplc="0809001B" w:tentative="1">
      <w:start w:val="1"/>
      <w:numFmt w:val="lowerRoman"/>
      <w:lvlText w:val="%9."/>
      <w:lvlJc w:val="right"/>
      <w:pPr>
        <w:ind w:left="7502" w:hanging="180"/>
      </w:pPr>
    </w:lvl>
  </w:abstractNum>
  <w:abstractNum w:abstractNumId="7" w15:restartNumberingAfterBreak="0">
    <w:nsid w:val="52A66A9D"/>
    <w:multiLevelType w:val="multilevel"/>
    <w:tmpl w:val="D07A6E4C"/>
    <w:styleLink w:val="Normallist"/>
    <w:lvl w:ilvl="0">
      <w:start w:val="1"/>
      <w:numFmt w:val="decimal"/>
      <w:pStyle w:val="Normalnumber"/>
      <w:lvlText w:val="%1."/>
      <w:lvlJc w:val="left"/>
      <w:pPr>
        <w:tabs>
          <w:tab w:val="num" w:pos="597"/>
        </w:tabs>
        <w:ind w:left="710" w:firstLine="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8" w15:restartNumberingAfterBreak="0">
    <w:nsid w:val="7B7762DC"/>
    <w:multiLevelType w:val="hybridMultilevel"/>
    <w:tmpl w:val="0D7CA32E"/>
    <w:lvl w:ilvl="0" w:tplc="C7C6B084">
      <w:start w:val="1"/>
      <w:numFmt w:val="decimal"/>
      <w:lvlText w:val="%1."/>
      <w:lvlJc w:val="left"/>
      <w:pPr>
        <w:ind w:left="630" w:hanging="630"/>
      </w:pPr>
      <w:rPr>
        <w:rFonts w:hint="default"/>
      </w:rPr>
    </w:lvl>
    <w:lvl w:ilvl="1" w:tplc="04090019">
      <w:start w:val="1"/>
      <w:numFmt w:val="lowerLetter"/>
      <w:lvlText w:val="%2."/>
      <w:lvlJc w:val="left"/>
      <w:pPr>
        <w:ind w:left="938" w:hanging="360"/>
      </w:pPr>
    </w:lvl>
    <w:lvl w:ilvl="2" w:tplc="0409001B">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15:restartNumberingAfterBreak="0">
    <w:nsid w:val="7F3D277F"/>
    <w:multiLevelType w:val="hybridMultilevel"/>
    <w:tmpl w:val="0186B3F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3"/>
  </w:num>
  <w:num w:numId="3">
    <w:abstractNumId w:val="4"/>
  </w:num>
  <w:num w:numId="4">
    <w:abstractNumId w:val="7"/>
  </w:num>
  <w:num w:numId="5">
    <w:abstractNumId w:val="2"/>
  </w:num>
  <w:num w:numId="6">
    <w:abstractNumId w:val="5"/>
  </w:num>
  <w:num w:numId="7">
    <w:abstractNumId w:val="9"/>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0"/>
  </w:num>
  <w:num w:numId="53">
    <w:abstractNumId w:val="7"/>
    <w:lvlOverride w:ilvl="0">
      <w:startOverride w:val="5"/>
    </w:lvlOverride>
  </w:num>
  <w:num w:numId="54">
    <w:abstractNumId w:val="7"/>
  </w:num>
  <w:num w:numId="55">
    <w:abstractNumId w:val="7"/>
  </w:num>
  <w:num w:numId="56">
    <w:abstractNumId w:val="7"/>
  </w:num>
  <w:num w:numId="57">
    <w:abstractNumId w:val="7"/>
  </w:num>
  <w:num w:numId="58">
    <w:abstractNumId w:val="7"/>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num>
  <w:num w:numId="79">
    <w:abstractNumId w:val="7"/>
  </w:num>
  <w:num w:numId="80">
    <w:abstractNumId w:val="7"/>
  </w:num>
  <w:num w:numId="81">
    <w:abstractNumId w:val="7"/>
  </w:num>
  <w:num w:numId="82">
    <w:abstractNumId w:val="7"/>
  </w:num>
  <w:num w:numId="83">
    <w:abstractNumId w:val="7"/>
  </w:num>
  <w:num w:numId="84">
    <w:abstractNumId w:val="7"/>
  </w:num>
  <w:num w:numId="85">
    <w:abstractNumId w:val="7"/>
  </w:num>
  <w:num w:numId="86">
    <w:abstractNumId w:val="7"/>
  </w:num>
  <w:num w:numId="87">
    <w:abstractNumId w:val="7"/>
  </w:num>
  <w:num w:numId="88">
    <w:abstractNumId w:val="7"/>
  </w:num>
  <w:num w:numId="89">
    <w:abstractNumId w:val="7"/>
  </w:num>
  <w:num w:numId="90">
    <w:abstractNumId w:val="7"/>
  </w:num>
  <w:num w:numId="91">
    <w:abstractNumId w:val="7"/>
  </w:num>
  <w:num w:numId="92">
    <w:abstractNumId w:val="7"/>
  </w:num>
  <w:num w:numId="93">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6A34"/>
    <w:rsid w:val="000077AD"/>
    <w:rsid w:val="00011A16"/>
    <w:rsid w:val="000149E6"/>
    <w:rsid w:val="00023DA9"/>
    <w:rsid w:val="000247B0"/>
    <w:rsid w:val="000262CA"/>
    <w:rsid w:val="00026997"/>
    <w:rsid w:val="00026A08"/>
    <w:rsid w:val="00032E4E"/>
    <w:rsid w:val="00033E0B"/>
    <w:rsid w:val="00035EDE"/>
    <w:rsid w:val="00036F45"/>
    <w:rsid w:val="00040714"/>
    <w:rsid w:val="000426F7"/>
    <w:rsid w:val="000509B4"/>
    <w:rsid w:val="00053603"/>
    <w:rsid w:val="0005736C"/>
    <w:rsid w:val="0006035B"/>
    <w:rsid w:val="0006096F"/>
    <w:rsid w:val="000649C5"/>
    <w:rsid w:val="000656E9"/>
    <w:rsid w:val="00071886"/>
    <w:rsid w:val="000742BC"/>
    <w:rsid w:val="00076CC6"/>
    <w:rsid w:val="00076D1E"/>
    <w:rsid w:val="00082A0C"/>
    <w:rsid w:val="00083504"/>
    <w:rsid w:val="0009472F"/>
    <w:rsid w:val="0009640C"/>
    <w:rsid w:val="000A2E65"/>
    <w:rsid w:val="000A5B3E"/>
    <w:rsid w:val="000A7C0C"/>
    <w:rsid w:val="000A7F53"/>
    <w:rsid w:val="000B22A2"/>
    <w:rsid w:val="000B269A"/>
    <w:rsid w:val="000B541B"/>
    <w:rsid w:val="000B6EC4"/>
    <w:rsid w:val="000B73F9"/>
    <w:rsid w:val="000B7CD4"/>
    <w:rsid w:val="000C2A52"/>
    <w:rsid w:val="000C2A88"/>
    <w:rsid w:val="000C64D7"/>
    <w:rsid w:val="000C6F5D"/>
    <w:rsid w:val="000D0D72"/>
    <w:rsid w:val="000D33C0"/>
    <w:rsid w:val="000D4CC3"/>
    <w:rsid w:val="000D4CF6"/>
    <w:rsid w:val="000D6941"/>
    <w:rsid w:val="000E1565"/>
    <w:rsid w:val="000E752A"/>
    <w:rsid w:val="000F1622"/>
    <w:rsid w:val="000F4829"/>
    <w:rsid w:val="000F6B21"/>
    <w:rsid w:val="00102EFB"/>
    <w:rsid w:val="001202E3"/>
    <w:rsid w:val="001224E5"/>
    <w:rsid w:val="00123699"/>
    <w:rsid w:val="001241FB"/>
    <w:rsid w:val="0013059D"/>
    <w:rsid w:val="00134A4C"/>
    <w:rsid w:val="00136187"/>
    <w:rsid w:val="00141A55"/>
    <w:rsid w:val="001420F5"/>
    <w:rsid w:val="0014293F"/>
    <w:rsid w:val="0014397D"/>
    <w:rsid w:val="001446A3"/>
    <w:rsid w:val="001513E7"/>
    <w:rsid w:val="00152B6B"/>
    <w:rsid w:val="00155395"/>
    <w:rsid w:val="00155A2F"/>
    <w:rsid w:val="0015682A"/>
    <w:rsid w:val="00156B6B"/>
    <w:rsid w:val="00160D74"/>
    <w:rsid w:val="001639C5"/>
    <w:rsid w:val="001646EA"/>
    <w:rsid w:val="00167D02"/>
    <w:rsid w:val="001702FF"/>
    <w:rsid w:val="00174DCA"/>
    <w:rsid w:val="001759D8"/>
    <w:rsid w:val="00177D7F"/>
    <w:rsid w:val="00180C3F"/>
    <w:rsid w:val="00181EC8"/>
    <w:rsid w:val="00183C35"/>
    <w:rsid w:val="00184349"/>
    <w:rsid w:val="00184AA5"/>
    <w:rsid w:val="00195F33"/>
    <w:rsid w:val="001A13FB"/>
    <w:rsid w:val="001A47E5"/>
    <w:rsid w:val="001B1617"/>
    <w:rsid w:val="001B504B"/>
    <w:rsid w:val="001B6F98"/>
    <w:rsid w:val="001C191A"/>
    <w:rsid w:val="001D0FB8"/>
    <w:rsid w:val="001D3874"/>
    <w:rsid w:val="001D7E75"/>
    <w:rsid w:val="001E0D73"/>
    <w:rsid w:val="001E45BD"/>
    <w:rsid w:val="001E56D2"/>
    <w:rsid w:val="001E7D56"/>
    <w:rsid w:val="001F092B"/>
    <w:rsid w:val="001F5186"/>
    <w:rsid w:val="001F75DE"/>
    <w:rsid w:val="00200D58"/>
    <w:rsid w:val="002011C1"/>
    <w:rsid w:val="002013BE"/>
    <w:rsid w:val="00201EDC"/>
    <w:rsid w:val="002063A4"/>
    <w:rsid w:val="0021145B"/>
    <w:rsid w:val="00217EE5"/>
    <w:rsid w:val="00220C23"/>
    <w:rsid w:val="002247F6"/>
    <w:rsid w:val="00225E21"/>
    <w:rsid w:val="00225E44"/>
    <w:rsid w:val="00234E78"/>
    <w:rsid w:val="00240774"/>
    <w:rsid w:val="00242EB0"/>
    <w:rsid w:val="00243D36"/>
    <w:rsid w:val="00246151"/>
    <w:rsid w:val="002467F6"/>
    <w:rsid w:val="00247707"/>
    <w:rsid w:val="00252456"/>
    <w:rsid w:val="0025796F"/>
    <w:rsid w:val="0026018E"/>
    <w:rsid w:val="0026065A"/>
    <w:rsid w:val="00260D32"/>
    <w:rsid w:val="00286740"/>
    <w:rsid w:val="00286E99"/>
    <w:rsid w:val="00291EAE"/>
    <w:rsid w:val="002929D8"/>
    <w:rsid w:val="0029505F"/>
    <w:rsid w:val="002A237D"/>
    <w:rsid w:val="002A4C53"/>
    <w:rsid w:val="002A7F81"/>
    <w:rsid w:val="002B0672"/>
    <w:rsid w:val="002B247F"/>
    <w:rsid w:val="002B414B"/>
    <w:rsid w:val="002B50D4"/>
    <w:rsid w:val="002B5893"/>
    <w:rsid w:val="002B58BF"/>
    <w:rsid w:val="002B76E6"/>
    <w:rsid w:val="002C145D"/>
    <w:rsid w:val="002C2C3E"/>
    <w:rsid w:val="002C4BA9"/>
    <w:rsid w:val="002C533E"/>
    <w:rsid w:val="002C53A6"/>
    <w:rsid w:val="002D027F"/>
    <w:rsid w:val="002D3E15"/>
    <w:rsid w:val="002D7A85"/>
    <w:rsid w:val="002D7B60"/>
    <w:rsid w:val="002E1C16"/>
    <w:rsid w:val="002F009F"/>
    <w:rsid w:val="002F0810"/>
    <w:rsid w:val="002F1113"/>
    <w:rsid w:val="002F329F"/>
    <w:rsid w:val="002F4761"/>
    <w:rsid w:val="002F5C79"/>
    <w:rsid w:val="002F5C89"/>
    <w:rsid w:val="002F68EE"/>
    <w:rsid w:val="003019E2"/>
    <w:rsid w:val="00310BEB"/>
    <w:rsid w:val="00311085"/>
    <w:rsid w:val="0031413F"/>
    <w:rsid w:val="00314854"/>
    <w:rsid w:val="003148BB"/>
    <w:rsid w:val="00317976"/>
    <w:rsid w:val="00320F2F"/>
    <w:rsid w:val="0032457E"/>
    <w:rsid w:val="00325D38"/>
    <w:rsid w:val="003470E4"/>
    <w:rsid w:val="0035277E"/>
    <w:rsid w:val="00353A22"/>
    <w:rsid w:val="00353EC0"/>
    <w:rsid w:val="00355EA9"/>
    <w:rsid w:val="003578DE"/>
    <w:rsid w:val="00361688"/>
    <w:rsid w:val="003634DB"/>
    <w:rsid w:val="003751CA"/>
    <w:rsid w:val="00380921"/>
    <w:rsid w:val="003843DC"/>
    <w:rsid w:val="0038455F"/>
    <w:rsid w:val="00386847"/>
    <w:rsid w:val="003877D5"/>
    <w:rsid w:val="003929B8"/>
    <w:rsid w:val="00393432"/>
    <w:rsid w:val="00396257"/>
    <w:rsid w:val="00397EB8"/>
    <w:rsid w:val="003A2EB5"/>
    <w:rsid w:val="003A4FD0"/>
    <w:rsid w:val="003A69D1"/>
    <w:rsid w:val="003A7705"/>
    <w:rsid w:val="003A77F1"/>
    <w:rsid w:val="003B1545"/>
    <w:rsid w:val="003C3219"/>
    <w:rsid w:val="003C409D"/>
    <w:rsid w:val="003C4544"/>
    <w:rsid w:val="003C5583"/>
    <w:rsid w:val="003C5BA6"/>
    <w:rsid w:val="003C6AE9"/>
    <w:rsid w:val="003C74CF"/>
    <w:rsid w:val="003D3752"/>
    <w:rsid w:val="003D4112"/>
    <w:rsid w:val="003D4888"/>
    <w:rsid w:val="003E35DA"/>
    <w:rsid w:val="003E455D"/>
    <w:rsid w:val="003F0E85"/>
    <w:rsid w:val="00410C55"/>
    <w:rsid w:val="00416854"/>
    <w:rsid w:val="00417725"/>
    <w:rsid w:val="0042266F"/>
    <w:rsid w:val="00423A85"/>
    <w:rsid w:val="00433B5A"/>
    <w:rsid w:val="00434321"/>
    <w:rsid w:val="00437F26"/>
    <w:rsid w:val="004422BC"/>
    <w:rsid w:val="00444097"/>
    <w:rsid w:val="00445487"/>
    <w:rsid w:val="0044583D"/>
    <w:rsid w:val="00447E0D"/>
    <w:rsid w:val="00453EA8"/>
    <w:rsid w:val="00454769"/>
    <w:rsid w:val="00456D0A"/>
    <w:rsid w:val="0046331A"/>
    <w:rsid w:val="0046655E"/>
    <w:rsid w:val="00466991"/>
    <w:rsid w:val="004677DA"/>
    <w:rsid w:val="0047064C"/>
    <w:rsid w:val="00470DF7"/>
    <w:rsid w:val="00474B2D"/>
    <w:rsid w:val="004822B7"/>
    <w:rsid w:val="00482CF5"/>
    <w:rsid w:val="004937D4"/>
    <w:rsid w:val="0049469E"/>
    <w:rsid w:val="004A0684"/>
    <w:rsid w:val="004A1C24"/>
    <w:rsid w:val="004A2217"/>
    <w:rsid w:val="004A24F9"/>
    <w:rsid w:val="004A2E3D"/>
    <w:rsid w:val="004A42E1"/>
    <w:rsid w:val="004B162C"/>
    <w:rsid w:val="004B2ABE"/>
    <w:rsid w:val="004B734B"/>
    <w:rsid w:val="004C173E"/>
    <w:rsid w:val="004C3DBE"/>
    <w:rsid w:val="004C4461"/>
    <w:rsid w:val="004C5C96"/>
    <w:rsid w:val="004D06A4"/>
    <w:rsid w:val="004E00A9"/>
    <w:rsid w:val="004F09E7"/>
    <w:rsid w:val="004F1A81"/>
    <w:rsid w:val="004F5D88"/>
    <w:rsid w:val="00501354"/>
    <w:rsid w:val="005050D2"/>
    <w:rsid w:val="005218D9"/>
    <w:rsid w:val="005239F4"/>
    <w:rsid w:val="00536186"/>
    <w:rsid w:val="00537709"/>
    <w:rsid w:val="00544CBB"/>
    <w:rsid w:val="0054668D"/>
    <w:rsid w:val="00551B65"/>
    <w:rsid w:val="00553C23"/>
    <w:rsid w:val="00555873"/>
    <w:rsid w:val="00556704"/>
    <w:rsid w:val="005656D7"/>
    <w:rsid w:val="005677F3"/>
    <w:rsid w:val="0057315F"/>
    <w:rsid w:val="00574550"/>
    <w:rsid w:val="00576104"/>
    <w:rsid w:val="00582F7B"/>
    <w:rsid w:val="00586418"/>
    <w:rsid w:val="00592B21"/>
    <w:rsid w:val="00593268"/>
    <w:rsid w:val="005A70CE"/>
    <w:rsid w:val="005B2DF4"/>
    <w:rsid w:val="005B44BF"/>
    <w:rsid w:val="005C1767"/>
    <w:rsid w:val="005C67C8"/>
    <w:rsid w:val="005D00E7"/>
    <w:rsid w:val="005D0249"/>
    <w:rsid w:val="005D18FA"/>
    <w:rsid w:val="005D370B"/>
    <w:rsid w:val="005D4FD4"/>
    <w:rsid w:val="005D6E8C"/>
    <w:rsid w:val="005E3004"/>
    <w:rsid w:val="005E458E"/>
    <w:rsid w:val="005E4AAB"/>
    <w:rsid w:val="005F100C"/>
    <w:rsid w:val="005F2B12"/>
    <w:rsid w:val="005F43AA"/>
    <w:rsid w:val="005F68DA"/>
    <w:rsid w:val="005F7419"/>
    <w:rsid w:val="00601BC9"/>
    <w:rsid w:val="00605CD0"/>
    <w:rsid w:val="0060773B"/>
    <w:rsid w:val="00610ED5"/>
    <w:rsid w:val="00613FD6"/>
    <w:rsid w:val="006157B5"/>
    <w:rsid w:val="00617224"/>
    <w:rsid w:val="00623F8B"/>
    <w:rsid w:val="00626FC6"/>
    <w:rsid w:val="006303B4"/>
    <w:rsid w:val="00630ADC"/>
    <w:rsid w:val="00633D3D"/>
    <w:rsid w:val="00634E0D"/>
    <w:rsid w:val="00641703"/>
    <w:rsid w:val="006431A6"/>
    <w:rsid w:val="00643E3A"/>
    <w:rsid w:val="006459F6"/>
    <w:rsid w:val="0064729A"/>
    <w:rsid w:val="006501AD"/>
    <w:rsid w:val="00651BFA"/>
    <w:rsid w:val="00652ED8"/>
    <w:rsid w:val="00654475"/>
    <w:rsid w:val="00656DF0"/>
    <w:rsid w:val="00657C85"/>
    <w:rsid w:val="00662268"/>
    <w:rsid w:val="006640F3"/>
    <w:rsid w:val="00665A4B"/>
    <w:rsid w:val="00670FAE"/>
    <w:rsid w:val="006774BF"/>
    <w:rsid w:val="00687A7E"/>
    <w:rsid w:val="006919EF"/>
    <w:rsid w:val="00692E2A"/>
    <w:rsid w:val="0069496A"/>
    <w:rsid w:val="00696C1C"/>
    <w:rsid w:val="006A76F2"/>
    <w:rsid w:val="006B7D29"/>
    <w:rsid w:val="006D19D4"/>
    <w:rsid w:val="006D2451"/>
    <w:rsid w:val="006D3B59"/>
    <w:rsid w:val="006D5644"/>
    <w:rsid w:val="006D5EEB"/>
    <w:rsid w:val="006D628F"/>
    <w:rsid w:val="006D6321"/>
    <w:rsid w:val="006D7EF4"/>
    <w:rsid w:val="006D7EFB"/>
    <w:rsid w:val="006E6672"/>
    <w:rsid w:val="006E6722"/>
    <w:rsid w:val="006E7390"/>
    <w:rsid w:val="006F1E58"/>
    <w:rsid w:val="006F7AFF"/>
    <w:rsid w:val="006F7D7F"/>
    <w:rsid w:val="007027B9"/>
    <w:rsid w:val="0070644F"/>
    <w:rsid w:val="007066B5"/>
    <w:rsid w:val="007145DA"/>
    <w:rsid w:val="00715E88"/>
    <w:rsid w:val="00716D8B"/>
    <w:rsid w:val="00720BF5"/>
    <w:rsid w:val="0072727D"/>
    <w:rsid w:val="00730DB5"/>
    <w:rsid w:val="00731576"/>
    <w:rsid w:val="00734CAA"/>
    <w:rsid w:val="007406C0"/>
    <w:rsid w:val="00740EE2"/>
    <w:rsid w:val="00742324"/>
    <w:rsid w:val="00742680"/>
    <w:rsid w:val="0075533C"/>
    <w:rsid w:val="007553E8"/>
    <w:rsid w:val="00755A18"/>
    <w:rsid w:val="00757581"/>
    <w:rsid w:val="007602F5"/>
    <w:rsid w:val="00760D36"/>
    <w:rsid w:val="007611A0"/>
    <w:rsid w:val="007629AD"/>
    <w:rsid w:val="007668FF"/>
    <w:rsid w:val="00772574"/>
    <w:rsid w:val="00773E54"/>
    <w:rsid w:val="00781AFC"/>
    <w:rsid w:val="00787688"/>
    <w:rsid w:val="007935E6"/>
    <w:rsid w:val="00796D3F"/>
    <w:rsid w:val="00797A1A"/>
    <w:rsid w:val="007A1683"/>
    <w:rsid w:val="007A50C0"/>
    <w:rsid w:val="007A5C12"/>
    <w:rsid w:val="007A6186"/>
    <w:rsid w:val="007A7CB0"/>
    <w:rsid w:val="007B1CA6"/>
    <w:rsid w:val="007B4E4E"/>
    <w:rsid w:val="007B68A3"/>
    <w:rsid w:val="007C2541"/>
    <w:rsid w:val="007D0CE4"/>
    <w:rsid w:val="007D2F59"/>
    <w:rsid w:val="007D50B6"/>
    <w:rsid w:val="007D574B"/>
    <w:rsid w:val="007D66A8"/>
    <w:rsid w:val="007E003F"/>
    <w:rsid w:val="007E07CB"/>
    <w:rsid w:val="007F0CF8"/>
    <w:rsid w:val="007F5E1B"/>
    <w:rsid w:val="007F62CB"/>
    <w:rsid w:val="008142EC"/>
    <w:rsid w:val="008164F2"/>
    <w:rsid w:val="00817307"/>
    <w:rsid w:val="00821395"/>
    <w:rsid w:val="00830E26"/>
    <w:rsid w:val="00834368"/>
    <w:rsid w:val="0083441A"/>
    <w:rsid w:val="008402DC"/>
    <w:rsid w:val="00843576"/>
    <w:rsid w:val="00843B64"/>
    <w:rsid w:val="00845261"/>
    <w:rsid w:val="008477D8"/>
    <w:rsid w:val="008478FC"/>
    <w:rsid w:val="00851C51"/>
    <w:rsid w:val="008538F7"/>
    <w:rsid w:val="00853B59"/>
    <w:rsid w:val="00861297"/>
    <w:rsid w:val="00863DF0"/>
    <w:rsid w:val="00863F6A"/>
    <w:rsid w:val="00867BFF"/>
    <w:rsid w:val="00871542"/>
    <w:rsid w:val="00872BF6"/>
    <w:rsid w:val="0088205B"/>
    <w:rsid w:val="00883B8E"/>
    <w:rsid w:val="0088480A"/>
    <w:rsid w:val="0088757A"/>
    <w:rsid w:val="00890A91"/>
    <w:rsid w:val="0089431B"/>
    <w:rsid w:val="00895668"/>
    <w:rsid w:val="008957DD"/>
    <w:rsid w:val="00897D98"/>
    <w:rsid w:val="008A4BA2"/>
    <w:rsid w:val="008A6DF2"/>
    <w:rsid w:val="008A7807"/>
    <w:rsid w:val="008B313C"/>
    <w:rsid w:val="008B4CC9"/>
    <w:rsid w:val="008C0B15"/>
    <w:rsid w:val="008C1742"/>
    <w:rsid w:val="008D0708"/>
    <w:rsid w:val="008D1389"/>
    <w:rsid w:val="008D5A48"/>
    <w:rsid w:val="008D75E4"/>
    <w:rsid w:val="008D7C99"/>
    <w:rsid w:val="008E0FCB"/>
    <w:rsid w:val="008E7363"/>
    <w:rsid w:val="008F6DFE"/>
    <w:rsid w:val="00900CB8"/>
    <w:rsid w:val="0090529F"/>
    <w:rsid w:val="00906EFF"/>
    <w:rsid w:val="00910D83"/>
    <w:rsid w:val="0092178C"/>
    <w:rsid w:val="00930B88"/>
    <w:rsid w:val="00935376"/>
    <w:rsid w:val="00940DCC"/>
    <w:rsid w:val="0094179A"/>
    <w:rsid w:val="009431AF"/>
    <w:rsid w:val="0094459E"/>
    <w:rsid w:val="00944DBC"/>
    <w:rsid w:val="00950977"/>
    <w:rsid w:val="00951A7B"/>
    <w:rsid w:val="00954463"/>
    <w:rsid w:val="00955512"/>
    <w:rsid w:val="00955A96"/>
    <w:rsid w:val="009564A6"/>
    <w:rsid w:val="00957EF8"/>
    <w:rsid w:val="00966A53"/>
    <w:rsid w:val="00967621"/>
    <w:rsid w:val="00967E6A"/>
    <w:rsid w:val="009907B9"/>
    <w:rsid w:val="00990918"/>
    <w:rsid w:val="00996969"/>
    <w:rsid w:val="009A3A83"/>
    <w:rsid w:val="009B4A0F"/>
    <w:rsid w:val="009B6BA1"/>
    <w:rsid w:val="009C11D2"/>
    <w:rsid w:val="009C6BF9"/>
    <w:rsid w:val="009C6C70"/>
    <w:rsid w:val="009C705B"/>
    <w:rsid w:val="009C7B0A"/>
    <w:rsid w:val="009D0B63"/>
    <w:rsid w:val="009D5CB8"/>
    <w:rsid w:val="009E0757"/>
    <w:rsid w:val="009E307E"/>
    <w:rsid w:val="009E4D09"/>
    <w:rsid w:val="009F4448"/>
    <w:rsid w:val="00A07870"/>
    <w:rsid w:val="00A07C54"/>
    <w:rsid w:val="00A07F19"/>
    <w:rsid w:val="00A10ABB"/>
    <w:rsid w:val="00A1348D"/>
    <w:rsid w:val="00A13C99"/>
    <w:rsid w:val="00A2155C"/>
    <w:rsid w:val="00A232EE"/>
    <w:rsid w:val="00A26C8A"/>
    <w:rsid w:val="00A4175F"/>
    <w:rsid w:val="00A44411"/>
    <w:rsid w:val="00A469FA"/>
    <w:rsid w:val="00A53662"/>
    <w:rsid w:val="00A55B01"/>
    <w:rsid w:val="00A56B5B"/>
    <w:rsid w:val="00A578AC"/>
    <w:rsid w:val="00A603FF"/>
    <w:rsid w:val="00A619B6"/>
    <w:rsid w:val="00A648CA"/>
    <w:rsid w:val="00A657DD"/>
    <w:rsid w:val="00A666A6"/>
    <w:rsid w:val="00A675FD"/>
    <w:rsid w:val="00A72437"/>
    <w:rsid w:val="00A8048B"/>
    <w:rsid w:val="00A80611"/>
    <w:rsid w:val="00A92DFD"/>
    <w:rsid w:val="00AA5BF4"/>
    <w:rsid w:val="00AA5D0F"/>
    <w:rsid w:val="00AB5340"/>
    <w:rsid w:val="00AC0A89"/>
    <w:rsid w:val="00AC1771"/>
    <w:rsid w:val="00AC5702"/>
    <w:rsid w:val="00AC7C96"/>
    <w:rsid w:val="00AD3593"/>
    <w:rsid w:val="00AD526B"/>
    <w:rsid w:val="00AE0812"/>
    <w:rsid w:val="00AE237D"/>
    <w:rsid w:val="00AE2DCB"/>
    <w:rsid w:val="00AE3AF5"/>
    <w:rsid w:val="00AE502A"/>
    <w:rsid w:val="00AF0010"/>
    <w:rsid w:val="00AF1AA8"/>
    <w:rsid w:val="00AF2C1F"/>
    <w:rsid w:val="00AF7C07"/>
    <w:rsid w:val="00B0293D"/>
    <w:rsid w:val="00B03B0C"/>
    <w:rsid w:val="00B06C64"/>
    <w:rsid w:val="00B07D8E"/>
    <w:rsid w:val="00B11CAC"/>
    <w:rsid w:val="00B15A29"/>
    <w:rsid w:val="00B22C93"/>
    <w:rsid w:val="00B251AC"/>
    <w:rsid w:val="00B26869"/>
    <w:rsid w:val="00B27589"/>
    <w:rsid w:val="00B314DF"/>
    <w:rsid w:val="00B3331E"/>
    <w:rsid w:val="00B35E4B"/>
    <w:rsid w:val="00B3625D"/>
    <w:rsid w:val="00B37684"/>
    <w:rsid w:val="00B405B7"/>
    <w:rsid w:val="00B43426"/>
    <w:rsid w:val="00B46134"/>
    <w:rsid w:val="00B468C0"/>
    <w:rsid w:val="00B52222"/>
    <w:rsid w:val="00B531DA"/>
    <w:rsid w:val="00B538A9"/>
    <w:rsid w:val="00B54895"/>
    <w:rsid w:val="00B54FE7"/>
    <w:rsid w:val="00B6303E"/>
    <w:rsid w:val="00B647C6"/>
    <w:rsid w:val="00B655F9"/>
    <w:rsid w:val="00B66901"/>
    <w:rsid w:val="00B66F60"/>
    <w:rsid w:val="00B71E6D"/>
    <w:rsid w:val="00B72070"/>
    <w:rsid w:val="00B7535C"/>
    <w:rsid w:val="00B779E1"/>
    <w:rsid w:val="00B81E3A"/>
    <w:rsid w:val="00B8400F"/>
    <w:rsid w:val="00B8576D"/>
    <w:rsid w:val="00B85CFB"/>
    <w:rsid w:val="00B86026"/>
    <w:rsid w:val="00B91117"/>
    <w:rsid w:val="00B914E9"/>
    <w:rsid w:val="00B91EE1"/>
    <w:rsid w:val="00B94602"/>
    <w:rsid w:val="00BA0090"/>
    <w:rsid w:val="00BA1A67"/>
    <w:rsid w:val="00BA6A80"/>
    <w:rsid w:val="00BA722E"/>
    <w:rsid w:val="00BB0B49"/>
    <w:rsid w:val="00BB4AB6"/>
    <w:rsid w:val="00BB4ABB"/>
    <w:rsid w:val="00BB6F77"/>
    <w:rsid w:val="00BC62BA"/>
    <w:rsid w:val="00BD6E6D"/>
    <w:rsid w:val="00BE022E"/>
    <w:rsid w:val="00BE1DA1"/>
    <w:rsid w:val="00BE5B5F"/>
    <w:rsid w:val="00BE7993"/>
    <w:rsid w:val="00C023C6"/>
    <w:rsid w:val="00C06171"/>
    <w:rsid w:val="00C11971"/>
    <w:rsid w:val="00C141F6"/>
    <w:rsid w:val="00C1568B"/>
    <w:rsid w:val="00C179DE"/>
    <w:rsid w:val="00C20619"/>
    <w:rsid w:val="00C26F55"/>
    <w:rsid w:val="00C27533"/>
    <w:rsid w:val="00C30870"/>
    <w:rsid w:val="00C30C63"/>
    <w:rsid w:val="00C30FF3"/>
    <w:rsid w:val="00C34D5C"/>
    <w:rsid w:val="00C36B8B"/>
    <w:rsid w:val="00C415C1"/>
    <w:rsid w:val="00C466C1"/>
    <w:rsid w:val="00C47DBF"/>
    <w:rsid w:val="00C501AD"/>
    <w:rsid w:val="00C552FF"/>
    <w:rsid w:val="00C558DA"/>
    <w:rsid w:val="00C55AF3"/>
    <w:rsid w:val="00C771A9"/>
    <w:rsid w:val="00C82943"/>
    <w:rsid w:val="00C84759"/>
    <w:rsid w:val="00C91378"/>
    <w:rsid w:val="00C93096"/>
    <w:rsid w:val="00CA0BD4"/>
    <w:rsid w:val="00CA4C07"/>
    <w:rsid w:val="00CA5CA9"/>
    <w:rsid w:val="00CA6C7F"/>
    <w:rsid w:val="00CB007D"/>
    <w:rsid w:val="00CB0E76"/>
    <w:rsid w:val="00CB60CA"/>
    <w:rsid w:val="00CC0FC7"/>
    <w:rsid w:val="00CC10A6"/>
    <w:rsid w:val="00CD2C48"/>
    <w:rsid w:val="00CD3C4D"/>
    <w:rsid w:val="00CD5EB8"/>
    <w:rsid w:val="00CD7044"/>
    <w:rsid w:val="00CE056D"/>
    <w:rsid w:val="00CE08B9"/>
    <w:rsid w:val="00CE3515"/>
    <w:rsid w:val="00CE524C"/>
    <w:rsid w:val="00CE554D"/>
    <w:rsid w:val="00CE57D1"/>
    <w:rsid w:val="00CF141F"/>
    <w:rsid w:val="00CF3DDA"/>
    <w:rsid w:val="00CF4777"/>
    <w:rsid w:val="00CF65C8"/>
    <w:rsid w:val="00CF6D7A"/>
    <w:rsid w:val="00D013F5"/>
    <w:rsid w:val="00D023DB"/>
    <w:rsid w:val="00D05E3F"/>
    <w:rsid w:val="00D067BB"/>
    <w:rsid w:val="00D11F27"/>
    <w:rsid w:val="00D1352A"/>
    <w:rsid w:val="00D15075"/>
    <w:rsid w:val="00D1638E"/>
    <w:rsid w:val="00D169AF"/>
    <w:rsid w:val="00D200EF"/>
    <w:rsid w:val="00D25175"/>
    <w:rsid w:val="00D25249"/>
    <w:rsid w:val="00D26854"/>
    <w:rsid w:val="00D42FD5"/>
    <w:rsid w:val="00D44172"/>
    <w:rsid w:val="00D47BE3"/>
    <w:rsid w:val="00D51594"/>
    <w:rsid w:val="00D51F46"/>
    <w:rsid w:val="00D55040"/>
    <w:rsid w:val="00D6017C"/>
    <w:rsid w:val="00D61BE2"/>
    <w:rsid w:val="00D63309"/>
    <w:rsid w:val="00D63B8C"/>
    <w:rsid w:val="00D67D01"/>
    <w:rsid w:val="00D739CC"/>
    <w:rsid w:val="00D8019A"/>
    <w:rsid w:val="00D806F9"/>
    <w:rsid w:val="00D8093D"/>
    <w:rsid w:val="00D8108C"/>
    <w:rsid w:val="00D842AE"/>
    <w:rsid w:val="00D9211C"/>
    <w:rsid w:val="00D92A40"/>
    <w:rsid w:val="00D92DE0"/>
    <w:rsid w:val="00D92FEF"/>
    <w:rsid w:val="00D931F9"/>
    <w:rsid w:val="00D93A0F"/>
    <w:rsid w:val="00D95EF1"/>
    <w:rsid w:val="00DA1BCA"/>
    <w:rsid w:val="00DA3663"/>
    <w:rsid w:val="00DA7567"/>
    <w:rsid w:val="00DC0365"/>
    <w:rsid w:val="00DC274A"/>
    <w:rsid w:val="00DC46FF"/>
    <w:rsid w:val="00DC5254"/>
    <w:rsid w:val="00DC569D"/>
    <w:rsid w:val="00DD1A4F"/>
    <w:rsid w:val="00DD3107"/>
    <w:rsid w:val="00DD7A8C"/>
    <w:rsid w:val="00DD7C2C"/>
    <w:rsid w:val="00DE5BDA"/>
    <w:rsid w:val="00DF433C"/>
    <w:rsid w:val="00DF519F"/>
    <w:rsid w:val="00E0035A"/>
    <w:rsid w:val="00E01376"/>
    <w:rsid w:val="00E06797"/>
    <w:rsid w:val="00E1265B"/>
    <w:rsid w:val="00E12E09"/>
    <w:rsid w:val="00E13A9F"/>
    <w:rsid w:val="00E13B48"/>
    <w:rsid w:val="00E1404F"/>
    <w:rsid w:val="00E14E7E"/>
    <w:rsid w:val="00E21C83"/>
    <w:rsid w:val="00E24ADA"/>
    <w:rsid w:val="00E32F59"/>
    <w:rsid w:val="00E36A5A"/>
    <w:rsid w:val="00E374DC"/>
    <w:rsid w:val="00E41908"/>
    <w:rsid w:val="00E43DF5"/>
    <w:rsid w:val="00E46D9A"/>
    <w:rsid w:val="00E50EBD"/>
    <w:rsid w:val="00E565FF"/>
    <w:rsid w:val="00E65388"/>
    <w:rsid w:val="00E65E72"/>
    <w:rsid w:val="00E7741D"/>
    <w:rsid w:val="00E80770"/>
    <w:rsid w:val="00E808CD"/>
    <w:rsid w:val="00E8348F"/>
    <w:rsid w:val="00E85B7D"/>
    <w:rsid w:val="00E9121B"/>
    <w:rsid w:val="00E9302E"/>
    <w:rsid w:val="00E964DB"/>
    <w:rsid w:val="00E96ED2"/>
    <w:rsid w:val="00E976AB"/>
    <w:rsid w:val="00EA0AE2"/>
    <w:rsid w:val="00EA39E5"/>
    <w:rsid w:val="00EA57A3"/>
    <w:rsid w:val="00EB301A"/>
    <w:rsid w:val="00EB50D5"/>
    <w:rsid w:val="00EC2813"/>
    <w:rsid w:val="00EC5A46"/>
    <w:rsid w:val="00EC63E2"/>
    <w:rsid w:val="00ED0225"/>
    <w:rsid w:val="00ED366A"/>
    <w:rsid w:val="00ED6BB7"/>
    <w:rsid w:val="00EF22B3"/>
    <w:rsid w:val="00EF5666"/>
    <w:rsid w:val="00EF632E"/>
    <w:rsid w:val="00F02831"/>
    <w:rsid w:val="00F03B69"/>
    <w:rsid w:val="00F07A50"/>
    <w:rsid w:val="00F113DA"/>
    <w:rsid w:val="00F13576"/>
    <w:rsid w:val="00F15A4F"/>
    <w:rsid w:val="00F266FC"/>
    <w:rsid w:val="00F3037A"/>
    <w:rsid w:val="00F34081"/>
    <w:rsid w:val="00F3465A"/>
    <w:rsid w:val="00F37DC8"/>
    <w:rsid w:val="00F439B3"/>
    <w:rsid w:val="00F46A44"/>
    <w:rsid w:val="00F53E77"/>
    <w:rsid w:val="00F650C3"/>
    <w:rsid w:val="00F650CD"/>
    <w:rsid w:val="00F65D85"/>
    <w:rsid w:val="00F6700B"/>
    <w:rsid w:val="00F7137B"/>
    <w:rsid w:val="00F8058A"/>
    <w:rsid w:val="00F8091E"/>
    <w:rsid w:val="00F8615C"/>
    <w:rsid w:val="00F969E5"/>
    <w:rsid w:val="00F96F7E"/>
    <w:rsid w:val="00FA1278"/>
    <w:rsid w:val="00FA315C"/>
    <w:rsid w:val="00FA4972"/>
    <w:rsid w:val="00FA6BB0"/>
    <w:rsid w:val="00FB2DBD"/>
    <w:rsid w:val="00FB4540"/>
    <w:rsid w:val="00FC0D00"/>
    <w:rsid w:val="00FD48DF"/>
    <w:rsid w:val="00FD5860"/>
    <w:rsid w:val="00FD6CA7"/>
    <w:rsid w:val="00FE1627"/>
    <w:rsid w:val="00FE2C8F"/>
    <w:rsid w:val="00FE352D"/>
    <w:rsid w:val="00FE40EB"/>
    <w:rsid w:val="00FE4D02"/>
    <w:rsid w:val="00FE7D62"/>
    <w:rsid w:val="00FF0DA0"/>
    <w:rsid w:val="00FF3819"/>
    <w:rsid w:val="00FF6E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63F6A"/>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D0FB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AD526B"/>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character" w:customStyle="1" w:styleId="NormalnumberChar">
    <w:name w:val="Normal_number Char"/>
    <w:link w:val="Normalnumber"/>
    <w:locked/>
    <w:rsid w:val="00AD526B"/>
    <w:rPr>
      <w:lang w:eastAsia="en-US"/>
    </w:rPr>
  </w:style>
  <w:style w:type="character" w:customStyle="1" w:styleId="Normal-poolChar">
    <w:name w:val="Normal-pool Char"/>
    <w:link w:val="Normal-pool"/>
    <w:locked/>
    <w:rsid w:val="00863F6A"/>
    <w:rPr>
      <w:lang w:eastAsia="en-US"/>
    </w:rPr>
  </w:style>
  <w:style w:type="paragraph" w:styleId="TOCHeading">
    <w:name w:val="TOC Heading"/>
    <w:basedOn w:val="Heading1"/>
    <w:next w:val="Normal"/>
    <w:uiPriority w:val="39"/>
    <w:unhideWhenUsed/>
    <w:qFormat/>
    <w:rsid w:val="00863F6A"/>
    <w:pPr>
      <w:keepLines/>
      <w:tabs>
        <w:tab w:val="clear" w:pos="1247"/>
        <w:tab w:val="clear" w:pos="1814"/>
        <w:tab w:val="clear" w:pos="2381"/>
        <w:tab w:val="clear" w:pos="2948"/>
        <w:tab w:val="clear" w:pos="3515"/>
      </w:tabs>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character" w:styleId="FootnoteReference">
    <w:name w:val="footnote reference"/>
    <w:basedOn w:val="DefaultParagraphFont"/>
    <w:uiPriority w:val="99"/>
    <w:semiHidden/>
    <w:unhideWhenUsed/>
    <w:qFormat/>
    <w:rsid w:val="00433B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8127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5500746">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099DD-C3B4-46BC-B7D1-79573F27CD98}">
  <ds:schemaRefs>
    <ds:schemaRef ds:uri="http://schemas.microsoft.com/office/2006/metadata/properties"/>
    <ds:schemaRef ds:uri="d18b2cca-499f-4557-a4e9-65dcf311f48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f500b1e4-de7e-4e77-a903-0925b28ae6a4"/>
    <ds:schemaRef ds:uri="http://www.w3.org/XML/1998/namespace"/>
    <ds:schemaRef ds:uri="http://purl.org/dc/dcmitype/"/>
  </ds:schemaRefs>
</ds:datastoreItem>
</file>

<file path=customXml/itemProps2.xml><?xml version="1.0" encoding="utf-8"?>
<ds:datastoreItem xmlns:ds="http://schemas.openxmlformats.org/officeDocument/2006/customXml" ds:itemID="{454AB54F-83C4-4345-9836-75F3957B3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2786AD-E373-4E0B-9C69-D17074D71678}">
  <ds:schemaRefs>
    <ds:schemaRef ds:uri="http://schemas.microsoft.com/sharepoint/v3/contenttype/forms"/>
  </ds:schemaRefs>
</ds:datastoreItem>
</file>

<file path=customXml/itemProps4.xml><?xml version="1.0" encoding="utf-8"?>
<ds:datastoreItem xmlns:ds="http://schemas.openxmlformats.org/officeDocument/2006/customXml" ds:itemID="{EBEFF01E-D545-4191-B3F5-64A576445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7441</Words>
  <Characters>42415</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3</cp:revision>
  <cp:lastPrinted>2019-11-13T09:23:00Z</cp:lastPrinted>
  <dcterms:created xsi:type="dcterms:W3CDTF">2019-11-13T09:22:00Z</dcterms:created>
  <dcterms:modified xsi:type="dcterms:W3CDTF">2019-11-13T09:25:00Z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