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702"/>
        <w:gridCol w:w="4460"/>
        <w:gridCol w:w="3335"/>
      </w:tblGrid>
      <w:tr w:rsidR="00F30700" w:rsidRPr="0097151C" w14:paraId="72378715" w14:textId="77777777" w:rsidTr="0085267C">
        <w:trPr>
          <w:cantSplit/>
          <w:trHeight w:val="850"/>
          <w:jc w:val="right"/>
        </w:trPr>
        <w:tc>
          <w:tcPr>
            <w:tcW w:w="1701" w:type="dxa"/>
          </w:tcPr>
          <w:p w14:paraId="6AFB691C" w14:textId="77777777" w:rsidR="00F30700" w:rsidRPr="0097151C" w:rsidRDefault="00F30700" w:rsidP="0085267C">
            <w:pPr>
              <w:tabs>
                <w:tab w:val="left" w:pos="624"/>
                <w:tab w:val="left" w:pos="1871"/>
                <w:tab w:val="left" w:pos="2495"/>
              </w:tabs>
              <w:rPr>
                <w:rFonts w:ascii="Arial" w:hAnsi="Arial" w:cs="Arial"/>
                <w:b/>
                <w:noProof/>
                <w:sz w:val="27"/>
                <w:szCs w:val="27"/>
              </w:rPr>
            </w:pPr>
            <w:r w:rsidRPr="0097151C">
              <w:rPr>
                <w:rFonts w:ascii="Arial" w:hAnsi="Arial" w:cs="Arial"/>
                <w:b/>
                <w:sz w:val="27"/>
                <w:szCs w:val="27"/>
              </w:rPr>
              <w:t>NACIONES UNIDAS</w:t>
            </w:r>
          </w:p>
        </w:tc>
        <w:tc>
          <w:tcPr>
            <w:tcW w:w="4460" w:type="dxa"/>
          </w:tcPr>
          <w:p w14:paraId="49FC3A87" w14:textId="77777777" w:rsidR="00F30700" w:rsidRPr="0097151C" w:rsidRDefault="00F30700" w:rsidP="0085267C">
            <w:pPr>
              <w:tabs>
                <w:tab w:val="left" w:pos="624"/>
                <w:tab w:val="left" w:pos="1871"/>
                <w:tab w:val="left" w:pos="2495"/>
              </w:tabs>
              <w:rPr>
                <w:rFonts w:ascii="Univers" w:hAnsi="Univers"/>
                <w:b/>
                <w:sz w:val="27"/>
                <w:szCs w:val="27"/>
              </w:rPr>
            </w:pPr>
          </w:p>
        </w:tc>
        <w:tc>
          <w:tcPr>
            <w:tcW w:w="3335" w:type="dxa"/>
          </w:tcPr>
          <w:p w14:paraId="6C5E217C" w14:textId="77777777" w:rsidR="00F30700" w:rsidRPr="0097151C" w:rsidRDefault="00F30700" w:rsidP="0085267C">
            <w:pPr>
              <w:tabs>
                <w:tab w:val="left" w:pos="624"/>
                <w:tab w:val="left" w:pos="1871"/>
                <w:tab w:val="left" w:pos="2495"/>
              </w:tabs>
              <w:jc w:val="right"/>
              <w:rPr>
                <w:rFonts w:ascii="Arial" w:hAnsi="Arial" w:cs="Arial"/>
                <w:b/>
                <w:sz w:val="64"/>
                <w:szCs w:val="64"/>
              </w:rPr>
            </w:pPr>
            <w:r w:rsidRPr="00D25175">
              <w:rPr>
                <w:rFonts w:ascii="Arial" w:hAnsi="Arial" w:cs="Arial"/>
                <w:b/>
                <w:sz w:val="64"/>
                <w:szCs w:val="64"/>
              </w:rPr>
              <w:t>MC</w:t>
            </w:r>
          </w:p>
        </w:tc>
      </w:tr>
      <w:tr w:rsidR="00F30700" w:rsidRPr="0097151C" w14:paraId="3CCC2544" w14:textId="77777777" w:rsidTr="0085267C">
        <w:trPr>
          <w:cantSplit/>
          <w:trHeight w:val="281"/>
          <w:jc w:val="right"/>
        </w:trPr>
        <w:tc>
          <w:tcPr>
            <w:tcW w:w="1701" w:type="dxa"/>
            <w:tcBorders>
              <w:bottom w:val="single" w:sz="4" w:space="0" w:color="auto"/>
            </w:tcBorders>
          </w:tcPr>
          <w:p w14:paraId="57462657" w14:textId="77777777" w:rsidR="00F30700" w:rsidRPr="0097151C" w:rsidRDefault="00F30700" w:rsidP="0085267C">
            <w:pPr>
              <w:tabs>
                <w:tab w:val="left" w:pos="624"/>
                <w:tab w:val="left" w:pos="1871"/>
                <w:tab w:val="left" w:pos="2495"/>
              </w:tabs>
              <w:rPr>
                <w:noProof/>
                <w:sz w:val="18"/>
                <w:szCs w:val="18"/>
              </w:rPr>
            </w:pPr>
          </w:p>
        </w:tc>
        <w:tc>
          <w:tcPr>
            <w:tcW w:w="4460" w:type="dxa"/>
            <w:tcBorders>
              <w:bottom w:val="single" w:sz="4" w:space="0" w:color="auto"/>
            </w:tcBorders>
          </w:tcPr>
          <w:p w14:paraId="3939BF3B" w14:textId="77777777" w:rsidR="00F30700" w:rsidRPr="0097151C" w:rsidRDefault="00F30700" w:rsidP="0085267C">
            <w:pPr>
              <w:tabs>
                <w:tab w:val="left" w:pos="624"/>
                <w:tab w:val="left" w:pos="1871"/>
                <w:tab w:val="left" w:pos="2495"/>
              </w:tabs>
              <w:rPr>
                <w:rFonts w:ascii="Univers" w:hAnsi="Univers"/>
                <w:b/>
                <w:sz w:val="18"/>
                <w:szCs w:val="18"/>
              </w:rPr>
            </w:pPr>
          </w:p>
        </w:tc>
        <w:tc>
          <w:tcPr>
            <w:tcW w:w="3335" w:type="dxa"/>
            <w:tcBorders>
              <w:bottom w:val="single" w:sz="4" w:space="0" w:color="auto"/>
            </w:tcBorders>
          </w:tcPr>
          <w:p w14:paraId="776A1C49" w14:textId="4199C198" w:rsidR="00F30700" w:rsidRPr="0097151C" w:rsidRDefault="00F30700" w:rsidP="0085267C">
            <w:pPr>
              <w:tabs>
                <w:tab w:val="left" w:pos="624"/>
                <w:tab w:val="left" w:pos="1871"/>
                <w:tab w:val="left" w:pos="2495"/>
              </w:tabs>
              <w:rPr>
                <w:noProof/>
                <w:sz w:val="18"/>
                <w:szCs w:val="18"/>
              </w:rPr>
            </w:pPr>
            <w:r w:rsidRPr="00D25175">
              <w:rPr>
                <w:b/>
                <w:bCs/>
                <w:sz w:val="28"/>
              </w:rPr>
              <w:t>UNEP</w:t>
            </w:r>
            <w:r w:rsidRPr="00F67DC3">
              <w:rPr>
                <w:b/>
                <w:bCs/>
              </w:rPr>
              <w:t>/</w:t>
            </w:r>
            <w:r w:rsidRPr="00D25175">
              <w:t>MC/COP.</w:t>
            </w:r>
            <w:r>
              <w:t>3</w:t>
            </w:r>
            <w:r w:rsidRPr="00D25175">
              <w:t>/1</w:t>
            </w:r>
            <w:r>
              <w:t>4</w:t>
            </w:r>
          </w:p>
        </w:tc>
      </w:tr>
      <w:bookmarkStart w:id="0" w:name="_MON_1021710482"/>
      <w:bookmarkEnd w:id="0"/>
      <w:bookmarkStart w:id="1" w:name="_MON_1021710510"/>
      <w:bookmarkEnd w:id="1"/>
      <w:tr w:rsidR="00F30700" w:rsidRPr="00BE261B" w14:paraId="4E530AFA" w14:textId="77777777" w:rsidTr="0085267C">
        <w:trPr>
          <w:cantSplit/>
          <w:trHeight w:val="2549"/>
          <w:jc w:val="right"/>
        </w:trPr>
        <w:tc>
          <w:tcPr>
            <w:tcW w:w="1701" w:type="dxa"/>
            <w:tcBorders>
              <w:top w:val="single" w:sz="4" w:space="0" w:color="auto"/>
              <w:bottom w:val="single" w:sz="24" w:space="0" w:color="auto"/>
            </w:tcBorders>
          </w:tcPr>
          <w:p w14:paraId="7EBE6835" w14:textId="77777777" w:rsidR="00F30700" w:rsidRPr="0097151C" w:rsidRDefault="00F30700" w:rsidP="0085267C">
            <w:pPr>
              <w:tabs>
                <w:tab w:val="left" w:pos="624"/>
                <w:tab w:val="left" w:pos="1871"/>
                <w:tab w:val="left" w:pos="2495"/>
              </w:tabs>
              <w:rPr>
                <w:noProof/>
              </w:rPr>
            </w:pPr>
            <w:r w:rsidRPr="0097151C">
              <w:rPr>
                <w:noProof/>
              </w:rPr>
              <w:object w:dxaOrig="1831" w:dyaOrig="1726" w14:anchorId="264CC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pt;height:61.6pt" o:ole="" fillcolor="window">
                  <v:imagedata r:id="rId8" o:title=""/>
                </v:shape>
                <o:OLEObject Type="Embed" ProgID="Word.Picture.8" ShapeID="_x0000_i1025" DrawAspect="Content" ObjectID="_1635938911" r:id="rId9"/>
              </w:object>
            </w:r>
            <w:r w:rsidRPr="0097151C">
              <w:rPr>
                <w:noProof/>
                <w:lang w:eastAsia="es-ES_tradnl"/>
              </w:rPr>
              <w:drawing>
                <wp:inline distT="0" distB="0" distL="0" distR="0" wp14:anchorId="62D8FAD3" wp14:editId="391B60F8">
                  <wp:extent cx="723900" cy="76962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460" w:type="dxa"/>
            <w:tcBorders>
              <w:top w:val="single" w:sz="4" w:space="0" w:color="auto"/>
              <w:bottom w:val="single" w:sz="24" w:space="0" w:color="auto"/>
            </w:tcBorders>
          </w:tcPr>
          <w:p w14:paraId="69B0B688" w14:textId="77777777" w:rsidR="00F30700" w:rsidRPr="0097151C" w:rsidRDefault="00F30700" w:rsidP="0085267C">
            <w:pPr>
              <w:tabs>
                <w:tab w:val="left" w:pos="624"/>
                <w:tab w:val="left" w:pos="1871"/>
                <w:tab w:val="left" w:pos="2495"/>
              </w:tabs>
              <w:spacing w:before="1200"/>
              <w:rPr>
                <w:rFonts w:ascii="Arial" w:hAnsi="Arial" w:cs="Arial"/>
                <w:b/>
                <w:sz w:val="32"/>
              </w:rPr>
            </w:pPr>
            <w:r w:rsidRPr="0097151C">
              <w:rPr>
                <w:rFonts w:ascii="Arial" w:hAnsi="Arial" w:cs="Arial"/>
                <w:b/>
                <w:bCs/>
                <w:sz w:val="32"/>
              </w:rPr>
              <w:t>Programa de las Naciones</w:t>
            </w:r>
            <w:r>
              <w:rPr>
                <w:rFonts w:ascii="Arial" w:hAnsi="Arial" w:cs="Arial"/>
                <w:b/>
                <w:bCs/>
                <w:sz w:val="32"/>
              </w:rPr>
              <w:t> </w:t>
            </w:r>
            <w:r w:rsidRPr="0097151C">
              <w:rPr>
                <w:rFonts w:ascii="Arial" w:hAnsi="Arial" w:cs="Arial"/>
                <w:b/>
                <w:bCs/>
                <w:sz w:val="32"/>
              </w:rPr>
              <w:t>Unidas para el</w:t>
            </w:r>
            <w:r>
              <w:rPr>
                <w:rFonts w:ascii="Arial" w:hAnsi="Arial" w:cs="Arial"/>
                <w:b/>
                <w:bCs/>
                <w:sz w:val="32"/>
              </w:rPr>
              <w:t> </w:t>
            </w:r>
            <w:r w:rsidRPr="0097151C">
              <w:rPr>
                <w:rFonts w:ascii="Arial" w:hAnsi="Arial" w:cs="Arial"/>
                <w:b/>
                <w:bCs/>
                <w:sz w:val="32"/>
              </w:rPr>
              <w:t>Medio Ambiente</w:t>
            </w:r>
          </w:p>
        </w:tc>
        <w:tc>
          <w:tcPr>
            <w:tcW w:w="3335" w:type="dxa"/>
            <w:tcBorders>
              <w:top w:val="single" w:sz="4" w:space="0" w:color="auto"/>
              <w:bottom w:val="single" w:sz="24" w:space="0" w:color="auto"/>
            </w:tcBorders>
          </w:tcPr>
          <w:p w14:paraId="3B577438" w14:textId="7C5F3190" w:rsidR="00F30700" w:rsidRPr="0097151C" w:rsidRDefault="00F30700" w:rsidP="0085267C">
            <w:pPr>
              <w:tabs>
                <w:tab w:val="left" w:pos="624"/>
                <w:tab w:val="left" w:pos="1871"/>
                <w:tab w:val="left" w:pos="2495"/>
              </w:tabs>
              <w:spacing w:before="120"/>
            </w:pPr>
            <w:r w:rsidRPr="0097151C">
              <w:t xml:space="preserve">Distr. </w:t>
            </w:r>
            <w:r>
              <w:t>g</w:t>
            </w:r>
            <w:r w:rsidRPr="0097151C">
              <w:t>eneral</w:t>
            </w:r>
            <w:r>
              <w:br/>
              <w:t>7</w:t>
            </w:r>
            <w:r w:rsidRPr="0097151C">
              <w:t xml:space="preserve"> de </w:t>
            </w:r>
            <w:r>
              <w:t xml:space="preserve">octubre </w:t>
            </w:r>
            <w:r w:rsidRPr="0097151C">
              <w:t>de 201</w:t>
            </w:r>
            <w:r>
              <w:t>9</w:t>
            </w:r>
          </w:p>
          <w:p w14:paraId="25126901" w14:textId="77777777" w:rsidR="00F30700" w:rsidRPr="0097151C" w:rsidRDefault="00F30700" w:rsidP="0085267C">
            <w:pPr>
              <w:tabs>
                <w:tab w:val="left" w:pos="624"/>
                <w:tab w:val="left" w:pos="1871"/>
                <w:tab w:val="left" w:pos="2495"/>
              </w:tabs>
              <w:spacing w:before="240"/>
            </w:pPr>
            <w:r w:rsidRPr="0097151C">
              <w:t>Español</w:t>
            </w:r>
            <w:r>
              <w:br/>
            </w:r>
            <w:r w:rsidRPr="0097151C">
              <w:t>Original: inglés</w:t>
            </w:r>
          </w:p>
        </w:tc>
      </w:tr>
    </w:tbl>
    <w:p w14:paraId="046E1997" w14:textId="2E56B6A2" w:rsidR="00E976AB" w:rsidRPr="008048DD" w:rsidRDefault="00CB007D" w:rsidP="00E976AB">
      <w:pPr>
        <w:pStyle w:val="AATitle"/>
        <w:keepNext w:val="0"/>
        <w:keepLines w:val="0"/>
        <w:rPr>
          <w:lang w:val="es-ES_tradnl"/>
        </w:rPr>
      </w:pPr>
      <w:r w:rsidRPr="008048DD">
        <w:rPr>
          <w:bCs/>
          <w:lang w:val="es-ES_tradnl"/>
        </w:rPr>
        <w:t>Conferencia de las Partes en el Convenio de Minamata sobre el Mercurio</w:t>
      </w:r>
    </w:p>
    <w:p w14:paraId="0ED85A20" w14:textId="77777777" w:rsidR="00E976AB" w:rsidRPr="008048DD" w:rsidRDefault="003C3511" w:rsidP="00E976AB">
      <w:pPr>
        <w:pStyle w:val="AATitle"/>
        <w:keepNext w:val="0"/>
        <w:keepLines w:val="0"/>
        <w:rPr>
          <w:lang w:val="es-ES_tradnl"/>
        </w:rPr>
      </w:pPr>
      <w:r w:rsidRPr="008048DD">
        <w:rPr>
          <w:bCs/>
          <w:lang w:val="es-ES_tradnl"/>
        </w:rPr>
        <w:t>Tercera reunión</w:t>
      </w:r>
    </w:p>
    <w:p w14:paraId="1D062DCE" w14:textId="77777777" w:rsidR="00787688" w:rsidRPr="008048DD" w:rsidRDefault="00787688" w:rsidP="00434321">
      <w:pPr>
        <w:pStyle w:val="AATitle"/>
        <w:rPr>
          <w:b w:val="0"/>
          <w:lang w:val="es-ES_tradnl"/>
        </w:rPr>
      </w:pPr>
      <w:r w:rsidRPr="008048DD">
        <w:rPr>
          <w:b w:val="0"/>
          <w:lang w:val="es-ES_tradnl"/>
        </w:rPr>
        <w:t>Ginebra, 25 a 29 de noviembre de 2019</w:t>
      </w:r>
    </w:p>
    <w:p w14:paraId="111809D0" w14:textId="77777777" w:rsidR="00F15578" w:rsidRPr="008048DD" w:rsidRDefault="00E54866" w:rsidP="00F15578">
      <w:pPr>
        <w:pStyle w:val="AATitle"/>
        <w:keepNext w:val="0"/>
        <w:keepLines w:val="0"/>
        <w:rPr>
          <w:b w:val="0"/>
          <w:lang w:val="es-ES_tradnl"/>
        </w:rPr>
      </w:pPr>
      <w:r w:rsidRPr="008048DD">
        <w:rPr>
          <w:b w:val="0"/>
          <w:lang w:val="es-ES_tradnl"/>
        </w:rPr>
        <w:t>Tema 5 h) del programa provisional</w:t>
      </w:r>
      <w:r w:rsidRPr="008048DD">
        <w:rPr>
          <w:b w:val="0"/>
          <w:lang w:val="es-ES_tradnl"/>
        </w:rPr>
        <w:footnoteReference w:customMarkFollows="1" w:id="1"/>
        <w:t>*</w:t>
      </w:r>
    </w:p>
    <w:p w14:paraId="623D1919" w14:textId="77777777" w:rsidR="00F15578" w:rsidRPr="008048DD" w:rsidRDefault="00ED6C14" w:rsidP="0028782E">
      <w:pPr>
        <w:pStyle w:val="AATitle2"/>
        <w:tabs>
          <w:tab w:val="left" w:pos="4320"/>
        </w:tabs>
        <w:ind w:right="5176"/>
        <w:rPr>
          <w:lang w:val="es-ES_tradnl"/>
        </w:rPr>
      </w:pPr>
      <w:r w:rsidRPr="008048DD">
        <w:rPr>
          <w:bCs/>
          <w:lang w:val="es-ES_tradnl"/>
        </w:rPr>
        <w:t>Cuestiones para el examen o la adopción de medidas por la Conferencia de las Partes: evaluación de la eficacia</w:t>
      </w:r>
    </w:p>
    <w:p w14:paraId="5CF8B82F" w14:textId="77777777" w:rsidR="004E2BAB" w:rsidRPr="008048DD" w:rsidRDefault="00C951BF" w:rsidP="002E30A2">
      <w:pPr>
        <w:pStyle w:val="BBTitle"/>
        <w:rPr>
          <w:lang w:val="es-ES_tradnl"/>
        </w:rPr>
      </w:pPr>
      <w:r w:rsidRPr="008048DD">
        <w:rPr>
          <w:bCs/>
          <w:lang w:val="es-ES_tradnl"/>
        </w:rPr>
        <w:t xml:space="preserve">Informe del </w:t>
      </w:r>
      <w:r w:rsidR="00871D14" w:rsidRPr="008048DD">
        <w:rPr>
          <w:bCs/>
          <w:lang w:val="es-ES_tradnl"/>
        </w:rPr>
        <w:t>G</w:t>
      </w:r>
      <w:r w:rsidR="00891F8B" w:rsidRPr="008048DD">
        <w:rPr>
          <w:bCs/>
          <w:lang w:val="es-ES_tradnl"/>
        </w:rPr>
        <w:t>rupo especial de expertos</w:t>
      </w:r>
      <w:r w:rsidRPr="008048DD">
        <w:rPr>
          <w:bCs/>
          <w:lang w:val="es-ES_tradnl"/>
        </w:rPr>
        <w:t xml:space="preserve"> técnicos para la evaluación de la eficacia: marco propuesto para la evaluación de la eficacia del Convenio de Minamata sobre el Mercurio</w:t>
      </w:r>
    </w:p>
    <w:p w14:paraId="4CBED6B0" w14:textId="77777777" w:rsidR="00B258A8" w:rsidRPr="008048DD" w:rsidRDefault="004E2BAB" w:rsidP="00C951BF">
      <w:pPr>
        <w:pStyle w:val="CH2"/>
        <w:tabs>
          <w:tab w:val="clear" w:pos="851"/>
          <w:tab w:val="clear" w:pos="1247"/>
          <w:tab w:val="clear" w:pos="1814"/>
          <w:tab w:val="clear" w:pos="2381"/>
          <w:tab w:val="clear" w:pos="2948"/>
          <w:tab w:val="clear" w:pos="3515"/>
          <w:tab w:val="clear" w:pos="4082"/>
          <w:tab w:val="left" w:pos="624"/>
        </w:tabs>
        <w:spacing w:before="240"/>
        <w:rPr>
          <w:lang w:val="es-ES_tradnl"/>
        </w:rPr>
      </w:pPr>
      <w:r w:rsidRPr="008048DD">
        <w:rPr>
          <w:lang w:val="es-ES_tradnl"/>
        </w:rPr>
        <w:tab/>
      </w:r>
      <w:r w:rsidRPr="008048DD">
        <w:rPr>
          <w:lang w:val="es-ES_tradnl"/>
        </w:rPr>
        <w:tab/>
      </w:r>
      <w:r w:rsidRPr="008048DD">
        <w:rPr>
          <w:bCs/>
          <w:lang w:val="es-ES_tradnl"/>
        </w:rPr>
        <w:t>Nota de la Secretaría</w:t>
      </w:r>
    </w:p>
    <w:p w14:paraId="503F0231" w14:textId="399EA8B9" w:rsidR="008E2E5D" w:rsidRPr="008048DD" w:rsidRDefault="00D743B5" w:rsidP="00362646">
      <w:pPr>
        <w:pStyle w:val="Normalnumber"/>
        <w:numPr>
          <w:ilvl w:val="0"/>
          <w:numId w:val="42"/>
        </w:numPr>
        <w:ind w:left="1247" w:firstLine="0"/>
        <w:rPr>
          <w:lang w:val="es-ES_tradnl"/>
        </w:rPr>
      </w:pPr>
      <w:r w:rsidRPr="008048DD">
        <w:rPr>
          <w:lang w:val="es-ES_tradnl"/>
        </w:rPr>
        <w:t xml:space="preserve">En la presente nota se hace </w:t>
      </w:r>
      <w:r w:rsidR="00875121" w:rsidRPr="008048DD">
        <w:rPr>
          <w:lang w:val="es-ES_tradnl"/>
        </w:rPr>
        <w:t>un</w:t>
      </w:r>
      <w:r w:rsidRPr="008048DD">
        <w:rPr>
          <w:lang w:val="es-ES_tradnl"/>
        </w:rPr>
        <w:t xml:space="preserve"> recuento de los resultados de la labor del </w:t>
      </w:r>
      <w:r w:rsidR="00871D14" w:rsidRPr="008048DD">
        <w:rPr>
          <w:lang w:val="es-ES_tradnl"/>
        </w:rPr>
        <w:t>G</w:t>
      </w:r>
      <w:r w:rsidR="00891F8B" w:rsidRPr="008048DD">
        <w:rPr>
          <w:lang w:val="es-ES_tradnl"/>
        </w:rPr>
        <w:t>rupo especial de</w:t>
      </w:r>
      <w:r w:rsidR="00871D14" w:rsidRPr="008048DD">
        <w:rPr>
          <w:lang w:val="es-ES_tradnl"/>
        </w:rPr>
        <w:t> </w:t>
      </w:r>
      <w:r w:rsidR="00891F8B" w:rsidRPr="008048DD">
        <w:rPr>
          <w:lang w:val="es-ES_tradnl"/>
        </w:rPr>
        <w:t>expertos</w:t>
      </w:r>
      <w:r w:rsidRPr="008048DD">
        <w:rPr>
          <w:lang w:val="es-ES_tradnl"/>
        </w:rPr>
        <w:t xml:space="preserve"> técnicos para la evaluación de la eficacia</w:t>
      </w:r>
      <w:r w:rsidR="00352E61" w:rsidRPr="008048DD">
        <w:rPr>
          <w:lang w:val="es-ES_tradnl"/>
        </w:rPr>
        <w:t>,</w:t>
      </w:r>
      <w:r w:rsidRPr="008048DD">
        <w:rPr>
          <w:lang w:val="es-ES_tradnl"/>
        </w:rPr>
        <w:t xml:space="preserve"> encomendada en las decisiones MC-1/9 y</w:t>
      </w:r>
      <w:r w:rsidR="00871D14" w:rsidRPr="008048DD">
        <w:rPr>
          <w:lang w:val="es-ES_tradnl"/>
        </w:rPr>
        <w:t> </w:t>
      </w:r>
      <w:r w:rsidRPr="008048DD">
        <w:rPr>
          <w:lang w:val="es-ES_tradnl"/>
        </w:rPr>
        <w:t>MC</w:t>
      </w:r>
      <w:r w:rsidR="00BD7352" w:rsidRPr="008048DD">
        <w:rPr>
          <w:lang w:val="es-ES_tradnl"/>
        </w:rPr>
        <w:noBreakHyphen/>
      </w:r>
      <w:r w:rsidRPr="008048DD">
        <w:rPr>
          <w:lang w:val="es-ES_tradnl"/>
        </w:rPr>
        <w:t xml:space="preserve">2/10, </w:t>
      </w:r>
      <w:r w:rsidR="00352E61" w:rsidRPr="008048DD">
        <w:rPr>
          <w:lang w:val="es-ES_tradnl"/>
        </w:rPr>
        <w:t xml:space="preserve">en lo que </w:t>
      </w:r>
      <w:r w:rsidRPr="008048DD">
        <w:rPr>
          <w:lang w:val="es-ES_tradnl"/>
        </w:rPr>
        <w:t>respect</w:t>
      </w:r>
      <w:r w:rsidR="00352E61" w:rsidRPr="008048DD">
        <w:rPr>
          <w:lang w:val="es-ES_tradnl"/>
        </w:rPr>
        <w:t>a</w:t>
      </w:r>
      <w:r w:rsidRPr="008048DD">
        <w:rPr>
          <w:lang w:val="es-ES_tradnl"/>
        </w:rPr>
        <w:t xml:space="preserve"> a las medidas que se han de adoptar para proporcionar a la Conferencia de las Partes la información necesaria para llevar a cabo una evaluación de la eficacia del Convenio de</w:t>
      </w:r>
      <w:r w:rsidR="00947ECB">
        <w:rPr>
          <w:lang w:val="es-ES_tradnl"/>
        </w:rPr>
        <w:t> </w:t>
      </w:r>
      <w:r w:rsidRPr="008048DD">
        <w:rPr>
          <w:lang w:val="es-ES_tradnl"/>
        </w:rPr>
        <w:t xml:space="preserve">Minamata sobre el Mercurio. </w:t>
      </w:r>
    </w:p>
    <w:p w14:paraId="1C43ECFE" w14:textId="77777777" w:rsidR="008E2E5D" w:rsidRPr="008048DD" w:rsidRDefault="00D743B5" w:rsidP="00362646">
      <w:pPr>
        <w:pStyle w:val="Normalnumber"/>
        <w:numPr>
          <w:ilvl w:val="0"/>
          <w:numId w:val="42"/>
        </w:numPr>
        <w:ind w:left="1247" w:firstLine="0"/>
        <w:rPr>
          <w:lang w:val="es-ES_tradnl"/>
        </w:rPr>
      </w:pPr>
      <w:r w:rsidRPr="008048DD">
        <w:rPr>
          <w:lang w:val="es-ES_tradnl"/>
        </w:rPr>
        <w:t xml:space="preserve">La nota contiene dos anexos. En el primer anexo se reproduce un proyecto de decisión que ha de examinar la Conferencia de las Partes en su tercera reunión. El segundo anexo contiene el informe del </w:t>
      </w:r>
      <w:r w:rsidR="00871D14" w:rsidRPr="008048DD">
        <w:rPr>
          <w:lang w:val="es-ES_tradnl"/>
        </w:rPr>
        <w:t>G</w:t>
      </w:r>
      <w:r w:rsidR="00891F8B" w:rsidRPr="008048DD">
        <w:rPr>
          <w:lang w:val="es-ES_tradnl"/>
        </w:rPr>
        <w:t>rupo especial de expertos</w:t>
      </w:r>
      <w:r w:rsidRPr="008048DD">
        <w:rPr>
          <w:lang w:val="es-ES_tradnl"/>
        </w:rPr>
        <w:t xml:space="preserve"> técnicos, en el que se describe el marco propuesto para la evaluación de la </w:t>
      </w:r>
      <w:r w:rsidR="00352E61" w:rsidRPr="008048DD">
        <w:rPr>
          <w:lang w:val="es-ES_tradnl"/>
        </w:rPr>
        <w:t>eficacia. El informe contiene, por</w:t>
      </w:r>
      <w:r w:rsidRPr="008048DD">
        <w:rPr>
          <w:lang w:val="es-ES_tradnl"/>
        </w:rPr>
        <w:t xml:space="preserve"> su </w:t>
      </w:r>
      <w:r w:rsidR="00352E61" w:rsidRPr="008048DD">
        <w:rPr>
          <w:lang w:val="es-ES_tradnl"/>
        </w:rPr>
        <w:t>parte</w:t>
      </w:r>
      <w:r w:rsidRPr="008048DD">
        <w:rPr>
          <w:lang w:val="es-ES_tradnl"/>
        </w:rPr>
        <w:t xml:space="preserve">, cuatro apéndices. Cabe señalar que el texto del apéndice I figura en el documento UNEP/MC/COP.3/14/Add.1. </w:t>
      </w:r>
      <w:r w:rsidR="00352E61" w:rsidRPr="008048DD">
        <w:rPr>
          <w:lang w:val="es-ES_tradnl"/>
        </w:rPr>
        <w:t>E</w:t>
      </w:r>
      <w:r w:rsidRPr="008048DD">
        <w:rPr>
          <w:lang w:val="es-ES_tradnl"/>
        </w:rPr>
        <w:t xml:space="preserve">l informe del </w:t>
      </w:r>
      <w:r w:rsidR="00871D14" w:rsidRPr="008048DD">
        <w:rPr>
          <w:lang w:val="es-ES_tradnl"/>
        </w:rPr>
        <w:t>G</w:t>
      </w:r>
      <w:r w:rsidR="00891F8B" w:rsidRPr="008048DD">
        <w:rPr>
          <w:lang w:val="es-ES_tradnl"/>
        </w:rPr>
        <w:t>rupo especial de expertos</w:t>
      </w:r>
      <w:r w:rsidRPr="008048DD">
        <w:rPr>
          <w:lang w:val="es-ES_tradnl"/>
        </w:rPr>
        <w:t xml:space="preserve"> técnicos se complementa</w:t>
      </w:r>
      <w:r w:rsidR="00352E61" w:rsidRPr="008048DD">
        <w:rPr>
          <w:lang w:val="es-ES_tradnl"/>
        </w:rPr>
        <w:t>, además,</w:t>
      </w:r>
      <w:r w:rsidRPr="008048DD">
        <w:rPr>
          <w:lang w:val="es-ES_tradnl"/>
        </w:rPr>
        <w:t xml:space="preserve"> con la información adicional que figura en el documento UNEP/MC/C</w:t>
      </w:r>
      <w:bookmarkStart w:id="2" w:name="_GoBack"/>
      <w:bookmarkEnd w:id="2"/>
      <w:r w:rsidRPr="008048DD">
        <w:rPr>
          <w:lang w:val="es-ES_tradnl"/>
        </w:rPr>
        <w:t>OP.3/INF/15.</w:t>
      </w:r>
    </w:p>
    <w:p w14:paraId="74E781EB" w14:textId="77777777" w:rsidR="00001203" w:rsidRPr="008048DD" w:rsidRDefault="00001203">
      <w:pPr>
        <w:tabs>
          <w:tab w:val="clear" w:pos="1247"/>
          <w:tab w:val="clear" w:pos="1814"/>
          <w:tab w:val="clear" w:pos="2381"/>
          <w:tab w:val="clear" w:pos="2948"/>
          <w:tab w:val="clear" w:pos="3515"/>
        </w:tabs>
        <w:rPr>
          <w:b/>
          <w:bCs/>
          <w:sz w:val="28"/>
          <w:szCs w:val="22"/>
        </w:rPr>
      </w:pPr>
      <w:r w:rsidRPr="008048DD">
        <w:br w:type="page"/>
      </w:r>
    </w:p>
    <w:p w14:paraId="707016AB" w14:textId="77777777" w:rsidR="00917EE1" w:rsidRPr="008048DD" w:rsidRDefault="00650D54" w:rsidP="003C6542">
      <w:pPr>
        <w:pStyle w:val="ZZAnxheader"/>
        <w:rPr>
          <w:lang w:val="es-ES_tradnl"/>
        </w:rPr>
      </w:pPr>
      <w:r w:rsidRPr="008048DD">
        <w:rPr>
          <w:lang w:val="es-ES_tradnl"/>
        </w:rPr>
        <w:lastRenderedPageBreak/>
        <w:t>Anexo I</w:t>
      </w:r>
    </w:p>
    <w:p w14:paraId="17229988" w14:textId="37CD3ACC" w:rsidR="002651EE" w:rsidRPr="008048DD" w:rsidRDefault="002651EE" w:rsidP="00875121">
      <w:pPr>
        <w:pStyle w:val="ZZAnxtitle"/>
        <w:rPr>
          <w:lang w:val="es-ES_tradnl"/>
        </w:rPr>
      </w:pPr>
      <w:r w:rsidRPr="008048DD">
        <w:rPr>
          <w:lang w:val="es-ES_tradnl"/>
        </w:rPr>
        <w:t xml:space="preserve">Proyecto de decisión MC-3 [--]: </w:t>
      </w:r>
      <w:r w:rsidR="00891F8B" w:rsidRPr="008048DD">
        <w:rPr>
          <w:lang w:val="es-ES_tradnl"/>
        </w:rPr>
        <w:t>arreglos relativos a la</w:t>
      </w:r>
      <w:r w:rsidRPr="008048DD">
        <w:rPr>
          <w:lang w:val="es-ES_tradnl"/>
        </w:rPr>
        <w:t xml:space="preserve"> primera evaluación de la eficacia del Convenio de Minamata sobre el</w:t>
      </w:r>
      <w:r w:rsidR="00947ECB">
        <w:rPr>
          <w:lang w:val="es-ES_tradnl"/>
        </w:rPr>
        <w:t> </w:t>
      </w:r>
      <w:r w:rsidRPr="008048DD">
        <w:rPr>
          <w:lang w:val="es-ES_tradnl"/>
        </w:rPr>
        <w:t>Mercurio</w:t>
      </w:r>
    </w:p>
    <w:p w14:paraId="2568B02E" w14:textId="77777777" w:rsidR="001F0066" w:rsidRPr="003974D7" w:rsidRDefault="002A2D72" w:rsidP="00947ECB">
      <w:pPr>
        <w:tabs>
          <w:tab w:val="clear" w:pos="1247"/>
          <w:tab w:val="clear" w:pos="1814"/>
          <w:tab w:val="clear" w:pos="2381"/>
          <w:tab w:val="clear" w:pos="2948"/>
          <w:tab w:val="clear" w:pos="3515"/>
          <w:tab w:val="left" w:pos="624"/>
        </w:tabs>
        <w:spacing w:after="120"/>
        <w:ind w:left="1247" w:firstLine="624"/>
        <w:rPr>
          <w:i/>
          <w:lang w:val="es-ES"/>
        </w:rPr>
      </w:pPr>
      <w:r w:rsidRPr="003974D7">
        <w:rPr>
          <w:i/>
          <w:lang w:val="es-ES"/>
        </w:rPr>
        <w:t>La Conferencia de las Partes,</w:t>
      </w:r>
    </w:p>
    <w:p w14:paraId="3C3B89E9" w14:textId="77777777" w:rsidR="006212A9" w:rsidRPr="003974D7" w:rsidRDefault="00875121" w:rsidP="00947ECB">
      <w:pPr>
        <w:tabs>
          <w:tab w:val="clear" w:pos="1247"/>
          <w:tab w:val="clear" w:pos="1814"/>
          <w:tab w:val="clear" w:pos="2381"/>
          <w:tab w:val="clear" w:pos="2948"/>
          <w:tab w:val="clear" w:pos="3515"/>
          <w:tab w:val="left" w:pos="624"/>
        </w:tabs>
        <w:spacing w:after="120"/>
        <w:ind w:left="1247" w:firstLine="624"/>
        <w:rPr>
          <w:lang w:val="es-ES"/>
        </w:rPr>
      </w:pPr>
      <w:r w:rsidRPr="00947ECB">
        <w:tab/>
      </w:r>
      <w:r w:rsidR="006212A9" w:rsidRPr="003974D7">
        <w:rPr>
          <w:i/>
          <w:iCs/>
          <w:lang w:val="es-ES"/>
        </w:rPr>
        <w:t>Acogiendo</w:t>
      </w:r>
      <w:r w:rsidR="006212A9" w:rsidRPr="003974D7">
        <w:rPr>
          <w:lang w:val="es-ES"/>
        </w:rPr>
        <w:t xml:space="preserve"> con beneplácito el informe</w:t>
      </w:r>
      <w:r w:rsidR="00B17856" w:rsidRPr="00947ECB">
        <w:rPr>
          <w:vertAlign w:val="superscript"/>
          <w:lang w:val="en-GB"/>
        </w:rPr>
        <w:footnoteReference w:id="2"/>
      </w:r>
      <w:r w:rsidR="006212A9" w:rsidRPr="003974D7">
        <w:rPr>
          <w:lang w:val="es-ES"/>
        </w:rPr>
        <w:t xml:space="preserve"> sobre el marco propuesto para la evaluación de la eficacia y l</w:t>
      </w:r>
      <w:r w:rsidR="00466920" w:rsidRPr="003974D7">
        <w:rPr>
          <w:lang w:val="es-ES"/>
        </w:rPr>
        <w:t>o</w:t>
      </w:r>
      <w:r w:rsidR="006212A9" w:rsidRPr="003974D7">
        <w:rPr>
          <w:lang w:val="es-ES"/>
        </w:rPr>
        <w:t>s</w:t>
      </w:r>
      <w:r w:rsidR="00063402" w:rsidRPr="003974D7">
        <w:rPr>
          <w:lang w:val="es-ES"/>
        </w:rPr>
        <w:t> </w:t>
      </w:r>
      <w:r w:rsidR="00891F8B" w:rsidRPr="003974D7">
        <w:rPr>
          <w:lang w:val="es-ES"/>
        </w:rPr>
        <w:t>arreglos de vigilancia</w:t>
      </w:r>
      <w:r w:rsidR="006212A9" w:rsidRPr="003974D7">
        <w:rPr>
          <w:lang w:val="es-ES"/>
        </w:rPr>
        <w:t xml:space="preserve"> en el marco del Convenio de Minamata, y la información c</w:t>
      </w:r>
      <w:r w:rsidR="00891F8B" w:rsidRPr="003974D7">
        <w:rPr>
          <w:lang w:val="es-ES"/>
        </w:rPr>
        <w:t>omplemen</w:t>
      </w:r>
      <w:r w:rsidR="00743484" w:rsidRPr="003974D7">
        <w:rPr>
          <w:lang w:val="es-ES"/>
        </w:rPr>
        <w:t>taria preparada por el G</w:t>
      </w:r>
      <w:r w:rsidR="006212A9" w:rsidRPr="003974D7">
        <w:rPr>
          <w:lang w:val="es-ES"/>
        </w:rPr>
        <w:t>rupo especial de expertos técnicos sobre la base de los mandatos establecidos en las decisiones MC-1/9 y</w:t>
      </w:r>
      <w:r w:rsidR="00063402" w:rsidRPr="003974D7">
        <w:rPr>
          <w:lang w:val="es-ES"/>
        </w:rPr>
        <w:t> </w:t>
      </w:r>
      <w:r w:rsidR="006212A9" w:rsidRPr="003974D7">
        <w:rPr>
          <w:lang w:val="es-ES"/>
        </w:rPr>
        <w:t>MC-2/10</w:t>
      </w:r>
      <w:r w:rsidR="003B4C6C" w:rsidRPr="00947ECB">
        <w:rPr>
          <w:vertAlign w:val="superscript"/>
          <w:lang w:val="en-GB"/>
        </w:rPr>
        <w:footnoteReference w:id="3"/>
      </w:r>
      <w:r w:rsidR="00B17856" w:rsidRPr="003974D7">
        <w:rPr>
          <w:lang w:val="es-ES"/>
        </w:rPr>
        <w:t>,</w:t>
      </w:r>
    </w:p>
    <w:p w14:paraId="53268822" w14:textId="77777777" w:rsidR="001F0066" w:rsidRPr="003974D7" w:rsidRDefault="002A2D72" w:rsidP="00947ECB">
      <w:pPr>
        <w:tabs>
          <w:tab w:val="clear" w:pos="1247"/>
          <w:tab w:val="clear" w:pos="1814"/>
          <w:tab w:val="clear" w:pos="2381"/>
          <w:tab w:val="clear" w:pos="2948"/>
          <w:tab w:val="clear" w:pos="3515"/>
          <w:tab w:val="left" w:pos="624"/>
        </w:tabs>
        <w:spacing w:after="120"/>
        <w:ind w:left="1247" w:firstLine="624"/>
        <w:rPr>
          <w:lang w:val="es-ES"/>
        </w:rPr>
      </w:pPr>
      <w:r w:rsidRPr="00947ECB">
        <w:tab/>
      </w:r>
      <w:r w:rsidRPr="003974D7">
        <w:rPr>
          <w:i/>
          <w:iCs/>
          <w:lang w:val="es-ES"/>
        </w:rPr>
        <w:t>Acogiendo</w:t>
      </w:r>
      <w:r w:rsidRPr="003974D7">
        <w:rPr>
          <w:lang w:val="es-ES"/>
        </w:rPr>
        <w:t xml:space="preserve"> con beneplácito las actividades de vigilancia que ya se realizan y los esfuerzos de las</w:t>
      </w:r>
      <w:r w:rsidR="00743484" w:rsidRPr="003974D7">
        <w:rPr>
          <w:lang w:val="es-ES"/>
        </w:rPr>
        <w:t> </w:t>
      </w:r>
      <w:r w:rsidRPr="003974D7">
        <w:rPr>
          <w:lang w:val="es-ES"/>
        </w:rPr>
        <w:t xml:space="preserve">Partes y otros interesados </w:t>
      </w:r>
      <w:r w:rsidR="00466920" w:rsidRPr="003974D7">
        <w:rPr>
          <w:lang w:val="es-ES"/>
        </w:rPr>
        <w:t xml:space="preserve">para apoyar </w:t>
      </w:r>
      <w:r w:rsidRPr="003974D7">
        <w:rPr>
          <w:lang w:val="es-ES"/>
        </w:rPr>
        <w:t xml:space="preserve">el suministro de datos de vigilancia </w:t>
      </w:r>
      <w:r w:rsidR="00466920" w:rsidRPr="003974D7">
        <w:rPr>
          <w:lang w:val="es-ES"/>
        </w:rPr>
        <w:t xml:space="preserve">sobre </w:t>
      </w:r>
      <w:r w:rsidRPr="003974D7">
        <w:rPr>
          <w:lang w:val="es-ES"/>
        </w:rPr>
        <w:t>el mercurio y su disponibilidad en el futuro,</w:t>
      </w:r>
    </w:p>
    <w:p w14:paraId="08416E0D" w14:textId="384AA8CF" w:rsidR="001F0066" w:rsidRPr="00947ECB" w:rsidRDefault="00063402" w:rsidP="00947ECB">
      <w:pPr>
        <w:tabs>
          <w:tab w:val="clear" w:pos="1247"/>
          <w:tab w:val="clear" w:pos="1814"/>
          <w:tab w:val="clear" w:pos="2381"/>
          <w:tab w:val="clear" w:pos="2948"/>
          <w:tab w:val="clear" w:pos="3515"/>
          <w:tab w:val="left" w:pos="624"/>
        </w:tabs>
        <w:spacing w:after="120"/>
        <w:ind w:left="1247" w:firstLine="624"/>
      </w:pPr>
      <w:r w:rsidRPr="00947ECB">
        <w:rPr>
          <w:i/>
          <w:iCs/>
        </w:rPr>
        <w:tab/>
      </w:r>
      <w:r w:rsidR="002A2D72" w:rsidRPr="00947ECB">
        <w:rPr>
          <w:i/>
          <w:iCs/>
        </w:rPr>
        <w:t>Reconociendo</w:t>
      </w:r>
      <w:r w:rsidR="002A2D72" w:rsidRPr="00947ECB">
        <w:t xml:space="preserve"> que se dispone de capacidades de </w:t>
      </w:r>
      <w:r w:rsidR="00352E61" w:rsidRPr="00947ECB">
        <w:t xml:space="preserve">modelización </w:t>
      </w:r>
      <w:r w:rsidR="002A2D72" w:rsidRPr="00947ECB">
        <w:t>utilizables en la evaluación de</w:t>
      </w:r>
      <w:r w:rsidR="00947ECB">
        <w:t> </w:t>
      </w:r>
      <w:r w:rsidR="002A2D72" w:rsidRPr="00947ECB">
        <w:t>la eficacia,</w:t>
      </w:r>
    </w:p>
    <w:p w14:paraId="51279933" w14:textId="2DBD6AAF" w:rsidR="001F0066" w:rsidRPr="00947ECB" w:rsidRDefault="00063402"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1.</w:t>
      </w:r>
      <w:r w:rsidR="002A2D72" w:rsidRPr="00947ECB">
        <w:tab/>
      </w:r>
      <w:r w:rsidR="002A2D72" w:rsidRPr="00947ECB">
        <w:rPr>
          <w:i/>
          <w:iCs/>
        </w:rPr>
        <w:t>Aprueba</w:t>
      </w:r>
      <w:r w:rsidR="002A2D72" w:rsidRPr="00947ECB">
        <w:t xml:space="preserve"> el marco propuesto para la evaluación de la eficacia del Convenio de Minamata, </w:t>
      </w:r>
      <w:r w:rsidR="00466920" w:rsidRPr="00947ECB">
        <w:t xml:space="preserve">que incluye </w:t>
      </w:r>
      <w:r w:rsidR="002A2D72" w:rsidRPr="00947ECB">
        <w:t xml:space="preserve">su metodología, </w:t>
      </w:r>
      <w:r w:rsidR="00466920" w:rsidRPr="00947ECB">
        <w:t xml:space="preserve">los </w:t>
      </w:r>
      <w:r w:rsidR="002A2D72" w:rsidRPr="00947ECB">
        <w:t xml:space="preserve">indicadores, </w:t>
      </w:r>
      <w:r w:rsidR="00466920" w:rsidRPr="00947ECB">
        <w:t xml:space="preserve">los </w:t>
      </w:r>
      <w:r w:rsidR="002A2D72" w:rsidRPr="00947ECB">
        <w:t xml:space="preserve">informes, </w:t>
      </w:r>
      <w:r w:rsidR="00466920" w:rsidRPr="00947ECB">
        <w:t xml:space="preserve">el </w:t>
      </w:r>
      <w:r w:rsidR="002A2D72" w:rsidRPr="00947ECB">
        <w:t xml:space="preserve">calendario y </w:t>
      </w:r>
      <w:r w:rsidR="00466920" w:rsidRPr="00947ECB">
        <w:t xml:space="preserve">los </w:t>
      </w:r>
      <w:r w:rsidR="002A2D72" w:rsidRPr="00947ECB">
        <w:t>plazos</w:t>
      </w:r>
      <w:r w:rsidR="000A2084" w:rsidRPr="00947ECB">
        <w:rPr>
          <w:vertAlign w:val="superscript"/>
        </w:rPr>
        <w:footnoteReference w:id="4"/>
      </w:r>
      <w:r w:rsidR="00B17856" w:rsidRPr="00947ECB">
        <w:t>;</w:t>
      </w:r>
    </w:p>
    <w:p w14:paraId="772D275F" w14:textId="2A2EC2A2" w:rsidR="001F0066" w:rsidRPr="00947ECB" w:rsidRDefault="00875121"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2.</w:t>
      </w:r>
      <w:r w:rsidR="002A2D72" w:rsidRPr="00947ECB">
        <w:tab/>
      </w:r>
      <w:r w:rsidR="002A2D72" w:rsidRPr="00947ECB">
        <w:rPr>
          <w:i/>
          <w:iCs/>
        </w:rPr>
        <w:t>Aprueba</w:t>
      </w:r>
      <w:r w:rsidR="002A2D72" w:rsidRPr="00947ECB">
        <w:t xml:space="preserve"> las condiciones y el mandato del </w:t>
      </w:r>
      <w:r w:rsidR="002A2D72" w:rsidRPr="00947ECB">
        <w:rPr>
          <w:lang w:val="es-ES"/>
        </w:rPr>
        <w:t>comité</w:t>
      </w:r>
      <w:r w:rsidR="002A2D72" w:rsidRPr="00947ECB">
        <w:t xml:space="preserve"> que se ha de establecer para llevar</w:t>
      </w:r>
      <w:r w:rsidR="00947ECB">
        <w:t> </w:t>
      </w:r>
      <w:r w:rsidR="002A2D72" w:rsidRPr="00947ECB">
        <w:t>a</w:t>
      </w:r>
      <w:r w:rsidR="00947ECB">
        <w:t> </w:t>
      </w:r>
      <w:r w:rsidR="002A2D72" w:rsidRPr="00947ECB">
        <w:t>cabo la evaluación de la eficacia</w:t>
      </w:r>
      <w:r w:rsidR="003B4C6C" w:rsidRPr="00947ECB">
        <w:rPr>
          <w:vertAlign w:val="superscript"/>
        </w:rPr>
        <w:footnoteReference w:id="5"/>
      </w:r>
      <w:r w:rsidR="00B17856" w:rsidRPr="00947ECB">
        <w:t>;</w:t>
      </w:r>
    </w:p>
    <w:p w14:paraId="1A4C4C4B" w14:textId="77777777" w:rsidR="001F0066" w:rsidRPr="00947ECB" w:rsidRDefault="00063402"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3.</w:t>
      </w:r>
      <w:r w:rsidR="002A2D72" w:rsidRPr="00947ECB">
        <w:tab/>
      </w:r>
      <w:r w:rsidR="002A2D72" w:rsidRPr="00947ECB">
        <w:rPr>
          <w:i/>
          <w:iCs/>
        </w:rPr>
        <w:t>Decide</w:t>
      </w:r>
      <w:r w:rsidR="002A2D72" w:rsidRPr="00947ECB">
        <w:t xml:space="preserve"> establecer el </w:t>
      </w:r>
      <w:r w:rsidR="00352E61" w:rsidRPr="00947ECB">
        <w:t>C</w:t>
      </w:r>
      <w:r w:rsidR="00E006FC" w:rsidRPr="00947ECB">
        <w:t xml:space="preserve">omité de </w:t>
      </w:r>
      <w:r w:rsidR="00352E61" w:rsidRPr="00947ECB">
        <w:t>E</w:t>
      </w:r>
      <w:r w:rsidR="00E006FC" w:rsidRPr="00947ECB">
        <w:t xml:space="preserve">valuación de la </w:t>
      </w:r>
      <w:r w:rsidR="00352E61" w:rsidRPr="00947ECB">
        <w:t>E</w:t>
      </w:r>
      <w:r w:rsidR="00E006FC" w:rsidRPr="00947ECB">
        <w:t>ficacia</w:t>
      </w:r>
      <w:r w:rsidR="002A2D72" w:rsidRPr="00947ECB">
        <w:t xml:space="preserve"> en su cuarta reunión; </w:t>
      </w:r>
    </w:p>
    <w:p w14:paraId="7C17988F" w14:textId="17CB06D8" w:rsidR="001F0066" w:rsidRPr="00947ECB" w:rsidRDefault="00875121"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4.</w:t>
      </w:r>
      <w:r w:rsidR="002A2D72" w:rsidRPr="00947ECB">
        <w:tab/>
      </w:r>
      <w:r w:rsidR="002A2D72" w:rsidRPr="00947ECB">
        <w:rPr>
          <w:i/>
          <w:iCs/>
        </w:rPr>
        <w:t>Decide</w:t>
      </w:r>
      <w:r w:rsidR="00466920" w:rsidRPr="00947ECB">
        <w:t xml:space="preserve"> aprobar lo</w:t>
      </w:r>
      <w:r w:rsidR="002A2D72" w:rsidRPr="00947ECB">
        <w:t xml:space="preserve">s </w:t>
      </w:r>
      <w:r w:rsidR="00891F8B" w:rsidRPr="00947ECB">
        <w:t>arreglos de vigilancia</w:t>
      </w:r>
      <w:r w:rsidR="002A2D72" w:rsidRPr="00947ECB">
        <w:t xml:space="preserve"> </w:t>
      </w:r>
      <w:r w:rsidR="00352E61" w:rsidRPr="00947ECB">
        <w:t xml:space="preserve">a </w:t>
      </w:r>
      <w:r w:rsidR="00352E61" w:rsidRPr="00947ECB">
        <w:rPr>
          <w:lang w:val="es-ES"/>
        </w:rPr>
        <w:t>nivel</w:t>
      </w:r>
      <w:r w:rsidR="00352E61" w:rsidRPr="00947ECB">
        <w:t xml:space="preserve"> </w:t>
      </w:r>
      <w:r w:rsidR="002A2D72" w:rsidRPr="00947ECB">
        <w:t>mundial</w:t>
      </w:r>
      <w:r w:rsidR="00871D14" w:rsidRPr="00947ECB">
        <w:rPr>
          <w:vertAlign w:val="superscript"/>
        </w:rPr>
        <w:footnoteReference w:id="6"/>
      </w:r>
      <w:r w:rsidR="002A2D72" w:rsidRPr="00947ECB">
        <w:t xml:space="preserve"> y establece un grupo de vigilancia que trabajará conforme a su mandato en la elaboración de un informe de vigilancia</w:t>
      </w:r>
      <w:r w:rsidR="00352E61" w:rsidRPr="00947ECB">
        <w:t xml:space="preserve"> a nivel</w:t>
      </w:r>
      <w:r w:rsidR="002A2D72" w:rsidRPr="00947ECB">
        <w:t xml:space="preserve"> mundial para el </w:t>
      </w:r>
      <w:r w:rsidR="00C34D0C" w:rsidRPr="00947ECB">
        <w:t>Comité de Evaluación de la E</w:t>
      </w:r>
      <w:r w:rsidR="00E006FC" w:rsidRPr="00947ECB">
        <w:t>ficacia</w:t>
      </w:r>
      <w:r w:rsidR="002A2D72" w:rsidRPr="00947ECB">
        <w:t>, así como de una orientación y recomendaciones sobre los procedimientos operativos estándar para las actividades de vigilancia, antes de la Conferencia de las Partes en su cuarta reunión, de manera que el Comité pueda reunirse antes de la</w:t>
      </w:r>
      <w:r w:rsidR="00947ECB">
        <w:t> </w:t>
      </w:r>
      <w:r w:rsidR="002A2D72" w:rsidRPr="00947ECB">
        <w:t>quinta reunión de la Conferencia de las Partes para completar la primera evaluación del Convenio de Minamata;</w:t>
      </w:r>
    </w:p>
    <w:p w14:paraId="30449272" w14:textId="77777777" w:rsidR="001F0066" w:rsidRPr="00947ECB" w:rsidRDefault="00875121"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5.</w:t>
      </w:r>
      <w:r w:rsidR="002A2D72" w:rsidRPr="00947ECB">
        <w:tab/>
      </w:r>
      <w:r w:rsidR="002A2D72" w:rsidRPr="00947ECB">
        <w:rPr>
          <w:i/>
          <w:iCs/>
        </w:rPr>
        <w:t>Pide</w:t>
      </w:r>
      <w:r w:rsidR="002A2D72" w:rsidRPr="00947ECB">
        <w:t xml:space="preserve"> a la Secretaría que apoye la labor de evaluación de la eficacia, y siga recopilando información de interés para la evaluación de la eficacia, en particular para la elaboración de los informes necesarios; </w:t>
      </w:r>
    </w:p>
    <w:p w14:paraId="51B2F9DA" w14:textId="77777777" w:rsidR="001F0066" w:rsidRPr="00947ECB" w:rsidRDefault="00875121" w:rsidP="00947ECB">
      <w:pPr>
        <w:tabs>
          <w:tab w:val="clear" w:pos="1247"/>
          <w:tab w:val="clear" w:pos="1814"/>
          <w:tab w:val="clear" w:pos="2381"/>
          <w:tab w:val="clear" w:pos="2948"/>
          <w:tab w:val="clear" w:pos="3515"/>
          <w:tab w:val="left" w:pos="624"/>
        </w:tabs>
        <w:spacing w:after="120"/>
        <w:ind w:left="1247" w:firstLine="624"/>
      </w:pPr>
      <w:r w:rsidRPr="00947ECB">
        <w:tab/>
      </w:r>
      <w:r w:rsidR="002A2D72" w:rsidRPr="00947ECB">
        <w:t>6.</w:t>
      </w:r>
      <w:r w:rsidR="002A2D72" w:rsidRPr="00947ECB">
        <w:tab/>
      </w:r>
      <w:r w:rsidR="002A2D72" w:rsidRPr="00947ECB">
        <w:rPr>
          <w:i/>
          <w:iCs/>
        </w:rPr>
        <w:t>Alienta</w:t>
      </w:r>
      <w:r w:rsidR="002A2D72" w:rsidRPr="00947ECB">
        <w:t xml:space="preserve"> a las Partes a que participen activamente en la aplicación del marco de evaluación de la eficacia, en particular, a que:</w:t>
      </w:r>
      <w:r w:rsidR="00B3310A" w:rsidRPr="00947ECB">
        <w:t xml:space="preserve"> </w:t>
      </w:r>
    </w:p>
    <w:p w14:paraId="5A280340" w14:textId="77777777" w:rsidR="001F0066" w:rsidRPr="00947ECB" w:rsidRDefault="002A2D72" w:rsidP="00947ECB">
      <w:pPr>
        <w:tabs>
          <w:tab w:val="clear" w:pos="1247"/>
          <w:tab w:val="clear" w:pos="1814"/>
          <w:tab w:val="clear" w:pos="2381"/>
          <w:tab w:val="clear" w:pos="2948"/>
          <w:tab w:val="clear" w:pos="3515"/>
          <w:tab w:val="left" w:pos="624"/>
        </w:tabs>
        <w:spacing w:after="120"/>
        <w:ind w:left="1247" w:firstLine="624"/>
      </w:pPr>
      <w:r w:rsidRPr="00947ECB">
        <w:tab/>
        <w:t>a)</w:t>
      </w:r>
      <w:r w:rsidRPr="00947ECB">
        <w:tab/>
      </w:r>
      <w:r w:rsidR="00D96F6B" w:rsidRPr="00947ECB">
        <w:t xml:space="preserve">Continúen </w:t>
      </w:r>
      <w:r w:rsidRPr="00947ECB">
        <w:t xml:space="preserve">vigilando el mercurio y compartan los datos de vigilancia resultantes por medio del grupo de vigilancia establecido de conformidad con el párrafo 4; </w:t>
      </w:r>
    </w:p>
    <w:p w14:paraId="4C118D09" w14:textId="77777777" w:rsidR="001F0066" w:rsidRPr="00947ECB" w:rsidRDefault="002A2D72" w:rsidP="00947ECB">
      <w:pPr>
        <w:tabs>
          <w:tab w:val="clear" w:pos="1247"/>
          <w:tab w:val="clear" w:pos="1814"/>
          <w:tab w:val="clear" w:pos="2381"/>
          <w:tab w:val="clear" w:pos="2948"/>
          <w:tab w:val="clear" w:pos="3515"/>
          <w:tab w:val="left" w:pos="624"/>
        </w:tabs>
        <w:spacing w:after="120"/>
        <w:ind w:left="1247" w:firstLine="624"/>
      </w:pPr>
      <w:r w:rsidRPr="00947ECB">
        <w:tab/>
        <w:t>b)</w:t>
      </w:r>
      <w:r w:rsidRPr="00947ECB">
        <w:tab/>
        <w:t xml:space="preserve">Colaboren en el desarrollo y perfeccionamiento de los instrumentos de modelización, según sea necesario, y lleven a cabo una </w:t>
      </w:r>
      <w:r w:rsidRPr="003974D7">
        <w:rPr>
          <w:lang w:val="es-ES"/>
        </w:rPr>
        <w:t>vigilancia</w:t>
      </w:r>
      <w:r w:rsidRPr="00947ECB">
        <w:t xml:space="preserve"> geográficamente representativa del mercurio en el medio ambiente, los medios bióticos y las poblaciones vulnerables;</w:t>
      </w:r>
    </w:p>
    <w:p w14:paraId="585C637E" w14:textId="77777777" w:rsidR="001F0066" w:rsidRPr="00947ECB" w:rsidRDefault="002A2D72" w:rsidP="00947ECB">
      <w:pPr>
        <w:tabs>
          <w:tab w:val="clear" w:pos="1247"/>
          <w:tab w:val="clear" w:pos="1814"/>
          <w:tab w:val="clear" w:pos="2381"/>
          <w:tab w:val="clear" w:pos="2948"/>
          <w:tab w:val="clear" w:pos="3515"/>
          <w:tab w:val="left" w:pos="624"/>
        </w:tabs>
        <w:spacing w:after="120"/>
        <w:ind w:left="1247" w:firstLine="624"/>
      </w:pPr>
      <w:r w:rsidRPr="00947ECB">
        <w:tab/>
        <w:t>c)</w:t>
      </w:r>
      <w:r w:rsidRPr="00947ECB">
        <w:tab/>
        <w:t xml:space="preserve">Utilicen los </w:t>
      </w:r>
      <w:r w:rsidRPr="003974D7">
        <w:rPr>
          <w:lang w:val="es-ES"/>
        </w:rPr>
        <w:t>instrumentos</w:t>
      </w:r>
      <w:r w:rsidRPr="00947ECB">
        <w:t xml:space="preserve"> indicados por el </w:t>
      </w:r>
      <w:r w:rsidR="009C4436" w:rsidRPr="00947ECB">
        <w:t>G</w:t>
      </w:r>
      <w:r w:rsidR="00891F8B" w:rsidRPr="00947ECB">
        <w:t>rupo especial de expertos</w:t>
      </w:r>
      <w:r w:rsidRPr="00947ECB">
        <w:t xml:space="preserve"> técnicos para apoyar la armonización de los datos, </w:t>
      </w:r>
      <w:r w:rsidR="00D96F6B" w:rsidRPr="00947ECB">
        <w:t xml:space="preserve">tales </w:t>
      </w:r>
      <w:r w:rsidRPr="00947ECB">
        <w:t xml:space="preserve">como los procedimientos operativos estándar, las metodologías y las técnicas; </w:t>
      </w:r>
    </w:p>
    <w:p w14:paraId="6B61AEB7" w14:textId="1AE3AD9D" w:rsidR="007772C4" w:rsidRPr="00947ECB" w:rsidRDefault="002A2D72" w:rsidP="00947ECB">
      <w:pPr>
        <w:tabs>
          <w:tab w:val="clear" w:pos="1247"/>
          <w:tab w:val="clear" w:pos="1814"/>
          <w:tab w:val="clear" w:pos="2381"/>
          <w:tab w:val="clear" w:pos="2948"/>
          <w:tab w:val="clear" w:pos="3515"/>
          <w:tab w:val="left" w:pos="624"/>
        </w:tabs>
        <w:spacing w:after="120"/>
        <w:ind w:left="1247" w:firstLine="624"/>
      </w:pPr>
      <w:r w:rsidRPr="00947ECB">
        <w:tab/>
        <w:t>d)</w:t>
      </w:r>
      <w:r w:rsidRPr="00947ECB">
        <w:tab/>
        <w:t xml:space="preserve">Apoyen el </w:t>
      </w:r>
      <w:r w:rsidRPr="003974D7">
        <w:rPr>
          <w:lang w:val="es-ES"/>
        </w:rPr>
        <w:t>perfeccionamiento</w:t>
      </w:r>
      <w:r w:rsidRPr="00947ECB">
        <w:t xml:space="preserve"> ulterior y la ejecución a largo plazo de l</w:t>
      </w:r>
      <w:r w:rsidR="00466920" w:rsidRPr="00947ECB">
        <w:t xml:space="preserve">os </w:t>
      </w:r>
      <w:r w:rsidR="00891F8B" w:rsidRPr="00947ECB">
        <w:t>arreglos de vigilancia</w:t>
      </w:r>
      <w:r w:rsidRPr="00947ECB">
        <w:t xml:space="preserve"> </w:t>
      </w:r>
      <w:r w:rsidR="00D96F6B" w:rsidRPr="00947ECB">
        <w:t xml:space="preserve">a nivel </w:t>
      </w:r>
      <w:r w:rsidRPr="00947ECB">
        <w:t>mundial, si están en condiciones de hacerlo.</w:t>
      </w:r>
    </w:p>
    <w:p w14:paraId="2B88233F" w14:textId="77777777" w:rsidR="007772C4" w:rsidRPr="00947ECB" w:rsidRDefault="007772C4" w:rsidP="00947ECB">
      <w:pPr>
        <w:rPr>
          <w:rFonts w:eastAsia="Roboto"/>
        </w:rPr>
      </w:pPr>
      <w:r w:rsidRPr="00947ECB">
        <w:br w:type="page"/>
      </w:r>
    </w:p>
    <w:p w14:paraId="343D30FB" w14:textId="0DDAA6FC" w:rsidR="002526A4" w:rsidRPr="008048DD" w:rsidRDefault="002526A4" w:rsidP="0030592B">
      <w:pPr>
        <w:pStyle w:val="ZZAnxheader"/>
        <w:keepNext/>
        <w:keepLines/>
        <w:ind w:left="270"/>
        <w:rPr>
          <w:lang w:val="es-ES_tradnl"/>
        </w:rPr>
      </w:pPr>
      <w:r w:rsidRPr="008048DD">
        <w:rPr>
          <w:lang w:val="es-ES_tradnl"/>
        </w:rPr>
        <w:lastRenderedPageBreak/>
        <w:t>Anexo II</w:t>
      </w:r>
    </w:p>
    <w:p w14:paraId="2A8CD5DE" w14:textId="77777777" w:rsidR="002526A4" w:rsidRPr="008048DD" w:rsidRDefault="002526A4" w:rsidP="0030592B">
      <w:pPr>
        <w:pStyle w:val="BBTitle"/>
        <w:rPr>
          <w:lang w:val="es-ES_tradnl"/>
        </w:rPr>
      </w:pPr>
      <w:r w:rsidRPr="008048DD">
        <w:rPr>
          <w:bCs/>
          <w:lang w:val="es-ES_tradnl"/>
        </w:rPr>
        <w:t xml:space="preserve">Informe del </w:t>
      </w:r>
      <w:r w:rsidR="00E336BC" w:rsidRPr="008048DD">
        <w:rPr>
          <w:bCs/>
          <w:lang w:val="es-ES_tradnl"/>
        </w:rPr>
        <w:t>G</w:t>
      </w:r>
      <w:r w:rsidR="00891F8B" w:rsidRPr="008048DD">
        <w:rPr>
          <w:bCs/>
          <w:lang w:val="es-ES_tradnl"/>
        </w:rPr>
        <w:t>rupo especial de expertos</w:t>
      </w:r>
      <w:r w:rsidRPr="008048DD">
        <w:rPr>
          <w:bCs/>
          <w:lang w:val="es-ES_tradnl"/>
        </w:rPr>
        <w:t xml:space="preserve"> técnicos para la evaluación de la eficacia: marco propuesto para la evaluación de la eficacia del Convenio de Minamata sobre el Mercurio</w:t>
      </w:r>
    </w:p>
    <w:p w14:paraId="77F56077" w14:textId="77777777" w:rsidR="00B1107F" w:rsidRPr="008048DD" w:rsidRDefault="00B1107F" w:rsidP="00992554">
      <w:pPr>
        <w:spacing w:after="120"/>
        <w:ind w:left="1247"/>
        <w:rPr>
          <w:rFonts w:asciiTheme="majorBidi" w:hAnsiTheme="majorBidi" w:cstheme="majorBidi"/>
          <w:b/>
          <w:bCs/>
          <w:sz w:val="28"/>
          <w:szCs w:val="28"/>
        </w:rPr>
      </w:pPr>
      <w:r w:rsidRPr="008048DD">
        <w:rPr>
          <w:b/>
          <w:bCs/>
          <w:sz w:val="28"/>
          <w:szCs w:val="28"/>
        </w:rPr>
        <w:t>Resumen</w:t>
      </w:r>
    </w:p>
    <w:p w14:paraId="1B82A5A0" w14:textId="26E27724"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el presente informe </w:t>
      </w:r>
      <w:r w:rsidR="00B17856" w:rsidRPr="008048DD">
        <w:rPr>
          <w:lang w:val="es-ES_tradnl"/>
        </w:rPr>
        <w:t xml:space="preserve">figura la propuesta de </w:t>
      </w:r>
      <w:r w:rsidRPr="008048DD">
        <w:rPr>
          <w:lang w:val="es-ES_tradnl"/>
        </w:rPr>
        <w:t xml:space="preserve">un marco para la evaluación de la eficacia y </w:t>
      </w:r>
      <w:r w:rsidR="00B17856" w:rsidRPr="008048DD">
        <w:rPr>
          <w:lang w:val="es-ES_tradnl"/>
        </w:rPr>
        <w:t xml:space="preserve">de </w:t>
      </w:r>
      <w:r w:rsidRPr="008048DD">
        <w:rPr>
          <w:lang w:val="es-ES_tradnl"/>
        </w:rPr>
        <w:t xml:space="preserve">arreglos de vigilancia </w:t>
      </w:r>
      <w:r w:rsidR="00D96F6B" w:rsidRPr="008048DD">
        <w:rPr>
          <w:lang w:val="es-ES_tradnl"/>
        </w:rPr>
        <w:t xml:space="preserve">a nivel </w:t>
      </w:r>
      <w:r w:rsidRPr="008048DD">
        <w:rPr>
          <w:lang w:val="es-ES_tradnl"/>
        </w:rPr>
        <w:t xml:space="preserve">mundial </w:t>
      </w:r>
      <w:r w:rsidR="00D96F6B" w:rsidRPr="008048DD">
        <w:rPr>
          <w:lang w:val="es-ES_tradnl"/>
        </w:rPr>
        <w:t xml:space="preserve">en relación con </w:t>
      </w:r>
      <w:r w:rsidRPr="008048DD">
        <w:rPr>
          <w:lang w:val="es-ES_tradnl"/>
        </w:rPr>
        <w:t>el Convenio de Minamata sobre el Mercurio. El</w:t>
      </w:r>
      <w:r w:rsidR="00B452F8" w:rsidRPr="008048DD">
        <w:rPr>
          <w:lang w:val="es-ES_tradnl"/>
        </w:rPr>
        <w:t> </w:t>
      </w:r>
      <w:r w:rsidRPr="008048DD">
        <w:rPr>
          <w:lang w:val="es-ES_tradnl"/>
        </w:rPr>
        <w:t xml:space="preserve">marco fue elaborado por el </w:t>
      </w:r>
      <w:r w:rsidR="002F756C" w:rsidRPr="008048DD">
        <w:rPr>
          <w:lang w:val="es-ES_tradnl"/>
        </w:rPr>
        <w:t>G</w:t>
      </w:r>
      <w:r w:rsidR="00891F8B" w:rsidRPr="008048DD">
        <w:rPr>
          <w:lang w:val="es-ES_tradnl"/>
        </w:rPr>
        <w:t>rupo especial de expertos</w:t>
      </w:r>
      <w:r w:rsidRPr="008048DD">
        <w:rPr>
          <w:lang w:val="es-ES_tradnl"/>
        </w:rPr>
        <w:t xml:space="preserve"> técnicos sobre la base de los mandatos establecidos en las decisiones MC-1/9 y MC-2/10, la información contenida en las comunicaciones de</w:t>
      </w:r>
      <w:r w:rsidR="002F756C" w:rsidRPr="008048DD">
        <w:rPr>
          <w:lang w:val="es-ES_tradnl"/>
        </w:rPr>
        <w:t> </w:t>
      </w:r>
      <w:r w:rsidRPr="008048DD">
        <w:rPr>
          <w:lang w:val="es-ES_tradnl"/>
        </w:rPr>
        <w:t>las Partes y los interesados</w:t>
      </w:r>
      <w:r w:rsidR="00B17856" w:rsidRPr="008048DD">
        <w:rPr>
          <w:lang w:val="es-ES_tradnl"/>
        </w:rPr>
        <w:t>,</w:t>
      </w:r>
      <w:r w:rsidRPr="008048DD">
        <w:rPr>
          <w:lang w:val="es-ES_tradnl"/>
        </w:rPr>
        <w:t xml:space="preserve"> y otros datos. Representa el resultado de las consultas y el examen realizado por los expertos, incluidas dos reuniones del </w:t>
      </w:r>
      <w:r w:rsidR="0016586F" w:rsidRPr="008048DD">
        <w:rPr>
          <w:lang w:val="es-ES_tradnl"/>
        </w:rPr>
        <w:t>grupo especial</w:t>
      </w:r>
      <w:r w:rsidRPr="008048DD">
        <w:rPr>
          <w:lang w:val="es-ES_tradnl"/>
        </w:rPr>
        <w:t xml:space="preserve"> en 2018 y 2019, respectivamente, </w:t>
      </w:r>
      <w:r w:rsidR="00D96F6B" w:rsidRPr="008048DD">
        <w:rPr>
          <w:lang w:val="es-ES_tradnl"/>
        </w:rPr>
        <w:t xml:space="preserve">a lo que siguió </w:t>
      </w:r>
      <w:r w:rsidR="00B17856" w:rsidRPr="008048DD">
        <w:rPr>
          <w:lang w:val="es-ES_tradnl"/>
        </w:rPr>
        <w:t xml:space="preserve">la </w:t>
      </w:r>
      <w:r w:rsidRPr="008048DD">
        <w:rPr>
          <w:lang w:val="es-ES_tradnl"/>
        </w:rPr>
        <w:t xml:space="preserve">redacción </w:t>
      </w:r>
      <w:r w:rsidR="00D96F6B" w:rsidRPr="008048DD">
        <w:rPr>
          <w:lang w:val="es-ES_tradnl"/>
        </w:rPr>
        <w:t xml:space="preserve">de un borrador </w:t>
      </w:r>
      <w:r w:rsidRPr="008048DD">
        <w:rPr>
          <w:lang w:val="es-ES_tradnl"/>
        </w:rPr>
        <w:t xml:space="preserve">y el examen </w:t>
      </w:r>
      <w:r w:rsidR="00B17856" w:rsidRPr="008048DD">
        <w:rPr>
          <w:lang w:val="es-ES_tradnl"/>
        </w:rPr>
        <w:t>consiguiente de</w:t>
      </w:r>
      <w:r w:rsidRPr="008048DD">
        <w:rPr>
          <w:lang w:val="es-ES_tradnl"/>
        </w:rPr>
        <w:t xml:space="preserve"> las Partes, los expertos y otras entidades</w:t>
      </w:r>
      <w:r w:rsidR="00D96F6B" w:rsidRPr="008048DD">
        <w:rPr>
          <w:lang w:val="es-ES_tradnl"/>
        </w:rPr>
        <w:t>,</w:t>
      </w:r>
      <w:r w:rsidRPr="008048DD">
        <w:rPr>
          <w:lang w:val="es-ES_tradnl"/>
        </w:rPr>
        <w:t xml:space="preserve"> que formularon observaciones hasta septiembre de 2019. </w:t>
      </w:r>
    </w:p>
    <w:p w14:paraId="7E18B048" w14:textId="12FFB0A7" w:rsidR="00B1107F" w:rsidRPr="008048DD" w:rsidRDefault="00D96F6B" w:rsidP="00362646">
      <w:pPr>
        <w:pStyle w:val="Normalnumber"/>
        <w:numPr>
          <w:ilvl w:val="0"/>
          <w:numId w:val="40"/>
        </w:numPr>
        <w:tabs>
          <w:tab w:val="clear" w:pos="1057"/>
        </w:tabs>
        <w:ind w:left="1247"/>
        <w:rPr>
          <w:lang w:val="es-ES_tradnl"/>
        </w:rPr>
      </w:pPr>
      <w:r w:rsidRPr="008048DD">
        <w:rPr>
          <w:lang w:val="es-ES_tradnl"/>
        </w:rPr>
        <w:t xml:space="preserve">Basándose en </w:t>
      </w:r>
      <w:r w:rsidR="00B1107F" w:rsidRPr="008048DD">
        <w:rPr>
          <w:lang w:val="es-ES_tradnl"/>
        </w:rPr>
        <w:t>la definición de los elementos del marco de evaluación de la eficacia y el examen d</w:t>
      </w:r>
      <w:r w:rsidR="00B17856" w:rsidRPr="008048DD">
        <w:rPr>
          <w:lang w:val="es-ES_tradnl"/>
        </w:rPr>
        <w:t>e las actividades de vigilancia</w:t>
      </w:r>
      <w:r w:rsidR="00B1107F" w:rsidRPr="008048DD">
        <w:rPr>
          <w:lang w:val="es-ES_tradnl"/>
        </w:rPr>
        <w:t xml:space="preserve"> incluidos en el primer informe del </w:t>
      </w:r>
      <w:r w:rsidR="002F756C" w:rsidRPr="008048DD">
        <w:rPr>
          <w:lang w:val="es-ES_tradnl"/>
        </w:rPr>
        <w:t>G</w:t>
      </w:r>
      <w:r w:rsidR="0016586F" w:rsidRPr="008048DD">
        <w:rPr>
          <w:lang w:val="es-ES_tradnl"/>
        </w:rPr>
        <w:t>rupo especial</w:t>
      </w:r>
      <w:r w:rsidR="00B1107F" w:rsidRPr="008048DD">
        <w:rPr>
          <w:lang w:val="es-ES_tradnl"/>
        </w:rPr>
        <w:t xml:space="preserve">, que fue presentado a la Conferencia de las Partes en su segunda reunión, </w:t>
      </w:r>
      <w:r w:rsidRPr="008048DD">
        <w:rPr>
          <w:lang w:val="es-ES_tradnl"/>
        </w:rPr>
        <w:t xml:space="preserve">en el informe </w:t>
      </w:r>
      <w:r w:rsidR="00B1107F" w:rsidRPr="008048DD">
        <w:rPr>
          <w:lang w:val="es-ES_tradnl"/>
        </w:rPr>
        <w:t xml:space="preserve">se propone un marco </w:t>
      </w:r>
      <w:r w:rsidRPr="008048DD">
        <w:rPr>
          <w:lang w:val="es-ES_tradnl"/>
        </w:rPr>
        <w:t>que establece los arreglos</w:t>
      </w:r>
      <w:r w:rsidR="00B1107F" w:rsidRPr="008048DD">
        <w:rPr>
          <w:lang w:val="es-ES_tradnl"/>
        </w:rPr>
        <w:t xml:space="preserve">, los flujos de información y análisis, y los </w:t>
      </w:r>
      <w:r w:rsidR="00875121" w:rsidRPr="008048DD">
        <w:rPr>
          <w:lang w:val="es-ES_tradnl"/>
        </w:rPr>
        <w:t>informes</w:t>
      </w:r>
      <w:r w:rsidR="00B17856" w:rsidRPr="008048DD">
        <w:rPr>
          <w:lang w:val="es-ES_tradnl"/>
        </w:rPr>
        <w:t>,</w:t>
      </w:r>
      <w:r w:rsidR="00875121" w:rsidRPr="008048DD">
        <w:rPr>
          <w:lang w:val="es-ES_tradnl"/>
        </w:rPr>
        <w:t xml:space="preserve"> en los que el </w:t>
      </w:r>
      <w:r w:rsidR="00CD0661" w:rsidRPr="008048DD">
        <w:rPr>
          <w:lang w:val="es-ES_tradnl"/>
        </w:rPr>
        <w:t>C</w:t>
      </w:r>
      <w:r w:rsidR="00E006FC" w:rsidRPr="008048DD">
        <w:rPr>
          <w:lang w:val="es-ES_tradnl"/>
        </w:rPr>
        <w:t>o</w:t>
      </w:r>
      <w:r w:rsidR="00CD0661" w:rsidRPr="008048DD">
        <w:rPr>
          <w:lang w:val="es-ES_tradnl"/>
        </w:rPr>
        <w:t>mité de</w:t>
      </w:r>
      <w:r w:rsidR="00947ECB">
        <w:rPr>
          <w:lang w:val="es-ES_tradnl"/>
        </w:rPr>
        <w:t> </w:t>
      </w:r>
      <w:r w:rsidR="00CD0661" w:rsidRPr="008048DD">
        <w:rPr>
          <w:lang w:val="es-ES_tradnl"/>
        </w:rPr>
        <w:t>Evaluación de la E</w:t>
      </w:r>
      <w:r w:rsidR="00E006FC" w:rsidRPr="008048DD">
        <w:rPr>
          <w:lang w:val="es-ES_tradnl"/>
        </w:rPr>
        <w:t>ficacia</w:t>
      </w:r>
      <w:r w:rsidR="00B1107F" w:rsidRPr="008048DD">
        <w:rPr>
          <w:lang w:val="es-ES_tradnl"/>
        </w:rPr>
        <w:t xml:space="preserve"> basará sus conclusiones acerca de la eficacia del Convenio. </w:t>
      </w:r>
    </w:p>
    <w:p w14:paraId="142FAD19" w14:textId="77777777" w:rsidR="00B1107F" w:rsidRPr="008048DD" w:rsidRDefault="00E739F6" w:rsidP="00992554">
      <w:pPr>
        <w:pStyle w:val="CH2"/>
        <w:ind w:firstLine="0"/>
        <w:rPr>
          <w:sz w:val="28"/>
          <w:szCs w:val="28"/>
          <w:lang w:val="es-ES_tradnl"/>
        </w:rPr>
      </w:pPr>
      <w:r w:rsidRPr="008048DD">
        <w:rPr>
          <w:bCs/>
          <w:sz w:val="28"/>
          <w:szCs w:val="28"/>
          <w:lang w:val="es-ES_tradnl"/>
        </w:rPr>
        <w:t>Marco de evaluación de la eficacia</w:t>
      </w:r>
    </w:p>
    <w:p w14:paraId="04106423" w14:textId="14305B4B"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El marco de evaluación de la eficacia se basa en cuatro cuestiones normativas que permitirán a</w:t>
      </w:r>
      <w:r w:rsidR="002F756C" w:rsidRPr="008048DD">
        <w:rPr>
          <w:lang w:val="es-ES_tradnl"/>
        </w:rPr>
        <w:t> </w:t>
      </w:r>
      <w:r w:rsidRPr="008048DD">
        <w:rPr>
          <w:lang w:val="es-ES_tradnl"/>
        </w:rPr>
        <w:t>la Conferencia de las Partes examinar hasta qué punto las medidas existentes en el marco del Convenio lograrán el objetivo de proteger la salud humana y el medio ambiente de las emisiones antropógenas y las liberaciones de mercurio y compuestos de mercurio. Las cuestiones normativas son</w:t>
      </w:r>
      <w:r w:rsidR="00947ECB">
        <w:rPr>
          <w:lang w:val="es-ES_tradnl"/>
        </w:rPr>
        <w:t> </w:t>
      </w:r>
      <w:r w:rsidRPr="008048DD">
        <w:rPr>
          <w:lang w:val="es-ES_tradnl"/>
        </w:rPr>
        <w:t>las siguientes:</w:t>
      </w:r>
    </w:p>
    <w:p w14:paraId="03DE5435" w14:textId="77777777" w:rsidR="00B1107F" w:rsidRPr="008048DD" w:rsidRDefault="00B1107F" w:rsidP="002F756C">
      <w:pPr>
        <w:pStyle w:val="Normalnumber"/>
        <w:numPr>
          <w:ilvl w:val="1"/>
          <w:numId w:val="24"/>
        </w:numPr>
        <w:ind w:left="1247" w:firstLine="624"/>
        <w:rPr>
          <w:lang w:val="es-ES_tradnl"/>
        </w:rPr>
      </w:pPr>
      <w:r w:rsidRPr="008048DD">
        <w:rPr>
          <w:lang w:val="es-ES_tradnl"/>
        </w:rPr>
        <w:t>¿Han adoptado las Partes medidas para aplicar el Convenio de Minamata?</w:t>
      </w:r>
    </w:p>
    <w:p w14:paraId="03511F4B" w14:textId="73FA1E5B" w:rsidR="00B1107F" w:rsidRPr="008048DD" w:rsidRDefault="00B1107F" w:rsidP="00A00B9F">
      <w:pPr>
        <w:pStyle w:val="Normalnumber"/>
        <w:numPr>
          <w:ilvl w:val="1"/>
          <w:numId w:val="24"/>
        </w:numPr>
        <w:ind w:left="1247" w:firstLine="624"/>
        <w:rPr>
          <w:lang w:val="es-ES_tradnl"/>
        </w:rPr>
      </w:pPr>
      <w:r w:rsidRPr="008048DD">
        <w:rPr>
          <w:lang w:val="es-ES_tradnl"/>
        </w:rPr>
        <w:t xml:space="preserve">¿Han propiciado esas medidas cambios en </w:t>
      </w:r>
      <w:r w:rsidR="00E0374C" w:rsidRPr="008048DD">
        <w:rPr>
          <w:lang w:val="es-ES_tradnl"/>
        </w:rPr>
        <w:t>el suministro</w:t>
      </w:r>
      <w:r w:rsidRPr="008048DD">
        <w:rPr>
          <w:lang w:val="es-ES_tradnl"/>
        </w:rPr>
        <w:t>, el uso, las emisiones y las liberaciones de mercurio en el medio ambiente?</w:t>
      </w:r>
    </w:p>
    <w:p w14:paraId="5A2A2FE6" w14:textId="1E2B08B7" w:rsidR="00B1107F" w:rsidRPr="008048DD" w:rsidRDefault="00B1107F" w:rsidP="00A00B9F">
      <w:pPr>
        <w:pStyle w:val="Normalnumber"/>
        <w:numPr>
          <w:ilvl w:val="1"/>
          <w:numId w:val="24"/>
        </w:numPr>
        <w:ind w:left="1247" w:firstLine="624"/>
        <w:rPr>
          <w:lang w:val="es-ES_tradnl"/>
        </w:rPr>
      </w:pPr>
      <w:r w:rsidRPr="008048DD">
        <w:rPr>
          <w:lang w:val="es-ES_tradnl"/>
        </w:rPr>
        <w:t>¿Han dado lugar esos cambios a cambios en los niveles de mercurio en el medio ambiente, los medios bióticos y las poblaciones vulnerables, que pued</w:t>
      </w:r>
      <w:r w:rsidR="00D65093" w:rsidRPr="008048DD">
        <w:rPr>
          <w:lang w:val="es-ES_tradnl"/>
        </w:rPr>
        <w:t>an</w:t>
      </w:r>
      <w:r w:rsidRPr="008048DD">
        <w:rPr>
          <w:lang w:val="es-ES_tradnl"/>
        </w:rPr>
        <w:t xml:space="preserve"> atribuirse al Convenio de Minamata?</w:t>
      </w:r>
    </w:p>
    <w:p w14:paraId="1F7C787B" w14:textId="77777777" w:rsidR="00B1107F" w:rsidRPr="008048DD" w:rsidRDefault="00B1107F" w:rsidP="00A00B9F">
      <w:pPr>
        <w:pStyle w:val="Normalnumber"/>
        <w:numPr>
          <w:ilvl w:val="1"/>
          <w:numId w:val="24"/>
        </w:numPr>
        <w:ind w:left="1247" w:firstLine="624"/>
        <w:rPr>
          <w:lang w:val="es-ES_tradnl"/>
        </w:rPr>
      </w:pPr>
      <w:r w:rsidRPr="008048DD">
        <w:rPr>
          <w:lang w:val="es-ES_tradnl"/>
        </w:rPr>
        <w:t xml:space="preserve">¿Hasta qué punto las medidas existentes con arreglo al Convenio de Minamata </w:t>
      </w:r>
      <w:r w:rsidR="00D65093" w:rsidRPr="008048DD">
        <w:rPr>
          <w:lang w:val="es-ES_tradnl"/>
        </w:rPr>
        <w:t>logran</w:t>
      </w:r>
      <w:r w:rsidRPr="008048DD">
        <w:rPr>
          <w:lang w:val="es-ES_tradnl"/>
        </w:rPr>
        <w:t xml:space="preserve"> el objetivo de proteger</w:t>
      </w:r>
      <w:r w:rsidR="00D65093" w:rsidRPr="008048DD">
        <w:rPr>
          <w:lang w:val="es-ES_tradnl"/>
        </w:rPr>
        <w:t xml:space="preserve"> del mercurio a</w:t>
      </w:r>
      <w:r w:rsidRPr="008048DD">
        <w:rPr>
          <w:lang w:val="es-ES_tradnl"/>
        </w:rPr>
        <w:t xml:space="preserve"> la salud humana y el medio ambiente?</w:t>
      </w:r>
    </w:p>
    <w:p w14:paraId="0526BCB6" w14:textId="463F9538"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marco se basa en la evaluación de las pruebas a lo largo de la trayectoria causal que vincula las medidas de aplicación del Convenio con los correspondientes cambios en </w:t>
      </w:r>
      <w:r w:rsidR="00E0374C" w:rsidRPr="008048DD">
        <w:rPr>
          <w:lang w:val="es-ES_tradnl"/>
        </w:rPr>
        <w:t>el suministro</w:t>
      </w:r>
      <w:r w:rsidRPr="008048DD">
        <w:rPr>
          <w:lang w:val="es-ES_tradnl"/>
        </w:rPr>
        <w:t>, el uso, las</w:t>
      </w:r>
      <w:r w:rsidR="00947ECB">
        <w:rPr>
          <w:lang w:val="es-ES_tradnl"/>
        </w:rPr>
        <w:t> </w:t>
      </w:r>
      <w:r w:rsidRPr="008048DD">
        <w:rPr>
          <w:lang w:val="es-ES_tradnl"/>
        </w:rPr>
        <w:t>emisiones y las liberaciones de mercurio y los cambios resultantes en los niveles de mercurio y las tendencias en esos niveles en el medio ambiente, los medios bióticos y las poblaciones vulnerables en</w:t>
      </w:r>
      <w:r w:rsidR="00947ECB">
        <w:rPr>
          <w:lang w:val="es-ES_tradnl"/>
        </w:rPr>
        <w:t> </w:t>
      </w:r>
      <w:r w:rsidRPr="008048DD">
        <w:rPr>
          <w:lang w:val="es-ES_tradnl"/>
        </w:rPr>
        <w:t xml:space="preserve">todo el mundo. Se proponen </w:t>
      </w:r>
      <w:r w:rsidR="00747219" w:rsidRPr="008048DD">
        <w:rPr>
          <w:lang w:val="es-ES_tradnl"/>
        </w:rPr>
        <w:t>grupos</w:t>
      </w:r>
      <w:r w:rsidRPr="008048DD">
        <w:rPr>
          <w:lang w:val="es-ES_tradnl"/>
        </w:rPr>
        <w:t xml:space="preserve"> de indicadores de procesos, resultados y vigilancia para fundamentar las cuestiones normativas. Los indicadores propuestos se basan en la labor anterior sobre</w:t>
      </w:r>
      <w:r w:rsidR="00947ECB">
        <w:rPr>
          <w:lang w:val="es-ES_tradnl"/>
        </w:rPr>
        <w:t> </w:t>
      </w:r>
      <w:r w:rsidRPr="008048DD">
        <w:rPr>
          <w:lang w:val="es-ES_tradnl"/>
        </w:rPr>
        <w:t xml:space="preserve">los elementos del marco de evaluación de la eficacia y </w:t>
      </w:r>
      <w:r w:rsidR="00346010" w:rsidRPr="008048DD">
        <w:rPr>
          <w:lang w:val="es-ES_tradnl"/>
        </w:rPr>
        <w:t xml:space="preserve">en </w:t>
      </w:r>
      <w:r w:rsidRPr="008048DD">
        <w:rPr>
          <w:lang w:val="es-ES_tradnl"/>
        </w:rPr>
        <w:t>un examen de las capacidades y posibilidade</w:t>
      </w:r>
      <w:r w:rsidR="00875121" w:rsidRPr="008048DD">
        <w:rPr>
          <w:lang w:val="es-ES_tradnl"/>
        </w:rPr>
        <w:t>s de vigilan</w:t>
      </w:r>
      <w:r w:rsidRPr="008048DD">
        <w:rPr>
          <w:lang w:val="es-ES_tradnl"/>
        </w:rPr>
        <w:t xml:space="preserve">cia. </w:t>
      </w:r>
    </w:p>
    <w:p w14:paraId="3A22442C" w14:textId="4D1E4C26" w:rsidR="00B1107F" w:rsidRPr="008048DD" w:rsidRDefault="009076C3" w:rsidP="00362646">
      <w:pPr>
        <w:pStyle w:val="Normalnumber"/>
        <w:numPr>
          <w:ilvl w:val="0"/>
          <w:numId w:val="40"/>
        </w:numPr>
        <w:tabs>
          <w:tab w:val="clear" w:pos="1057"/>
        </w:tabs>
        <w:ind w:left="1247"/>
        <w:rPr>
          <w:lang w:val="es-ES_tradnl"/>
        </w:rPr>
      </w:pPr>
      <w:r w:rsidRPr="008048DD">
        <w:rPr>
          <w:lang w:val="es-ES_tradnl"/>
        </w:rPr>
        <w:t>Es probable, no obstante, que la vigilancia revele un aumento de la cantidad de mercurio (por</w:t>
      </w:r>
      <w:r w:rsidR="008F330E" w:rsidRPr="008048DD">
        <w:rPr>
          <w:lang w:val="es-ES_tradnl"/>
        </w:rPr>
        <w:t> </w:t>
      </w:r>
      <w:r w:rsidRPr="008048DD">
        <w:rPr>
          <w:lang w:val="es-ES_tradnl"/>
        </w:rPr>
        <w:t xml:space="preserve">ejemplo, en la atmósfera) debido a factores ajenos al ámbito de aplicación del Convenio. Entre estos figuran el mercurio heredado, el mercurio natural y efectos del cambio climático, como el aumento de la disponibilidad de mercurio almacenado en el hielo marino, las capas de hielo y el permafrost </w:t>
      </w:r>
      <w:r w:rsidR="00346010" w:rsidRPr="008048DD">
        <w:rPr>
          <w:lang w:val="es-ES_tradnl"/>
        </w:rPr>
        <w:t xml:space="preserve">que se han derretido </w:t>
      </w:r>
      <w:r w:rsidRPr="008048DD">
        <w:rPr>
          <w:lang w:val="es-ES_tradnl"/>
        </w:rPr>
        <w:t>y el aumento de la evaporación de mer</w:t>
      </w:r>
      <w:r w:rsidR="00346010" w:rsidRPr="008048DD">
        <w:rPr>
          <w:lang w:val="es-ES_tradnl"/>
        </w:rPr>
        <w:t>curio debido</w:t>
      </w:r>
      <w:r w:rsidRPr="008048DD">
        <w:rPr>
          <w:lang w:val="es-ES_tradnl"/>
        </w:rPr>
        <w:t xml:space="preserve"> al calentamiento de los océanos. Por consiguiente, es poco probable que se establezca un vínculo inequívoco en el futuro </w:t>
      </w:r>
      <w:r w:rsidR="00346010" w:rsidRPr="008048DD">
        <w:rPr>
          <w:lang w:val="es-ES_tradnl"/>
        </w:rPr>
        <w:t>próximo</w:t>
      </w:r>
      <w:r w:rsidRPr="008048DD">
        <w:rPr>
          <w:lang w:val="es-ES_tradnl"/>
        </w:rPr>
        <w:t xml:space="preserve"> entre los niveles de mercurio observados en el medio ambiente, los medios bióticos y las poblaciones vulnerables y las medidas adoptadas en el marco del Convenio. </w:t>
      </w:r>
    </w:p>
    <w:p w14:paraId="4F9E0C59" w14:textId="77777777" w:rsidR="00B1107F" w:rsidRPr="008048DD" w:rsidRDefault="009C6D79" w:rsidP="00362646">
      <w:pPr>
        <w:pStyle w:val="Normalnumber"/>
        <w:numPr>
          <w:ilvl w:val="0"/>
          <w:numId w:val="40"/>
        </w:numPr>
        <w:tabs>
          <w:tab w:val="clear" w:pos="1057"/>
        </w:tabs>
        <w:ind w:left="1247"/>
        <w:rPr>
          <w:lang w:val="es-ES_tradnl"/>
        </w:rPr>
      </w:pPr>
      <w:r w:rsidRPr="008048DD">
        <w:rPr>
          <w:lang w:val="es-ES_tradnl"/>
        </w:rPr>
        <w:t xml:space="preserve">Muchos de los indicadores elaborados </w:t>
      </w:r>
      <w:r w:rsidR="00346010" w:rsidRPr="008048DD">
        <w:rPr>
          <w:lang w:val="es-ES_tradnl"/>
        </w:rPr>
        <w:t xml:space="preserve">después de realizar </w:t>
      </w:r>
      <w:r w:rsidRPr="008048DD">
        <w:rPr>
          <w:lang w:val="es-ES_tradnl"/>
        </w:rPr>
        <w:t xml:space="preserve">el examen artículo por artículo se han agrupado para facilitar un análisis sintetizado </w:t>
      </w:r>
      <w:r w:rsidR="00346010" w:rsidRPr="008048DD">
        <w:rPr>
          <w:lang w:val="es-ES_tradnl"/>
        </w:rPr>
        <w:t xml:space="preserve">que permita ofrecer una </w:t>
      </w:r>
      <w:r w:rsidRPr="008048DD">
        <w:rPr>
          <w:lang w:val="es-ES_tradnl"/>
        </w:rPr>
        <w:t xml:space="preserve">imagen integrada; sin embargo, no se han agrupado los indicadores </w:t>
      </w:r>
      <w:r w:rsidR="00C73747" w:rsidRPr="008048DD">
        <w:rPr>
          <w:lang w:val="es-ES_tradnl"/>
        </w:rPr>
        <w:t>propuestos en</w:t>
      </w:r>
      <w:r w:rsidRPr="008048DD">
        <w:rPr>
          <w:lang w:val="es-ES_tradnl"/>
        </w:rPr>
        <w:t xml:space="preserve"> artículos considerados de importancia central o intersectorial para las disposiciones generales, como son los artículos 1 y 16. Se han creado l</w:t>
      </w:r>
      <w:r w:rsidR="00C73747" w:rsidRPr="008048DD">
        <w:rPr>
          <w:lang w:val="es-ES_tradnl"/>
        </w:rPr>
        <w:t>o</w:t>
      </w:r>
      <w:r w:rsidRPr="008048DD">
        <w:rPr>
          <w:lang w:val="es-ES_tradnl"/>
        </w:rPr>
        <w:t xml:space="preserve">s siguientes </w:t>
      </w:r>
      <w:r w:rsidR="00C73747" w:rsidRPr="008048DD">
        <w:rPr>
          <w:lang w:val="es-ES_tradnl"/>
        </w:rPr>
        <w:t>grupos temáticos</w:t>
      </w:r>
      <w:r w:rsidRPr="008048DD">
        <w:rPr>
          <w:lang w:val="es-ES_tradnl"/>
        </w:rPr>
        <w:t>:</w:t>
      </w:r>
    </w:p>
    <w:p w14:paraId="7D4C8D4B" w14:textId="77777777" w:rsidR="00B1107F" w:rsidRPr="008048DD" w:rsidRDefault="00B1107F" w:rsidP="006F3A58">
      <w:pPr>
        <w:pStyle w:val="Normalnumber"/>
        <w:numPr>
          <w:ilvl w:val="0"/>
          <w:numId w:val="25"/>
        </w:numPr>
        <w:ind w:left="1247" w:firstLine="624"/>
        <w:rPr>
          <w:lang w:val="es-ES_tradnl"/>
        </w:rPr>
      </w:pPr>
      <w:r w:rsidRPr="008048DD">
        <w:rPr>
          <w:lang w:val="es-ES_tradnl"/>
        </w:rPr>
        <w:t xml:space="preserve">Grupo (B) </w:t>
      </w:r>
      <w:r w:rsidR="00B63D0C" w:rsidRPr="008048DD">
        <w:rPr>
          <w:lang w:val="es-ES_tradnl"/>
        </w:rPr>
        <w:t>sobre</w:t>
      </w:r>
      <w:r w:rsidRPr="008048DD">
        <w:rPr>
          <w:lang w:val="es-ES_tradnl"/>
        </w:rPr>
        <w:t xml:space="preserve"> oferta: suministro, almacenamiento y desechos (artículos 3, 10 y 11);</w:t>
      </w:r>
    </w:p>
    <w:p w14:paraId="7CD563B7" w14:textId="77777777" w:rsidR="00B1107F" w:rsidRPr="008048DD" w:rsidRDefault="00B1107F" w:rsidP="00A00B9F">
      <w:pPr>
        <w:pStyle w:val="Normalnumber"/>
        <w:numPr>
          <w:ilvl w:val="0"/>
          <w:numId w:val="25"/>
        </w:numPr>
        <w:ind w:left="1247" w:firstLine="624"/>
        <w:rPr>
          <w:lang w:val="es-ES_tradnl"/>
        </w:rPr>
      </w:pPr>
      <w:r w:rsidRPr="008048DD">
        <w:rPr>
          <w:lang w:val="es-ES_tradnl"/>
        </w:rPr>
        <w:t xml:space="preserve">Grupo (C) </w:t>
      </w:r>
      <w:r w:rsidR="00B63D0C" w:rsidRPr="008048DD">
        <w:rPr>
          <w:lang w:val="es-ES_tradnl"/>
        </w:rPr>
        <w:t>sobre</w:t>
      </w:r>
      <w:r w:rsidRPr="008048DD">
        <w:rPr>
          <w:lang w:val="es-ES_tradnl"/>
        </w:rPr>
        <w:t xml:space="preserve"> demanda: productos, procesos y </w:t>
      </w:r>
      <w:r w:rsidR="00346010" w:rsidRPr="008048DD">
        <w:rPr>
          <w:lang w:val="es-ES_tradnl"/>
        </w:rPr>
        <w:t xml:space="preserve">extracción de oro </w:t>
      </w:r>
      <w:r w:rsidRPr="008048DD">
        <w:rPr>
          <w:lang w:val="es-ES_tradnl"/>
        </w:rPr>
        <w:t>artesanal y en pequeña escala (artículos 4, 5 y 7);</w:t>
      </w:r>
    </w:p>
    <w:p w14:paraId="215F4BDC" w14:textId="77777777" w:rsidR="00B1107F" w:rsidRPr="008048DD" w:rsidRDefault="00B1107F" w:rsidP="00A00B9F">
      <w:pPr>
        <w:pStyle w:val="Normalnumber"/>
        <w:numPr>
          <w:ilvl w:val="0"/>
          <w:numId w:val="25"/>
        </w:numPr>
        <w:ind w:left="1247" w:firstLine="624"/>
        <w:rPr>
          <w:lang w:val="es-ES_tradnl"/>
        </w:rPr>
      </w:pPr>
      <w:r w:rsidRPr="008048DD">
        <w:rPr>
          <w:lang w:val="es-ES_tradnl"/>
        </w:rPr>
        <w:t>Grupo (D)</w:t>
      </w:r>
      <w:r w:rsidR="00B3310A" w:rsidRPr="008048DD">
        <w:rPr>
          <w:lang w:val="es-ES_tradnl"/>
        </w:rPr>
        <w:t xml:space="preserve"> </w:t>
      </w:r>
      <w:r w:rsidR="00B63D0C" w:rsidRPr="008048DD">
        <w:rPr>
          <w:lang w:val="es-ES_tradnl"/>
        </w:rPr>
        <w:t>sobre</w:t>
      </w:r>
      <w:r w:rsidRPr="008048DD">
        <w:rPr>
          <w:lang w:val="es-ES_tradnl"/>
        </w:rPr>
        <w:t xml:space="preserve"> presión: emisiones, liberaciones y sitios contaminados (artículos 8, 9 y 12);</w:t>
      </w:r>
    </w:p>
    <w:p w14:paraId="5FEDEB72" w14:textId="77777777" w:rsidR="00B1107F" w:rsidRPr="008048DD" w:rsidRDefault="00B1107F" w:rsidP="00A00B9F">
      <w:pPr>
        <w:pStyle w:val="Normalnumber"/>
        <w:numPr>
          <w:ilvl w:val="0"/>
          <w:numId w:val="25"/>
        </w:numPr>
        <w:ind w:left="1247" w:firstLine="624"/>
        <w:rPr>
          <w:lang w:val="es-ES_tradnl"/>
        </w:rPr>
      </w:pPr>
      <w:r w:rsidRPr="008048DD">
        <w:rPr>
          <w:lang w:val="es-ES_tradnl"/>
        </w:rPr>
        <w:t xml:space="preserve">Grupo (E) </w:t>
      </w:r>
      <w:r w:rsidR="00B63D0C" w:rsidRPr="008048DD">
        <w:rPr>
          <w:lang w:val="es-ES_tradnl"/>
        </w:rPr>
        <w:t>sobre</w:t>
      </w:r>
      <w:r w:rsidRPr="008048DD">
        <w:rPr>
          <w:lang w:val="es-ES_tradnl"/>
        </w:rPr>
        <w:t xml:space="preserve"> apoyo: asistencia financiera y técnica (artículos 13 y 14);</w:t>
      </w:r>
    </w:p>
    <w:p w14:paraId="456E5AEA" w14:textId="77777777" w:rsidR="00B1107F" w:rsidRPr="008048DD" w:rsidRDefault="00B1107F" w:rsidP="00A00B9F">
      <w:pPr>
        <w:pStyle w:val="Normalnumber"/>
        <w:numPr>
          <w:ilvl w:val="0"/>
          <w:numId w:val="25"/>
        </w:numPr>
        <w:ind w:left="1247" w:firstLine="624"/>
        <w:rPr>
          <w:lang w:val="es-ES_tradnl"/>
        </w:rPr>
      </w:pPr>
      <w:r w:rsidRPr="008048DD">
        <w:rPr>
          <w:lang w:val="es-ES_tradnl"/>
        </w:rPr>
        <w:t xml:space="preserve">Grupo (H) </w:t>
      </w:r>
      <w:r w:rsidR="00B63D0C" w:rsidRPr="008048DD">
        <w:rPr>
          <w:lang w:val="es-ES_tradnl"/>
        </w:rPr>
        <w:t>sobre</w:t>
      </w:r>
      <w:r w:rsidRPr="008048DD">
        <w:rPr>
          <w:lang w:val="es-ES_tradnl"/>
        </w:rPr>
        <w:t xml:space="preserve"> información e investigación: intercambio de información, información pública e investigación (artículos 17, 18 y 19)</w:t>
      </w:r>
      <w:r w:rsidR="00871D14" w:rsidRPr="008048DD">
        <w:rPr>
          <w:lang w:val="es-ES_tradnl"/>
        </w:rPr>
        <w:t>.</w:t>
      </w:r>
    </w:p>
    <w:p w14:paraId="35A2AF6E"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el párrafo 3 del artículo 22 se señala que la evaluación deberá </w:t>
      </w:r>
      <w:r w:rsidR="00E006FC" w:rsidRPr="008048DD">
        <w:rPr>
          <w:lang w:val="es-ES_tradnl"/>
        </w:rPr>
        <w:t>fundamentarse en</w:t>
      </w:r>
      <w:r w:rsidRPr="008048DD">
        <w:rPr>
          <w:lang w:val="es-ES_tradnl"/>
        </w:rPr>
        <w:t xml:space="preserve"> la información científica, ambiental, técnica, financiera y económica disponible. El marco prevé la elaboración de cinco o seis informes que se basarán en esa información: </w:t>
      </w:r>
    </w:p>
    <w:p w14:paraId="3D30E26E" w14:textId="77777777" w:rsidR="00B1107F" w:rsidRPr="008048DD" w:rsidRDefault="00B1107F" w:rsidP="0000311E">
      <w:pPr>
        <w:pStyle w:val="Normalnumber"/>
        <w:numPr>
          <w:ilvl w:val="0"/>
          <w:numId w:val="26"/>
        </w:numPr>
        <w:ind w:left="1260" w:firstLine="630"/>
        <w:rPr>
          <w:lang w:val="es-ES_tradnl"/>
        </w:rPr>
      </w:pPr>
      <w:r w:rsidRPr="008048DD">
        <w:rPr>
          <w:lang w:val="es-ES_tradnl"/>
        </w:rPr>
        <w:t>El informe de síntesis mencionado en el artículo</w:t>
      </w:r>
      <w:r w:rsidR="00B3310A" w:rsidRPr="008048DD">
        <w:rPr>
          <w:lang w:val="es-ES_tradnl"/>
        </w:rPr>
        <w:t xml:space="preserve"> </w:t>
      </w:r>
      <w:r w:rsidRPr="008048DD">
        <w:rPr>
          <w:lang w:val="es-ES_tradnl"/>
        </w:rPr>
        <w:t>21, basado en la información presentada por las Partes con arreglo al artículo 21 sobre presentación de informes;</w:t>
      </w:r>
    </w:p>
    <w:p w14:paraId="176B7D24" w14:textId="01B0B058" w:rsidR="00B1107F" w:rsidRPr="008048DD" w:rsidRDefault="00B1107F" w:rsidP="00A00B9F">
      <w:pPr>
        <w:pStyle w:val="Normalnumber"/>
        <w:numPr>
          <w:ilvl w:val="0"/>
          <w:numId w:val="26"/>
        </w:numPr>
        <w:ind w:left="1247" w:firstLine="624"/>
        <w:rPr>
          <w:lang w:val="es-ES_tradnl"/>
        </w:rPr>
      </w:pPr>
      <w:r w:rsidRPr="008048DD">
        <w:rPr>
          <w:lang w:val="es-ES_tradnl"/>
        </w:rPr>
        <w:t xml:space="preserve">El informe sobre las emisiones y liberaciones, que seguirá el modelo del informe </w:t>
      </w:r>
      <w:r w:rsidRPr="008048DD">
        <w:rPr>
          <w:i/>
          <w:iCs/>
          <w:lang w:val="es-ES_tradnl"/>
        </w:rPr>
        <w:t>Evaluación Mundial del Mercurio 2018</w:t>
      </w:r>
      <w:bookmarkStart w:id="3" w:name="_Ref23323081"/>
      <w:bookmarkEnd w:id="3"/>
      <w:r w:rsidR="0030592B" w:rsidRPr="008048DD">
        <w:rPr>
          <w:rStyle w:val="FootnoteReference"/>
          <w:i/>
          <w:iCs/>
          <w:lang w:val="es-ES_tradnl"/>
        </w:rPr>
        <w:footnoteReference w:id="7"/>
      </w:r>
      <w:r w:rsidR="00B63D0C" w:rsidRPr="008048DD">
        <w:rPr>
          <w:lang w:val="es-ES_tradnl"/>
        </w:rPr>
        <w:t>;</w:t>
      </w:r>
    </w:p>
    <w:p w14:paraId="11AC8621" w14:textId="77777777" w:rsidR="00B1107F" w:rsidRPr="008048DD" w:rsidRDefault="00A817D4" w:rsidP="00A00B9F">
      <w:pPr>
        <w:pStyle w:val="Normalnumber"/>
        <w:numPr>
          <w:ilvl w:val="0"/>
          <w:numId w:val="26"/>
        </w:numPr>
        <w:ind w:left="1247" w:firstLine="624"/>
        <w:rPr>
          <w:lang w:val="es-ES_tradnl"/>
        </w:rPr>
      </w:pPr>
      <w:r w:rsidRPr="008048DD">
        <w:rPr>
          <w:lang w:val="es-ES_tradnl"/>
        </w:rPr>
        <w:t>El i</w:t>
      </w:r>
      <w:r w:rsidR="00B1107F" w:rsidRPr="008048DD">
        <w:rPr>
          <w:lang w:val="es-ES_tradnl"/>
        </w:rPr>
        <w:t xml:space="preserve">nforme sobre el comercio, </w:t>
      </w:r>
      <w:r w:rsidR="00E0374C" w:rsidRPr="008048DD">
        <w:rPr>
          <w:lang w:val="es-ES_tradnl"/>
        </w:rPr>
        <w:t>el suministro</w:t>
      </w:r>
      <w:r w:rsidR="00B1107F" w:rsidRPr="008048DD">
        <w:rPr>
          <w:lang w:val="es-ES_tradnl"/>
        </w:rPr>
        <w:t xml:space="preserve"> y la demanda, que sigue el modelo del infor</w:t>
      </w:r>
      <w:r w:rsidR="00B63D0C" w:rsidRPr="008048DD">
        <w:rPr>
          <w:lang w:val="es-ES_tradnl"/>
        </w:rPr>
        <w:t xml:space="preserve">me de 2017 </w:t>
      </w:r>
      <w:r w:rsidR="00B63D0C" w:rsidRPr="008048DD">
        <w:rPr>
          <w:i/>
          <w:lang w:val="es-ES_tradnl"/>
        </w:rPr>
        <w:t xml:space="preserve">Global </w:t>
      </w:r>
      <w:r w:rsidR="00496BD0" w:rsidRPr="008048DD">
        <w:rPr>
          <w:i/>
          <w:iCs/>
          <w:lang w:val="es-ES_tradnl"/>
        </w:rPr>
        <w:t>Mercury Supply, Trade and D</w:t>
      </w:r>
      <w:r w:rsidR="00B63D0C" w:rsidRPr="008048DD">
        <w:rPr>
          <w:i/>
          <w:iCs/>
          <w:lang w:val="es-ES_tradnl"/>
        </w:rPr>
        <w:t>emand</w:t>
      </w:r>
      <w:r w:rsidR="0042702F" w:rsidRPr="008048DD">
        <w:rPr>
          <w:rStyle w:val="FootnoteReference"/>
          <w:lang w:val="es-ES_tradnl"/>
        </w:rPr>
        <w:footnoteReference w:id="8"/>
      </w:r>
      <w:bookmarkStart w:id="4" w:name="_Ref23323106"/>
      <w:bookmarkEnd w:id="4"/>
      <w:r w:rsidR="00B63D0C" w:rsidRPr="008048DD">
        <w:rPr>
          <w:iCs/>
          <w:lang w:val="es-ES_tradnl"/>
        </w:rPr>
        <w:t>;</w:t>
      </w:r>
    </w:p>
    <w:p w14:paraId="22A24E5F" w14:textId="7F217914" w:rsidR="00B1107F" w:rsidRPr="008048DD" w:rsidRDefault="00B1107F" w:rsidP="00A00B9F">
      <w:pPr>
        <w:pStyle w:val="Normalnumber"/>
        <w:numPr>
          <w:ilvl w:val="0"/>
          <w:numId w:val="26"/>
        </w:numPr>
        <w:ind w:left="1247" w:firstLine="624"/>
        <w:rPr>
          <w:highlight w:val="lightGray"/>
          <w:lang w:val="es-ES_tradnl"/>
        </w:rPr>
      </w:pPr>
      <w:r w:rsidRPr="008048DD">
        <w:rPr>
          <w:highlight w:val="lightGray"/>
          <w:lang w:val="es-ES_tradnl"/>
        </w:rPr>
        <w:t xml:space="preserve">El informe sobre desechos, que se basa en el informe de 2018 </w:t>
      </w:r>
      <w:r w:rsidR="002F51AE" w:rsidRPr="008048DD">
        <w:rPr>
          <w:highlight w:val="lightGray"/>
          <w:lang w:val="es-ES_tradnl"/>
        </w:rPr>
        <w:t>“</w:t>
      </w:r>
      <w:r w:rsidR="00875121" w:rsidRPr="008048DD">
        <w:rPr>
          <w:highlight w:val="lightGray"/>
          <w:lang w:val="es-ES_tradnl"/>
        </w:rPr>
        <w:t>Evaluación mundial de los desechos de mercurio: Examen de las medidas nacionales vigentes</w:t>
      </w:r>
      <w:r w:rsidR="002F51AE" w:rsidRPr="008048DD">
        <w:rPr>
          <w:highlight w:val="lightGray"/>
          <w:lang w:val="es-ES_tradnl"/>
        </w:rPr>
        <w:t>”</w:t>
      </w:r>
      <w:r w:rsidRPr="008048DD">
        <w:rPr>
          <w:highlight w:val="lightGray"/>
          <w:vertAlign w:val="superscript"/>
          <w:lang w:val="es-ES_tradnl"/>
        </w:rPr>
        <w:footnoteReference w:id="9"/>
      </w:r>
      <w:r w:rsidR="00B63D0C" w:rsidRPr="008048DD">
        <w:rPr>
          <w:highlight w:val="lightGray"/>
          <w:vertAlign w:val="superscript"/>
          <w:lang w:val="es-ES_tradnl"/>
        </w:rPr>
        <w:t>,</w:t>
      </w:r>
      <w:r w:rsidR="00C93752" w:rsidRPr="008048DD">
        <w:rPr>
          <w:highlight w:val="lightGray"/>
          <w:vertAlign w:val="superscript"/>
          <w:lang w:val="es-ES_tradnl"/>
        </w:rPr>
        <w:footnoteReference w:id="10"/>
      </w:r>
      <w:r w:rsidR="00B63D0C" w:rsidRPr="008048DD">
        <w:rPr>
          <w:highlight w:val="lightGray"/>
          <w:lang w:val="es-ES_tradnl"/>
        </w:rPr>
        <w:t>;</w:t>
      </w:r>
      <w:r w:rsidRPr="008048DD">
        <w:rPr>
          <w:highlight w:val="lightGray"/>
          <w:lang w:val="es-ES_tradnl"/>
        </w:rPr>
        <w:t xml:space="preserve"> </w:t>
      </w:r>
      <w:bookmarkStart w:id="5" w:name="_Ref23323134"/>
      <w:bookmarkEnd w:id="5"/>
    </w:p>
    <w:p w14:paraId="47A556B2" w14:textId="77777777" w:rsidR="00B1107F" w:rsidRPr="008048DD" w:rsidRDefault="00B1107F" w:rsidP="00A00B9F">
      <w:pPr>
        <w:pStyle w:val="Normalnumber"/>
        <w:numPr>
          <w:ilvl w:val="0"/>
          <w:numId w:val="26"/>
        </w:numPr>
        <w:ind w:left="1247" w:firstLine="624"/>
        <w:rPr>
          <w:lang w:val="es-ES_tradnl"/>
        </w:rPr>
      </w:pPr>
      <w:r w:rsidRPr="008048DD">
        <w:rPr>
          <w:lang w:val="es-ES_tradnl"/>
        </w:rPr>
        <w:t xml:space="preserve">El </w:t>
      </w:r>
      <w:r w:rsidR="00F43A19" w:rsidRPr="008048DD">
        <w:rPr>
          <w:lang w:val="es-ES_tradnl"/>
        </w:rPr>
        <w:t>informe de vigilancia</w:t>
      </w:r>
      <w:r w:rsidRPr="008048DD">
        <w:rPr>
          <w:lang w:val="es-ES_tradnl"/>
        </w:rPr>
        <w:t>, en el que se presenta el estado de los niveles de mercurio en el medio ambiente, los medios bióticos y las poblaciones vulnerables, así como las tendencias en el transcurso del tiempo.</w:t>
      </w:r>
    </w:p>
    <w:p w14:paraId="2CFBCFBE" w14:textId="0A9CE82F" w:rsidR="00953357" w:rsidRPr="008048DD" w:rsidRDefault="00953357" w:rsidP="00362646">
      <w:pPr>
        <w:pStyle w:val="Normalnumber"/>
        <w:numPr>
          <w:ilvl w:val="0"/>
          <w:numId w:val="40"/>
        </w:numPr>
        <w:tabs>
          <w:tab w:val="clear" w:pos="1057"/>
        </w:tabs>
        <w:ind w:left="1247"/>
        <w:rPr>
          <w:lang w:val="es-ES_tradnl"/>
        </w:rPr>
      </w:pPr>
      <w:r w:rsidRPr="008048DD">
        <w:rPr>
          <w:lang w:val="es-ES_tradnl"/>
        </w:rPr>
        <w:t>Cuando se</w:t>
      </w:r>
      <w:r w:rsidR="00B3310A" w:rsidRPr="008048DD">
        <w:rPr>
          <w:lang w:val="es-ES_tradnl"/>
        </w:rPr>
        <w:t xml:space="preserve"> </w:t>
      </w:r>
      <w:r w:rsidRPr="008048DD">
        <w:rPr>
          <w:lang w:val="es-ES_tradnl"/>
        </w:rPr>
        <w:t>disponga de instrumentos y modelos de atribución</w:t>
      </w:r>
      <w:r w:rsidR="00C73747" w:rsidRPr="008048DD">
        <w:rPr>
          <w:lang w:val="es-ES_tradnl"/>
        </w:rPr>
        <w:t>, que sean</w:t>
      </w:r>
      <w:r w:rsidRPr="008048DD">
        <w:rPr>
          <w:lang w:val="es-ES_tradnl"/>
        </w:rPr>
        <w:t xml:space="preserve"> eficaces y fiables, se podrá elaborar el sexto informe</w:t>
      </w:r>
      <w:r w:rsidR="00C73747" w:rsidRPr="008048DD">
        <w:rPr>
          <w:lang w:val="es-ES_tradnl"/>
        </w:rPr>
        <w:t xml:space="preserve"> (el </w:t>
      </w:r>
      <w:r w:rsidRPr="008048DD">
        <w:rPr>
          <w:lang w:val="es-ES_tradnl"/>
        </w:rPr>
        <w:t>informe de atribución</w:t>
      </w:r>
      <w:r w:rsidR="00C73747" w:rsidRPr="008048DD">
        <w:rPr>
          <w:lang w:val="es-ES_tradnl"/>
        </w:rPr>
        <w:t>)</w:t>
      </w:r>
      <w:r w:rsidRPr="008048DD">
        <w:rPr>
          <w:lang w:val="es-ES_tradnl"/>
        </w:rPr>
        <w:t xml:space="preserve"> para que el </w:t>
      </w:r>
      <w:r w:rsidR="00A85F90" w:rsidRPr="008048DD">
        <w:rPr>
          <w:lang w:val="es-ES_tradnl"/>
        </w:rPr>
        <w:t>Comité de Evaluación de la E</w:t>
      </w:r>
      <w:r w:rsidR="00E006FC" w:rsidRPr="008048DD">
        <w:rPr>
          <w:lang w:val="es-ES_tradnl"/>
        </w:rPr>
        <w:t>ficacia</w:t>
      </w:r>
      <w:r w:rsidRPr="008048DD">
        <w:rPr>
          <w:lang w:val="es-ES_tradnl"/>
        </w:rPr>
        <w:t xml:space="preserve"> lo tome en consideración al formular </w:t>
      </w:r>
      <w:r w:rsidR="00C73747" w:rsidRPr="008048DD">
        <w:rPr>
          <w:lang w:val="es-ES_tradnl"/>
        </w:rPr>
        <w:t>las</w:t>
      </w:r>
      <w:r w:rsidRPr="008048DD">
        <w:rPr>
          <w:lang w:val="es-ES_tradnl"/>
        </w:rPr>
        <w:t xml:space="preserve"> conclusiones </w:t>
      </w:r>
      <w:r w:rsidR="00C73747" w:rsidRPr="008048DD">
        <w:rPr>
          <w:lang w:val="es-ES_tradnl"/>
        </w:rPr>
        <w:t xml:space="preserve">que presentará a </w:t>
      </w:r>
      <w:r w:rsidRPr="008048DD">
        <w:rPr>
          <w:lang w:val="es-ES_tradnl"/>
        </w:rPr>
        <w:t xml:space="preserve">la Conferencia de las Partes. Tal vez sea necesario establecer un subgrupo de modelización a esos efectos. </w:t>
      </w:r>
    </w:p>
    <w:p w14:paraId="535D8723" w14:textId="231A3573"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En el marco se prevé</w:t>
      </w:r>
      <w:r w:rsidR="00A817D4" w:rsidRPr="008048DD">
        <w:rPr>
          <w:lang w:val="es-ES_tradnl"/>
        </w:rPr>
        <w:t xml:space="preserve">n los flujos de información y </w:t>
      </w:r>
      <w:r w:rsidRPr="008048DD">
        <w:rPr>
          <w:lang w:val="es-ES_tradnl"/>
        </w:rPr>
        <w:t>análisis</w:t>
      </w:r>
      <w:r w:rsidR="00C73747" w:rsidRPr="008048DD">
        <w:rPr>
          <w:lang w:val="es-ES_tradnl"/>
        </w:rPr>
        <w:t>,</w:t>
      </w:r>
      <w:r w:rsidRPr="008048DD">
        <w:rPr>
          <w:lang w:val="es-ES_tradnl"/>
        </w:rPr>
        <w:t xml:space="preserve"> que </w:t>
      </w:r>
      <w:r w:rsidR="00A817D4" w:rsidRPr="008048DD">
        <w:rPr>
          <w:lang w:val="es-ES_tradnl"/>
        </w:rPr>
        <w:t xml:space="preserve">comienzan con </w:t>
      </w:r>
      <w:r w:rsidRPr="008048DD">
        <w:rPr>
          <w:lang w:val="es-ES_tradnl"/>
        </w:rPr>
        <w:t>la selección, recopilación y síntesis de la información (niveles 1 a 3), seguid</w:t>
      </w:r>
      <w:r w:rsidR="00A817D4" w:rsidRPr="008048DD">
        <w:rPr>
          <w:lang w:val="es-ES_tradnl"/>
        </w:rPr>
        <w:t>o</w:t>
      </w:r>
      <w:r w:rsidR="00C73747" w:rsidRPr="008048DD">
        <w:rPr>
          <w:lang w:val="es-ES_tradnl"/>
        </w:rPr>
        <w:t>s</w:t>
      </w:r>
      <w:r w:rsidRPr="008048DD">
        <w:rPr>
          <w:lang w:val="es-ES_tradnl"/>
        </w:rPr>
        <w:t xml:space="preserve"> de la atribución (nivel 4)</w:t>
      </w:r>
      <w:r w:rsidR="00C73747" w:rsidRPr="008048DD">
        <w:rPr>
          <w:lang w:val="es-ES_tradnl"/>
        </w:rPr>
        <w:t>,</w:t>
      </w:r>
      <w:r w:rsidRPr="008048DD">
        <w:rPr>
          <w:lang w:val="es-ES_tradnl"/>
        </w:rPr>
        <w:t xml:space="preserve"> </w:t>
      </w:r>
      <w:r w:rsidR="00A817D4" w:rsidRPr="008048DD">
        <w:rPr>
          <w:lang w:val="es-ES_tradnl"/>
        </w:rPr>
        <w:t xml:space="preserve">tan pronto </w:t>
      </w:r>
      <w:r w:rsidRPr="008048DD">
        <w:rPr>
          <w:lang w:val="es-ES_tradnl"/>
        </w:rPr>
        <w:t xml:space="preserve">se disponga de modelos eficaces y fiables. Entonces, el </w:t>
      </w:r>
      <w:r w:rsidR="00A85F90" w:rsidRPr="008048DD">
        <w:rPr>
          <w:lang w:val="es-ES_tradnl"/>
        </w:rPr>
        <w:t>Comité de Evaluación de la E</w:t>
      </w:r>
      <w:r w:rsidR="00E006FC" w:rsidRPr="008048DD">
        <w:rPr>
          <w:lang w:val="es-ES_tradnl"/>
        </w:rPr>
        <w:t>ficacia</w:t>
      </w:r>
      <w:r w:rsidRPr="008048DD">
        <w:rPr>
          <w:lang w:val="es-ES_tradnl"/>
        </w:rPr>
        <w:t xml:space="preserve"> integra</w:t>
      </w:r>
      <w:r w:rsidR="00E006FC" w:rsidRPr="008048DD">
        <w:rPr>
          <w:lang w:val="es-ES_tradnl"/>
        </w:rPr>
        <w:t>rá</w:t>
      </w:r>
      <w:r w:rsidRPr="008048DD">
        <w:rPr>
          <w:lang w:val="es-ES_tradnl"/>
        </w:rPr>
        <w:t xml:space="preserve"> la información (nivel 5) para formular sus conclusiones</w:t>
      </w:r>
      <w:r w:rsidR="00C73747" w:rsidRPr="008048DD">
        <w:rPr>
          <w:lang w:val="es-ES_tradnl"/>
        </w:rPr>
        <w:t>,</w:t>
      </w:r>
      <w:r w:rsidRPr="008048DD">
        <w:rPr>
          <w:lang w:val="es-ES_tradnl"/>
        </w:rPr>
        <w:t xml:space="preserve"> que habrá de examinar la Conferencia de las Partes (nivel 6)</w:t>
      </w:r>
      <w:r w:rsidR="00C73747" w:rsidRPr="008048DD">
        <w:rPr>
          <w:lang w:val="es-ES_tradnl"/>
        </w:rPr>
        <w:t>.</w:t>
      </w:r>
    </w:p>
    <w:p w14:paraId="46161EC2"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el marco se </w:t>
      </w:r>
      <w:r w:rsidR="00A817D4" w:rsidRPr="008048DD">
        <w:rPr>
          <w:lang w:val="es-ES_tradnl"/>
        </w:rPr>
        <w:t>establecen</w:t>
      </w:r>
      <w:r w:rsidRPr="008048DD">
        <w:rPr>
          <w:lang w:val="es-ES_tradnl"/>
        </w:rPr>
        <w:t xml:space="preserve"> las funciones que desempeñan las diversas entidades en el proceso de evaluación de la eficacia. También se prevén diferentes funciones científicas y técnicas: vigilancia y síntesis (nivel 3), atribución (nivel 4) e integración (nivel 5)</w:t>
      </w:r>
      <w:r w:rsidR="00E006FC" w:rsidRPr="008048DD">
        <w:rPr>
          <w:lang w:val="es-ES_tradnl"/>
        </w:rPr>
        <w:t>.</w:t>
      </w:r>
      <w:r w:rsidRPr="008048DD">
        <w:rPr>
          <w:lang w:val="es-ES_tradnl"/>
        </w:rPr>
        <w:t xml:space="preserve"> En el caso de los informes de síntesis, en el marco se prevé una función para la Secretaría</w:t>
      </w:r>
      <w:r w:rsidR="00C73747" w:rsidRPr="008048DD">
        <w:rPr>
          <w:lang w:val="es-ES_tradnl"/>
        </w:rPr>
        <w:t>,</w:t>
      </w:r>
      <w:r w:rsidRPr="008048DD">
        <w:rPr>
          <w:lang w:val="es-ES_tradnl"/>
        </w:rPr>
        <w:t xml:space="preserve"> con la colaboración </w:t>
      </w:r>
      <w:r w:rsidR="00C73747" w:rsidRPr="008048DD">
        <w:rPr>
          <w:lang w:val="es-ES_tradnl"/>
        </w:rPr>
        <w:t xml:space="preserve">de los asociados </w:t>
      </w:r>
      <w:r w:rsidRPr="008048DD">
        <w:rPr>
          <w:lang w:val="es-ES_tradnl"/>
        </w:rPr>
        <w:t>y por</w:t>
      </w:r>
      <w:r w:rsidR="00C73747" w:rsidRPr="008048DD">
        <w:rPr>
          <w:lang w:val="es-ES_tradnl"/>
        </w:rPr>
        <w:t xml:space="preserve"> </w:t>
      </w:r>
      <w:r w:rsidRPr="008048DD">
        <w:rPr>
          <w:lang w:val="es-ES_tradnl"/>
        </w:rPr>
        <w:t>medio</w:t>
      </w:r>
      <w:r w:rsidR="00496BD0" w:rsidRPr="008048DD">
        <w:rPr>
          <w:lang w:val="es-ES_tradnl"/>
        </w:rPr>
        <w:t xml:space="preserve"> de e</w:t>
      </w:r>
      <w:r w:rsidR="00C73747" w:rsidRPr="008048DD">
        <w:rPr>
          <w:lang w:val="es-ES_tradnl"/>
        </w:rPr>
        <w:t>stos</w:t>
      </w:r>
      <w:r w:rsidRPr="008048DD">
        <w:rPr>
          <w:lang w:val="es-ES_tradnl"/>
        </w:rPr>
        <w:t xml:space="preserve">. </w:t>
      </w:r>
    </w:p>
    <w:p w14:paraId="59A6D889" w14:textId="1C5D040C" w:rsidR="00B1107F" w:rsidRPr="008048DD" w:rsidRDefault="009662E9" w:rsidP="00362646">
      <w:pPr>
        <w:pStyle w:val="Normalnumber"/>
        <w:numPr>
          <w:ilvl w:val="0"/>
          <w:numId w:val="40"/>
        </w:numPr>
        <w:tabs>
          <w:tab w:val="clear" w:pos="1057"/>
        </w:tabs>
        <w:ind w:left="1247"/>
        <w:rPr>
          <w:lang w:val="es-ES_tradnl"/>
        </w:rPr>
      </w:pPr>
      <w:r w:rsidRPr="008048DD">
        <w:rPr>
          <w:lang w:val="es-ES_tradnl"/>
        </w:rPr>
        <w:t xml:space="preserve">El </w:t>
      </w:r>
      <w:r w:rsidR="00AD68D8" w:rsidRPr="008048DD">
        <w:rPr>
          <w:lang w:val="es-ES_tradnl"/>
        </w:rPr>
        <w:t>Comité de Evaluación de la E</w:t>
      </w:r>
      <w:r w:rsidR="00E006FC" w:rsidRPr="008048DD">
        <w:rPr>
          <w:lang w:val="es-ES_tradnl"/>
        </w:rPr>
        <w:t>ficacia</w:t>
      </w:r>
      <w:r w:rsidR="00C73747" w:rsidRPr="008048DD">
        <w:rPr>
          <w:lang w:val="es-ES_tradnl"/>
        </w:rPr>
        <w:t xml:space="preserve"> colaborará e</w:t>
      </w:r>
      <w:r w:rsidR="00B1107F" w:rsidRPr="008048DD">
        <w:rPr>
          <w:lang w:val="es-ES_tradnl"/>
        </w:rPr>
        <w:t xml:space="preserve">n todos los informes preparados para examinar las cuestiones normativas que se han señalado, y </w:t>
      </w:r>
      <w:r w:rsidR="00C73747" w:rsidRPr="008048DD">
        <w:rPr>
          <w:lang w:val="es-ES_tradnl"/>
        </w:rPr>
        <w:t>aplicar</w:t>
      </w:r>
      <w:r w:rsidR="00B1107F" w:rsidRPr="008048DD">
        <w:rPr>
          <w:lang w:val="es-ES_tradnl"/>
        </w:rPr>
        <w:t xml:space="preserve">á un enfoque integrador al formular sus conclusiones sobre la eficacia del Convenio en su informe a la Conferencia de las Partes. La Conferencia de las Partes utilizará las conclusiones del </w:t>
      </w:r>
      <w:r w:rsidR="00421D8C" w:rsidRPr="008048DD">
        <w:rPr>
          <w:lang w:val="es-ES_tradnl"/>
        </w:rPr>
        <w:t>Comité de Evaluación de la E</w:t>
      </w:r>
      <w:r w:rsidR="00E006FC" w:rsidRPr="008048DD">
        <w:rPr>
          <w:lang w:val="es-ES_tradnl"/>
        </w:rPr>
        <w:t>ficacia</w:t>
      </w:r>
      <w:r w:rsidR="00B1107F" w:rsidRPr="008048DD">
        <w:rPr>
          <w:lang w:val="es-ES_tradnl"/>
        </w:rPr>
        <w:t xml:space="preserve"> </w:t>
      </w:r>
      <w:r w:rsidR="00C73747" w:rsidRPr="008048DD">
        <w:rPr>
          <w:lang w:val="es-ES_tradnl"/>
        </w:rPr>
        <w:t>para fundamentar</w:t>
      </w:r>
      <w:r w:rsidR="00B3310A" w:rsidRPr="008048DD">
        <w:rPr>
          <w:lang w:val="es-ES_tradnl"/>
        </w:rPr>
        <w:t xml:space="preserve"> </w:t>
      </w:r>
      <w:r w:rsidR="00B1107F" w:rsidRPr="008048DD">
        <w:rPr>
          <w:lang w:val="es-ES_tradnl"/>
        </w:rPr>
        <w:t xml:space="preserve">sus conclusiones y recomendaciones sobre la eficacia del Convenio. </w:t>
      </w:r>
    </w:p>
    <w:p w14:paraId="2C965680" w14:textId="77777777" w:rsidR="00781EF1" w:rsidRDefault="00781EF1">
      <w:pPr>
        <w:tabs>
          <w:tab w:val="clear" w:pos="1247"/>
          <w:tab w:val="clear" w:pos="1814"/>
          <w:tab w:val="clear" w:pos="2381"/>
          <w:tab w:val="clear" w:pos="2948"/>
          <w:tab w:val="clear" w:pos="3515"/>
        </w:tabs>
        <w:rPr>
          <w:rFonts w:asciiTheme="majorBidi" w:hAnsiTheme="majorBidi" w:cstheme="majorBidi"/>
        </w:rPr>
      </w:pPr>
      <w:r>
        <w:br w:type="page"/>
      </w:r>
    </w:p>
    <w:p w14:paraId="70CDD45C" w14:textId="31D752F5"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w:t>
      </w:r>
      <w:r w:rsidR="00AD68D8" w:rsidRPr="008048DD">
        <w:rPr>
          <w:lang w:val="es-ES_tradnl"/>
        </w:rPr>
        <w:t>G</w:t>
      </w:r>
      <w:r w:rsidR="00891F8B" w:rsidRPr="008048DD">
        <w:rPr>
          <w:lang w:val="es-ES_tradnl"/>
        </w:rPr>
        <w:t>rupo especial de expertos</w:t>
      </w:r>
      <w:r w:rsidRPr="008048DD">
        <w:rPr>
          <w:lang w:val="es-ES_tradnl"/>
        </w:rPr>
        <w:t xml:space="preserve"> técnicos somete el marco a consideración de la Conferencia de las Partes en su tercera reunión, de conformidad con el </w:t>
      </w:r>
      <w:r w:rsidR="00C73747" w:rsidRPr="008048DD">
        <w:rPr>
          <w:lang w:val="es-ES_tradnl"/>
        </w:rPr>
        <w:t xml:space="preserve">calendario </w:t>
      </w:r>
      <w:r w:rsidRPr="008048DD">
        <w:rPr>
          <w:lang w:val="es-ES_tradnl"/>
        </w:rPr>
        <w:t>del primer ciclo de evaluación de la eficacia</w:t>
      </w:r>
      <w:r w:rsidR="00B8424C" w:rsidRPr="008048DD">
        <w:rPr>
          <w:lang w:val="es-ES_tradnl"/>
        </w:rPr>
        <w:t>;</w:t>
      </w:r>
      <w:r w:rsidRPr="008048DD">
        <w:rPr>
          <w:lang w:val="es-ES_tradnl"/>
        </w:rPr>
        <w:t xml:space="preserve"> </w:t>
      </w:r>
      <w:r w:rsidR="00B8424C" w:rsidRPr="008048DD">
        <w:rPr>
          <w:lang w:val="es-ES_tradnl"/>
        </w:rPr>
        <w:t xml:space="preserve">a su vez, </w:t>
      </w:r>
      <w:r w:rsidRPr="008048DD">
        <w:rPr>
          <w:lang w:val="es-ES_tradnl"/>
        </w:rPr>
        <w:t xml:space="preserve">la Conferencia de las Partes establecerá el </w:t>
      </w:r>
      <w:r w:rsidR="00001201" w:rsidRPr="008048DD">
        <w:rPr>
          <w:lang w:val="es-ES_tradnl"/>
        </w:rPr>
        <w:t>Comité de Evaluación de la E</w:t>
      </w:r>
      <w:r w:rsidR="00E006FC" w:rsidRPr="008048DD">
        <w:rPr>
          <w:lang w:val="es-ES_tradnl"/>
        </w:rPr>
        <w:t>ficacia</w:t>
      </w:r>
      <w:r w:rsidRPr="008048DD">
        <w:rPr>
          <w:lang w:val="es-ES_tradnl"/>
        </w:rPr>
        <w:t xml:space="preserve"> en su cuarta reunión</w:t>
      </w:r>
      <w:r w:rsidR="00C73747" w:rsidRPr="008048DD">
        <w:rPr>
          <w:lang w:val="es-ES_tradnl"/>
        </w:rPr>
        <w:t>,</w:t>
      </w:r>
      <w:r w:rsidRPr="008048DD">
        <w:rPr>
          <w:lang w:val="es-ES_tradnl"/>
        </w:rPr>
        <w:t xml:space="preserve"> y exa</w:t>
      </w:r>
      <w:r w:rsidR="00E006FC" w:rsidRPr="008048DD">
        <w:rPr>
          <w:lang w:val="es-ES_tradnl"/>
        </w:rPr>
        <w:t>minará las conclusiones de ese c</w:t>
      </w:r>
      <w:r w:rsidRPr="008048DD">
        <w:rPr>
          <w:lang w:val="es-ES_tradnl"/>
        </w:rPr>
        <w:t xml:space="preserve">omité en su quinta reunión. </w:t>
      </w:r>
    </w:p>
    <w:p w14:paraId="2358D066" w14:textId="77777777" w:rsidR="00B1107F" w:rsidRPr="00646B4C" w:rsidRDefault="00E006FC" w:rsidP="003C6542">
      <w:pPr>
        <w:pStyle w:val="CH2"/>
        <w:tabs>
          <w:tab w:val="clear" w:pos="851"/>
          <w:tab w:val="clear" w:pos="1247"/>
          <w:tab w:val="clear" w:pos="1814"/>
          <w:tab w:val="clear" w:pos="2381"/>
          <w:tab w:val="clear" w:pos="2948"/>
          <w:tab w:val="clear" w:pos="3515"/>
          <w:tab w:val="clear" w:pos="4082"/>
        </w:tabs>
        <w:ind w:right="0" w:firstLine="0"/>
        <w:rPr>
          <w:sz w:val="28"/>
          <w:szCs w:val="28"/>
          <w:lang w:val="es-ES_tradnl"/>
        </w:rPr>
      </w:pPr>
      <w:r w:rsidRPr="00646B4C">
        <w:rPr>
          <w:bCs/>
          <w:sz w:val="28"/>
          <w:szCs w:val="28"/>
          <w:lang w:val="es-ES_tradnl"/>
        </w:rPr>
        <w:t xml:space="preserve">Arreglos de </w:t>
      </w:r>
      <w:r w:rsidR="00B1107F" w:rsidRPr="00646B4C">
        <w:rPr>
          <w:bCs/>
          <w:sz w:val="28"/>
          <w:szCs w:val="28"/>
          <w:lang w:val="es-ES_tradnl"/>
        </w:rPr>
        <w:t xml:space="preserve">vigilancia </w:t>
      </w:r>
      <w:r w:rsidRPr="00646B4C">
        <w:rPr>
          <w:bCs/>
          <w:sz w:val="28"/>
          <w:szCs w:val="28"/>
          <w:lang w:val="es-ES_tradnl"/>
        </w:rPr>
        <w:t xml:space="preserve">a nivel </w:t>
      </w:r>
      <w:r w:rsidR="00B1107F" w:rsidRPr="00646B4C">
        <w:rPr>
          <w:bCs/>
          <w:sz w:val="28"/>
          <w:szCs w:val="28"/>
          <w:lang w:val="es-ES_tradnl"/>
        </w:rPr>
        <w:t>mundial (apéndice III)</w:t>
      </w:r>
    </w:p>
    <w:p w14:paraId="213FA004"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el informe se aborda la tarea asignada en las decisiones MC-1/9 y MC-2/10 </w:t>
      </w:r>
      <w:r w:rsidR="00A817D4" w:rsidRPr="008048DD">
        <w:rPr>
          <w:lang w:val="es-ES_tradnl"/>
        </w:rPr>
        <w:t xml:space="preserve">sobre </w:t>
      </w:r>
      <w:r w:rsidR="00747219" w:rsidRPr="008048DD">
        <w:rPr>
          <w:lang w:val="es-ES_tradnl"/>
        </w:rPr>
        <w:t xml:space="preserve">arreglos </w:t>
      </w:r>
      <w:r w:rsidR="00A817D4" w:rsidRPr="008048DD">
        <w:rPr>
          <w:lang w:val="es-ES_tradnl"/>
        </w:rPr>
        <w:t xml:space="preserve">relativos a la </w:t>
      </w:r>
      <w:r w:rsidRPr="008048DD">
        <w:rPr>
          <w:lang w:val="es-ES_tradnl"/>
        </w:rPr>
        <w:t xml:space="preserve">vigilancia </w:t>
      </w:r>
      <w:r w:rsidR="00747219" w:rsidRPr="008048DD">
        <w:rPr>
          <w:lang w:val="es-ES_tradnl"/>
        </w:rPr>
        <w:t xml:space="preserve">a nivel </w:t>
      </w:r>
      <w:r w:rsidRPr="008048DD">
        <w:rPr>
          <w:lang w:val="es-ES_tradnl"/>
        </w:rPr>
        <w:t xml:space="preserve">mundial, mediante el examen de los datos de vigilancia disponibles, la determinación de las deficiencias, el examen de las capacidades de modelización y la descripción </w:t>
      </w:r>
      <w:r w:rsidR="00747219" w:rsidRPr="008048DD">
        <w:rPr>
          <w:lang w:val="es-ES_tradnl"/>
        </w:rPr>
        <w:t>de los arreglos de vigilancia a nivel mundial</w:t>
      </w:r>
      <w:r w:rsidRPr="008048DD">
        <w:rPr>
          <w:lang w:val="es-ES_tradnl"/>
        </w:rPr>
        <w:t>.</w:t>
      </w:r>
    </w:p>
    <w:p w14:paraId="20EA6D75" w14:textId="0BFC18BB"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Al examinar la información y los datos de vigilancia, el </w:t>
      </w:r>
      <w:r w:rsidR="00001201" w:rsidRPr="008048DD">
        <w:rPr>
          <w:lang w:val="es-ES_tradnl"/>
        </w:rPr>
        <w:t>G</w:t>
      </w:r>
      <w:r w:rsidR="0016586F" w:rsidRPr="008048DD">
        <w:rPr>
          <w:lang w:val="es-ES_tradnl"/>
        </w:rPr>
        <w:t>rupo especial</w:t>
      </w:r>
      <w:r w:rsidRPr="008048DD">
        <w:rPr>
          <w:lang w:val="es-ES_tradnl"/>
        </w:rPr>
        <w:t xml:space="preserve"> tomó en consideración las matrices mencionadas en la decisión MC-2/10: aire, agua</w:t>
      </w:r>
      <w:r w:rsidR="00E006FC" w:rsidRPr="008048DD">
        <w:rPr>
          <w:lang w:val="es-ES_tradnl"/>
        </w:rPr>
        <w:t>, biota y seres humanos. El g</w:t>
      </w:r>
      <w:r w:rsidRPr="008048DD">
        <w:rPr>
          <w:lang w:val="es-ES_tradnl"/>
        </w:rPr>
        <w:t xml:space="preserve">rupo llegó a la conclusión de que se disponía de datos sobre los niveles de mercurio en el aire, los medios bióticos y los seres humanos, o </w:t>
      </w:r>
      <w:r w:rsidR="00B8424C" w:rsidRPr="008048DD">
        <w:rPr>
          <w:lang w:val="es-ES_tradnl"/>
        </w:rPr>
        <w:t xml:space="preserve">que </w:t>
      </w:r>
      <w:r w:rsidRPr="008048DD">
        <w:rPr>
          <w:lang w:val="es-ES_tradnl"/>
        </w:rPr>
        <w:t xml:space="preserve">se podrían obtener o ser comparables a nivel mundial. </w:t>
      </w:r>
    </w:p>
    <w:p w14:paraId="5C75D73A" w14:textId="02BC0ABD" w:rsidR="00B1107F" w:rsidRPr="008048DD" w:rsidRDefault="00B8424C" w:rsidP="00362646">
      <w:pPr>
        <w:pStyle w:val="Normalnumber"/>
        <w:numPr>
          <w:ilvl w:val="0"/>
          <w:numId w:val="40"/>
        </w:numPr>
        <w:tabs>
          <w:tab w:val="clear" w:pos="1057"/>
        </w:tabs>
        <w:ind w:left="1247"/>
        <w:rPr>
          <w:lang w:val="es-ES_tradnl"/>
        </w:rPr>
      </w:pPr>
      <w:r w:rsidRPr="008048DD">
        <w:rPr>
          <w:lang w:val="es-ES_tradnl"/>
        </w:rPr>
        <w:t>Se han recopilado d</w:t>
      </w:r>
      <w:r w:rsidR="00D92439" w:rsidRPr="008048DD">
        <w:rPr>
          <w:lang w:val="es-ES_tradnl"/>
        </w:rPr>
        <w:t xml:space="preserve">atos sobre los niveles de mercurio y compuestos de mercurio en el agua </w:t>
      </w:r>
      <w:r w:rsidRPr="008048DD">
        <w:rPr>
          <w:lang w:val="es-ES_tradnl"/>
        </w:rPr>
        <w:t>durante la labor de</w:t>
      </w:r>
      <w:r w:rsidR="00D92439" w:rsidRPr="008048DD">
        <w:rPr>
          <w:lang w:val="es-ES_tradnl"/>
        </w:rPr>
        <w:t xml:space="preserve"> vigilancia de la calidad del agua en varios países. Estos datos pueden ser útiles para</w:t>
      </w:r>
      <w:r w:rsidR="00001201" w:rsidRPr="008048DD">
        <w:rPr>
          <w:lang w:val="es-ES_tradnl"/>
        </w:rPr>
        <w:t> </w:t>
      </w:r>
      <w:r w:rsidR="00D92439" w:rsidRPr="008048DD">
        <w:rPr>
          <w:lang w:val="es-ES_tradnl"/>
        </w:rPr>
        <w:t>hacer un seguimiento de</w:t>
      </w:r>
      <w:r w:rsidRPr="008048DD">
        <w:rPr>
          <w:lang w:val="es-ES_tradnl"/>
        </w:rPr>
        <w:t>l</w:t>
      </w:r>
      <w:r w:rsidR="00D92439" w:rsidRPr="008048DD">
        <w:rPr>
          <w:lang w:val="es-ES_tradnl"/>
        </w:rPr>
        <w:t xml:space="preserve"> mercurio resultante de actividades locales que liberan mercurio; sin embargo, no </w:t>
      </w:r>
      <w:r w:rsidRPr="008048DD">
        <w:rPr>
          <w:lang w:val="es-ES_tradnl"/>
        </w:rPr>
        <w:t>permiten determinar</w:t>
      </w:r>
      <w:r w:rsidR="00D92439" w:rsidRPr="008048DD">
        <w:rPr>
          <w:lang w:val="es-ES_tradnl"/>
        </w:rPr>
        <w:t xml:space="preserve"> las tendencias generales a nivel mundial. Los niveles de mercurio en el agua de los océanos podrían compararse a nivel m</w:t>
      </w:r>
      <w:r w:rsidRPr="008048DD">
        <w:rPr>
          <w:lang w:val="es-ES_tradnl"/>
        </w:rPr>
        <w:t>undial y podrían recopilarse de</w:t>
      </w:r>
      <w:r w:rsidR="00D92439" w:rsidRPr="008048DD">
        <w:rPr>
          <w:lang w:val="es-ES_tradnl"/>
        </w:rPr>
        <w:t xml:space="preserve"> redes existentes y programas de investigación especiales, pero en la actualidad, esa labor se lleva a cabo mediante actividades basadas en la investigación y no con programas de vigilancia específicos de larga duración.</w:t>
      </w:r>
    </w:p>
    <w:p w14:paraId="2FCEAEFA"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Se examinaron las capacidades de modelización mundial para comprender mejor la disponibilidad de herramientas que se utilizarán en la evaluación de la eficacia; los modelos complementan los datos de vigilancia con estimaciones basadas en el conocimiento científico de los mecanismos que afectan al comportamiento del mercurio. Los modelos para los diferentes medios (aire, seres humanos, agua, tierra, biota) varían en cuanto a su capacidad y grado de desarrollo. Se han</w:t>
      </w:r>
      <w:r w:rsidR="00496BD0" w:rsidRPr="008048DD">
        <w:rPr>
          <w:lang w:val="es-ES_tradnl"/>
        </w:rPr>
        <w:t> </w:t>
      </w:r>
      <w:r w:rsidR="00B8424C" w:rsidRPr="008048DD">
        <w:rPr>
          <w:lang w:val="es-ES_tradnl"/>
        </w:rPr>
        <w:t xml:space="preserve">llevado a cabo </w:t>
      </w:r>
      <w:r w:rsidR="0082452F" w:rsidRPr="008048DD">
        <w:rPr>
          <w:lang w:val="es-ES_tradnl"/>
        </w:rPr>
        <w:t xml:space="preserve">numerosas evaluaciones de </w:t>
      </w:r>
      <w:r w:rsidRPr="008048DD">
        <w:rPr>
          <w:lang w:val="es-ES_tradnl"/>
        </w:rPr>
        <w:t xml:space="preserve">los modelos atmosféricos, que pueden aplicarse para determinar los gradientes espaciales de las concentraciones y la deposición de mercurio en la atmósfera, así como los cambios en el tiempo. En cambio, los modelos destinados a otros medios suelen utilizarse únicamente en aplicaciones de investigación. </w:t>
      </w:r>
      <w:r w:rsidR="00B8424C" w:rsidRPr="008048DD">
        <w:rPr>
          <w:lang w:val="es-ES_tradnl"/>
        </w:rPr>
        <w:t>L</w:t>
      </w:r>
      <w:r w:rsidRPr="008048DD">
        <w:rPr>
          <w:lang w:val="es-ES_tradnl"/>
        </w:rPr>
        <w:t xml:space="preserve">os modelos integrados que </w:t>
      </w:r>
      <w:r w:rsidR="00B8424C" w:rsidRPr="008048DD">
        <w:rPr>
          <w:lang w:val="es-ES_tradnl"/>
        </w:rPr>
        <w:t xml:space="preserve">son utilizables </w:t>
      </w:r>
      <w:r w:rsidRPr="008048DD">
        <w:rPr>
          <w:lang w:val="es-ES_tradnl"/>
        </w:rPr>
        <w:t xml:space="preserve">en todos los medios y </w:t>
      </w:r>
      <w:r w:rsidR="00E0374C" w:rsidRPr="008048DD">
        <w:rPr>
          <w:lang w:val="es-ES_tradnl"/>
        </w:rPr>
        <w:t>se basan en</w:t>
      </w:r>
      <w:r w:rsidRPr="008048DD">
        <w:rPr>
          <w:lang w:val="es-ES_tradnl"/>
        </w:rPr>
        <w:t xml:space="preserve"> conocimientos especializados</w:t>
      </w:r>
      <w:r w:rsidR="00E0374C" w:rsidRPr="008048DD">
        <w:rPr>
          <w:lang w:val="es-ES_tradnl"/>
        </w:rPr>
        <w:t>, en los que</w:t>
      </w:r>
      <w:r w:rsidR="00B8424C" w:rsidRPr="008048DD">
        <w:rPr>
          <w:lang w:val="es-ES_tradnl"/>
        </w:rPr>
        <w:t xml:space="preserve"> se</w:t>
      </w:r>
      <w:r w:rsidRPr="008048DD">
        <w:rPr>
          <w:lang w:val="es-ES_tradnl"/>
        </w:rPr>
        <w:t xml:space="preserve"> </w:t>
      </w:r>
      <w:r w:rsidR="00E0374C" w:rsidRPr="008048DD">
        <w:rPr>
          <w:lang w:val="es-ES_tradnl"/>
        </w:rPr>
        <w:t>vinculan las ciencias naturales</w:t>
      </w:r>
      <w:r w:rsidRPr="008048DD">
        <w:rPr>
          <w:lang w:val="es-ES_tradnl"/>
        </w:rPr>
        <w:t xml:space="preserve"> con las ciencias sociales y la </w:t>
      </w:r>
      <w:r w:rsidR="00B8424C" w:rsidRPr="008048DD">
        <w:rPr>
          <w:lang w:val="es-ES_tradnl"/>
        </w:rPr>
        <w:t>técnica, están experimentando un rápido desarrollo en la comunidad científica y técnica</w:t>
      </w:r>
      <w:r w:rsidRPr="008048DD">
        <w:rPr>
          <w:lang w:val="es-ES_tradnl"/>
        </w:rPr>
        <w:t xml:space="preserve">, y cabe esperar que para 2023 se disponga de ellos para </w:t>
      </w:r>
      <w:r w:rsidR="00B8424C" w:rsidRPr="008048DD">
        <w:rPr>
          <w:lang w:val="es-ES_tradnl"/>
        </w:rPr>
        <w:t xml:space="preserve">el </w:t>
      </w:r>
      <w:r w:rsidRPr="008048DD">
        <w:rPr>
          <w:lang w:val="es-ES_tradnl"/>
        </w:rPr>
        <w:t>análisis de interés normativo.</w:t>
      </w:r>
    </w:p>
    <w:p w14:paraId="271B7DAB"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En el examen de l</w:t>
      </w:r>
      <w:r w:rsidR="00747219" w:rsidRPr="008048DD">
        <w:rPr>
          <w:lang w:val="es-ES_tradnl"/>
        </w:rPr>
        <w:t>os arreglos de vigilancia</w:t>
      </w:r>
      <w:r w:rsidRPr="008048DD">
        <w:rPr>
          <w:lang w:val="es-ES_tradnl"/>
        </w:rPr>
        <w:t xml:space="preserve">, se determinaron los siguientes elementos clave: </w:t>
      </w:r>
    </w:p>
    <w:p w14:paraId="64B0E295" w14:textId="77777777" w:rsidR="00B1107F" w:rsidRPr="008048DD" w:rsidRDefault="00B1107F" w:rsidP="00496BD0">
      <w:pPr>
        <w:pStyle w:val="Normalnumber"/>
        <w:numPr>
          <w:ilvl w:val="0"/>
          <w:numId w:val="27"/>
        </w:numPr>
        <w:ind w:left="1247" w:firstLine="624"/>
        <w:rPr>
          <w:lang w:val="es-ES_tradnl"/>
        </w:rPr>
      </w:pPr>
      <w:r w:rsidRPr="008048DD">
        <w:rPr>
          <w:lang w:val="es-ES_tradnl"/>
        </w:rPr>
        <w:t>Datos sobre el me</w:t>
      </w:r>
      <w:r w:rsidR="009074CE" w:rsidRPr="008048DD">
        <w:rPr>
          <w:lang w:val="es-ES_tradnl"/>
        </w:rPr>
        <w:t>rcurio y su disponibilidad extr</w:t>
      </w:r>
      <w:r w:rsidRPr="008048DD">
        <w:rPr>
          <w:lang w:val="es-ES_tradnl"/>
        </w:rPr>
        <w:t>aídos de programas de vigilancia de la salud humana y el medio ambiente</w:t>
      </w:r>
      <w:r w:rsidR="00E006FC" w:rsidRPr="008048DD">
        <w:rPr>
          <w:lang w:val="es-ES_tradnl"/>
        </w:rPr>
        <w:t>,</w:t>
      </w:r>
      <w:r w:rsidRPr="008048DD">
        <w:rPr>
          <w:lang w:val="es-ES_tradnl"/>
        </w:rPr>
        <w:t xml:space="preserve"> que logran una cobertura mundial y contienen como mínimo</w:t>
      </w:r>
      <w:r w:rsidR="009074CE" w:rsidRPr="008048DD">
        <w:rPr>
          <w:lang w:val="es-ES_tradnl"/>
        </w:rPr>
        <w:t xml:space="preserve"> </w:t>
      </w:r>
      <w:r w:rsidRPr="008048DD">
        <w:rPr>
          <w:lang w:val="es-ES_tradnl"/>
        </w:rPr>
        <w:t xml:space="preserve">datos representativos básicos de todas las regiones; </w:t>
      </w:r>
    </w:p>
    <w:p w14:paraId="70F169AF" w14:textId="77777777" w:rsidR="00B1107F" w:rsidRPr="008048DD" w:rsidRDefault="00B1107F" w:rsidP="00A00B9F">
      <w:pPr>
        <w:pStyle w:val="Normalnumber"/>
        <w:numPr>
          <w:ilvl w:val="0"/>
          <w:numId w:val="27"/>
        </w:numPr>
        <w:ind w:left="1247" w:firstLine="624"/>
        <w:rPr>
          <w:lang w:val="es-ES_tradnl"/>
        </w:rPr>
      </w:pPr>
      <w:r w:rsidRPr="008048DD">
        <w:rPr>
          <w:lang w:val="es-ES_tradnl"/>
        </w:rPr>
        <w:t>Instrumentos en apoyo de la armonización de los datos, como los procedimiento</w:t>
      </w:r>
      <w:r w:rsidR="00E006FC" w:rsidRPr="008048DD">
        <w:rPr>
          <w:lang w:val="es-ES_tradnl"/>
        </w:rPr>
        <w:t>s</w:t>
      </w:r>
      <w:r w:rsidRPr="008048DD">
        <w:rPr>
          <w:lang w:val="es-ES_tradnl"/>
        </w:rPr>
        <w:t xml:space="preserve"> operativos estándar y un documento de orientación sobre vigilancia; </w:t>
      </w:r>
    </w:p>
    <w:p w14:paraId="78704C91" w14:textId="77777777" w:rsidR="00B1107F" w:rsidRPr="008048DD" w:rsidRDefault="00B1283A" w:rsidP="00A00B9F">
      <w:pPr>
        <w:pStyle w:val="Normalnumber"/>
        <w:numPr>
          <w:ilvl w:val="0"/>
          <w:numId w:val="27"/>
        </w:numPr>
        <w:ind w:left="1247" w:firstLine="624"/>
        <w:rPr>
          <w:lang w:val="es-ES_tradnl"/>
        </w:rPr>
      </w:pPr>
      <w:r w:rsidRPr="008048DD">
        <w:rPr>
          <w:lang w:val="es-ES_tradnl"/>
        </w:rPr>
        <w:t xml:space="preserve">Conocimientos especializados para reunir y consolidar información armonizada que garantice la comparabilidad y coherencia de los datos de vigilancia a largo plazo; </w:t>
      </w:r>
    </w:p>
    <w:p w14:paraId="07364965" w14:textId="77777777" w:rsidR="00B1107F" w:rsidRPr="008048DD" w:rsidRDefault="00B1107F" w:rsidP="00A00B9F">
      <w:pPr>
        <w:pStyle w:val="Normalnumber"/>
        <w:numPr>
          <w:ilvl w:val="0"/>
          <w:numId w:val="27"/>
        </w:numPr>
        <w:ind w:left="1247" w:firstLine="624"/>
        <w:rPr>
          <w:lang w:val="es-ES_tradnl"/>
        </w:rPr>
      </w:pPr>
      <w:r w:rsidRPr="008048DD">
        <w:rPr>
          <w:lang w:val="es-ES_tradnl"/>
        </w:rPr>
        <w:t xml:space="preserve">Capacidades de modelización; </w:t>
      </w:r>
    </w:p>
    <w:p w14:paraId="48AA5EC3" w14:textId="77777777" w:rsidR="00B1107F" w:rsidRPr="008048DD" w:rsidRDefault="00B1283A" w:rsidP="00A00B9F">
      <w:pPr>
        <w:pStyle w:val="Normalnumber"/>
        <w:numPr>
          <w:ilvl w:val="0"/>
          <w:numId w:val="27"/>
        </w:numPr>
        <w:ind w:left="1247" w:firstLine="624"/>
        <w:rPr>
          <w:lang w:val="es-ES_tradnl"/>
        </w:rPr>
      </w:pPr>
      <w:r w:rsidRPr="008048DD">
        <w:rPr>
          <w:lang w:val="es-ES_tradnl"/>
        </w:rPr>
        <w:t>Un informe periódico sobre vigilancia de los niveles y las tendencias del mercurio</w:t>
      </w:r>
      <w:r w:rsidR="00747219" w:rsidRPr="008048DD">
        <w:rPr>
          <w:lang w:val="es-ES_tradnl"/>
        </w:rPr>
        <w:t xml:space="preserve"> a nivel mundial</w:t>
      </w:r>
      <w:r w:rsidRPr="008048DD">
        <w:rPr>
          <w:lang w:val="es-ES_tradnl"/>
        </w:rPr>
        <w:t>;</w:t>
      </w:r>
    </w:p>
    <w:p w14:paraId="4B024C16"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Un grupo de vigilancia, que preparará el informe periódico sobre vigilancia </w:t>
      </w:r>
      <w:r w:rsidR="00747219" w:rsidRPr="008048DD">
        <w:rPr>
          <w:lang w:val="es-ES_tradnl"/>
        </w:rPr>
        <w:t xml:space="preserve">a nivel </w:t>
      </w:r>
      <w:r w:rsidRPr="008048DD">
        <w:rPr>
          <w:lang w:val="es-ES_tradnl"/>
        </w:rPr>
        <w:t>mundial se encargará de realizar las tareas antes descritas.</w:t>
      </w:r>
    </w:p>
    <w:p w14:paraId="322DBB63" w14:textId="77777777" w:rsidR="00C4509C" w:rsidRPr="008048DD" w:rsidRDefault="00C4509C">
      <w:pPr>
        <w:tabs>
          <w:tab w:val="clear" w:pos="1247"/>
          <w:tab w:val="clear" w:pos="1814"/>
          <w:tab w:val="clear" w:pos="2381"/>
          <w:tab w:val="clear" w:pos="2948"/>
          <w:tab w:val="clear" w:pos="3515"/>
        </w:tabs>
        <w:rPr>
          <w:rFonts w:asciiTheme="majorBidi" w:hAnsiTheme="majorBidi" w:cstheme="majorBidi"/>
        </w:rPr>
      </w:pPr>
      <w:r w:rsidRPr="008048DD">
        <w:rPr>
          <w:rFonts w:asciiTheme="majorBidi" w:hAnsiTheme="majorBidi" w:cstheme="majorBidi"/>
        </w:rPr>
        <w:br w:type="page"/>
      </w:r>
    </w:p>
    <w:p w14:paraId="1F7AA52D" w14:textId="4E86EB33" w:rsidR="00B1107F" w:rsidRPr="007F4DA2" w:rsidRDefault="007F4DA2" w:rsidP="007F4DA2">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lang w:val="es-ES"/>
        </w:rPr>
      </w:pPr>
      <w:r>
        <w:rPr>
          <w:rFonts w:ascii="Times New Roman" w:hAnsi="Times New Roman" w:cs="Times New Roman"/>
          <w:lang w:val="es-ES"/>
        </w:rPr>
        <w:tab/>
      </w:r>
      <w:r w:rsidR="00992554" w:rsidRPr="007F4DA2">
        <w:rPr>
          <w:rFonts w:ascii="Times New Roman" w:hAnsi="Times New Roman" w:cs="Times New Roman"/>
          <w:lang w:val="es-ES"/>
        </w:rPr>
        <w:t>I.</w:t>
      </w:r>
      <w:r w:rsidR="00992554" w:rsidRPr="007F4DA2">
        <w:rPr>
          <w:rFonts w:ascii="Times New Roman" w:hAnsi="Times New Roman" w:cs="Times New Roman"/>
          <w:lang w:val="es-ES"/>
        </w:rPr>
        <w:tab/>
        <w:t>Introducción</w:t>
      </w:r>
    </w:p>
    <w:p w14:paraId="3F1F6B84" w14:textId="315F3720"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sus reuniones primera y segunda, la Conferencia de las Partes encomendó a un </w:t>
      </w:r>
      <w:r w:rsidR="00001201" w:rsidRPr="008048DD">
        <w:rPr>
          <w:lang w:val="es-ES_tradnl"/>
        </w:rPr>
        <w:t>G</w:t>
      </w:r>
      <w:r w:rsidRPr="008048DD">
        <w:rPr>
          <w:lang w:val="es-ES_tradnl"/>
        </w:rPr>
        <w:t>rupo especial de expertos técnicos que examinara las disposiciones que habría que adopta</w:t>
      </w:r>
      <w:r w:rsidR="00747219" w:rsidRPr="008048DD">
        <w:rPr>
          <w:lang w:val="es-ES_tradnl"/>
        </w:rPr>
        <w:t>r</w:t>
      </w:r>
      <w:r w:rsidRPr="008048DD">
        <w:rPr>
          <w:lang w:val="es-ES_tradnl"/>
        </w:rPr>
        <w:t xml:space="preserve"> </w:t>
      </w:r>
      <w:r w:rsidR="00747219" w:rsidRPr="008048DD">
        <w:rPr>
          <w:lang w:val="es-ES_tradnl"/>
        </w:rPr>
        <w:t>a fin de</w:t>
      </w:r>
      <w:r w:rsidRPr="008048DD">
        <w:rPr>
          <w:lang w:val="es-ES_tradnl"/>
        </w:rPr>
        <w:t xml:space="preserve"> proporcionar a la Conferencia de las Partes la información necesaria para llevar a cabo una evaluación de la eficacia del Convenio de Minamata sobre el Mercurio</w:t>
      </w:r>
      <w:r w:rsidRPr="008048DD">
        <w:rPr>
          <w:rStyle w:val="FootnoteReference"/>
          <w:rFonts w:asciiTheme="majorBidi" w:hAnsiTheme="majorBidi"/>
          <w:szCs w:val="20"/>
          <w:lang w:val="es-ES_tradnl"/>
        </w:rPr>
        <w:footnoteReference w:id="11"/>
      </w:r>
      <w:r w:rsidR="004C2444" w:rsidRPr="008048DD">
        <w:rPr>
          <w:lang w:val="es-ES_tradnl"/>
        </w:rPr>
        <w:t>.</w:t>
      </w:r>
      <w:r w:rsidRPr="008048DD">
        <w:rPr>
          <w:lang w:val="es-ES_tradnl"/>
        </w:rPr>
        <w:t xml:space="preserve"> En el artículo 22 del Convenio de Minamata sobre el Mercurio se estipula que la evaluación de la eficacia del Convenio se realice a intervalos regulares, y que la primera evaluación se lleve a cabo antes de que hayan transcurrido seis años a partir de la entrada en vigor</w:t>
      </w:r>
      <w:r w:rsidRPr="008048DD">
        <w:rPr>
          <w:rStyle w:val="FootnoteReference"/>
          <w:rFonts w:asciiTheme="majorBidi" w:hAnsiTheme="majorBidi"/>
          <w:szCs w:val="20"/>
          <w:lang w:val="es-ES_tradnl"/>
        </w:rPr>
        <w:footnoteReference w:id="12"/>
      </w:r>
      <w:r w:rsidR="004C2444" w:rsidRPr="008048DD">
        <w:rPr>
          <w:lang w:val="es-ES_tradnl"/>
        </w:rPr>
        <w:t>.</w:t>
      </w:r>
      <w:r w:rsidR="00B3310A" w:rsidRPr="008048DD">
        <w:rPr>
          <w:lang w:val="es-ES_tradnl"/>
        </w:rPr>
        <w:t xml:space="preserve"> </w:t>
      </w:r>
      <w:r w:rsidRPr="008048DD">
        <w:rPr>
          <w:lang w:val="es-ES_tradnl"/>
        </w:rPr>
        <w:t>Se estipula que</w:t>
      </w:r>
      <w:r w:rsidR="00E0374C" w:rsidRPr="008048DD">
        <w:rPr>
          <w:lang w:val="es-ES_tradnl"/>
        </w:rPr>
        <w:t>,</w:t>
      </w:r>
      <w:r w:rsidRPr="008048DD">
        <w:rPr>
          <w:lang w:val="es-ES_tradnl"/>
        </w:rPr>
        <w:t xml:space="preserve"> en su primera reunión, la Conferencia de las Partes dará comienzo al establecimiento de arreglos para proveerse de datos </w:t>
      </w:r>
      <w:r w:rsidR="00747219" w:rsidRPr="008048DD">
        <w:rPr>
          <w:lang w:val="es-ES_tradnl"/>
        </w:rPr>
        <w:t>de vigilancia</w:t>
      </w:r>
      <w:r w:rsidRPr="008048DD">
        <w:rPr>
          <w:lang w:val="es-ES_tradnl"/>
        </w:rPr>
        <w:t xml:space="preserve"> comparables sobre la presencia y los movimientos de mercurio y compuestos de mercurio en el medio ambiente, así como sobre las tendencias de los niveles de mercurio y compuestos de mercurio observados en los medios bióticos y las poblaciones vulnerables. También se estipula que la evaluación deberá fundamentarse en la información científica, ambiental, técnica, financiera y económica disponible, que</w:t>
      </w:r>
      <w:r w:rsidR="00792A01" w:rsidRPr="008048DD">
        <w:rPr>
          <w:lang w:val="es-ES_tradnl"/>
        </w:rPr>
        <w:t> </w:t>
      </w:r>
      <w:r w:rsidRPr="008048DD">
        <w:rPr>
          <w:lang w:val="es-ES_tradnl"/>
        </w:rPr>
        <w:t xml:space="preserve">incluirá: </w:t>
      </w:r>
    </w:p>
    <w:p w14:paraId="336C7B53" w14:textId="77777777" w:rsidR="00B1107F" w:rsidRPr="008048DD" w:rsidRDefault="00B1107F" w:rsidP="00792A01">
      <w:pPr>
        <w:pStyle w:val="Normalnumber"/>
        <w:numPr>
          <w:ilvl w:val="0"/>
          <w:numId w:val="28"/>
        </w:numPr>
        <w:ind w:left="1247" w:firstLine="624"/>
        <w:rPr>
          <w:lang w:val="es-ES_tradnl"/>
        </w:rPr>
      </w:pPr>
      <w:r w:rsidRPr="008048DD">
        <w:rPr>
          <w:lang w:val="es-ES_tradnl"/>
        </w:rPr>
        <w:t xml:space="preserve">Informes y otros datos sobre vigilancia proporcionados a la Conferencia de las Partes de conformidad con el párrafo 2 del artículo 22 del Convenio; </w:t>
      </w:r>
    </w:p>
    <w:p w14:paraId="63C3E6DB" w14:textId="77777777" w:rsidR="00B1107F" w:rsidRPr="008048DD" w:rsidRDefault="00B1107F" w:rsidP="00A00B9F">
      <w:pPr>
        <w:pStyle w:val="Normalnumber"/>
        <w:numPr>
          <w:ilvl w:val="0"/>
          <w:numId w:val="28"/>
        </w:numPr>
        <w:ind w:left="1247" w:firstLine="624"/>
        <w:rPr>
          <w:lang w:val="es-ES_tradnl"/>
        </w:rPr>
      </w:pPr>
      <w:r w:rsidRPr="008048DD">
        <w:rPr>
          <w:lang w:val="es-ES_tradnl"/>
        </w:rPr>
        <w:t xml:space="preserve">Informes presentados de conformidad con el artículo 21; </w:t>
      </w:r>
    </w:p>
    <w:p w14:paraId="6D7C593D" w14:textId="77777777" w:rsidR="00B1107F" w:rsidRPr="008048DD" w:rsidRDefault="00B1107F" w:rsidP="00A00B9F">
      <w:pPr>
        <w:pStyle w:val="Normalnumber"/>
        <w:numPr>
          <w:ilvl w:val="0"/>
          <w:numId w:val="28"/>
        </w:numPr>
        <w:ind w:left="1247" w:firstLine="624"/>
        <w:rPr>
          <w:lang w:val="es-ES_tradnl"/>
        </w:rPr>
      </w:pPr>
      <w:r w:rsidRPr="008048DD">
        <w:rPr>
          <w:lang w:val="es-ES_tradnl"/>
        </w:rPr>
        <w:t xml:space="preserve">Información y recomendaciones presentadas de conformidad con el artículo 15; </w:t>
      </w:r>
    </w:p>
    <w:p w14:paraId="567878C3" w14:textId="77777777" w:rsidR="00B1107F" w:rsidRPr="008048DD" w:rsidRDefault="00B1107F" w:rsidP="00A00B9F">
      <w:pPr>
        <w:pStyle w:val="Normalnumber"/>
        <w:numPr>
          <w:ilvl w:val="0"/>
          <w:numId w:val="28"/>
        </w:numPr>
        <w:ind w:left="1247" w:firstLine="624"/>
        <w:rPr>
          <w:lang w:val="es-ES_tradnl"/>
        </w:rPr>
      </w:pPr>
      <w:r w:rsidRPr="008048DD">
        <w:rPr>
          <w:lang w:val="es-ES_tradnl"/>
        </w:rPr>
        <w:t>Informes y otra información pertinente sobre el funcionamiento de los arreglos de asistencia financiera, transferencia de tecnología y creación de capacidad establecidos en el marco del</w:t>
      </w:r>
      <w:r w:rsidR="0029697C" w:rsidRPr="008048DD">
        <w:rPr>
          <w:lang w:val="es-ES_tradnl"/>
        </w:rPr>
        <w:t> </w:t>
      </w:r>
      <w:r w:rsidRPr="008048DD">
        <w:rPr>
          <w:lang w:val="es-ES_tradnl"/>
        </w:rPr>
        <w:t>Convenio.</w:t>
      </w:r>
    </w:p>
    <w:p w14:paraId="66BDB791" w14:textId="074ECE8C" w:rsidR="00B1107F" w:rsidRPr="008048DD" w:rsidRDefault="00B64377" w:rsidP="00362646">
      <w:pPr>
        <w:pStyle w:val="Normalnumber"/>
        <w:numPr>
          <w:ilvl w:val="0"/>
          <w:numId w:val="40"/>
        </w:numPr>
        <w:tabs>
          <w:tab w:val="clear" w:pos="1057"/>
        </w:tabs>
        <w:ind w:left="1247"/>
        <w:rPr>
          <w:lang w:val="es-ES_tradnl"/>
        </w:rPr>
      </w:pPr>
      <w:r w:rsidRPr="008048DD">
        <w:rPr>
          <w:lang w:val="es-ES_tradnl"/>
        </w:rPr>
        <w:t>En su primera reunión, en la decisión MC-1/9, la Conferencia de las Partes reconoció la necesidad urgente de un marco para la evaluación de la eficacia que incluyera un enfoque estratégico y</w:t>
      </w:r>
      <w:r w:rsidR="0029697C" w:rsidRPr="008048DD">
        <w:rPr>
          <w:lang w:val="es-ES_tradnl"/>
        </w:rPr>
        <w:t> </w:t>
      </w:r>
      <w:r w:rsidRPr="008048DD">
        <w:rPr>
          <w:lang w:val="es-ES_tradnl"/>
        </w:rPr>
        <w:t xml:space="preserve">rentable que proporcionara datos </w:t>
      </w:r>
      <w:r w:rsidR="0016586F" w:rsidRPr="008048DD">
        <w:rPr>
          <w:lang w:val="es-ES_tradnl"/>
        </w:rPr>
        <w:t xml:space="preserve">apropiados y </w:t>
      </w:r>
      <w:r w:rsidRPr="008048DD">
        <w:rPr>
          <w:lang w:val="es-ES_tradnl"/>
        </w:rPr>
        <w:t>suficientes, y reconoció también que algunas publicaciones, como las evaluaciones mundiales del mercurio preparadas por el Programa de las Naciones Unidas para el Medio Ambiente (PNUMA) y las evaluaciones iniciales del Convenio de Minamata financiadas por el Fondo para el Medio Ambiente Mundial</w:t>
      </w:r>
      <w:r w:rsidR="0016586F" w:rsidRPr="008048DD">
        <w:rPr>
          <w:lang w:val="es-ES_tradnl"/>
        </w:rPr>
        <w:t xml:space="preserve"> eran fuentes de información importantes</w:t>
      </w:r>
      <w:r w:rsidRPr="008048DD">
        <w:rPr>
          <w:lang w:val="es-ES_tradnl"/>
        </w:rPr>
        <w:t>. En la misma decisión, la Conferencia de las Partes estab</w:t>
      </w:r>
      <w:r w:rsidR="00F72EAE" w:rsidRPr="008048DD">
        <w:rPr>
          <w:lang w:val="es-ES_tradnl"/>
        </w:rPr>
        <w:t>leció una hoja de ruta para un g</w:t>
      </w:r>
      <w:r w:rsidRPr="008048DD">
        <w:rPr>
          <w:lang w:val="es-ES_tradnl"/>
        </w:rPr>
        <w:t xml:space="preserve">rupo especial de expertos que establecería los arreglos para proveer a la Conferencia de las Partes de datos </w:t>
      </w:r>
      <w:r w:rsidR="0016586F" w:rsidRPr="008048DD">
        <w:rPr>
          <w:lang w:val="es-ES_tradnl"/>
        </w:rPr>
        <w:t>de vigilancia</w:t>
      </w:r>
      <w:r w:rsidRPr="008048DD">
        <w:rPr>
          <w:lang w:val="es-ES_tradnl"/>
        </w:rPr>
        <w:t xml:space="preserve"> comparables, y los elementos de un marco de evaluación de la eficacia, así como el mandato de</w:t>
      </w:r>
      <w:r w:rsidR="0016586F" w:rsidRPr="008048DD">
        <w:rPr>
          <w:lang w:val="es-ES_tradnl"/>
        </w:rPr>
        <w:t xml:space="preserve"> un c</w:t>
      </w:r>
      <w:r w:rsidRPr="008048DD">
        <w:rPr>
          <w:lang w:val="es-ES_tradnl"/>
        </w:rPr>
        <w:t xml:space="preserve">omité de </w:t>
      </w:r>
      <w:r w:rsidR="0016586F" w:rsidRPr="008048DD">
        <w:rPr>
          <w:lang w:val="es-ES_tradnl"/>
        </w:rPr>
        <w:t>e</w:t>
      </w:r>
      <w:r w:rsidRPr="008048DD">
        <w:rPr>
          <w:lang w:val="es-ES_tradnl"/>
        </w:rPr>
        <w:t xml:space="preserve">valuación de la </w:t>
      </w:r>
      <w:r w:rsidR="0016586F" w:rsidRPr="008048DD">
        <w:rPr>
          <w:lang w:val="es-ES_tradnl"/>
        </w:rPr>
        <w:t>e</w:t>
      </w:r>
      <w:r w:rsidRPr="008048DD">
        <w:rPr>
          <w:lang w:val="es-ES_tradnl"/>
        </w:rPr>
        <w:t>ficacia.</w:t>
      </w:r>
    </w:p>
    <w:p w14:paraId="173810A4" w14:textId="077F41DB" w:rsidR="00B1107F" w:rsidRPr="008048DD" w:rsidRDefault="00E36009" w:rsidP="00362646">
      <w:pPr>
        <w:pStyle w:val="Normalnumber"/>
        <w:numPr>
          <w:ilvl w:val="0"/>
          <w:numId w:val="40"/>
        </w:numPr>
        <w:tabs>
          <w:tab w:val="clear" w:pos="1057"/>
        </w:tabs>
        <w:ind w:left="1247"/>
        <w:rPr>
          <w:lang w:val="es-ES_tradnl"/>
        </w:rPr>
      </w:pPr>
      <w:r w:rsidRPr="008048DD">
        <w:rPr>
          <w:lang w:val="es-ES_tradnl"/>
        </w:rPr>
        <w:t xml:space="preserve">El </w:t>
      </w:r>
      <w:r w:rsidR="00F72EAE" w:rsidRPr="008048DD">
        <w:rPr>
          <w:lang w:val="es-ES_tradnl"/>
        </w:rPr>
        <w:t>G</w:t>
      </w:r>
      <w:r w:rsidR="00891F8B" w:rsidRPr="008048DD">
        <w:rPr>
          <w:lang w:val="es-ES_tradnl"/>
        </w:rPr>
        <w:t>rupo especial de expertos</w:t>
      </w:r>
      <w:r w:rsidRPr="008048DD">
        <w:rPr>
          <w:lang w:val="es-ES_tradnl"/>
        </w:rPr>
        <w:t xml:space="preserve"> comenzó su labor en una primera reunión celebrada en Ottawa (Canadá) (5 a 9 de marzo de 2018). El resultado de la primera ronda de deliberaciones, en particular las observaciones recibidas </w:t>
      </w:r>
      <w:r w:rsidR="0016586F" w:rsidRPr="008048DD">
        <w:rPr>
          <w:lang w:val="es-ES_tradnl"/>
        </w:rPr>
        <w:t xml:space="preserve">posteriormente </w:t>
      </w:r>
      <w:r w:rsidRPr="008048DD">
        <w:rPr>
          <w:lang w:val="es-ES_tradnl"/>
        </w:rPr>
        <w:t>durante el período abierto para formular observaciones, se presentó a la Conferencia de las Partes en su segunda reunión, celebrada en Ginebra en noviembre de</w:t>
      </w:r>
      <w:r w:rsidR="0095406D" w:rsidRPr="008048DD">
        <w:rPr>
          <w:lang w:val="es-ES_tradnl"/>
        </w:rPr>
        <w:t> </w:t>
      </w:r>
      <w:r w:rsidRPr="008048DD">
        <w:rPr>
          <w:lang w:val="es-ES_tradnl"/>
        </w:rPr>
        <w:t xml:space="preserve">2018 (véanse los documentos UNEP/MC/COP.2/13 y UNEP/MC/COP.2/INF/8) </w:t>
      </w:r>
    </w:p>
    <w:p w14:paraId="5CE32AAF" w14:textId="01E4D66D" w:rsidR="006531FE" w:rsidRPr="008048DD" w:rsidRDefault="00C37306" w:rsidP="00362646">
      <w:pPr>
        <w:pStyle w:val="Normalnumber"/>
        <w:numPr>
          <w:ilvl w:val="0"/>
          <w:numId w:val="40"/>
        </w:numPr>
        <w:tabs>
          <w:tab w:val="clear" w:pos="1057"/>
        </w:tabs>
        <w:ind w:left="1247"/>
        <w:rPr>
          <w:lang w:val="es-ES_tradnl"/>
        </w:rPr>
      </w:pPr>
      <w:r w:rsidRPr="008048DD">
        <w:rPr>
          <w:lang w:val="es-ES_tradnl"/>
        </w:rPr>
        <w:t xml:space="preserve">La Conferencia de las Partes deliberó sobre los resultados de la labor del </w:t>
      </w:r>
      <w:r w:rsidR="00F72EAE" w:rsidRPr="008048DD">
        <w:rPr>
          <w:lang w:val="es-ES_tradnl"/>
        </w:rPr>
        <w:t>G</w:t>
      </w:r>
      <w:r w:rsidR="00891F8B" w:rsidRPr="008048DD">
        <w:rPr>
          <w:lang w:val="es-ES_tradnl"/>
        </w:rPr>
        <w:t>rupo especial de expertos</w:t>
      </w:r>
      <w:r w:rsidRPr="008048DD">
        <w:rPr>
          <w:lang w:val="es-ES_tradnl"/>
        </w:rPr>
        <w:t xml:space="preserve"> y, en la decisión MC-2/10, prorrogó el mandato del </w:t>
      </w:r>
      <w:r w:rsidR="0016586F" w:rsidRPr="008048DD">
        <w:rPr>
          <w:lang w:val="es-ES_tradnl"/>
        </w:rPr>
        <w:t>g</w:t>
      </w:r>
      <w:r w:rsidRPr="008048DD">
        <w:rPr>
          <w:lang w:val="es-ES_tradnl"/>
        </w:rPr>
        <w:t xml:space="preserve">rupo y modificó su composición y calificaciones para incluir los conocimientos técnicos adicionales necesarios que le permitieran </w:t>
      </w:r>
      <w:r w:rsidRPr="000D3019">
        <w:rPr>
          <w:lang w:val="es-ES_tradnl"/>
        </w:rPr>
        <w:t xml:space="preserve">completar su labor </w:t>
      </w:r>
      <w:r w:rsidR="0016586F" w:rsidRPr="000D3019">
        <w:rPr>
          <w:lang w:val="es-ES_tradnl"/>
        </w:rPr>
        <w:t>y</w:t>
      </w:r>
      <w:r w:rsidRPr="000D3019">
        <w:rPr>
          <w:lang w:val="es-ES_tradnl"/>
        </w:rPr>
        <w:t xml:space="preserve"> presentarla a la tercera reunión de la Conferencia de las Partes, en noviembre de</w:t>
      </w:r>
      <w:r w:rsidR="0095406D" w:rsidRPr="000D3019">
        <w:rPr>
          <w:lang w:val="es-ES_tradnl"/>
        </w:rPr>
        <w:t> </w:t>
      </w:r>
      <w:r w:rsidRPr="000D3019">
        <w:rPr>
          <w:lang w:val="es-ES_tradnl"/>
        </w:rPr>
        <w:t>2019. Con respecto al marco de evaluación de la eficacia, la Conferencia de las Partes en su decisión 2/10 también</w:t>
      </w:r>
      <w:r w:rsidRPr="008048DD">
        <w:rPr>
          <w:lang w:val="es-ES_tradnl"/>
        </w:rPr>
        <w:t xml:space="preserve"> pidió al </w:t>
      </w:r>
      <w:r w:rsidR="00F72EAE" w:rsidRPr="008048DD">
        <w:rPr>
          <w:lang w:val="es-ES_tradnl"/>
        </w:rPr>
        <w:t>G</w:t>
      </w:r>
      <w:r w:rsidR="00891F8B" w:rsidRPr="008048DD">
        <w:rPr>
          <w:lang w:val="es-ES_tradnl"/>
        </w:rPr>
        <w:t>rupo especial de expertos</w:t>
      </w:r>
      <w:r w:rsidRPr="008048DD">
        <w:rPr>
          <w:lang w:val="es-ES_tradnl"/>
        </w:rPr>
        <w:t xml:space="preserve"> que </w:t>
      </w:r>
      <w:r w:rsidR="00507230" w:rsidRPr="008048DD">
        <w:rPr>
          <w:lang w:val="es-ES_tradnl"/>
        </w:rPr>
        <w:t>llevara</w:t>
      </w:r>
      <w:r w:rsidRPr="008048DD">
        <w:rPr>
          <w:lang w:val="es-ES_tradnl"/>
        </w:rPr>
        <w:t xml:space="preserve"> a cabo las siguientes tareas: </w:t>
      </w:r>
    </w:p>
    <w:p w14:paraId="2141C70A" w14:textId="77777777" w:rsidR="007F4DA2" w:rsidRDefault="007F4DA2">
      <w:pPr>
        <w:tabs>
          <w:tab w:val="clear" w:pos="1247"/>
          <w:tab w:val="clear" w:pos="1814"/>
          <w:tab w:val="clear" w:pos="2381"/>
          <w:tab w:val="clear" w:pos="2948"/>
          <w:tab w:val="clear" w:pos="3515"/>
        </w:tabs>
        <w:rPr>
          <w:rFonts w:asciiTheme="majorBidi" w:hAnsiTheme="majorBidi" w:cstheme="majorBidi"/>
        </w:rPr>
      </w:pPr>
      <w:r>
        <w:br w:type="page"/>
      </w:r>
    </w:p>
    <w:p w14:paraId="11E963E1" w14:textId="6AC1A0C6" w:rsidR="00B1107F" w:rsidRPr="008048DD" w:rsidRDefault="00712076" w:rsidP="0095406D">
      <w:pPr>
        <w:pStyle w:val="Normalnumber"/>
        <w:numPr>
          <w:ilvl w:val="1"/>
          <w:numId w:val="3"/>
        </w:numPr>
        <w:tabs>
          <w:tab w:val="clear" w:pos="1057"/>
        </w:tabs>
        <w:ind w:left="1247" w:firstLine="624"/>
        <w:rPr>
          <w:lang w:val="es-ES_tradnl"/>
        </w:rPr>
      </w:pPr>
      <w:r w:rsidRPr="008048DD">
        <w:rPr>
          <w:lang w:val="es-ES_tradnl"/>
        </w:rPr>
        <w:t>Atendiendo al objetivo del Convenio de Minamata, examinara y evaluara, artículo por</w:t>
      </w:r>
      <w:r w:rsidR="0095406D" w:rsidRPr="008048DD">
        <w:rPr>
          <w:lang w:val="es-ES_tradnl"/>
        </w:rPr>
        <w:t> </w:t>
      </w:r>
      <w:r w:rsidRPr="008048DD">
        <w:rPr>
          <w:lang w:val="es-ES_tradnl"/>
        </w:rPr>
        <w:t>artículo,</w:t>
      </w:r>
      <w:r w:rsidR="00B3310A" w:rsidRPr="008048DD">
        <w:rPr>
          <w:lang w:val="es-ES_tradnl"/>
        </w:rPr>
        <w:t xml:space="preserve"> </w:t>
      </w:r>
      <w:r w:rsidRPr="008048DD">
        <w:rPr>
          <w:lang w:val="es-ES_tradnl"/>
        </w:rPr>
        <w:t>los indicadores de proceso y de resultado artículo por artículo detallados en el documento</w:t>
      </w:r>
      <w:r w:rsidR="0095406D" w:rsidRPr="008048DD">
        <w:rPr>
          <w:lang w:val="es-ES_tradnl"/>
        </w:rPr>
        <w:t> </w:t>
      </w:r>
      <w:r w:rsidRPr="008048DD">
        <w:rPr>
          <w:lang w:val="es-ES_tradnl"/>
        </w:rPr>
        <w:t>UNEP/MC/COP.2/INF/8, expusiera en detalle las fuentes de información y las bases de referencia de esos indicadores, teniendo en cuenta la eficacia en función de los costos, la factibilidad, la viabilidad y la sostenibilidad; y, sobre esa base, explicara pormenorizadamente los fundamentos de los indicadores recomendados</w:t>
      </w:r>
      <w:r w:rsidR="00B1107F" w:rsidRPr="008048DD">
        <w:rPr>
          <w:lang w:val="es-ES_tradnl"/>
        </w:rPr>
        <w:t xml:space="preserve">; </w:t>
      </w:r>
    </w:p>
    <w:p w14:paraId="41A95C38" w14:textId="77777777" w:rsidR="00B1107F" w:rsidRPr="008048DD" w:rsidRDefault="00712076" w:rsidP="008A323F">
      <w:pPr>
        <w:pStyle w:val="Normalnumber"/>
        <w:numPr>
          <w:ilvl w:val="1"/>
          <w:numId w:val="3"/>
        </w:numPr>
        <w:rPr>
          <w:lang w:val="es-ES_tradnl"/>
        </w:rPr>
      </w:pPr>
      <w:r w:rsidRPr="008048DD">
        <w:rPr>
          <w:lang w:val="es-ES_tradnl"/>
        </w:rPr>
        <w:t>Determinara respecto de cuáles indicadores recomendados se requerían datos de vigilancia, en particular con relación a las medidas de control y los objetivos establecidos en los artículos del Convenio</w:t>
      </w:r>
      <w:r w:rsidR="00B1107F" w:rsidRPr="008048DD">
        <w:rPr>
          <w:lang w:val="es-ES_tradnl"/>
        </w:rPr>
        <w:t>;</w:t>
      </w:r>
    </w:p>
    <w:p w14:paraId="1943B400" w14:textId="77777777" w:rsidR="00B1107F" w:rsidRPr="008048DD" w:rsidRDefault="00785769" w:rsidP="008A323F">
      <w:pPr>
        <w:pStyle w:val="Normalnumber"/>
        <w:numPr>
          <w:ilvl w:val="1"/>
          <w:numId w:val="3"/>
        </w:numPr>
        <w:rPr>
          <w:lang w:val="es-ES_tradnl"/>
        </w:rPr>
      </w:pPr>
      <w:r w:rsidRPr="008048DD">
        <w:rPr>
          <w:lang w:val="es-ES_tradnl"/>
        </w:rPr>
        <w:t>Elaborara</w:t>
      </w:r>
      <w:r w:rsidR="00B1107F" w:rsidRPr="008048DD">
        <w:rPr>
          <w:lang w:val="es-ES_tradnl"/>
        </w:rPr>
        <w:t xml:space="preserve"> una metodología </w:t>
      </w:r>
      <w:r w:rsidR="00712076" w:rsidRPr="008048DD">
        <w:rPr>
          <w:lang w:val="es-ES_tradnl"/>
        </w:rPr>
        <w:t>para la integración de los indicadores recomendados a fin de dar una imagen integrada de la eficacia general del Convenio (por ejemplo, mediante el uso de indicadores intersectoriales)</w:t>
      </w:r>
      <w:r w:rsidR="00B1107F" w:rsidRPr="008048DD">
        <w:rPr>
          <w:lang w:val="es-ES_tradnl"/>
        </w:rPr>
        <w:t xml:space="preserve">; </w:t>
      </w:r>
    </w:p>
    <w:p w14:paraId="555D2DCE" w14:textId="000D17DA" w:rsidR="00B1107F" w:rsidRPr="008048DD" w:rsidRDefault="00B1107F" w:rsidP="008A323F">
      <w:pPr>
        <w:pStyle w:val="Normalnumber"/>
        <w:numPr>
          <w:ilvl w:val="1"/>
          <w:numId w:val="3"/>
        </w:numPr>
        <w:rPr>
          <w:lang w:val="es-ES_tradnl"/>
        </w:rPr>
      </w:pPr>
      <w:r w:rsidRPr="008048DD">
        <w:rPr>
          <w:lang w:val="es-ES_tradnl"/>
        </w:rPr>
        <w:t>De ser necesario, modificar</w:t>
      </w:r>
      <w:r w:rsidR="00712076" w:rsidRPr="008048DD">
        <w:rPr>
          <w:lang w:val="es-ES_tradnl"/>
        </w:rPr>
        <w:t>a</w:t>
      </w:r>
      <w:r w:rsidRPr="008048DD">
        <w:rPr>
          <w:lang w:val="es-ES_tradnl"/>
        </w:rPr>
        <w:t xml:space="preserve"> el proyecto de mandato del </w:t>
      </w:r>
      <w:r w:rsidR="00CE00F3" w:rsidRPr="008048DD">
        <w:rPr>
          <w:lang w:val="es-ES_tradnl"/>
        </w:rPr>
        <w:t>C</w:t>
      </w:r>
      <w:r w:rsidRPr="008048DD">
        <w:rPr>
          <w:lang w:val="es-ES_tradnl"/>
        </w:rPr>
        <w:t xml:space="preserve">omité de </w:t>
      </w:r>
      <w:r w:rsidR="00CE00F3" w:rsidRPr="008048DD">
        <w:rPr>
          <w:lang w:val="es-ES_tradnl"/>
        </w:rPr>
        <w:t>E</w:t>
      </w:r>
      <w:r w:rsidRPr="008048DD">
        <w:rPr>
          <w:lang w:val="es-ES_tradnl"/>
        </w:rPr>
        <w:t xml:space="preserve">valuación de la </w:t>
      </w:r>
      <w:r w:rsidR="00CE00F3" w:rsidRPr="008048DD">
        <w:rPr>
          <w:lang w:val="es-ES_tradnl"/>
        </w:rPr>
        <w:t>E</w:t>
      </w:r>
      <w:r w:rsidRPr="008048DD">
        <w:rPr>
          <w:lang w:val="es-ES_tradnl"/>
        </w:rPr>
        <w:t>ficacia y el calendario de la primera evaluación de la eficacia recomendados sobre la base de los resultados del proceso ant</w:t>
      </w:r>
      <w:r w:rsidR="009074CE" w:rsidRPr="008048DD">
        <w:rPr>
          <w:lang w:val="es-ES_tradnl"/>
        </w:rPr>
        <w:t>e</w:t>
      </w:r>
      <w:r w:rsidRPr="008048DD">
        <w:rPr>
          <w:lang w:val="es-ES_tradnl"/>
        </w:rPr>
        <w:t>s descrito.</w:t>
      </w:r>
    </w:p>
    <w:p w14:paraId="72B30E73" w14:textId="77777777" w:rsidR="00B1107F" w:rsidRPr="008048DD" w:rsidRDefault="003F3983" w:rsidP="00362646">
      <w:pPr>
        <w:pStyle w:val="Normalnumber"/>
        <w:numPr>
          <w:ilvl w:val="0"/>
          <w:numId w:val="40"/>
        </w:numPr>
        <w:tabs>
          <w:tab w:val="clear" w:pos="1057"/>
        </w:tabs>
        <w:ind w:left="1247"/>
        <w:rPr>
          <w:lang w:val="es-ES_tradnl"/>
        </w:rPr>
      </w:pPr>
      <w:r w:rsidRPr="008048DD">
        <w:rPr>
          <w:lang w:val="es-ES_tradnl"/>
        </w:rPr>
        <w:t xml:space="preserve">El </w:t>
      </w:r>
      <w:r w:rsidR="00C56501" w:rsidRPr="008048DD">
        <w:rPr>
          <w:lang w:val="es-ES_tradnl"/>
        </w:rPr>
        <w:t>G</w:t>
      </w:r>
      <w:r w:rsidR="00891F8B" w:rsidRPr="008048DD">
        <w:rPr>
          <w:lang w:val="es-ES_tradnl"/>
        </w:rPr>
        <w:t>rupo especial de expertos</w:t>
      </w:r>
      <w:r w:rsidRPr="008048DD">
        <w:rPr>
          <w:lang w:val="es-ES_tradnl"/>
        </w:rPr>
        <w:t xml:space="preserve"> se reunió en Ginebra en abril de 2019 para deliberar específicamente sobre el informe que se presentaría a la tercera reunión de la Conferencia de las Partes. El presente informe es el resultado de la labor iniciada en esa reunión</w:t>
      </w:r>
      <w:r w:rsidR="004C2444" w:rsidRPr="008048DD">
        <w:rPr>
          <w:rStyle w:val="FootnoteReference"/>
          <w:rFonts w:asciiTheme="majorBidi" w:hAnsiTheme="majorBidi"/>
          <w:szCs w:val="20"/>
          <w:lang w:val="es-ES_tradnl"/>
        </w:rPr>
        <w:footnoteReference w:id="13"/>
      </w:r>
      <w:r w:rsidRPr="008048DD">
        <w:rPr>
          <w:lang w:val="es-ES_tradnl"/>
        </w:rPr>
        <w:t xml:space="preserve"> y completad</w:t>
      </w:r>
      <w:r w:rsidR="00FA17BD" w:rsidRPr="008048DD">
        <w:rPr>
          <w:lang w:val="es-ES_tradnl"/>
        </w:rPr>
        <w:t>a</w:t>
      </w:r>
      <w:r w:rsidRPr="008048DD">
        <w:rPr>
          <w:lang w:val="es-ES_tradnl"/>
        </w:rPr>
        <w:t xml:space="preserve"> en los meses siguientes (que incluyen el período abierto para formular observaciones del 1 de agosto al 5 de septiembre de 2019). </w:t>
      </w:r>
    </w:p>
    <w:p w14:paraId="5A3E5114" w14:textId="3B8DBAF0" w:rsidR="00B1107F" w:rsidRPr="008048DD" w:rsidRDefault="00E739F6" w:rsidP="00362646">
      <w:pPr>
        <w:pStyle w:val="Normalnumber"/>
        <w:numPr>
          <w:ilvl w:val="0"/>
          <w:numId w:val="40"/>
        </w:numPr>
        <w:tabs>
          <w:tab w:val="clear" w:pos="1057"/>
        </w:tabs>
        <w:ind w:left="1247"/>
        <w:rPr>
          <w:lang w:val="es-ES_tradnl"/>
        </w:rPr>
      </w:pPr>
      <w:r w:rsidRPr="008048DD">
        <w:rPr>
          <w:lang w:val="es-ES_tradnl"/>
        </w:rPr>
        <w:t xml:space="preserve">De conformidad con la orientación proporcionada en la decisión MC-2/10, el presente informe consta de un resumen y cuatro secciones: la sección I es una introducción al mandato del </w:t>
      </w:r>
      <w:r w:rsidR="00CE00F3" w:rsidRPr="008048DD">
        <w:rPr>
          <w:lang w:val="es-ES_tradnl"/>
        </w:rPr>
        <w:t>G</w:t>
      </w:r>
      <w:r w:rsidR="00891F8B" w:rsidRPr="008048DD">
        <w:rPr>
          <w:lang w:val="es-ES_tradnl"/>
        </w:rPr>
        <w:t>rupo especial de expertos</w:t>
      </w:r>
      <w:r w:rsidRPr="008048DD">
        <w:rPr>
          <w:lang w:val="es-ES_tradnl"/>
        </w:rPr>
        <w:t xml:space="preserve"> técnicos y su informe sobre los arreglos propuestos que se establecerán para proporcionar a la Conferencia de las Partes la información necesaria para llevar a cabo una evaluación de la eficacia del Convenio; en la sección II figura una reseña del proyecto de marco de evaluación de la eficacia, que incluye el planteamiento de las cuatro cuestiones normativas consideradas clave para evaluar la eficacia del Convenio; en la sección III se describen en detalle</w:t>
      </w:r>
      <w:r w:rsidR="00507230" w:rsidRPr="008048DD">
        <w:rPr>
          <w:lang w:val="es-ES_tradnl"/>
        </w:rPr>
        <w:t xml:space="preserve"> </w:t>
      </w:r>
      <w:r w:rsidRPr="008048DD">
        <w:rPr>
          <w:lang w:val="es-ES_tradnl"/>
        </w:rPr>
        <w:t>los elementos que constituyen el marco,</w:t>
      </w:r>
      <w:r w:rsidR="00507230" w:rsidRPr="008048DD">
        <w:rPr>
          <w:lang w:val="es-ES_tradnl"/>
        </w:rPr>
        <w:t xml:space="preserve"> </w:t>
      </w:r>
      <w:r w:rsidRPr="008048DD">
        <w:rPr>
          <w:lang w:val="es-ES_tradnl"/>
        </w:rPr>
        <w:t xml:space="preserve">y se </w:t>
      </w:r>
      <w:r w:rsidR="00FA17BD" w:rsidRPr="008048DD">
        <w:rPr>
          <w:lang w:val="es-ES_tradnl"/>
        </w:rPr>
        <w:t>exponen</w:t>
      </w:r>
      <w:r w:rsidRPr="008048DD">
        <w:rPr>
          <w:lang w:val="es-ES_tradnl"/>
        </w:rPr>
        <w:t xml:space="preserve"> la metodología propuesta y el calendario para la evaluación de la eficacia; y en la sección IV se describen otras cuestiones que ha de examinar la Conferencia de las Partes. El informe también contiene cuatro apéndices: el apéndice I, que se reproduce en el documento</w:t>
      </w:r>
      <w:r w:rsidR="00A83FB8" w:rsidRPr="008048DD">
        <w:rPr>
          <w:lang w:val="es-ES_tradnl"/>
        </w:rPr>
        <w:t> </w:t>
      </w:r>
      <w:r w:rsidRPr="008048DD">
        <w:rPr>
          <w:lang w:val="es-ES_tradnl"/>
        </w:rPr>
        <w:t xml:space="preserve">UNEP/MC/COP.3/14/Add.1, </w:t>
      </w:r>
      <w:r w:rsidR="00FA17BD" w:rsidRPr="008048DD">
        <w:rPr>
          <w:lang w:val="es-ES_tradnl"/>
        </w:rPr>
        <w:t>que contiene</w:t>
      </w:r>
      <w:r w:rsidRPr="008048DD">
        <w:rPr>
          <w:lang w:val="es-ES_tradnl"/>
        </w:rPr>
        <w:t xml:space="preserve"> la info</w:t>
      </w:r>
      <w:r w:rsidR="00FA17BD" w:rsidRPr="008048DD">
        <w:rPr>
          <w:lang w:val="es-ES_tradnl"/>
        </w:rPr>
        <w:t>rmación técnica relacionada</w:t>
      </w:r>
      <w:r w:rsidRPr="008048DD">
        <w:rPr>
          <w:lang w:val="es-ES_tradnl"/>
        </w:rPr>
        <w:t xml:space="preserve"> con la vigilancia; en el apéndice II se presenta el proyecto de mandato del </w:t>
      </w:r>
      <w:r w:rsidR="00CE00F3" w:rsidRPr="008048DD">
        <w:rPr>
          <w:lang w:val="es-ES_tradnl"/>
        </w:rPr>
        <w:t>C</w:t>
      </w:r>
      <w:r w:rsidRPr="008048DD">
        <w:rPr>
          <w:lang w:val="es-ES_tradnl"/>
        </w:rPr>
        <w:t xml:space="preserve">omité de </w:t>
      </w:r>
      <w:r w:rsidR="00CE00F3" w:rsidRPr="008048DD">
        <w:rPr>
          <w:lang w:val="es-ES_tradnl"/>
        </w:rPr>
        <w:t>E</w:t>
      </w:r>
      <w:r w:rsidRPr="008048DD">
        <w:rPr>
          <w:lang w:val="es-ES_tradnl"/>
        </w:rPr>
        <w:t xml:space="preserve">valuación de la </w:t>
      </w:r>
      <w:r w:rsidR="00CE00F3" w:rsidRPr="008048DD">
        <w:rPr>
          <w:lang w:val="es-ES_tradnl"/>
        </w:rPr>
        <w:t>E</w:t>
      </w:r>
      <w:r w:rsidRPr="008048DD">
        <w:rPr>
          <w:lang w:val="es-ES_tradnl"/>
        </w:rPr>
        <w:t>ficacia; en el apéndice</w:t>
      </w:r>
      <w:r w:rsidR="00C56501" w:rsidRPr="008048DD">
        <w:rPr>
          <w:lang w:val="es-ES_tradnl"/>
        </w:rPr>
        <w:t> </w:t>
      </w:r>
      <w:r w:rsidRPr="008048DD">
        <w:rPr>
          <w:lang w:val="es-ES_tradnl"/>
        </w:rPr>
        <w:t>III se explican los arreglos de vigilancia a nivel mundial y el proyecto de mandato del grupo sobre vigilancia; y en el apéndice IV se indican los informes que habrá que preparar para el Comité.</w:t>
      </w:r>
    </w:p>
    <w:p w14:paraId="23B95D7C" w14:textId="37CC1481" w:rsidR="00F578B0" w:rsidRPr="008048DD" w:rsidRDefault="00E0696A" w:rsidP="00362646">
      <w:pPr>
        <w:pStyle w:val="Normalnumber"/>
        <w:numPr>
          <w:ilvl w:val="0"/>
          <w:numId w:val="40"/>
        </w:numPr>
        <w:tabs>
          <w:tab w:val="clear" w:pos="1057"/>
        </w:tabs>
        <w:ind w:left="1247"/>
        <w:rPr>
          <w:lang w:val="es-ES_tradnl"/>
        </w:rPr>
      </w:pPr>
      <w:r w:rsidRPr="008048DD">
        <w:rPr>
          <w:lang w:val="es-ES_tradnl"/>
        </w:rPr>
        <w:t xml:space="preserve">El </w:t>
      </w:r>
      <w:r w:rsidR="00CE00F3" w:rsidRPr="008048DD">
        <w:rPr>
          <w:lang w:val="es-ES_tradnl"/>
        </w:rPr>
        <w:t>G</w:t>
      </w:r>
      <w:r w:rsidR="0016586F" w:rsidRPr="008048DD">
        <w:rPr>
          <w:lang w:val="es-ES_tradnl"/>
        </w:rPr>
        <w:t>rupo</w:t>
      </w:r>
      <w:r w:rsidRPr="008048DD">
        <w:rPr>
          <w:lang w:val="es-ES_tradnl"/>
        </w:rPr>
        <w:t xml:space="preserve"> especial elaboró el documento UNEP/MC/COP.3/INF/15 como suplement</w:t>
      </w:r>
      <w:r w:rsidR="00CE00F3" w:rsidRPr="008048DD">
        <w:rPr>
          <w:lang w:val="es-ES_tradnl"/>
        </w:rPr>
        <w:t xml:space="preserve">o del presente informe y su </w:t>
      </w:r>
      <w:r w:rsidR="00AA0417">
        <w:rPr>
          <w:lang w:val="es-ES_tradnl"/>
        </w:rPr>
        <w:t>adi</w:t>
      </w:r>
      <w:r w:rsidR="00AA0417" w:rsidRPr="008048DD">
        <w:rPr>
          <w:lang w:val="es-ES_tradnl"/>
        </w:rPr>
        <w:t>c</w:t>
      </w:r>
      <w:r w:rsidR="00AA0417">
        <w:rPr>
          <w:lang w:val="es-ES_tradnl"/>
        </w:rPr>
        <w:t>c</w:t>
      </w:r>
      <w:r w:rsidR="00AA0417" w:rsidRPr="008048DD">
        <w:rPr>
          <w:lang w:val="es-ES_tradnl"/>
        </w:rPr>
        <w:t>ión</w:t>
      </w:r>
      <w:r w:rsidRPr="008048DD">
        <w:rPr>
          <w:lang w:val="es-ES_tradnl"/>
        </w:rPr>
        <w:t>. En la parte I de ese documento se presenta un examen más detallado de los datos de vigilancia disponibles e información básica sobre la propuesta de actividades de vigilancia, con nuevos detalles científicos y técnicos. La parte II contiene una propuesta de elementos de un documento de orientación para la vigilancia del mercurio</w:t>
      </w:r>
      <w:r w:rsidR="00FA17BD" w:rsidRPr="008048DD">
        <w:rPr>
          <w:lang w:val="es-ES_tradnl"/>
        </w:rPr>
        <w:t>,</w:t>
      </w:r>
      <w:r w:rsidRPr="008048DD">
        <w:rPr>
          <w:lang w:val="es-ES_tradnl"/>
        </w:rPr>
        <w:t xml:space="preserve"> que se elaborará en el marco de los </w:t>
      </w:r>
      <w:r w:rsidR="00891F8B" w:rsidRPr="008048DD">
        <w:rPr>
          <w:lang w:val="es-ES_tradnl"/>
        </w:rPr>
        <w:t>arreglos de vigilancia</w:t>
      </w:r>
      <w:r w:rsidRPr="008048DD">
        <w:rPr>
          <w:lang w:val="es-ES_tradnl"/>
        </w:rPr>
        <w:t xml:space="preserve"> </w:t>
      </w:r>
      <w:r w:rsidR="00FA17BD" w:rsidRPr="008048DD">
        <w:rPr>
          <w:lang w:val="es-ES_tradnl"/>
        </w:rPr>
        <w:t xml:space="preserve">a nivel </w:t>
      </w:r>
      <w:r w:rsidRPr="008048DD">
        <w:rPr>
          <w:lang w:val="es-ES_tradnl"/>
        </w:rPr>
        <w:t>mundial</w:t>
      </w:r>
      <w:r w:rsidR="00FA17BD" w:rsidRPr="008048DD">
        <w:rPr>
          <w:lang w:val="es-ES_tradnl"/>
        </w:rPr>
        <w:t>,</w:t>
      </w:r>
      <w:r w:rsidRPr="008048DD">
        <w:rPr>
          <w:lang w:val="es-ES_tradnl"/>
        </w:rPr>
        <w:t xml:space="preserve"> que establecerá la Conferencia de las Partes.</w:t>
      </w:r>
    </w:p>
    <w:p w14:paraId="19442322" w14:textId="0A7B2698"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w:t>
      </w:r>
      <w:r w:rsidR="008959AF" w:rsidRPr="008048DD">
        <w:rPr>
          <w:lang w:val="es-ES_tradnl"/>
        </w:rPr>
        <w:t>G</w:t>
      </w:r>
      <w:r w:rsidR="00891F8B" w:rsidRPr="008048DD">
        <w:rPr>
          <w:lang w:val="es-ES_tradnl"/>
        </w:rPr>
        <w:t>rupo especial de expertos</w:t>
      </w:r>
      <w:r w:rsidRPr="008048DD">
        <w:rPr>
          <w:lang w:val="es-ES_tradnl"/>
        </w:rPr>
        <w:t xml:space="preserve"> técnicos propone que la Conferencia de las Partes a</w:t>
      </w:r>
      <w:r w:rsidR="00FA17BD" w:rsidRPr="008048DD">
        <w:rPr>
          <w:lang w:val="es-ES_tradnl"/>
        </w:rPr>
        <w:t>pruebe</w:t>
      </w:r>
      <w:r w:rsidRPr="008048DD">
        <w:rPr>
          <w:lang w:val="es-ES_tradnl"/>
        </w:rPr>
        <w:t xml:space="preserve"> el marco y los </w:t>
      </w:r>
      <w:r w:rsidR="00891F8B" w:rsidRPr="008048DD">
        <w:rPr>
          <w:lang w:val="es-ES_tradnl"/>
        </w:rPr>
        <w:t>arreglos de vigilancia</w:t>
      </w:r>
      <w:r w:rsidRPr="008048DD">
        <w:rPr>
          <w:lang w:val="es-ES_tradnl"/>
        </w:rPr>
        <w:t xml:space="preserve">, así como el calendario propuesto para el primer ciclo de la evaluación de la eficacia en su tercera reunión y establezca el </w:t>
      </w:r>
      <w:r w:rsidR="008959AF" w:rsidRPr="008048DD">
        <w:rPr>
          <w:lang w:val="es-ES_tradnl"/>
        </w:rPr>
        <w:t>C</w:t>
      </w:r>
      <w:r w:rsidRPr="008048DD">
        <w:rPr>
          <w:lang w:val="es-ES_tradnl"/>
        </w:rPr>
        <w:t xml:space="preserve">omité de </w:t>
      </w:r>
      <w:r w:rsidR="008959AF" w:rsidRPr="008048DD">
        <w:rPr>
          <w:lang w:val="es-ES_tradnl"/>
        </w:rPr>
        <w:t>E</w:t>
      </w:r>
      <w:r w:rsidRPr="008048DD">
        <w:rPr>
          <w:lang w:val="es-ES_tradnl"/>
        </w:rPr>
        <w:t>valuación de la</w:t>
      </w:r>
      <w:r w:rsidR="008959AF" w:rsidRPr="008048DD">
        <w:rPr>
          <w:lang w:val="es-ES_tradnl"/>
        </w:rPr>
        <w:t xml:space="preserve"> E</w:t>
      </w:r>
      <w:r w:rsidRPr="008048DD">
        <w:rPr>
          <w:lang w:val="es-ES_tradnl"/>
        </w:rPr>
        <w:t>ficacia en su cuarta reunión, ya que esto permitirá que la Conferencia de las Partes examine las conclusiones de</w:t>
      </w:r>
      <w:r w:rsidR="00FA17BD" w:rsidRPr="008048DD">
        <w:rPr>
          <w:lang w:val="es-ES_tradnl"/>
        </w:rPr>
        <w:t xml:space="preserve"> ese</w:t>
      </w:r>
      <w:r w:rsidRPr="008048DD">
        <w:rPr>
          <w:lang w:val="es-ES_tradnl"/>
        </w:rPr>
        <w:t xml:space="preserve"> </w:t>
      </w:r>
      <w:r w:rsidR="00FA17BD" w:rsidRPr="008048DD">
        <w:rPr>
          <w:lang w:val="es-ES_tradnl"/>
        </w:rPr>
        <w:t>c</w:t>
      </w:r>
      <w:r w:rsidRPr="008048DD">
        <w:rPr>
          <w:lang w:val="es-ES_tradnl"/>
        </w:rPr>
        <w:t xml:space="preserve">omité en su quinta reunión. </w:t>
      </w:r>
    </w:p>
    <w:p w14:paraId="58D37164" w14:textId="5AC36047" w:rsidR="00B1107F" w:rsidRPr="007F4DA2" w:rsidRDefault="007F4DA2" w:rsidP="007F4DA2">
      <w:pPr>
        <w:pStyle w:val="CH1"/>
        <w:tabs>
          <w:tab w:val="right" w:pos="851"/>
          <w:tab w:val="left" w:pos="1247"/>
          <w:tab w:val="left" w:pos="1814"/>
          <w:tab w:val="left" w:pos="2381"/>
          <w:tab w:val="left" w:pos="2948"/>
          <w:tab w:val="left" w:pos="3515"/>
          <w:tab w:val="left" w:pos="4082"/>
        </w:tabs>
        <w:ind w:left="1247" w:hanging="1247"/>
        <w:rPr>
          <w:rFonts w:ascii="Times New Roman" w:hAnsi="Times New Roman" w:cs="Times New Roman"/>
          <w:lang w:val="es-ES"/>
        </w:rPr>
      </w:pPr>
      <w:r>
        <w:rPr>
          <w:rFonts w:ascii="Times New Roman" w:hAnsi="Times New Roman" w:cs="Times New Roman"/>
          <w:lang w:val="es-ES"/>
        </w:rPr>
        <w:tab/>
      </w:r>
      <w:r w:rsidR="00092851" w:rsidRPr="007F4DA2">
        <w:rPr>
          <w:rFonts w:ascii="Times New Roman" w:hAnsi="Times New Roman" w:cs="Times New Roman"/>
          <w:lang w:val="es-ES"/>
        </w:rPr>
        <w:t>II.</w:t>
      </w:r>
      <w:r w:rsidR="00092851" w:rsidRPr="007F4DA2">
        <w:rPr>
          <w:rFonts w:ascii="Times New Roman" w:hAnsi="Times New Roman" w:cs="Times New Roman"/>
          <w:lang w:val="es-ES"/>
        </w:rPr>
        <w:tab/>
        <w:t>Breve descripción del marco de evaluación de la eficacia</w:t>
      </w:r>
    </w:p>
    <w:p w14:paraId="42B1E2DE"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El ob</w:t>
      </w:r>
      <w:r w:rsidR="009074CE" w:rsidRPr="008048DD">
        <w:rPr>
          <w:lang w:val="es-ES_tradnl"/>
        </w:rPr>
        <w:t>jetivo del Convenio de Minamata</w:t>
      </w:r>
      <w:r w:rsidR="00B3310A" w:rsidRPr="008048DD">
        <w:rPr>
          <w:lang w:val="es-ES_tradnl"/>
        </w:rPr>
        <w:t>, según su artículo 1, es “</w:t>
      </w:r>
      <w:r w:rsidRPr="008048DD">
        <w:rPr>
          <w:lang w:val="es-ES_tradnl"/>
        </w:rPr>
        <w:t>proteger la salud humana y el medio ambiente de las emisiones y liberaciones antropógenas de mercurio y compuestos de mercurio</w:t>
      </w:r>
      <w:r w:rsidR="00B3310A" w:rsidRPr="008048DD">
        <w:rPr>
          <w:lang w:val="es-ES_tradnl"/>
        </w:rPr>
        <w:t>”</w:t>
      </w:r>
      <w:r w:rsidRPr="008048DD">
        <w:rPr>
          <w:lang w:val="es-ES_tradnl"/>
        </w:rPr>
        <w:t>. La finalidad de una evaluación de l</w:t>
      </w:r>
      <w:r w:rsidR="009074CE" w:rsidRPr="008048DD">
        <w:rPr>
          <w:lang w:val="es-ES_tradnl"/>
        </w:rPr>
        <w:t>a eficacia es examinar hasta qué punto el Convenio est</w:t>
      </w:r>
      <w:r w:rsidR="00FA17BD" w:rsidRPr="008048DD">
        <w:rPr>
          <w:lang w:val="es-ES_tradnl"/>
        </w:rPr>
        <w:t>á logrando ese</w:t>
      </w:r>
      <w:r w:rsidRPr="008048DD">
        <w:rPr>
          <w:lang w:val="es-ES_tradnl"/>
        </w:rPr>
        <w:t xml:space="preserve"> objetivo. Esto equivale a analizar si las medidas adoptadas por las Partes atendiendo al Convenio han dado lugar a reducciones en </w:t>
      </w:r>
      <w:r w:rsidR="00E0374C" w:rsidRPr="008048DD">
        <w:rPr>
          <w:lang w:val="es-ES_tradnl"/>
        </w:rPr>
        <w:t>el suministro</w:t>
      </w:r>
      <w:r w:rsidRPr="008048DD">
        <w:rPr>
          <w:lang w:val="es-ES_tradnl"/>
        </w:rPr>
        <w:t xml:space="preserve">, el uso, las emisiones y </w:t>
      </w:r>
      <w:r w:rsidR="00FA17BD" w:rsidRPr="008048DD">
        <w:rPr>
          <w:lang w:val="es-ES_tradnl"/>
        </w:rPr>
        <w:t xml:space="preserve">las </w:t>
      </w:r>
      <w:r w:rsidRPr="008048DD">
        <w:rPr>
          <w:lang w:val="es-ES_tradnl"/>
        </w:rPr>
        <w:t xml:space="preserve">liberaciones que, a su vez, hayan propiciado la reducción de los riesgos para la salud humana y el medio ambiente (en comparación con lo que habría ocurrido si el Convenio no se hubiera aplicado). </w:t>
      </w:r>
    </w:p>
    <w:p w14:paraId="3D593AD0" w14:textId="5D863618"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El marco para la evaluación de la eficacia del Convenio de Min</w:t>
      </w:r>
      <w:r w:rsidR="008959AF" w:rsidRPr="008048DD">
        <w:rPr>
          <w:lang w:val="es-ES_tradnl"/>
        </w:rPr>
        <w:t>amata, propuesto por el G</w:t>
      </w:r>
      <w:r w:rsidR="00467D4C" w:rsidRPr="008048DD">
        <w:rPr>
          <w:lang w:val="es-ES_tradnl"/>
        </w:rPr>
        <w:t>rupo es</w:t>
      </w:r>
      <w:r w:rsidRPr="008048DD">
        <w:rPr>
          <w:lang w:val="es-ES_tradnl"/>
        </w:rPr>
        <w:t>pecial de expertos técnicos, se ba</w:t>
      </w:r>
      <w:r w:rsidR="00467D4C" w:rsidRPr="008048DD">
        <w:rPr>
          <w:lang w:val="es-ES_tradnl"/>
        </w:rPr>
        <w:t>s</w:t>
      </w:r>
      <w:r w:rsidRPr="008048DD">
        <w:rPr>
          <w:lang w:val="es-ES_tradnl"/>
        </w:rPr>
        <w:t>a en la evaluación de las pruebas obtenidas a lo largo de la trayectoria causal</w:t>
      </w:r>
      <w:r w:rsidR="00FA17BD" w:rsidRPr="008048DD">
        <w:rPr>
          <w:lang w:val="es-ES_tradnl"/>
        </w:rPr>
        <w:t>,</w:t>
      </w:r>
      <w:r w:rsidRPr="008048DD">
        <w:rPr>
          <w:lang w:val="es-ES_tradnl"/>
        </w:rPr>
        <w:t xml:space="preserve"> que vincula las medidas adoptadas para aplicar el Convenio con los correspondientes cambios en </w:t>
      </w:r>
      <w:r w:rsidR="00E0374C" w:rsidRPr="008048DD">
        <w:rPr>
          <w:lang w:val="es-ES_tradnl"/>
        </w:rPr>
        <w:t>e</w:t>
      </w:r>
      <w:r w:rsidR="00B63D0C" w:rsidRPr="008048DD">
        <w:rPr>
          <w:lang w:val="es-ES_tradnl"/>
        </w:rPr>
        <w:t>l</w:t>
      </w:r>
      <w:r w:rsidR="00E0374C" w:rsidRPr="008048DD">
        <w:rPr>
          <w:lang w:val="es-ES_tradnl"/>
        </w:rPr>
        <w:t xml:space="preserve"> suministro</w:t>
      </w:r>
      <w:r w:rsidRPr="008048DD">
        <w:rPr>
          <w:lang w:val="es-ES_tradnl"/>
        </w:rPr>
        <w:t xml:space="preserve">, el uso, las emisiones y las liberaciones de mercurio y los cambios resultantes en los niveles de mercurio y las tendencias en esos niveles en el medio ambiente, los medios bióticos y las poblaciones vulnerables en todo el mundo. Se determinarán los cambios en los niveles de mercurio atribuibles al Convenio a partir de la información recopilada y los indicadores de procesos, resultados y vigilancia propuestos, con miras a dar respuesta a cuatro cuestiones normativas. </w:t>
      </w:r>
    </w:p>
    <w:p w14:paraId="23320113" w14:textId="77777777" w:rsidR="00B1107F" w:rsidRPr="008048DD" w:rsidRDefault="006531FE" w:rsidP="00B66A03">
      <w:pPr>
        <w:pStyle w:val="CH2"/>
        <w:rPr>
          <w:lang w:val="es-ES_tradnl"/>
        </w:rPr>
      </w:pPr>
      <w:r w:rsidRPr="008048DD">
        <w:rPr>
          <w:lang w:val="es-ES_tradnl"/>
        </w:rPr>
        <w:tab/>
      </w:r>
      <w:r w:rsidR="00B66A03" w:rsidRPr="008048DD">
        <w:rPr>
          <w:lang w:val="es-ES_tradnl"/>
        </w:rPr>
        <w:t>A.</w:t>
      </w:r>
      <w:r w:rsidR="00B66A03" w:rsidRPr="008048DD">
        <w:rPr>
          <w:lang w:val="es-ES_tradnl"/>
        </w:rPr>
        <w:tab/>
      </w:r>
      <w:r w:rsidR="00B66A03" w:rsidRPr="008048DD">
        <w:rPr>
          <w:bCs/>
          <w:lang w:val="es-ES_tradnl"/>
        </w:rPr>
        <w:t>Cuestiones normativas</w:t>
      </w:r>
    </w:p>
    <w:p w14:paraId="506002A1" w14:textId="77777777" w:rsidR="005D6D69" w:rsidRPr="008048DD" w:rsidRDefault="008639DA" w:rsidP="00362646">
      <w:pPr>
        <w:pStyle w:val="Normalnumber"/>
        <w:numPr>
          <w:ilvl w:val="0"/>
          <w:numId w:val="40"/>
        </w:numPr>
        <w:tabs>
          <w:tab w:val="clear" w:pos="1057"/>
        </w:tabs>
        <w:ind w:left="1247"/>
        <w:rPr>
          <w:bCs/>
          <w:lang w:val="es-ES_tradnl"/>
        </w:rPr>
      </w:pPr>
      <w:r w:rsidRPr="008048DD">
        <w:rPr>
          <w:lang w:val="es-ES_tradnl"/>
        </w:rPr>
        <w:t>Se han definido cuatro cuestiones normativas para fundamentar la evaluación de la eficacia. Previsiblemente, esas cuestiones proporcionarán las respuestas que necesite la Conferencia de las Partes para determinar si las medidas adoptadas con arreglo al Convenio de Minamata son suficientes para hacer frente a los problemas que traen consigo las emisiones y liberaciones antropógenas de mercurio.</w:t>
      </w:r>
    </w:p>
    <w:p w14:paraId="0E51B455" w14:textId="7A225725" w:rsidR="00B1107F" w:rsidRPr="008048DD" w:rsidRDefault="00CA364E" w:rsidP="00362646">
      <w:pPr>
        <w:pStyle w:val="Normalnumber"/>
        <w:numPr>
          <w:ilvl w:val="0"/>
          <w:numId w:val="40"/>
        </w:numPr>
        <w:tabs>
          <w:tab w:val="clear" w:pos="1057"/>
        </w:tabs>
        <w:ind w:left="1247"/>
        <w:rPr>
          <w:bCs/>
          <w:lang w:val="es-ES_tradnl"/>
        </w:rPr>
      </w:pPr>
      <w:r w:rsidRPr="008048DD">
        <w:rPr>
          <w:lang w:val="es-ES_tradnl"/>
        </w:rPr>
        <w:t>La primera cuestión normativa es: ¿han adoptado las Partes medidas para aplicar el Convenio de Minamata?</w:t>
      </w:r>
      <w:r w:rsidR="00B3310A" w:rsidRPr="008048DD">
        <w:rPr>
          <w:lang w:val="es-ES_tradnl"/>
        </w:rPr>
        <w:t xml:space="preserve"> </w:t>
      </w:r>
      <w:r w:rsidRPr="008048DD">
        <w:rPr>
          <w:lang w:val="es-ES_tradnl"/>
        </w:rPr>
        <w:t>Para responder a esa pregunta, el marco contiene un breve conjunto de indicadores de</w:t>
      </w:r>
      <w:r w:rsidR="008959AF" w:rsidRPr="008048DD">
        <w:rPr>
          <w:lang w:val="es-ES_tradnl"/>
        </w:rPr>
        <w:t> </w:t>
      </w:r>
      <w:r w:rsidRPr="008048DD">
        <w:rPr>
          <w:lang w:val="es-ES_tradnl"/>
        </w:rPr>
        <w:t xml:space="preserve">“procesos” cuya finalidad es reflejar el grado de aplicación del Convenio por las Partes. Estos indicadores pueden utilizarse para determinar si la aplicación de las medidas previstas en el Convenio puede vincularse de forma creíble a los cambios en las emisiones y liberaciones. También pueden utilizarse para detectar los problemas comunes en la aplicación que puedan mermar la eficacia del Convenio. Los indicadores de procesos se basan principalmente en el mandato de presentación de informes estipulado en el Convenio, que se complementa con otra información científica, ambiental, técnica, financiera y económica disponible, según lo dispuesto en el párrafo 3 del artículo 22. </w:t>
      </w:r>
      <w:bookmarkStart w:id="6" w:name="_Hlk7429757"/>
    </w:p>
    <w:bookmarkEnd w:id="6"/>
    <w:p w14:paraId="6F7FCC2F" w14:textId="526B11EC" w:rsidR="00B1107F" w:rsidRPr="008048DD" w:rsidRDefault="00CA364E" w:rsidP="00362646">
      <w:pPr>
        <w:pStyle w:val="Normalnumber"/>
        <w:numPr>
          <w:ilvl w:val="0"/>
          <w:numId w:val="40"/>
        </w:numPr>
        <w:tabs>
          <w:tab w:val="clear" w:pos="1057"/>
        </w:tabs>
        <w:ind w:left="1247"/>
        <w:rPr>
          <w:lang w:val="es-ES_tradnl"/>
        </w:rPr>
      </w:pPr>
      <w:r w:rsidRPr="008048DD">
        <w:rPr>
          <w:lang w:val="es-ES_tradnl"/>
        </w:rPr>
        <w:t xml:space="preserve">La segunda cuestión normativa es: ¿han </w:t>
      </w:r>
      <w:r w:rsidR="00D65093" w:rsidRPr="008048DD">
        <w:rPr>
          <w:lang w:val="es-ES_tradnl"/>
        </w:rPr>
        <w:t xml:space="preserve">propiciado </w:t>
      </w:r>
      <w:r w:rsidRPr="008048DD">
        <w:rPr>
          <w:lang w:val="es-ES_tradnl"/>
        </w:rPr>
        <w:t>esas me</w:t>
      </w:r>
      <w:r w:rsidR="00D65093" w:rsidRPr="008048DD">
        <w:rPr>
          <w:lang w:val="es-ES_tradnl"/>
        </w:rPr>
        <w:t>didas</w:t>
      </w:r>
      <w:r w:rsidRPr="008048DD">
        <w:rPr>
          <w:lang w:val="es-ES_tradnl"/>
        </w:rPr>
        <w:t xml:space="preserve"> cambios en </w:t>
      </w:r>
      <w:r w:rsidR="00E0374C" w:rsidRPr="008048DD">
        <w:rPr>
          <w:lang w:val="es-ES_tradnl"/>
        </w:rPr>
        <w:t>el suministro</w:t>
      </w:r>
      <w:r w:rsidRPr="008048DD">
        <w:rPr>
          <w:lang w:val="es-ES_tradnl"/>
        </w:rPr>
        <w:t xml:space="preserve">, el uso, las emisiones y las liberaciones de mercurio en el medio ambiente? Para responder a esa pregunta, el marco contiene un conjunto de indicadores de “resultados” que reflejan los cambios estimados en </w:t>
      </w:r>
      <w:r w:rsidR="00E0374C" w:rsidRPr="008048DD">
        <w:rPr>
          <w:lang w:val="es-ES_tradnl"/>
        </w:rPr>
        <w:t>el suministro</w:t>
      </w:r>
      <w:r w:rsidRPr="008048DD">
        <w:rPr>
          <w:lang w:val="es-ES_tradnl"/>
        </w:rPr>
        <w:t>, la demanda, las emisiones y liberaciones de mercurio gracias a las medidas previstas en el</w:t>
      </w:r>
      <w:r w:rsidR="008959AF" w:rsidRPr="008048DD">
        <w:rPr>
          <w:lang w:val="es-ES_tradnl"/>
        </w:rPr>
        <w:t> </w:t>
      </w:r>
      <w:r w:rsidRPr="008048DD">
        <w:rPr>
          <w:lang w:val="es-ES_tradnl"/>
        </w:rPr>
        <w:t>Convenio, según lo notificado por</w:t>
      </w:r>
      <w:r w:rsidR="0082452F" w:rsidRPr="008048DD">
        <w:rPr>
          <w:lang w:val="es-ES_tradnl"/>
        </w:rPr>
        <w:t xml:space="preserve"> las Partes con arreglo al Conv</w:t>
      </w:r>
      <w:r w:rsidRPr="008048DD">
        <w:rPr>
          <w:lang w:val="es-ES_tradnl"/>
        </w:rPr>
        <w:t xml:space="preserve">enio. Se ha recomendado complementar estos datos </w:t>
      </w:r>
      <w:r w:rsidR="00744534" w:rsidRPr="008048DD">
        <w:rPr>
          <w:lang w:val="es-ES_tradnl"/>
        </w:rPr>
        <w:t>con el contexto que proporcionan</w:t>
      </w:r>
      <w:r w:rsidRPr="008048DD">
        <w:rPr>
          <w:lang w:val="es-ES_tradnl"/>
        </w:rPr>
        <w:t xml:space="preserve"> la</w:t>
      </w:r>
      <w:r w:rsidR="0082452F" w:rsidRPr="008048DD">
        <w:rPr>
          <w:lang w:val="es-ES_tradnl"/>
        </w:rPr>
        <w:t>s estimaciones exhaustivas del</w:t>
      </w:r>
      <w:r w:rsidR="00E0374C" w:rsidRPr="008048DD">
        <w:rPr>
          <w:lang w:val="es-ES_tradnl"/>
        </w:rPr>
        <w:t xml:space="preserve"> suministro</w:t>
      </w:r>
      <w:r w:rsidRPr="008048DD">
        <w:rPr>
          <w:lang w:val="es-ES_tradnl"/>
        </w:rPr>
        <w:t>, la demanda, las emisiones y las liberaciones de mercurio a nivel mundial.</w:t>
      </w:r>
      <w:r w:rsidR="00B3310A" w:rsidRPr="008048DD">
        <w:rPr>
          <w:lang w:val="es-ES_tradnl"/>
        </w:rPr>
        <w:t xml:space="preserve"> </w:t>
      </w:r>
      <w:bookmarkStart w:id="7" w:name="_Hlk7431114"/>
    </w:p>
    <w:p w14:paraId="14C926D4"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La tercera cuestión normativa es: ¿han dado lugar esos cambios a cambios en los niveles de mercurio en el medio ambiente, los medios biótico</w:t>
      </w:r>
      <w:r w:rsidR="00744534" w:rsidRPr="008048DD">
        <w:rPr>
          <w:lang w:val="es-ES_tradnl"/>
        </w:rPr>
        <w:t>s y las poblaciones vulnerables</w:t>
      </w:r>
      <w:r w:rsidRPr="008048DD">
        <w:rPr>
          <w:lang w:val="es-ES_tradnl"/>
        </w:rPr>
        <w:t xml:space="preserve"> que puedan atribuirse al Convenio de Minamata?</w:t>
      </w:r>
      <w:r w:rsidR="00B3310A" w:rsidRPr="008048DD">
        <w:rPr>
          <w:lang w:val="es-ES_tradnl"/>
        </w:rPr>
        <w:t xml:space="preserve"> </w:t>
      </w:r>
      <w:r w:rsidRPr="008048DD">
        <w:rPr>
          <w:lang w:val="es-ES_tradnl"/>
        </w:rPr>
        <w:t>En el artículo 22 del Convenio se señala que los datos de vigilancia sobre “la presencia y los movimientos de mercurio y compuestos de mercurio en el medio ambiente, así como sobre las tendencias de los niveles de mercurio y compuestos de mercurio observados en los medios bióticos y las poblaciones vulnerables” deberían utilizarse en la evaluación de la eficacia. Es una tarea difícil, pero posible, la de atribuir los cambios en los niveles de mercurio en los seres humanos y el medio ambiente a las medidas previstas en el Convenio. Las emisiones pasadas y actuales procedentes de las actividades humanas se combinan con fuentes naturales y otros factores que afectan a los ciclos de mercurio, como son la atmósfera y las características de los ecosistemas, que pueden evolucionar (por ejemplo, debido al cambio climático)</w:t>
      </w:r>
      <w:r w:rsidR="00644988" w:rsidRPr="008048DD">
        <w:rPr>
          <w:lang w:val="es-ES_tradnl"/>
        </w:rPr>
        <w:t>.</w:t>
      </w:r>
      <w:r w:rsidRPr="008048DD">
        <w:rPr>
          <w:lang w:val="es-ES_tradnl"/>
        </w:rPr>
        <w:t xml:space="preserve"> El marco </w:t>
      </w:r>
      <w:r w:rsidR="00744534" w:rsidRPr="008048DD">
        <w:rPr>
          <w:lang w:val="es-ES_tradnl"/>
        </w:rPr>
        <w:t xml:space="preserve">describe </w:t>
      </w:r>
      <w:r w:rsidR="00644988" w:rsidRPr="008048DD">
        <w:rPr>
          <w:lang w:val="es-ES_tradnl"/>
        </w:rPr>
        <w:t>cómo</w:t>
      </w:r>
      <w:r w:rsidRPr="008048DD">
        <w:rPr>
          <w:lang w:val="es-ES_tradnl"/>
        </w:rPr>
        <w:t xml:space="preserve"> pueden utilizarse las mediciones de mercurio a nivel mundial para ayudar a </w:t>
      </w:r>
      <w:r w:rsidR="00744534" w:rsidRPr="008048DD">
        <w:rPr>
          <w:lang w:val="es-ES_tradnl"/>
        </w:rPr>
        <w:t xml:space="preserve">determinar cuán efectivas han sido </w:t>
      </w:r>
      <w:r w:rsidRPr="008048DD">
        <w:rPr>
          <w:lang w:val="es-ES_tradnl"/>
        </w:rPr>
        <w:t>las medidas adoptadas para aplicar el Convenio.</w:t>
      </w:r>
    </w:p>
    <w:p w14:paraId="03E36152"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complejo sistema de mediciones del mercurio a nivel mundial genera los niveles de mercurio </w:t>
      </w:r>
      <w:r w:rsidR="00744534" w:rsidRPr="008048DD">
        <w:rPr>
          <w:lang w:val="es-ES_tradnl"/>
        </w:rPr>
        <w:t xml:space="preserve">observados </w:t>
      </w:r>
      <w:r w:rsidRPr="008048DD">
        <w:rPr>
          <w:lang w:val="es-ES_tradnl"/>
        </w:rPr>
        <w:t xml:space="preserve">en el medio ambiente, los medios bióticos y las poblaciones vulnerables. </w:t>
      </w:r>
      <w:r w:rsidR="00644988" w:rsidRPr="008048DD">
        <w:rPr>
          <w:lang w:val="es-ES_tradnl"/>
        </w:rPr>
        <w:t>Siguen ampliándose l</w:t>
      </w:r>
      <w:r w:rsidRPr="008048DD">
        <w:rPr>
          <w:lang w:val="es-ES_tradnl"/>
        </w:rPr>
        <w:t>os conocimientos científicos necesarios para vincular directamente los niveles de mercurio observados a sus fuentes. Por lo tanto, se necesitan modelos integrados para estimar la manera en que los cambios en las emisiones y liberaciones procedentes de fuentes</w:t>
      </w:r>
      <w:r w:rsidR="00644988" w:rsidRPr="008048DD">
        <w:rPr>
          <w:lang w:val="es-ES_tradnl"/>
        </w:rPr>
        <w:t>,</w:t>
      </w:r>
      <w:r w:rsidRPr="008048DD">
        <w:rPr>
          <w:lang w:val="es-ES_tradnl"/>
        </w:rPr>
        <w:t xml:space="preserve"> a </w:t>
      </w:r>
      <w:r w:rsidR="00744534" w:rsidRPr="008048DD">
        <w:rPr>
          <w:lang w:val="es-ES_tradnl"/>
        </w:rPr>
        <w:t xml:space="preserve">los </w:t>
      </w:r>
      <w:r w:rsidRPr="008048DD">
        <w:rPr>
          <w:lang w:val="es-ES_tradnl"/>
        </w:rPr>
        <w:t xml:space="preserve">que se </w:t>
      </w:r>
      <w:r w:rsidR="00744534" w:rsidRPr="008048DD">
        <w:rPr>
          <w:lang w:val="es-ES_tradnl"/>
        </w:rPr>
        <w:t>hace referencia en</w:t>
      </w:r>
      <w:r w:rsidRPr="008048DD">
        <w:rPr>
          <w:lang w:val="es-ES_tradnl"/>
        </w:rPr>
        <w:t xml:space="preserve"> </w:t>
      </w:r>
      <w:r w:rsidR="00644988" w:rsidRPr="008048DD">
        <w:rPr>
          <w:lang w:val="es-ES_tradnl"/>
        </w:rPr>
        <w:t>el</w:t>
      </w:r>
      <w:r w:rsidRPr="008048DD">
        <w:rPr>
          <w:lang w:val="es-ES_tradnl"/>
        </w:rPr>
        <w:t xml:space="preserve"> Conven</w:t>
      </w:r>
      <w:r w:rsidR="00644988" w:rsidRPr="008048DD">
        <w:rPr>
          <w:lang w:val="es-ES_tradnl"/>
        </w:rPr>
        <w:t>io,</w:t>
      </w:r>
      <w:r w:rsidRPr="008048DD">
        <w:rPr>
          <w:lang w:val="es-ES_tradnl"/>
        </w:rPr>
        <w:t xml:space="preserve"> contribuyen a modificar los niveles observados en estos receptores. El perfeccionamiento continuo y la validación de esos modelos requieren tanto de datos de vigilancia como del conocimiento científico de los procesos ambientales, y ayudarán a atribuir los cambios en los niveles de mercurio en el medio ambiente a los cambios en las emisiones y liberaciones de mercurio.</w:t>
      </w:r>
    </w:p>
    <w:bookmarkEnd w:id="7"/>
    <w:p w14:paraId="45193326" w14:textId="34950C3E" w:rsidR="00B1107F" w:rsidRPr="008048DD" w:rsidRDefault="00587B40" w:rsidP="00362646">
      <w:pPr>
        <w:pStyle w:val="Normalnumber"/>
        <w:numPr>
          <w:ilvl w:val="0"/>
          <w:numId w:val="40"/>
        </w:numPr>
        <w:tabs>
          <w:tab w:val="clear" w:pos="1057"/>
        </w:tabs>
        <w:ind w:left="1247"/>
        <w:rPr>
          <w:lang w:val="es-ES_tradnl"/>
        </w:rPr>
      </w:pPr>
      <w:r w:rsidRPr="008048DD">
        <w:rPr>
          <w:lang w:val="es-ES_tradnl"/>
        </w:rPr>
        <w:t>La cuarta cuestión normativa es: ¿hasta qué punto las medidas existentes con arreglo al Convenio de Minamata logran el objetivo de proteger</w:t>
      </w:r>
      <w:r w:rsidR="00D65093" w:rsidRPr="008048DD">
        <w:rPr>
          <w:lang w:val="es-ES_tradnl"/>
        </w:rPr>
        <w:t xml:space="preserve"> del mercurio a</w:t>
      </w:r>
      <w:r w:rsidRPr="008048DD">
        <w:rPr>
          <w:lang w:val="es-ES_tradnl"/>
        </w:rPr>
        <w:t xml:space="preserve"> la salud humana y </w:t>
      </w:r>
      <w:r w:rsidR="00D65093" w:rsidRPr="008048DD">
        <w:rPr>
          <w:lang w:val="es-ES_tradnl"/>
        </w:rPr>
        <w:t>a</w:t>
      </w:r>
      <w:r w:rsidRPr="008048DD">
        <w:rPr>
          <w:lang w:val="es-ES_tradnl"/>
        </w:rPr>
        <w:t>l medio ambiente? La respuesta a la tercera pregunta indicará en qué medida el Convenio está influyendo en los niveles y las tendencias del mercurio en el medio ambiente, los medios bióticos y las poblaciones vulnerables. La cuarta pregunta considera hasta qué punto las medidas previstas en el Convenio logran el objetivo de proteger</w:t>
      </w:r>
      <w:r w:rsidR="00D65093" w:rsidRPr="008048DD">
        <w:rPr>
          <w:lang w:val="es-ES_tradnl"/>
        </w:rPr>
        <w:t xml:space="preserve"> del mercurio a</w:t>
      </w:r>
      <w:r w:rsidRPr="008048DD">
        <w:rPr>
          <w:lang w:val="es-ES_tradnl"/>
        </w:rPr>
        <w:t xml:space="preserve"> la salud humana y </w:t>
      </w:r>
      <w:r w:rsidR="00D65093" w:rsidRPr="008048DD">
        <w:rPr>
          <w:lang w:val="es-ES_tradnl"/>
        </w:rPr>
        <w:t>a</w:t>
      </w:r>
      <w:r w:rsidRPr="008048DD">
        <w:rPr>
          <w:lang w:val="es-ES_tradnl"/>
        </w:rPr>
        <w:t xml:space="preserve">l medio ambiente. </w:t>
      </w:r>
      <w:r w:rsidR="00644988" w:rsidRPr="008048DD">
        <w:rPr>
          <w:lang w:val="es-ES_tradnl"/>
        </w:rPr>
        <w:t xml:space="preserve">¿Está el Convenio desplegando su pleno potencial para reducir </w:t>
      </w:r>
      <w:r w:rsidR="00E0374C" w:rsidRPr="008048DD">
        <w:rPr>
          <w:lang w:val="es-ES_tradnl"/>
        </w:rPr>
        <w:t>el suministro</w:t>
      </w:r>
      <w:r w:rsidR="00644988" w:rsidRPr="008048DD">
        <w:rPr>
          <w:lang w:val="es-ES_tradnl"/>
        </w:rPr>
        <w:t xml:space="preserve">, el uso, las emisiones y </w:t>
      </w:r>
      <w:r w:rsidR="00D65093" w:rsidRPr="008048DD">
        <w:rPr>
          <w:lang w:val="es-ES_tradnl"/>
        </w:rPr>
        <w:t xml:space="preserve">las </w:t>
      </w:r>
      <w:r w:rsidR="00644988" w:rsidRPr="008048DD">
        <w:rPr>
          <w:lang w:val="es-ES_tradnl"/>
        </w:rPr>
        <w:t>liberaciones de mercurio</w:t>
      </w:r>
      <w:r w:rsidRPr="008048DD">
        <w:rPr>
          <w:lang w:val="es-ES_tradnl"/>
        </w:rPr>
        <w:t>?</w:t>
      </w:r>
      <w:r w:rsidR="00B3310A" w:rsidRPr="008048DD">
        <w:rPr>
          <w:lang w:val="es-ES_tradnl"/>
        </w:rPr>
        <w:t xml:space="preserve"> </w:t>
      </w:r>
      <w:r w:rsidRPr="008048DD">
        <w:rPr>
          <w:lang w:val="es-ES_tradnl"/>
        </w:rPr>
        <w:t>De no ser así, ¿por qué no? ¿</w:t>
      </w:r>
      <w:r w:rsidR="00644988" w:rsidRPr="008048DD">
        <w:rPr>
          <w:lang w:val="es-ES_tradnl"/>
        </w:rPr>
        <w:t>Impediría e</w:t>
      </w:r>
      <w:r w:rsidR="009F2AE4" w:rsidRPr="008048DD">
        <w:rPr>
          <w:lang w:val="es-ES_tradnl"/>
        </w:rPr>
        <w:t>se</w:t>
      </w:r>
      <w:r w:rsidR="00644988" w:rsidRPr="008048DD">
        <w:rPr>
          <w:lang w:val="es-ES_tradnl"/>
        </w:rPr>
        <w:t xml:space="preserve"> despliegue de</w:t>
      </w:r>
      <w:r w:rsidR="009F2AE4" w:rsidRPr="008048DD">
        <w:rPr>
          <w:lang w:val="es-ES_tradnl"/>
        </w:rPr>
        <w:t>l</w:t>
      </w:r>
      <w:r w:rsidR="00644988" w:rsidRPr="008048DD">
        <w:rPr>
          <w:lang w:val="es-ES_tradnl"/>
        </w:rPr>
        <w:t xml:space="preserve"> pleno potencial la mayoría de las</w:t>
      </w:r>
      <w:r w:rsidR="00B83939">
        <w:rPr>
          <w:lang w:val="es-ES_tradnl"/>
        </w:rPr>
        <w:t> </w:t>
      </w:r>
      <w:r w:rsidR="00644988" w:rsidRPr="008048DD">
        <w:rPr>
          <w:lang w:val="es-ES_tradnl"/>
        </w:rPr>
        <w:t xml:space="preserve">emisiones </w:t>
      </w:r>
      <w:r w:rsidRPr="008048DD">
        <w:rPr>
          <w:lang w:val="es-ES_tradnl"/>
        </w:rPr>
        <w:t>y liberaciones antropógenas de mercurio, o solo una pequeña parte?</w:t>
      </w:r>
      <w:r w:rsidR="00B3310A" w:rsidRPr="008048DD">
        <w:rPr>
          <w:lang w:val="es-ES_tradnl"/>
        </w:rPr>
        <w:t xml:space="preserve"> </w:t>
      </w:r>
      <w:r w:rsidRPr="008048DD">
        <w:rPr>
          <w:lang w:val="es-ES_tradnl"/>
        </w:rPr>
        <w:t xml:space="preserve">Además, </w:t>
      </w:r>
      <w:r w:rsidR="00D65093" w:rsidRPr="008048DD">
        <w:rPr>
          <w:lang w:val="es-ES_tradnl"/>
        </w:rPr>
        <w:t xml:space="preserve">al buscar solución a la exposición de las personas al mercurio, </w:t>
      </w:r>
      <w:r w:rsidR="00507230" w:rsidRPr="008048DD">
        <w:rPr>
          <w:lang w:val="es-ES_tradnl"/>
        </w:rPr>
        <w:t>¿</w:t>
      </w:r>
      <w:r w:rsidRPr="008048DD">
        <w:rPr>
          <w:lang w:val="es-ES_tradnl"/>
        </w:rPr>
        <w:t xml:space="preserve">se </w:t>
      </w:r>
      <w:r w:rsidR="009F2AE4" w:rsidRPr="008048DD">
        <w:rPr>
          <w:lang w:val="es-ES_tradnl"/>
        </w:rPr>
        <w:t xml:space="preserve">han establecido </w:t>
      </w:r>
      <w:r w:rsidRPr="008048DD">
        <w:rPr>
          <w:lang w:val="es-ES_tradnl"/>
        </w:rPr>
        <w:t xml:space="preserve">medidas para </w:t>
      </w:r>
      <w:r w:rsidR="009F2AE4" w:rsidRPr="008048DD">
        <w:rPr>
          <w:lang w:val="es-ES_tradnl"/>
        </w:rPr>
        <w:t xml:space="preserve">la </w:t>
      </w:r>
      <w:r w:rsidRPr="008048DD">
        <w:rPr>
          <w:lang w:val="es-ES_tradnl"/>
        </w:rPr>
        <w:t>gesti</w:t>
      </w:r>
      <w:r w:rsidR="009F2AE4" w:rsidRPr="008048DD">
        <w:rPr>
          <w:lang w:val="es-ES_tradnl"/>
        </w:rPr>
        <w:t>ó</w:t>
      </w:r>
      <w:r w:rsidRPr="008048DD">
        <w:rPr>
          <w:lang w:val="es-ES_tradnl"/>
        </w:rPr>
        <w:t xml:space="preserve">n </w:t>
      </w:r>
      <w:r w:rsidR="009F2AE4" w:rsidRPr="008048DD">
        <w:rPr>
          <w:lang w:val="es-ES_tradnl"/>
        </w:rPr>
        <w:t>d</w:t>
      </w:r>
      <w:r w:rsidRPr="008048DD">
        <w:rPr>
          <w:lang w:val="es-ES_tradnl"/>
        </w:rPr>
        <w:t xml:space="preserve">el riesgo residual? </w:t>
      </w:r>
    </w:p>
    <w:p w14:paraId="72CC00A8" w14:textId="756BEC4F" w:rsidR="00B1107F" w:rsidRPr="008048DD" w:rsidRDefault="006531FE" w:rsidP="00B66A03">
      <w:pPr>
        <w:pStyle w:val="CH2"/>
        <w:rPr>
          <w:lang w:val="es-ES_tradnl"/>
        </w:rPr>
      </w:pPr>
      <w:r w:rsidRPr="008048DD">
        <w:rPr>
          <w:lang w:val="es-ES_tradnl"/>
        </w:rPr>
        <w:tab/>
      </w:r>
      <w:r w:rsidR="00B66A03" w:rsidRPr="008048DD">
        <w:rPr>
          <w:lang w:val="es-ES_tradnl"/>
        </w:rPr>
        <w:t>B.</w:t>
      </w:r>
      <w:r w:rsidR="00B66A03" w:rsidRPr="008048DD">
        <w:rPr>
          <w:lang w:val="es-ES_tradnl"/>
        </w:rPr>
        <w:tab/>
      </w:r>
      <w:r w:rsidR="00B66A03" w:rsidRPr="008048DD">
        <w:rPr>
          <w:bCs/>
          <w:lang w:val="es-ES_tradnl"/>
        </w:rPr>
        <w:t xml:space="preserve">Síntesis propuesta por los expertos para su examen por el </w:t>
      </w:r>
      <w:r w:rsidR="003347C5" w:rsidRPr="008048DD">
        <w:rPr>
          <w:bCs/>
          <w:lang w:val="es-ES_tradnl"/>
        </w:rPr>
        <w:t>Comité de Evaluación de la E</w:t>
      </w:r>
      <w:r w:rsidR="00E006FC" w:rsidRPr="008048DD">
        <w:rPr>
          <w:bCs/>
          <w:lang w:val="es-ES_tradnl"/>
        </w:rPr>
        <w:t>ficacia</w:t>
      </w:r>
    </w:p>
    <w:p w14:paraId="174234A7" w14:textId="0B111F7F" w:rsidR="00B1107F" w:rsidRPr="008048DD" w:rsidRDefault="001D6692" w:rsidP="00362646">
      <w:pPr>
        <w:pStyle w:val="Normalnumber"/>
        <w:numPr>
          <w:ilvl w:val="0"/>
          <w:numId w:val="40"/>
        </w:numPr>
        <w:tabs>
          <w:tab w:val="clear" w:pos="1057"/>
        </w:tabs>
        <w:ind w:left="1247"/>
        <w:rPr>
          <w:lang w:val="es-ES_tradnl"/>
        </w:rPr>
      </w:pPr>
      <w:r w:rsidRPr="008048DD">
        <w:rPr>
          <w:lang w:val="es-ES_tradnl"/>
        </w:rPr>
        <w:t>En el marco propuesto se prevé la sintetización de la información y los conocimientos en informes de síntesis que ofrezcan una perspectiva científica y técnica de las primeras tres cuestiones normativas explicadas en otros párrafos</w:t>
      </w:r>
      <w:r w:rsidR="00557273" w:rsidRPr="008048DD">
        <w:rPr>
          <w:lang w:val="es-ES_tradnl"/>
        </w:rPr>
        <w:t>,</w:t>
      </w:r>
      <w:r w:rsidR="00B1107F" w:rsidRPr="008048DD">
        <w:rPr>
          <w:lang w:val="es-ES_tradnl"/>
        </w:rPr>
        <w:t xml:space="preserve"> </w:t>
      </w:r>
      <w:r w:rsidRPr="008048DD">
        <w:rPr>
          <w:lang w:val="es-ES_tradnl"/>
        </w:rPr>
        <w:t xml:space="preserve">para su examen por el </w:t>
      </w:r>
      <w:r w:rsidR="003347C5" w:rsidRPr="008048DD">
        <w:rPr>
          <w:lang w:val="es-ES_tradnl"/>
        </w:rPr>
        <w:t>Comité de Evaluación de la E</w:t>
      </w:r>
      <w:r w:rsidR="00E006FC" w:rsidRPr="008048DD">
        <w:rPr>
          <w:lang w:val="es-ES_tradnl"/>
        </w:rPr>
        <w:t>ficacia</w:t>
      </w:r>
      <w:r w:rsidR="00B1107F" w:rsidRPr="008048DD">
        <w:rPr>
          <w:lang w:val="es-ES_tradnl"/>
        </w:rPr>
        <w:t>.</w:t>
      </w:r>
      <w:r w:rsidR="00B3310A" w:rsidRPr="008048DD">
        <w:rPr>
          <w:lang w:val="es-ES_tradnl"/>
        </w:rPr>
        <w:t xml:space="preserve"> </w:t>
      </w:r>
      <w:r w:rsidRPr="008048DD">
        <w:rPr>
          <w:lang w:val="es-ES_tradnl"/>
        </w:rPr>
        <w:t>Cuando se disponga de modelos e instrumentos para la atribución, se elaborará un informe sobre la atribución que ofrezca una perspectiva científica y técnica de las cuatro cuestiones normativas</w:t>
      </w:r>
      <w:r w:rsidR="00B1107F" w:rsidRPr="008048DD">
        <w:rPr>
          <w:lang w:val="es-ES_tradnl"/>
        </w:rPr>
        <w:t xml:space="preserve">. </w:t>
      </w:r>
      <w:r w:rsidRPr="008048DD">
        <w:rPr>
          <w:lang w:val="es-ES_tradnl"/>
        </w:rPr>
        <w:t>El informe sobre la atribución interpretaría los vínculos entre las medidas normativas, las reducciones de las emisiones y los niveles de mercurio resultantes</w:t>
      </w:r>
      <w:r w:rsidR="00B1107F" w:rsidRPr="008048DD">
        <w:rPr>
          <w:lang w:val="es-ES_tradnl"/>
        </w:rPr>
        <w:t>,</w:t>
      </w:r>
      <w:r w:rsidRPr="008048DD">
        <w:rPr>
          <w:lang w:val="es-ES_tradnl"/>
        </w:rPr>
        <w:t xml:space="preserve"> </w:t>
      </w:r>
      <w:r w:rsidR="00E43F17" w:rsidRPr="008048DD">
        <w:rPr>
          <w:lang w:val="es-ES_tradnl"/>
        </w:rPr>
        <w:t>valiéndose de</w:t>
      </w:r>
      <w:r w:rsidRPr="008048DD">
        <w:rPr>
          <w:lang w:val="es-ES_tradnl"/>
        </w:rPr>
        <w:t xml:space="preserve"> las fuentes de datos disponibles, las técnicas de modelización, los instrumentos analíticos que aportan las ciencias naturales y sociales y otros conocimientos que vengan al caso</w:t>
      </w:r>
      <w:r w:rsidR="00B1107F" w:rsidRPr="008048DD">
        <w:rPr>
          <w:lang w:val="es-ES_tradnl"/>
        </w:rPr>
        <w:t xml:space="preserve">. </w:t>
      </w:r>
    </w:p>
    <w:p w14:paraId="61EABBD0" w14:textId="4C4679C9" w:rsidR="00B1107F" w:rsidRPr="008048DD" w:rsidRDefault="001D6692" w:rsidP="00362646">
      <w:pPr>
        <w:pStyle w:val="Normalnumber"/>
        <w:numPr>
          <w:ilvl w:val="0"/>
          <w:numId w:val="40"/>
        </w:numPr>
        <w:tabs>
          <w:tab w:val="clear" w:pos="1057"/>
        </w:tabs>
        <w:ind w:left="1247"/>
        <w:rPr>
          <w:lang w:val="es-ES_tradnl"/>
        </w:rPr>
      </w:pPr>
      <w:r w:rsidRPr="008048DD">
        <w:rPr>
          <w:lang w:val="es-ES_tradnl"/>
        </w:rPr>
        <w:t>Todavía la ciencia no ha podido crear modelos integrados fiables para el pronóstico de los cambios a largo plazo en los niveles de mercurio resultantes de la reducción de las emisiones</w:t>
      </w:r>
      <w:r w:rsidR="00E43F17" w:rsidRPr="008048DD">
        <w:rPr>
          <w:lang w:val="es-ES_tradnl"/>
        </w:rPr>
        <w:t>,</w:t>
      </w:r>
      <w:r w:rsidRPr="008048DD">
        <w:rPr>
          <w:lang w:val="es-ES_tradnl"/>
        </w:rPr>
        <w:t xml:space="preserve"> que tengan plenamente en cuenta las complejidades del mercurio en el medio ambiente</w:t>
      </w:r>
      <w:r w:rsidR="00B1107F" w:rsidRPr="008048DD">
        <w:rPr>
          <w:lang w:val="es-ES_tradnl"/>
        </w:rPr>
        <w:t xml:space="preserve">. </w:t>
      </w:r>
      <w:r w:rsidR="00E43F17" w:rsidRPr="008048DD">
        <w:rPr>
          <w:lang w:val="es-ES_tradnl"/>
        </w:rPr>
        <w:t xml:space="preserve">A menos que </w:t>
      </w:r>
      <w:r w:rsidRPr="008048DD">
        <w:rPr>
          <w:lang w:val="es-ES_tradnl"/>
        </w:rPr>
        <w:t xml:space="preserve">se disponga de modelos </w:t>
      </w:r>
      <w:r w:rsidR="00E43F17" w:rsidRPr="008048DD">
        <w:rPr>
          <w:lang w:val="es-ES_tradnl"/>
        </w:rPr>
        <w:t xml:space="preserve">multimedia </w:t>
      </w:r>
      <w:r w:rsidR="009074CE" w:rsidRPr="008048DD">
        <w:rPr>
          <w:lang w:val="es-ES_tradnl"/>
        </w:rPr>
        <w:t>idóneos</w:t>
      </w:r>
      <w:r w:rsidR="00E43F17" w:rsidRPr="008048DD">
        <w:rPr>
          <w:lang w:val="es-ES_tradnl"/>
        </w:rPr>
        <w:t xml:space="preserve"> y</w:t>
      </w:r>
      <w:r w:rsidR="009074CE" w:rsidRPr="008048DD">
        <w:rPr>
          <w:lang w:val="es-ES_tradnl"/>
        </w:rPr>
        <w:t xml:space="preserve"> confirmados, </w:t>
      </w:r>
      <w:r w:rsidR="00E43F17" w:rsidRPr="008048DD">
        <w:rPr>
          <w:lang w:val="es-ES_tradnl"/>
        </w:rPr>
        <w:t xml:space="preserve">posiblemente </w:t>
      </w:r>
      <w:r w:rsidR="009074CE" w:rsidRPr="008048DD">
        <w:rPr>
          <w:lang w:val="es-ES_tradnl"/>
        </w:rPr>
        <w:t>el informe sobre la atribución no esté listo para la primera evaluación de la eficacia</w:t>
      </w:r>
      <w:r w:rsidR="003347C5" w:rsidRPr="008048DD">
        <w:rPr>
          <w:lang w:val="es-ES_tradnl"/>
        </w:rPr>
        <w:t>,</w:t>
      </w:r>
      <w:r w:rsidR="009074CE" w:rsidRPr="008048DD">
        <w:rPr>
          <w:lang w:val="es-ES_tradnl"/>
        </w:rPr>
        <w:t xml:space="preserve"> pero lo estará para las siguientes</w:t>
      </w:r>
      <w:r w:rsidR="00B1107F" w:rsidRPr="008048DD">
        <w:rPr>
          <w:lang w:val="es-ES_tradnl"/>
        </w:rPr>
        <w:t xml:space="preserve">. </w:t>
      </w:r>
      <w:r w:rsidR="009074CE" w:rsidRPr="008048DD">
        <w:rPr>
          <w:lang w:val="es-ES_tradnl"/>
        </w:rPr>
        <w:t>Por lo tanto,</w:t>
      </w:r>
      <w:r w:rsidR="00B1107F" w:rsidRPr="008048DD">
        <w:rPr>
          <w:lang w:val="es-ES_tradnl"/>
        </w:rPr>
        <w:t xml:space="preserve"> </w:t>
      </w:r>
      <w:r w:rsidR="009074CE" w:rsidRPr="008048DD">
        <w:rPr>
          <w:lang w:val="es-ES_tradnl"/>
        </w:rPr>
        <w:t xml:space="preserve">se debería tomar nota de que </w:t>
      </w:r>
      <w:r w:rsidR="00E43F17" w:rsidRPr="008048DD">
        <w:rPr>
          <w:lang w:val="es-ES_tradnl"/>
        </w:rPr>
        <w:t xml:space="preserve">en </w:t>
      </w:r>
      <w:r w:rsidR="009074CE" w:rsidRPr="008048DD">
        <w:rPr>
          <w:lang w:val="es-ES_tradnl"/>
        </w:rPr>
        <w:t>las primeras evaluaciones de la eficacia del Convenio de Minamata</w:t>
      </w:r>
      <w:r w:rsidR="00B1107F" w:rsidRPr="008048DD">
        <w:rPr>
          <w:lang w:val="es-ES_tradnl"/>
        </w:rPr>
        <w:t xml:space="preserve"> </w:t>
      </w:r>
      <w:r w:rsidR="00E43F17" w:rsidRPr="008048DD">
        <w:rPr>
          <w:lang w:val="es-ES_tradnl"/>
        </w:rPr>
        <w:t xml:space="preserve">probablemente haya más incertidumbres que en </w:t>
      </w:r>
      <w:r w:rsidR="009074CE" w:rsidRPr="008048DD">
        <w:rPr>
          <w:lang w:val="es-ES_tradnl"/>
        </w:rPr>
        <w:t xml:space="preserve">las que se realicen tan pronto se hayan introducido mejoras en </w:t>
      </w:r>
      <w:r w:rsidR="00507230" w:rsidRPr="008048DD">
        <w:rPr>
          <w:lang w:val="es-ES_tradnl"/>
        </w:rPr>
        <w:t>esos</w:t>
      </w:r>
      <w:r w:rsidR="009074CE" w:rsidRPr="008048DD">
        <w:rPr>
          <w:lang w:val="es-ES_tradnl"/>
        </w:rPr>
        <w:t xml:space="preserve"> modelos de pronóstico</w:t>
      </w:r>
      <w:r w:rsidR="00B1107F" w:rsidRPr="008048DD">
        <w:rPr>
          <w:lang w:val="es-ES_tradnl"/>
        </w:rPr>
        <w:t>.</w:t>
      </w:r>
    </w:p>
    <w:p w14:paraId="05340FE7" w14:textId="156074F6"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w:t>
      </w:r>
      <w:r w:rsidR="003347C5" w:rsidRPr="008048DD">
        <w:rPr>
          <w:lang w:val="es-ES_tradnl"/>
        </w:rPr>
        <w:t>Comité de Evaluación de la E</w:t>
      </w:r>
      <w:r w:rsidR="00E006FC" w:rsidRPr="008048DD">
        <w:rPr>
          <w:lang w:val="es-ES_tradnl"/>
        </w:rPr>
        <w:t>ficacia</w:t>
      </w:r>
      <w:r w:rsidRPr="008048DD">
        <w:rPr>
          <w:lang w:val="es-ES_tradnl"/>
        </w:rPr>
        <w:t xml:space="preserve"> utilizará los informes de síntesis (y, cuando esté disponible, el informe sobre la atribución) para dar respuesta a las cuatro cuestiones normativas y utilizará un enfoque integrador para preparar sus conclusiones sobre la eficacia del Convenio, que se presentaría</w:t>
      </w:r>
      <w:r w:rsidR="00E43F17" w:rsidRPr="008048DD">
        <w:rPr>
          <w:lang w:val="es-ES_tradnl"/>
        </w:rPr>
        <w:t>n</w:t>
      </w:r>
      <w:r w:rsidRPr="008048DD">
        <w:rPr>
          <w:lang w:val="es-ES_tradnl"/>
        </w:rPr>
        <w:t xml:space="preserve"> a la Conferencia de las Partes. </w:t>
      </w:r>
    </w:p>
    <w:p w14:paraId="3952D5A1" w14:textId="5C4AD8CE" w:rsidR="00B1107F" w:rsidRDefault="00B1107F" w:rsidP="00362646">
      <w:pPr>
        <w:pStyle w:val="Normalnumber"/>
        <w:numPr>
          <w:ilvl w:val="0"/>
          <w:numId w:val="40"/>
        </w:numPr>
        <w:tabs>
          <w:tab w:val="clear" w:pos="1057"/>
        </w:tabs>
        <w:ind w:left="1247"/>
        <w:rPr>
          <w:lang w:val="es-ES_tradnl"/>
        </w:rPr>
      </w:pPr>
      <w:r w:rsidRPr="008048DD">
        <w:rPr>
          <w:lang w:val="es-ES_tradnl"/>
        </w:rPr>
        <w:t>En el cuadro 1 se ofrece una sinopsis del marco de evaluación de la eficacia, desde las cuatro cuestiones normativas antes mencionadas hasta los indicadores propuestos para la evaluación, los informes requeridos y el informe sobre la atribución que se preparará para su examen por</w:t>
      </w:r>
      <w:r w:rsidR="003347C5" w:rsidRPr="008048DD">
        <w:rPr>
          <w:lang w:val="es-ES_tradnl"/>
        </w:rPr>
        <w:t xml:space="preserve"> el Comité de Evaluación de la E</w:t>
      </w:r>
      <w:r w:rsidRPr="008048DD">
        <w:rPr>
          <w:lang w:val="es-ES_tradnl"/>
        </w:rPr>
        <w:t>ficacia y su informe a la Conferencia de las Partes. Los elementos que constituyen el marco se explican en detalle en la sección II.</w:t>
      </w:r>
      <w:r w:rsidR="00B3310A" w:rsidRPr="008048DD">
        <w:rPr>
          <w:lang w:val="es-ES_tradnl"/>
        </w:rPr>
        <w:t xml:space="preserve"> </w:t>
      </w:r>
    </w:p>
    <w:p w14:paraId="31719BEE" w14:textId="77777777" w:rsidR="000D3019" w:rsidRDefault="000D3019" w:rsidP="000D3019">
      <w:pPr>
        <w:pStyle w:val="Normalnumber"/>
        <w:ind w:left="1247"/>
        <w:rPr>
          <w:lang w:val="es-ES_tradnl"/>
        </w:rPr>
        <w:sectPr w:rsidR="000D3019" w:rsidSect="00AA041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nextColumn"/>
          <w:pgSz w:w="11907" w:h="16840" w:code="9"/>
          <w:pgMar w:top="907" w:right="992" w:bottom="1559" w:left="1418" w:header="539" w:footer="975" w:gutter="0"/>
          <w:cols w:space="708"/>
          <w:titlePg/>
          <w:docGrid w:linePitch="360"/>
        </w:sectPr>
      </w:pPr>
    </w:p>
    <w:p w14:paraId="30090836" w14:textId="79AB1666" w:rsidR="00952BA1" w:rsidRPr="00B83939" w:rsidRDefault="00C56501" w:rsidP="005D2CBB">
      <w:pPr>
        <w:pStyle w:val="Caption"/>
        <w:tabs>
          <w:tab w:val="clear" w:pos="1247"/>
          <w:tab w:val="clear" w:pos="1814"/>
          <w:tab w:val="clear" w:pos="2381"/>
          <w:tab w:val="clear" w:pos="2948"/>
          <w:tab w:val="clear" w:pos="3515"/>
        </w:tabs>
        <w:spacing w:after="60"/>
        <w:rPr>
          <w:b/>
          <w:bCs/>
          <w:i w:val="0"/>
          <w:iCs w:val="0"/>
          <w:color w:val="auto"/>
          <w:sz w:val="20"/>
          <w:szCs w:val="20"/>
        </w:rPr>
      </w:pPr>
      <w:r w:rsidRPr="00B83939">
        <w:rPr>
          <w:bCs/>
          <w:i w:val="0"/>
          <w:iCs w:val="0"/>
          <w:color w:val="auto"/>
          <w:sz w:val="20"/>
          <w:szCs w:val="20"/>
        </w:rPr>
        <w:t>Cuadro 1</w:t>
      </w:r>
      <w:r w:rsidR="005D2CBB" w:rsidRPr="00B83939">
        <w:rPr>
          <w:bCs/>
          <w:i w:val="0"/>
          <w:iCs w:val="0"/>
          <w:color w:val="auto"/>
          <w:sz w:val="20"/>
          <w:szCs w:val="20"/>
        </w:rPr>
        <w:br/>
      </w:r>
      <w:r w:rsidR="00556C20" w:rsidRPr="00B83939">
        <w:rPr>
          <w:b/>
          <w:bCs/>
          <w:i w:val="0"/>
          <w:color w:val="auto"/>
          <w:sz w:val="20"/>
          <w:szCs w:val="20"/>
        </w:rPr>
        <w:t xml:space="preserve">Marco de evaluación de la eficacia, de las cuestiones normativas y los indicadores hasta los informes que ha de presentar el </w:t>
      </w:r>
      <w:r w:rsidR="003347C5" w:rsidRPr="00B83939">
        <w:rPr>
          <w:b/>
          <w:bCs/>
          <w:i w:val="0"/>
          <w:color w:val="auto"/>
          <w:sz w:val="20"/>
          <w:szCs w:val="20"/>
        </w:rPr>
        <w:t>Comité de Evaluación de la E</w:t>
      </w:r>
      <w:r w:rsidR="00E006FC" w:rsidRPr="00B83939">
        <w:rPr>
          <w:b/>
          <w:bCs/>
          <w:i w:val="0"/>
          <w:color w:val="auto"/>
          <w:sz w:val="20"/>
          <w:szCs w:val="20"/>
        </w:rPr>
        <w:t>ficacia</w:t>
      </w:r>
    </w:p>
    <w:tbl>
      <w:tblPr>
        <w:tblStyle w:val="TableGrid"/>
        <w:tblW w:w="5000" w:type="pct"/>
        <w:jc w:val="right"/>
        <w:tblLayout w:type="fixed"/>
        <w:tblLook w:val="04A0" w:firstRow="1" w:lastRow="0" w:firstColumn="1" w:lastColumn="0" w:noHBand="0" w:noVBand="1"/>
      </w:tblPr>
      <w:tblGrid>
        <w:gridCol w:w="1565"/>
        <w:gridCol w:w="941"/>
        <w:gridCol w:w="2340"/>
        <w:gridCol w:w="3152"/>
        <w:gridCol w:w="622"/>
        <w:gridCol w:w="2352"/>
        <w:gridCol w:w="3448"/>
      </w:tblGrid>
      <w:tr w:rsidR="00B1107F" w:rsidRPr="008048DD" w14:paraId="40B4E756" w14:textId="77777777" w:rsidTr="00576B21">
        <w:trPr>
          <w:trHeight w:val="57"/>
          <w:jc w:val="right"/>
        </w:trPr>
        <w:tc>
          <w:tcPr>
            <w:tcW w:w="1430" w:type="dxa"/>
            <w:shd w:val="clear" w:color="auto" w:fill="B8CCE4" w:themeFill="accent1" w:themeFillTint="66"/>
          </w:tcPr>
          <w:p w14:paraId="658CC706" w14:textId="77777777" w:rsidR="00B1107F" w:rsidRPr="008048DD" w:rsidRDefault="00B1107F" w:rsidP="00EE7D24">
            <w:pPr>
              <w:rPr>
                <w:b/>
                <w:spacing w:val="-4"/>
                <w:sz w:val="18"/>
                <w:szCs w:val="18"/>
              </w:rPr>
            </w:pPr>
            <w:r w:rsidRPr="008048DD">
              <w:rPr>
                <w:b/>
                <w:bCs/>
                <w:spacing w:val="-4"/>
                <w:sz w:val="18"/>
                <w:szCs w:val="18"/>
              </w:rPr>
              <w:t>Cuestiones normativas</w:t>
            </w:r>
          </w:p>
        </w:tc>
        <w:tc>
          <w:tcPr>
            <w:tcW w:w="2998" w:type="dxa"/>
            <w:gridSpan w:val="2"/>
            <w:shd w:val="clear" w:color="auto" w:fill="FFFFFF" w:themeFill="background1"/>
          </w:tcPr>
          <w:p w14:paraId="64BC0EFD" w14:textId="77777777" w:rsidR="00B1107F" w:rsidRPr="008048DD" w:rsidRDefault="00D44B4A" w:rsidP="00EE7D24">
            <w:pPr>
              <w:rPr>
                <w:bCs/>
                <w:spacing w:val="-4"/>
                <w:sz w:val="18"/>
                <w:szCs w:val="18"/>
              </w:rPr>
            </w:pPr>
            <w:r w:rsidRPr="008048DD">
              <w:rPr>
                <w:spacing w:val="-4"/>
                <w:sz w:val="18"/>
                <w:szCs w:val="18"/>
              </w:rPr>
              <w:t>1. ¿Han adoptado las Partes medidas para aplicar el Convenio de Minamata?</w:t>
            </w:r>
          </w:p>
        </w:tc>
        <w:tc>
          <w:tcPr>
            <w:tcW w:w="2880" w:type="dxa"/>
            <w:tcBorders>
              <w:right w:val="single" w:sz="4" w:space="0" w:color="auto"/>
            </w:tcBorders>
            <w:shd w:val="clear" w:color="auto" w:fill="FFFFFF" w:themeFill="background1"/>
          </w:tcPr>
          <w:p w14:paraId="1D97E9A3" w14:textId="77777777" w:rsidR="00B1107F" w:rsidRPr="008048DD" w:rsidRDefault="005410EC" w:rsidP="00D65093">
            <w:pPr>
              <w:rPr>
                <w:bCs/>
                <w:spacing w:val="-4"/>
                <w:sz w:val="18"/>
                <w:szCs w:val="18"/>
              </w:rPr>
            </w:pPr>
            <w:r w:rsidRPr="008048DD">
              <w:rPr>
                <w:spacing w:val="-4"/>
                <w:sz w:val="18"/>
                <w:szCs w:val="18"/>
              </w:rPr>
              <w:t xml:space="preserve">2. ¿Han </w:t>
            </w:r>
            <w:r w:rsidR="00D65093" w:rsidRPr="008048DD">
              <w:rPr>
                <w:spacing w:val="-4"/>
                <w:sz w:val="18"/>
                <w:szCs w:val="18"/>
              </w:rPr>
              <w:t xml:space="preserve">propiciado </w:t>
            </w:r>
            <w:r w:rsidRPr="008048DD">
              <w:rPr>
                <w:spacing w:val="-4"/>
                <w:sz w:val="18"/>
                <w:szCs w:val="18"/>
              </w:rPr>
              <w:t>esas me</w:t>
            </w:r>
            <w:r w:rsidR="00D44B4A" w:rsidRPr="008048DD">
              <w:rPr>
                <w:spacing w:val="-4"/>
                <w:sz w:val="18"/>
                <w:szCs w:val="18"/>
              </w:rPr>
              <w:t>di</w:t>
            </w:r>
            <w:r w:rsidRPr="008048DD">
              <w:rPr>
                <w:spacing w:val="-4"/>
                <w:sz w:val="18"/>
                <w:szCs w:val="18"/>
              </w:rPr>
              <w:t>d</w:t>
            </w:r>
            <w:r w:rsidR="00D44B4A" w:rsidRPr="008048DD">
              <w:rPr>
                <w:spacing w:val="-4"/>
                <w:sz w:val="18"/>
                <w:szCs w:val="18"/>
              </w:rPr>
              <w:t xml:space="preserve">as cambios en </w:t>
            </w:r>
            <w:r w:rsidR="00E0374C" w:rsidRPr="008048DD">
              <w:rPr>
                <w:spacing w:val="-4"/>
                <w:sz w:val="18"/>
                <w:szCs w:val="18"/>
              </w:rPr>
              <w:t>el suministro</w:t>
            </w:r>
            <w:r w:rsidR="00D44B4A" w:rsidRPr="008048DD">
              <w:rPr>
                <w:spacing w:val="-4"/>
                <w:sz w:val="18"/>
                <w:szCs w:val="18"/>
              </w:rPr>
              <w:t>, el uso, las emisiones y las liberaciones de mercurio en el medio ambiente?</w:t>
            </w:r>
          </w:p>
        </w:tc>
        <w:tc>
          <w:tcPr>
            <w:tcW w:w="2717" w:type="dxa"/>
            <w:gridSpan w:val="2"/>
            <w:tcBorders>
              <w:left w:val="single" w:sz="4" w:space="0" w:color="auto"/>
            </w:tcBorders>
            <w:shd w:val="clear" w:color="auto" w:fill="FFFFFF" w:themeFill="background1"/>
          </w:tcPr>
          <w:p w14:paraId="67EAD101" w14:textId="77777777" w:rsidR="00B1107F" w:rsidRPr="008048DD" w:rsidRDefault="00D44B4A" w:rsidP="009F2AE4">
            <w:pPr>
              <w:rPr>
                <w:bCs/>
                <w:spacing w:val="-4"/>
                <w:sz w:val="18"/>
                <w:szCs w:val="18"/>
              </w:rPr>
            </w:pPr>
            <w:r w:rsidRPr="008048DD">
              <w:rPr>
                <w:spacing w:val="-4"/>
                <w:sz w:val="18"/>
                <w:szCs w:val="18"/>
              </w:rPr>
              <w:t>3. ¿Han dado lugar esos cambios a cambios en los niveles de mercurio en el medio ambiente, los medios bióticos y las poblaciones vulnerables, que pued</w:t>
            </w:r>
            <w:r w:rsidR="009F2AE4" w:rsidRPr="008048DD">
              <w:rPr>
                <w:spacing w:val="-4"/>
                <w:sz w:val="18"/>
                <w:szCs w:val="18"/>
              </w:rPr>
              <w:t>an</w:t>
            </w:r>
            <w:r w:rsidRPr="008048DD">
              <w:rPr>
                <w:spacing w:val="-4"/>
                <w:sz w:val="18"/>
                <w:szCs w:val="18"/>
              </w:rPr>
              <w:t xml:space="preserve"> atribuirse al Convenio de Minamata? </w:t>
            </w:r>
          </w:p>
        </w:tc>
        <w:tc>
          <w:tcPr>
            <w:tcW w:w="3151" w:type="dxa"/>
            <w:shd w:val="clear" w:color="auto" w:fill="auto"/>
          </w:tcPr>
          <w:p w14:paraId="3660F572" w14:textId="77777777" w:rsidR="00B1107F" w:rsidRPr="008048DD" w:rsidRDefault="00D44B4A" w:rsidP="00B63D0C">
            <w:pPr>
              <w:rPr>
                <w:bCs/>
                <w:spacing w:val="-4"/>
                <w:sz w:val="18"/>
                <w:szCs w:val="18"/>
              </w:rPr>
            </w:pPr>
            <w:r w:rsidRPr="008048DD">
              <w:rPr>
                <w:spacing w:val="-4"/>
                <w:sz w:val="18"/>
                <w:szCs w:val="18"/>
              </w:rPr>
              <w:t xml:space="preserve">4. ¿Hasta qué punto las medidas existentes con arreglo al Convenio de Minamata logran el objetivo de proteger </w:t>
            </w:r>
            <w:r w:rsidR="00B63D0C" w:rsidRPr="008048DD">
              <w:rPr>
                <w:spacing w:val="-4"/>
                <w:sz w:val="18"/>
                <w:szCs w:val="18"/>
              </w:rPr>
              <w:t xml:space="preserve">del mercurio a </w:t>
            </w:r>
            <w:r w:rsidRPr="008048DD">
              <w:rPr>
                <w:spacing w:val="-4"/>
                <w:sz w:val="18"/>
                <w:szCs w:val="18"/>
              </w:rPr>
              <w:t xml:space="preserve">la salud humana y </w:t>
            </w:r>
            <w:r w:rsidR="00B63D0C" w:rsidRPr="008048DD">
              <w:rPr>
                <w:spacing w:val="-4"/>
                <w:sz w:val="18"/>
                <w:szCs w:val="18"/>
              </w:rPr>
              <w:t>a</w:t>
            </w:r>
            <w:r w:rsidRPr="008048DD">
              <w:rPr>
                <w:spacing w:val="-4"/>
                <w:sz w:val="18"/>
                <w:szCs w:val="18"/>
              </w:rPr>
              <w:t>l medio ambiente?</w:t>
            </w:r>
            <w:bookmarkStart w:id="8" w:name="_Hlk20927428"/>
            <w:bookmarkEnd w:id="8"/>
          </w:p>
        </w:tc>
      </w:tr>
      <w:tr w:rsidR="00B1107F" w:rsidRPr="008048DD" w14:paraId="1D628D2B" w14:textId="77777777" w:rsidTr="00576B21">
        <w:trPr>
          <w:trHeight w:val="57"/>
          <w:jc w:val="right"/>
        </w:trPr>
        <w:tc>
          <w:tcPr>
            <w:tcW w:w="1430" w:type="dxa"/>
            <w:shd w:val="clear" w:color="auto" w:fill="B8CCE4" w:themeFill="accent1" w:themeFillTint="66"/>
          </w:tcPr>
          <w:p w14:paraId="771BAEAC" w14:textId="77777777" w:rsidR="00B1107F" w:rsidRPr="008048DD" w:rsidRDefault="00B1107F" w:rsidP="00EE7D24">
            <w:pPr>
              <w:rPr>
                <w:b/>
                <w:bCs/>
                <w:spacing w:val="-4"/>
                <w:sz w:val="18"/>
                <w:szCs w:val="18"/>
              </w:rPr>
            </w:pPr>
            <w:r w:rsidRPr="008048DD">
              <w:rPr>
                <w:b/>
                <w:bCs/>
                <w:spacing w:val="-4"/>
                <w:sz w:val="18"/>
                <w:szCs w:val="18"/>
              </w:rPr>
              <w:t>Indicadores</w:t>
            </w:r>
          </w:p>
          <w:p w14:paraId="7C08F3EB" w14:textId="77777777" w:rsidR="00B1107F" w:rsidRPr="008048DD" w:rsidRDefault="00B1107F" w:rsidP="00EE7D24">
            <w:pPr>
              <w:rPr>
                <w:i/>
                <w:iCs/>
                <w:spacing w:val="-4"/>
                <w:sz w:val="18"/>
                <w:szCs w:val="18"/>
              </w:rPr>
            </w:pPr>
          </w:p>
        </w:tc>
        <w:tc>
          <w:tcPr>
            <w:tcW w:w="2998" w:type="dxa"/>
            <w:gridSpan w:val="2"/>
            <w:shd w:val="clear" w:color="auto" w:fill="FFFFFF" w:themeFill="background1"/>
          </w:tcPr>
          <w:p w14:paraId="7E826CE3" w14:textId="77777777" w:rsidR="00B1107F" w:rsidRPr="008048DD" w:rsidRDefault="00B1107F" w:rsidP="00EE7D24">
            <w:pPr>
              <w:rPr>
                <w:spacing w:val="-4"/>
                <w:sz w:val="18"/>
                <w:szCs w:val="18"/>
              </w:rPr>
            </w:pPr>
            <w:r w:rsidRPr="008048DD">
              <w:rPr>
                <w:spacing w:val="-4"/>
                <w:sz w:val="18"/>
                <w:szCs w:val="18"/>
              </w:rPr>
              <w:t>Indicadores de procesos</w:t>
            </w:r>
          </w:p>
        </w:tc>
        <w:tc>
          <w:tcPr>
            <w:tcW w:w="2880" w:type="dxa"/>
            <w:shd w:val="clear" w:color="auto" w:fill="FFFFFF" w:themeFill="background1"/>
          </w:tcPr>
          <w:p w14:paraId="6C983DAB" w14:textId="77777777" w:rsidR="00B1107F" w:rsidRPr="008048DD" w:rsidRDefault="00B1107F" w:rsidP="00EE7D24">
            <w:pPr>
              <w:rPr>
                <w:spacing w:val="-4"/>
                <w:sz w:val="18"/>
                <w:szCs w:val="18"/>
              </w:rPr>
            </w:pPr>
            <w:r w:rsidRPr="008048DD">
              <w:rPr>
                <w:spacing w:val="-4"/>
                <w:sz w:val="18"/>
                <w:szCs w:val="18"/>
              </w:rPr>
              <w:t>Indicadores de resultados</w:t>
            </w:r>
          </w:p>
          <w:p w14:paraId="2782B70B" w14:textId="77777777" w:rsidR="00B1107F" w:rsidRPr="008048DD" w:rsidRDefault="00B1107F" w:rsidP="00EE7D24">
            <w:pPr>
              <w:rPr>
                <w:spacing w:val="-4"/>
                <w:sz w:val="18"/>
                <w:szCs w:val="18"/>
              </w:rPr>
            </w:pPr>
            <w:r w:rsidRPr="008048DD">
              <w:rPr>
                <w:spacing w:val="-4"/>
                <w:sz w:val="18"/>
                <w:szCs w:val="18"/>
              </w:rPr>
              <w:t>Indicadores de vigilancia</w:t>
            </w:r>
          </w:p>
        </w:tc>
        <w:tc>
          <w:tcPr>
            <w:tcW w:w="2717" w:type="dxa"/>
            <w:gridSpan w:val="2"/>
            <w:shd w:val="clear" w:color="auto" w:fill="FFFFFF" w:themeFill="background1"/>
          </w:tcPr>
          <w:p w14:paraId="5CB4E674" w14:textId="77777777" w:rsidR="00B1107F" w:rsidRPr="008048DD" w:rsidRDefault="00B1107F" w:rsidP="00EE7D24">
            <w:pPr>
              <w:rPr>
                <w:spacing w:val="-4"/>
                <w:sz w:val="18"/>
                <w:szCs w:val="18"/>
              </w:rPr>
            </w:pPr>
            <w:r w:rsidRPr="008048DD">
              <w:rPr>
                <w:spacing w:val="-4"/>
                <w:sz w:val="18"/>
                <w:szCs w:val="18"/>
              </w:rPr>
              <w:t>Indicadores de vigilancia</w:t>
            </w:r>
          </w:p>
        </w:tc>
        <w:tc>
          <w:tcPr>
            <w:tcW w:w="3151" w:type="dxa"/>
            <w:vMerge w:val="restart"/>
            <w:shd w:val="clear" w:color="auto" w:fill="auto"/>
          </w:tcPr>
          <w:p w14:paraId="22F9D898" w14:textId="77777777" w:rsidR="00B1107F" w:rsidRPr="008048DD" w:rsidRDefault="00B1107F" w:rsidP="00A07BAB">
            <w:pPr>
              <w:rPr>
                <w:spacing w:val="-4"/>
                <w:sz w:val="18"/>
                <w:szCs w:val="18"/>
              </w:rPr>
            </w:pPr>
            <w:r w:rsidRPr="008048DD">
              <w:rPr>
                <w:spacing w:val="-4"/>
                <w:sz w:val="18"/>
                <w:szCs w:val="18"/>
              </w:rPr>
              <w:t>Nivel 5</w:t>
            </w:r>
          </w:p>
          <w:p w14:paraId="4EFA1AA0" w14:textId="3DB04FC5" w:rsidR="00B1107F" w:rsidRPr="008048DD" w:rsidRDefault="00B1107F" w:rsidP="00EE7D24">
            <w:pPr>
              <w:rPr>
                <w:spacing w:val="-4"/>
                <w:sz w:val="18"/>
                <w:szCs w:val="18"/>
              </w:rPr>
            </w:pPr>
            <w:r w:rsidRPr="008048DD">
              <w:rPr>
                <w:spacing w:val="-4"/>
                <w:sz w:val="18"/>
                <w:szCs w:val="18"/>
              </w:rPr>
              <w:t xml:space="preserve">El </w:t>
            </w:r>
            <w:r w:rsidR="004051FC" w:rsidRPr="008048DD">
              <w:rPr>
                <w:spacing w:val="-4"/>
                <w:sz w:val="18"/>
                <w:szCs w:val="18"/>
              </w:rPr>
              <w:t>Comité de Evaluación de la E</w:t>
            </w:r>
            <w:r w:rsidR="00E006FC" w:rsidRPr="008048DD">
              <w:rPr>
                <w:spacing w:val="-4"/>
                <w:sz w:val="18"/>
                <w:szCs w:val="18"/>
              </w:rPr>
              <w:t>ficacia</w:t>
            </w:r>
            <w:r w:rsidRPr="008048DD">
              <w:rPr>
                <w:spacing w:val="-4"/>
                <w:sz w:val="18"/>
                <w:szCs w:val="18"/>
              </w:rPr>
              <w:t xml:space="preserve"> dará respuesta a esas cuestiones normativas y aplicará un enfoque integrador para preparar sus conclusiones basándose en los siguientes informes de síntesis: </w:t>
            </w:r>
          </w:p>
          <w:p w14:paraId="6BDC5D0A" w14:textId="77777777" w:rsidR="00B1107F" w:rsidRPr="008048DD" w:rsidRDefault="00576B21" w:rsidP="00A50785">
            <w:pPr>
              <w:spacing w:before="120"/>
              <w:rPr>
                <w:spacing w:val="-4"/>
                <w:sz w:val="18"/>
                <w:szCs w:val="18"/>
              </w:rPr>
            </w:pPr>
            <w:r w:rsidRPr="008048DD">
              <w:rPr>
                <w:spacing w:val="-4"/>
                <w:sz w:val="18"/>
                <w:szCs w:val="18"/>
              </w:rPr>
              <w:t>1. Inform</w:t>
            </w:r>
            <w:r w:rsidR="00B1107F" w:rsidRPr="008048DD">
              <w:rPr>
                <w:spacing w:val="-4"/>
                <w:sz w:val="18"/>
                <w:szCs w:val="18"/>
              </w:rPr>
              <w:t>e de síntesis previsto en el artículo 21</w:t>
            </w:r>
          </w:p>
          <w:p w14:paraId="7FEA3E91" w14:textId="77777777" w:rsidR="00B1107F" w:rsidRPr="008048DD" w:rsidRDefault="00B1107F" w:rsidP="00EE7D24">
            <w:pPr>
              <w:rPr>
                <w:spacing w:val="-4"/>
                <w:sz w:val="18"/>
                <w:szCs w:val="18"/>
              </w:rPr>
            </w:pPr>
            <w:r w:rsidRPr="008048DD">
              <w:rPr>
                <w:spacing w:val="-4"/>
                <w:sz w:val="18"/>
                <w:szCs w:val="18"/>
              </w:rPr>
              <w:t>2. Informe sob</w:t>
            </w:r>
            <w:r w:rsidR="00576B21" w:rsidRPr="008048DD">
              <w:rPr>
                <w:spacing w:val="-4"/>
                <w:sz w:val="18"/>
                <w:szCs w:val="18"/>
              </w:rPr>
              <w:t>re las emisiones y liberaciones</w:t>
            </w:r>
          </w:p>
          <w:p w14:paraId="586F3D48" w14:textId="77777777" w:rsidR="00B1107F" w:rsidRPr="008048DD" w:rsidRDefault="00B1107F" w:rsidP="00EE7D24">
            <w:pPr>
              <w:rPr>
                <w:spacing w:val="-4"/>
                <w:sz w:val="18"/>
                <w:szCs w:val="18"/>
              </w:rPr>
            </w:pPr>
            <w:r w:rsidRPr="008048DD">
              <w:rPr>
                <w:spacing w:val="-4"/>
                <w:sz w:val="18"/>
                <w:szCs w:val="18"/>
              </w:rPr>
              <w:t>3. Informe sobre el c</w:t>
            </w:r>
            <w:r w:rsidR="00576B21" w:rsidRPr="008048DD">
              <w:rPr>
                <w:spacing w:val="-4"/>
                <w:sz w:val="18"/>
                <w:szCs w:val="18"/>
              </w:rPr>
              <w:t xml:space="preserve">omercio, </w:t>
            </w:r>
            <w:r w:rsidR="00E0374C" w:rsidRPr="008048DD">
              <w:rPr>
                <w:spacing w:val="-4"/>
                <w:sz w:val="18"/>
                <w:szCs w:val="18"/>
              </w:rPr>
              <w:t>el suministro</w:t>
            </w:r>
            <w:r w:rsidR="00576B21" w:rsidRPr="008048DD">
              <w:rPr>
                <w:spacing w:val="-4"/>
                <w:sz w:val="18"/>
                <w:szCs w:val="18"/>
              </w:rPr>
              <w:t xml:space="preserve"> y la demanda</w:t>
            </w:r>
          </w:p>
          <w:p w14:paraId="3E8ECFB1" w14:textId="77777777" w:rsidR="00B1107F" w:rsidRPr="008048DD" w:rsidRDefault="00B1107F" w:rsidP="00EE7D24">
            <w:pPr>
              <w:rPr>
                <w:sz w:val="18"/>
                <w:szCs w:val="18"/>
                <w:highlight w:val="lightGray"/>
              </w:rPr>
            </w:pPr>
            <w:r w:rsidRPr="008048DD">
              <w:rPr>
                <w:sz w:val="18"/>
                <w:szCs w:val="18"/>
                <w:highlight w:val="lightGray"/>
              </w:rPr>
              <w:t>4. Informe sobre los desechos</w:t>
            </w:r>
          </w:p>
          <w:p w14:paraId="07C29FA8" w14:textId="77777777" w:rsidR="00B1107F" w:rsidRPr="008048DD" w:rsidRDefault="00B1107F" w:rsidP="00EE7D24">
            <w:pPr>
              <w:rPr>
                <w:spacing w:val="-4"/>
                <w:sz w:val="18"/>
                <w:szCs w:val="18"/>
              </w:rPr>
            </w:pPr>
            <w:r w:rsidRPr="008048DD">
              <w:rPr>
                <w:spacing w:val="-4"/>
                <w:sz w:val="18"/>
                <w:szCs w:val="18"/>
              </w:rPr>
              <w:t>5. Informe de vigilancia</w:t>
            </w:r>
          </w:p>
          <w:p w14:paraId="5073A827" w14:textId="77777777" w:rsidR="00B1107F" w:rsidRPr="008048DD" w:rsidRDefault="00B1107F" w:rsidP="00A50785">
            <w:pPr>
              <w:spacing w:before="120"/>
              <w:rPr>
                <w:spacing w:val="-4"/>
                <w:sz w:val="18"/>
                <w:szCs w:val="18"/>
              </w:rPr>
            </w:pPr>
            <w:r w:rsidRPr="008048DD">
              <w:rPr>
                <w:spacing w:val="-4"/>
                <w:sz w:val="18"/>
                <w:szCs w:val="18"/>
              </w:rPr>
              <w:t xml:space="preserve">La información antes mencionada se </w:t>
            </w:r>
            <w:r w:rsidR="00507230" w:rsidRPr="008048DD">
              <w:rPr>
                <w:spacing w:val="-4"/>
                <w:sz w:val="18"/>
                <w:szCs w:val="18"/>
              </w:rPr>
              <w:t>complementará</w:t>
            </w:r>
            <w:r w:rsidRPr="008048DD">
              <w:rPr>
                <w:spacing w:val="-4"/>
                <w:sz w:val="18"/>
                <w:szCs w:val="18"/>
              </w:rPr>
              <w:t xml:space="preserve"> con el informe sobre la atribución tan pronto esté disponible.</w:t>
            </w:r>
          </w:p>
          <w:p w14:paraId="0006BBE2" w14:textId="3EA4914B" w:rsidR="00B1107F" w:rsidRPr="008048DD" w:rsidRDefault="00203354" w:rsidP="00A50785">
            <w:pPr>
              <w:spacing w:before="120"/>
              <w:rPr>
                <w:spacing w:val="-4"/>
                <w:sz w:val="18"/>
                <w:szCs w:val="18"/>
              </w:rPr>
            </w:pPr>
            <w:r w:rsidRPr="008048DD">
              <w:rPr>
                <w:noProof/>
                <w:spacing w:val="-4"/>
                <w:sz w:val="18"/>
                <w:szCs w:val="18"/>
                <w:lang w:eastAsia="es-ES_tradnl"/>
              </w:rPr>
              <mc:AlternateContent>
                <mc:Choice Requires="wps">
                  <w:drawing>
                    <wp:anchor distT="0" distB="0" distL="114300" distR="114300" simplePos="0" relativeHeight="251657216" behindDoc="0" locked="0" layoutInCell="1" allowOverlap="1" wp14:anchorId="2C562EA2" wp14:editId="0147B7F9">
                      <wp:simplePos x="0" y="0"/>
                      <wp:positionH relativeFrom="column">
                        <wp:posOffset>450215</wp:posOffset>
                      </wp:positionH>
                      <wp:positionV relativeFrom="paragraph">
                        <wp:posOffset>724866</wp:posOffset>
                      </wp:positionV>
                      <wp:extent cx="638175" cy="523875"/>
                      <wp:effectExtent l="0" t="0" r="9525" b="9525"/>
                      <wp:wrapNone/>
                      <wp:docPr id="3" name="Arrow: Down 3"/>
                      <wp:cNvGraphicFramePr/>
                      <a:graphic xmlns:a="http://schemas.openxmlformats.org/drawingml/2006/main">
                        <a:graphicData uri="http://schemas.microsoft.com/office/word/2010/wordprocessingShape">
                          <wps:wsp>
                            <wps:cNvSpPr/>
                            <wps:spPr>
                              <a:xfrm>
                                <a:off x="0" y="0"/>
                                <a:ext cx="638175" cy="523875"/>
                              </a:xfrm>
                              <a:prstGeom prst="downArrow">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6FCF4E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35.45pt;margin-top:57.1pt;width:50.25pt;height:4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LRpAIAAMkFAAAOAAAAZHJzL2Uyb0RvYy54bWysVEtv2zAMvg/YfxB0X51n2xlxiqBFhwFd&#10;W6wdelZkqTYgiZqkxMl+/SjJcbs+dhiWg0JR5EfyM8nF2U4rshXOt2AqOj4aUSIMh7o1jxX9cX/5&#10;6ZQSH5ipmQIjKroXnp4tP35YdLYUE2hA1cIRBDG+7GxFmxBsWRSeN0IzfwRWGHyU4DQLeHWPRe1Y&#10;h+haFZPR6LjowNXWARfeo/YiP9JlwpdS8HAjpReBqIpibiGdLp3reBbLBSsfHbNNy/s02D9koVlr&#10;MOgAdcECIxvXvoLSLXfgQYYjDroAKVsuUg1YzXj0opq7hlmRakFyvB1o8v8Pll9vbx1p64pOKTFM&#10;4ydaOQddSS6gM2QaCeqsL9Huzt66/uZRjNXupNPxH+sgu0TqfiBV7ALhqDyeno5P5pRwfJpPpqco&#10;I0rx5GydD18EaBKFitYYN6WQ+GTbKx+y/cEuBvSg2vqyVSpdYrOIc+XIluFnZpwLE8bJXW30N6iz&#10;fjbCX/7gqMa2yOrjgxpTSm0XkVKCfwRRJoYyEIPmfKKmiNxkNpIU9kpEO2W+C4m0Yv2TlMiA/DpH&#10;37BaZPX83VwSYESWGH/AzkW+g52z7O2jq0jzMDiP/pZYdh48UmQwYXDWrQH3FoBC5vvI2f5AUqYm&#10;srSGeo9N5yBPo7f8ssVPf8V8uGUOxw8HFVdKuMFDKugqCr1ESQPu11v6aI9Tga+UdDjOFfU/N8wJ&#10;StRXg/PyeTybxflPl9n8ZIIX9/xl/fzFbPQ5YCuNcXlZnsRoH9RBlA70A26eVYyKT8xwjF1RHtzh&#10;ch7ymsHdxcVqlcxw5i0LV+bO8ggeWY1dfb97YM72/R9wcK7hMPqsfDEB2TZ6GlhtAsg2jccTrz3f&#10;uC9SE/e7LS6k5/dk9bSBl78BAAD//wMAUEsDBBQABgAIAAAAIQAuDqaU3gAAAAoBAAAPAAAAZHJz&#10;L2Rvd25yZXYueG1sTI/PTsMwDIfvSLxDZCRuzO2YVlqaTjBpQkhwYPAAWWPaisYpTbZ1PD3eCW7+&#10;8+nnz+Vqcr060Bg6zxrSWQKKuPa240bDx/vm5g5UiIat6T2ThhMFWFWXF6UprD/yGx22sVESwqEw&#10;GtoYhwIx1C05E2Z+IJbdpx+didKODdrRHCXc9ThPkiU607FcaM1A65bqr+3eacDNs/1xT+Q4f33E&#10;l9qebvF7rfX11fRwDyrSFP9gOOuLOlTitPN7tkH1GrIkF1Lm6WIO6gxk6QLUTop8mQFWJf5/ofoF&#10;AAD//wMAUEsBAi0AFAAGAAgAAAAhALaDOJL+AAAA4QEAABMAAAAAAAAAAAAAAAAAAAAAAFtDb250&#10;ZW50X1R5cGVzXS54bWxQSwECLQAUAAYACAAAACEAOP0h/9YAAACUAQAACwAAAAAAAAAAAAAAAAAv&#10;AQAAX3JlbHMvLnJlbHNQSwECLQAUAAYACAAAACEAOhfS0aQCAADJBQAADgAAAAAAAAAAAAAAAAAu&#10;AgAAZHJzL2Uyb0RvYy54bWxQSwECLQAUAAYACAAAACEALg6mlN4AAAAKAQAADwAAAAAAAAAAAAAA&#10;AAD+BAAAZHJzL2Rvd25yZXYueG1sUEsFBgAAAAAEAAQA8wAAAAkGAAAAAA==&#10;" adj="10800" fillcolor="#b8cce4 [1300]" stroked="f" strokeweight="2pt"/>
                  </w:pict>
                </mc:Fallback>
              </mc:AlternateContent>
            </w:r>
            <w:r w:rsidRPr="008048DD">
              <w:rPr>
                <w:spacing w:val="-4"/>
                <w:sz w:val="18"/>
                <w:szCs w:val="18"/>
              </w:rPr>
              <w:t xml:space="preserve">Al formular sus conclusiones, el </w:t>
            </w:r>
            <w:r w:rsidR="004051FC" w:rsidRPr="008048DD">
              <w:rPr>
                <w:spacing w:val="-4"/>
                <w:sz w:val="18"/>
                <w:szCs w:val="18"/>
              </w:rPr>
              <w:t>C</w:t>
            </w:r>
            <w:r w:rsidR="00E006FC" w:rsidRPr="008048DD">
              <w:rPr>
                <w:spacing w:val="-4"/>
                <w:sz w:val="18"/>
                <w:szCs w:val="18"/>
              </w:rPr>
              <w:t xml:space="preserve">omité de </w:t>
            </w:r>
            <w:r w:rsidR="004051FC" w:rsidRPr="008048DD">
              <w:rPr>
                <w:spacing w:val="-4"/>
                <w:sz w:val="18"/>
                <w:szCs w:val="18"/>
              </w:rPr>
              <w:t>Evaluación de la E</w:t>
            </w:r>
            <w:r w:rsidR="00E006FC" w:rsidRPr="008048DD">
              <w:rPr>
                <w:spacing w:val="-4"/>
                <w:sz w:val="18"/>
                <w:szCs w:val="18"/>
              </w:rPr>
              <w:t>ficacia</w:t>
            </w:r>
            <w:r w:rsidR="00576B21" w:rsidRPr="008048DD">
              <w:rPr>
                <w:spacing w:val="-4"/>
                <w:sz w:val="18"/>
                <w:szCs w:val="18"/>
              </w:rPr>
              <w:t xml:space="preserve"> puede también aprove</w:t>
            </w:r>
            <w:r w:rsidRPr="008048DD">
              <w:rPr>
                <w:spacing w:val="-4"/>
                <w:sz w:val="18"/>
                <w:szCs w:val="18"/>
              </w:rPr>
              <w:t xml:space="preserve">char la información adicional que sea necesaria </w:t>
            </w:r>
          </w:p>
        </w:tc>
      </w:tr>
      <w:tr w:rsidR="00B1107F" w:rsidRPr="008048DD" w14:paraId="6E7852FD" w14:textId="77777777" w:rsidTr="00576B21">
        <w:trPr>
          <w:trHeight w:val="57"/>
          <w:jc w:val="right"/>
        </w:trPr>
        <w:tc>
          <w:tcPr>
            <w:tcW w:w="1430" w:type="dxa"/>
            <w:shd w:val="clear" w:color="auto" w:fill="B8CCE4" w:themeFill="accent1" w:themeFillTint="66"/>
          </w:tcPr>
          <w:p w14:paraId="68CE69B6" w14:textId="77777777" w:rsidR="00B1107F" w:rsidRPr="008048DD" w:rsidRDefault="00B1107F" w:rsidP="00EE7D24">
            <w:pPr>
              <w:rPr>
                <w:b/>
                <w:bCs/>
                <w:spacing w:val="-4"/>
                <w:sz w:val="18"/>
                <w:szCs w:val="18"/>
              </w:rPr>
            </w:pPr>
            <w:r w:rsidRPr="008048DD">
              <w:rPr>
                <w:b/>
                <w:bCs/>
                <w:spacing w:val="-4"/>
                <w:sz w:val="18"/>
                <w:szCs w:val="18"/>
              </w:rPr>
              <w:t>Grupos de indicadores</w:t>
            </w:r>
          </w:p>
        </w:tc>
        <w:tc>
          <w:tcPr>
            <w:tcW w:w="2998" w:type="dxa"/>
            <w:gridSpan w:val="2"/>
            <w:shd w:val="clear" w:color="auto" w:fill="FFFFFF" w:themeFill="background1"/>
          </w:tcPr>
          <w:p w14:paraId="51BA5058" w14:textId="77777777" w:rsidR="00B1107F" w:rsidRPr="008048DD" w:rsidRDefault="00B1107F" w:rsidP="00EE7D24">
            <w:pPr>
              <w:rPr>
                <w:spacing w:val="-4"/>
                <w:sz w:val="18"/>
                <w:szCs w:val="18"/>
              </w:rPr>
            </w:pPr>
            <w:r w:rsidRPr="008048DD">
              <w:rPr>
                <w:spacing w:val="-4"/>
                <w:sz w:val="18"/>
                <w:szCs w:val="18"/>
              </w:rPr>
              <w:t>1. Grupo (B) sobre suministro</w:t>
            </w:r>
          </w:p>
          <w:p w14:paraId="73A92904" w14:textId="77777777" w:rsidR="00B1107F" w:rsidRPr="008048DD" w:rsidRDefault="00B1107F" w:rsidP="00EE7D24">
            <w:pPr>
              <w:rPr>
                <w:spacing w:val="-4"/>
                <w:sz w:val="18"/>
                <w:szCs w:val="18"/>
              </w:rPr>
            </w:pPr>
            <w:r w:rsidRPr="008048DD">
              <w:rPr>
                <w:spacing w:val="-4"/>
                <w:sz w:val="18"/>
                <w:szCs w:val="18"/>
              </w:rPr>
              <w:t>2. Grupo (C) sobre demanda</w:t>
            </w:r>
          </w:p>
          <w:p w14:paraId="3B97719E" w14:textId="77777777" w:rsidR="00B1107F" w:rsidRPr="008048DD" w:rsidRDefault="00B1107F" w:rsidP="00EE7D24">
            <w:pPr>
              <w:rPr>
                <w:spacing w:val="-4"/>
                <w:sz w:val="18"/>
                <w:szCs w:val="18"/>
              </w:rPr>
            </w:pPr>
            <w:r w:rsidRPr="008048DD">
              <w:rPr>
                <w:spacing w:val="-4"/>
                <w:sz w:val="18"/>
                <w:szCs w:val="18"/>
              </w:rPr>
              <w:t>3. Grupo (D) sobre presión</w:t>
            </w:r>
          </w:p>
          <w:p w14:paraId="3BEE9B48" w14:textId="77777777" w:rsidR="00B1107F" w:rsidRPr="008048DD" w:rsidRDefault="00B1107F" w:rsidP="00EE7D24">
            <w:pPr>
              <w:rPr>
                <w:spacing w:val="-4"/>
                <w:sz w:val="18"/>
                <w:szCs w:val="18"/>
              </w:rPr>
            </w:pPr>
            <w:r w:rsidRPr="008048DD">
              <w:rPr>
                <w:spacing w:val="-4"/>
                <w:sz w:val="18"/>
                <w:szCs w:val="18"/>
              </w:rPr>
              <w:t>----</w:t>
            </w:r>
          </w:p>
          <w:p w14:paraId="4BC7EDAD" w14:textId="4E8C29A2" w:rsidR="00B1107F" w:rsidRPr="008048DD" w:rsidRDefault="004051FC" w:rsidP="00EE7D24">
            <w:pPr>
              <w:rPr>
                <w:spacing w:val="-4"/>
                <w:sz w:val="18"/>
                <w:szCs w:val="18"/>
              </w:rPr>
            </w:pPr>
            <w:r w:rsidRPr="008048DD">
              <w:rPr>
                <w:spacing w:val="-4"/>
                <w:sz w:val="18"/>
                <w:szCs w:val="18"/>
              </w:rPr>
              <w:t>4. Grupo (E</w:t>
            </w:r>
            <w:r w:rsidR="00B1107F" w:rsidRPr="008048DD">
              <w:rPr>
                <w:spacing w:val="-4"/>
                <w:sz w:val="18"/>
                <w:szCs w:val="18"/>
              </w:rPr>
              <w:t>) sobre apoyo</w:t>
            </w:r>
          </w:p>
          <w:p w14:paraId="4FF5DB7D" w14:textId="77777777" w:rsidR="00B1107F" w:rsidRPr="008048DD" w:rsidRDefault="00B1107F" w:rsidP="00EE7D24">
            <w:pPr>
              <w:rPr>
                <w:spacing w:val="-4"/>
                <w:sz w:val="18"/>
                <w:szCs w:val="18"/>
              </w:rPr>
            </w:pPr>
            <w:r w:rsidRPr="008048DD">
              <w:rPr>
                <w:spacing w:val="-4"/>
                <w:sz w:val="18"/>
                <w:szCs w:val="18"/>
              </w:rPr>
              <w:t>5. Grupo (H) sobre información e investigación</w:t>
            </w:r>
          </w:p>
        </w:tc>
        <w:tc>
          <w:tcPr>
            <w:tcW w:w="2880" w:type="dxa"/>
            <w:shd w:val="clear" w:color="auto" w:fill="FFFFFF" w:themeFill="background1"/>
          </w:tcPr>
          <w:p w14:paraId="25F23BDA" w14:textId="77777777" w:rsidR="00B1107F" w:rsidRPr="008048DD" w:rsidRDefault="00B1107F" w:rsidP="00EE7D24">
            <w:pPr>
              <w:rPr>
                <w:spacing w:val="-4"/>
                <w:sz w:val="18"/>
                <w:szCs w:val="18"/>
              </w:rPr>
            </w:pPr>
            <w:r w:rsidRPr="008048DD">
              <w:rPr>
                <w:spacing w:val="-4"/>
                <w:sz w:val="18"/>
                <w:szCs w:val="18"/>
              </w:rPr>
              <w:t>1. Grupo (B) sobre suministro</w:t>
            </w:r>
          </w:p>
          <w:p w14:paraId="58EEF42F" w14:textId="77777777" w:rsidR="00B1107F" w:rsidRPr="008048DD" w:rsidRDefault="00B1107F" w:rsidP="00EE7D24">
            <w:pPr>
              <w:rPr>
                <w:spacing w:val="-4"/>
                <w:sz w:val="18"/>
                <w:szCs w:val="18"/>
              </w:rPr>
            </w:pPr>
            <w:r w:rsidRPr="008048DD">
              <w:rPr>
                <w:spacing w:val="-4"/>
                <w:sz w:val="18"/>
                <w:szCs w:val="18"/>
              </w:rPr>
              <w:t>2. Grupo (C) sobre demanda</w:t>
            </w:r>
          </w:p>
          <w:p w14:paraId="621A8EAE" w14:textId="77777777" w:rsidR="00B1107F" w:rsidRPr="008048DD" w:rsidRDefault="00B1107F" w:rsidP="00EE7D24">
            <w:pPr>
              <w:rPr>
                <w:spacing w:val="-4"/>
                <w:sz w:val="18"/>
                <w:szCs w:val="18"/>
              </w:rPr>
            </w:pPr>
            <w:r w:rsidRPr="008048DD">
              <w:rPr>
                <w:spacing w:val="-4"/>
                <w:sz w:val="18"/>
                <w:szCs w:val="18"/>
              </w:rPr>
              <w:t>3. Grupo (D) sobre presión</w:t>
            </w:r>
          </w:p>
          <w:p w14:paraId="2FE0A0B9" w14:textId="77777777" w:rsidR="00B1107F" w:rsidRPr="008048DD" w:rsidRDefault="00B1107F" w:rsidP="00EE7D24">
            <w:pPr>
              <w:rPr>
                <w:spacing w:val="-4"/>
                <w:sz w:val="18"/>
                <w:szCs w:val="18"/>
              </w:rPr>
            </w:pPr>
            <w:r w:rsidRPr="008048DD">
              <w:rPr>
                <w:spacing w:val="-4"/>
                <w:sz w:val="18"/>
                <w:szCs w:val="18"/>
              </w:rPr>
              <w:t>----</w:t>
            </w:r>
          </w:p>
          <w:p w14:paraId="5782A82E" w14:textId="082832D2" w:rsidR="00B1107F" w:rsidRPr="008048DD" w:rsidRDefault="00B1107F" w:rsidP="00EE7D24">
            <w:pPr>
              <w:rPr>
                <w:spacing w:val="-4"/>
                <w:sz w:val="18"/>
                <w:szCs w:val="18"/>
              </w:rPr>
            </w:pPr>
            <w:r w:rsidRPr="008048DD">
              <w:rPr>
                <w:spacing w:val="-4"/>
                <w:sz w:val="18"/>
                <w:szCs w:val="18"/>
              </w:rPr>
              <w:t>4. G</w:t>
            </w:r>
            <w:r w:rsidR="004051FC" w:rsidRPr="008048DD">
              <w:rPr>
                <w:spacing w:val="-4"/>
                <w:sz w:val="18"/>
                <w:szCs w:val="18"/>
              </w:rPr>
              <w:t>rupo (E</w:t>
            </w:r>
            <w:r w:rsidRPr="008048DD">
              <w:rPr>
                <w:spacing w:val="-4"/>
                <w:sz w:val="18"/>
                <w:szCs w:val="18"/>
              </w:rPr>
              <w:t>) sobre apoyo</w:t>
            </w:r>
          </w:p>
          <w:p w14:paraId="4A7AD7C8" w14:textId="77777777" w:rsidR="00B1107F" w:rsidRPr="008048DD" w:rsidRDefault="00B1107F" w:rsidP="00EE7D24">
            <w:pPr>
              <w:rPr>
                <w:spacing w:val="-4"/>
                <w:sz w:val="18"/>
                <w:szCs w:val="18"/>
              </w:rPr>
            </w:pPr>
            <w:r w:rsidRPr="008048DD">
              <w:rPr>
                <w:spacing w:val="-4"/>
                <w:sz w:val="18"/>
                <w:szCs w:val="18"/>
              </w:rPr>
              <w:t>5. Grupo (H) sobre información e investigación</w:t>
            </w:r>
          </w:p>
        </w:tc>
        <w:tc>
          <w:tcPr>
            <w:tcW w:w="2717" w:type="dxa"/>
            <w:gridSpan w:val="2"/>
            <w:shd w:val="clear" w:color="auto" w:fill="FFFFFF" w:themeFill="background1"/>
          </w:tcPr>
          <w:p w14:paraId="65B50326" w14:textId="77777777" w:rsidR="00B1107F" w:rsidRPr="008048DD" w:rsidRDefault="00B1107F" w:rsidP="00EE7D24">
            <w:pPr>
              <w:rPr>
                <w:spacing w:val="-4"/>
                <w:sz w:val="18"/>
                <w:szCs w:val="18"/>
              </w:rPr>
            </w:pPr>
            <w:r w:rsidRPr="008048DD">
              <w:rPr>
                <w:spacing w:val="-4"/>
                <w:sz w:val="18"/>
                <w:szCs w:val="18"/>
              </w:rPr>
              <w:t>1. Grupo (D) sobre presión</w:t>
            </w:r>
          </w:p>
        </w:tc>
        <w:tc>
          <w:tcPr>
            <w:tcW w:w="3151" w:type="dxa"/>
            <w:vMerge/>
            <w:shd w:val="clear" w:color="auto" w:fill="auto"/>
          </w:tcPr>
          <w:p w14:paraId="6C46AD6E" w14:textId="77777777" w:rsidR="00B1107F" w:rsidRPr="008048DD" w:rsidRDefault="00B1107F" w:rsidP="00EE7D24">
            <w:pPr>
              <w:rPr>
                <w:spacing w:val="-4"/>
                <w:sz w:val="18"/>
                <w:szCs w:val="18"/>
              </w:rPr>
            </w:pPr>
          </w:p>
        </w:tc>
      </w:tr>
      <w:tr w:rsidR="00B1107F" w:rsidRPr="008048DD" w14:paraId="4DE892CE" w14:textId="77777777" w:rsidTr="00576B21">
        <w:trPr>
          <w:trHeight w:val="57"/>
          <w:jc w:val="right"/>
        </w:trPr>
        <w:tc>
          <w:tcPr>
            <w:tcW w:w="1430" w:type="dxa"/>
            <w:shd w:val="clear" w:color="auto" w:fill="B8CCE4" w:themeFill="accent1" w:themeFillTint="66"/>
          </w:tcPr>
          <w:p w14:paraId="1914A1D5" w14:textId="77777777" w:rsidR="00B1107F" w:rsidRPr="008048DD" w:rsidRDefault="00B1107F" w:rsidP="00EE7D24">
            <w:pPr>
              <w:rPr>
                <w:b/>
                <w:bCs/>
                <w:spacing w:val="-4"/>
                <w:sz w:val="18"/>
                <w:szCs w:val="18"/>
              </w:rPr>
            </w:pPr>
            <w:r w:rsidRPr="008048DD">
              <w:rPr>
                <w:b/>
                <w:bCs/>
                <w:spacing w:val="-4"/>
                <w:sz w:val="18"/>
                <w:szCs w:val="18"/>
              </w:rPr>
              <w:t>Fuentes de información</w:t>
            </w:r>
          </w:p>
        </w:tc>
        <w:tc>
          <w:tcPr>
            <w:tcW w:w="2998" w:type="dxa"/>
            <w:gridSpan w:val="2"/>
            <w:shd w:val="clear" w:color="auto" w:fill="FFFFFF" w:themeFill="background1"/>
          </w:tcPr>
          <w:p w14:paraId="47912DD6" w14:textId="76F70959" w:rsidR="00B1107F" w:rsidRPr="008048DD" w:rsidRDefault="00B1107F" w:rsidP="00EE7D24">
            <w:pPr>
              <w:rPr>
                <w:i/>
                <w:iCs/>
                <w:spacing w:val="-4"/>
                <w:sz w:val="18"/>
                <w:szCs w:val="18"/>
              </w:rPr>
            </w:pPr>
            <w:r w:rsidRPr="008048DD">
              <w:rPr>
                <w:spacing w:val="-4"/>
                <w:sz w:val="18"/>
                <w:szCs w:val="18"/>
              </w:rPr>
              <w:t>Partes: informes previstos en el artículo</w:t>
            </w:r>
            <w:r w:rsidR="004051FC" w:rsidRPr="008048DD">
              <w:rPr>
                <w:spacing w:val="-4"/>
                <w:sz w:val="18"/>
                <w:szCs w:val="18"/>
              </w:rPr>
              <w:t> </w:t>
            </w:r>
            <w:r w:rsidRPr="008048DD">
              <w:rPr>
                <w:spacing w:val="-4"/>
                <w:sz w:val="18"/>
                <w:szCs w:val="18"/>
              </w:rPr>
              <w:t xml:space="preserve">21 </w:t>
            </w:r>
          </w:p>
          <w:p w14:paraId="27985332" w14:textId="77777777" w:rsidR="00B1107F" w:rsidRPr="008048DD" w:rsidRDefault="00B1107F" w:rsidP="00EE7D24">
            <w:pPr>
              <w:rPr>
                <w:spacing w:val="-4"/>
                <w:sz w:val="18"/>
                <w:szCs w:val="18"/>
              </w:rPr>
            </w:pPr>
            <w:r w:rsidRPr="008048DD">
              <w:rPr>
                <w:spacing w:val="-4"/>
                <w:sz w:val="18"/>
                <w:szCs w:val="18"/>
              </w:rPr>
              <w:t>(fuente principal)</w:t>
            </w:r>
          </w:p>
        </w:tc>
        <w:tc>
          <w:tcPr>
            <w:tcW w:w="2880" w:type="dxa"/>
            <w:shd w:val="clear" w:color="auto" w:fill="FFFFFF" w:themeFill="background1"/>
          </w:tcPr>
          <w:p w14:paraId="19BC6096" w14:textId="008A117A" w:rsidR="00B1107F" w:rsidRPr="008048DD" w:rsidRDefault="00B1107F" w:rsidP="00EE7D24">
            <w:pPr>
              <w:rPr>
                <w:i/>
                <w:iCs/>
                <w:spacing w:val="-4"/>
                <w:sz w:val="18"/>
                <w:szCs w:val="18"/>
              </w:rPr>
            </w:pPr>
            <w:r w:rsidRPr="008048DD">
              <w:rPr>
                <w:spacing w:val="-4"/>
                <w:sz w:val="18"/>
                <w:szCs w:val="18"/>
              </w:rPr>
              <w:t>Partes: informes previstos en el artículo</w:t>
            </w:r>
            <w:r w:rsidR="004051FC" w:rsidRPr="008048DD">
              <w:rPr>
                <w:spacing w:val="-4"/>
                <w:sz w:val="18"/>
                <w:szCs w:val="18"/>
              </w:rPr>
              <w:t> </w:t>
            </w:r>
            <w:r w:rsidRPr="008048DD">
              <w:rPr>
                <w:spacing w:val="-4"/>
                <w:sz w:val="18"/>
                <w:szCs w:val="18"/>
              </w:rPr>
              <w:t xml:space="preserve">21 </w:t>
            </w:r>
          </w:p>
          <w:p w14:paraId="6AD20F8A" w14:textId="77777777" w:rsidR="00B1107F" w:rsidRPr="008048DD" w:rsidRDefault="00B1107F" w:rsidP="00EE7D24">
            <w:pPr>
              <w:rPr>
                <w:spacing w:val="-4"/>
                <w:sz w:val="18"/>
                <w:szCs w:val="18"/>
              </w:rPr>
            </w:pPr>
            <w:r w:rsidRPr="008048DD">
              <w:rPr>
                <w:spacing w:val="-4"/>
                <w:sz w:val="18"/>
                <w:szCs w:val="18"/>
              </w:rPr>
              <w:t>(fuente principal)</w:t>
            </w:r>
          </w:p>
        </w:tc>
        <w:tc>
          <w:tcPr>
            <w:tcW w:w="2717" w:type="dxa"/>
            <w:gridSpan w:val="2"/>
            <w:shd w:val="clear" w:color="auto" w:fill="FFFFFF" w:themeFill="background1"/>
          </w:tcPr>
          <w:p w14:paraId="17AB120D" w14:textId="3D6656BE" w:rsidR="00B1107F" w:rsidRPr="008048DD" w:rsidRDefault="00B1107F" w:rsidP="00EE7D24">
            <w:pPr>
              <w:rPr>
                <w:spacing w:val="-4"/>
                <w:sz w:val="18"/>
                <w:szCs w:val="18"/>
              </w:rPr>
            </w:pPr>
            <w:r w:rsidRPr="008048DD">
              <w:rPr>
                <w:spacing w:val="-4"/>
                <w:sz w:val="18"/>
                <w:szCs w:val="18"/>
              </w:rPr>
              <w:t>Partes: informes previstos en el artículo</w:t>
            </w:r>
            <w:r w:rsidR="00316B81">
              <w:rPr>
                <w:spacing w:val="-4"/>
                <w:sz w:val="18"/>
                <w:szCs w:val="18"/>
              </w:rPr>
              <w:t> </w:t>
            </w:r>
            <w:r w:rsidRPr="008048DD">
              <w:rPr>
                <w:spacing w:val="-4"/>
                <w:sz w:val="18"/>
                <w:szCs w:val="18"/>
              </w:rPr>
              <w:t>21</w:t>
            </w:r>
          </w:p>
          <w:p w14:paraId="18E04C60" w14:textId="77777777" w:rsidR="00B1107F" w:rsidRPr="008048DD" w:rsidRDefault="00B1107F" w:rsidP="00EE7D24">
            <w:pPr>
              <w:rPr>
                <w:spacing w:val="-4"/>
                <w:sz w:val="18"/>
                <w:szCs w:val="18"/>
              </w:rPr>
            </w:pPr>
            <w:r w:rsidRPr="008048DD">
              <w:rPr>
                <w:spacing w:val="-4"/>
                <w:sz w:val="18"/>
                <w:szCs w:val="18"/>
              </w:rPr>
              <w:t>Redes de vigilancia</w:t>
            </w:r>
          </w:p>
        </w:tc>
        <w:tc>
          <w:tcPr>
            <w:tcW w:w="3151" w:type="dxa"/>
            <w:vMerge/>
            <w:shd w:val="clear" w:color="auto" w:fill="auto"/>
          </w:tcPr>
          <w:p w14:paraId="6FDEB592" w14:textId="77777777" w:rsidR="00B1107F" w:rsidRPr="008048DD" w:rsidRDefault="00B1107F" w:rsidP="00EE7D24">
            <w:pPr>
              <w:rPr>
                <w:spacing w:val="-4"/>
                <w:sz w:val="18"/>
                <w:szCs w:val="18"/>
              </w:rPr>
            </w:pPr>
          </w:p>
        </w:tc>
      </w:tr>
      <w:tr w:rsidR="00B1107F" w:rsidRPr="008048DD" w14:paraId="554B23C2" w14:textId="77777777" w:rsidTr="00576B21">
        <w:trPr>
          <w:trHeight w:val="57"/>
          <w:jc w:val="right"/>
        </w:trPr>
        <w:tc>
          <w:tcPr>
            <w:tcW w:w="1430" w:type="dxa"/>
            <w:shd w:val="clear" w:color="auto" w:fill="B8CCE4" w:themeFill="accent1" w:themeFillTint="66"/>
          </w:tcPr>
          <w:p w14:paraId="6E54D0E9" w14:textId="63895DD4" w:rsidR="00B1107F" w:rsidRPr="008048DD" w:rsidRDefault="00B1107F" w:rsidP="00EE7D24">
            <w:pPr>
              <w:rPr>
                <w:b/>
                <w:bCs/>
                <w:spacing w:val="-4"/>
                <w:sz w:val="18"/>
                <w:szCs w:val="18"/>
              </w:rPr>
            </w:pPr>
            <w:r w:rsidRPr="008048DD">
              <w:rPr>
                <w:b/>
                <w:bCs/>
                <w:spacing w:val="-4"/>
                <w:sz w:val="18"/>
                <w:szCs w:val="18"/>
              </w:rPr>
              <w:t>Documentos de la Secretaría para la Conferencia de las Partes, de conformidad con el artículo</w:t>
            </w:r>
            <w:r w:rsidR="004051FC" w:rsidRPr="008048DD">
              <w:rPr>
                <w:b/>
                <w:bCs/>
                <w:spacing w:val="-4"/>
                <w:sz w:val="18"/>
                <w:szCs w:val="18"/>
              </w:rPr>
              <w:t> </w:t>
            </w:r>
            <w:r w:rsidRPr="008048DD">
              <w:rPr>
                <w:b/>
                <w:bCs/>
                <w:spacing w:val="-4"/>
                <w:sz w:val="18"/>
                <w:szCs w:val="18"/>
              </w:rPr>
              <w:t>22</w:t>
            </w:r>
          </w:p>
        </w:tc>
        <w:tc>
          <w:tcPr>
            <w:tcW w:w="2998" w:type="dxa"/>
            <w:gridSpan w:val="2"/>
            <w:shd w:val="clear" w:color="auto" w:fill="FFFFFF" w:themeFill="background1"/>
          </w:tcPr>
          <w:p w14:paraId="46DF5FF3" w14:textId="77777777" w:rsidR="00B1107F" w:rsidRPr="008048DD" w:rsidRDefault="00B1107F" w:rsidP="00EE7D24">
            <w:pPr>
              <w:rPr>
                <w:spacing w:val="-4"/>
                <w:sz w:val="18"/>
                <w:szCs w:val="18"/>
              </w:rPr>
            </w:pPr>
            <w:r w:rsidRPr="008048DD">
              <w:rPr>
                <w:spacing w:val="-4"/>
                <w:sz w:val="18"/>
                <w:szCs w:val="18"/>
              </w:rPr>
              <w:t>- Informe sobre los informes previstos en el artículo 21</w:t>
            </w:r>
          </w:p>
          <w:p w14:paraId="0270B6F0" w14:textId="77777777" w:rsidR="00B1107F" w:rsidRPr="008048DD" w:rsidRDefault="00B1107F" w:rsidP="00EE7D24">
            <w:pPr>
              <w:rPr>
                <w:spacing w:val="-4"/>
                <w:sz w:val="18"/>
                <w:szCs w:val="18"/>
              </w:rPr>
            </w:pPr>
            <w:r w:rsidRPr="008048DD">
              <w:rPr>
                <w:spacing w:val="-4"/>
                <w:sz w:val="18"/>
                <w:szCs w:val="18"/>
              </w:rPr>
              <w:t>- Informe del Comité de Aplicación y Cumplimiento</w:t>
            </w:r>
          </w:p>
          <w:p w14:paraId="3926B781" w14:textId="77777777" w:rsidR="00B1107F" w:rsidRPr="008048DD" w:rsidRDefault="00B1107F" w:rsidP="00EE7D24">
            <w:pPr>
              <w:rPr>
                <w:spacing w:val="-4"/>
                <w:sz w:val="18"/>
                <w:szCs w:val="18"/>
              </w:rPr>
            </w:pPr>
            <w:r w:rsidRPr="008048DD">
              <w:rPr>
                <w:spacing w:val="-4"/>
                <w:sz w:val="18"/>
                <w:szCs w:val="18"/>
              </w:rPr>
              <w:t>- Informes sobre el mecanismo financiero (artículo 13)</w:t>
            </w:r>
          </w:p>
          <w:p w14:paraId="1D5AB10D" w14:textId="77777777" w:rsidR="00B1107F" w:rsidRPr="008048DD" w:rsidRDefault="00B1107F" w:rsidP="00EE7D24">
            <w:pPr>
              <w:rPr>
                <w:spacing w:val="-4"/>
                <w:sz w:val="18"/>
                <w:szCs w:val="18"/>
              </w:rPr>
            </w:pPr>
            <w:r w:rsidRPr="008048DD">
              <w:rPr>
                <w:spacing w:val="-4"/>
                <w:sz w:val="18"/>
                <w:szCs w:val="18"/>
              </w:rPr>
              <w:t>- In</w:t>
            </w:r>
            <w:r w:rsidR="00576B21" w:rsidRPr="008048DD">
              <w:rPr>
                <w:spacing w:val="-4"/>
                <w:sz w:val="18"/>
                <w:szCs w:val="18"/>
              </w:rPr>
              <w:t>f</w:t>
            </w:r>
            <w:r w:rsidRPr="008048DD">
              <w:rPr>
                <w:spacing w:val="-4"/>
                <w:sz w:val="18"/>
                <w:szCs w:val="18"/>
              </w:rPr>
              <w:t>orme sobre creación de capacidad, asistencia técnica y transferencia de tecnología (artículo 14)</w:t>
            </w:r>
          </w:p>
        </w:tc>
        <w:tc>
          <w:tcPr>
            <w:tcW w:w="2880" w:type="dxa"/>
            <w:shd w:val="clear" w:color="auto" w:fill="FFFFFF" w:themeFill="background1"/>
          </w:tcPr>
          <w:p w14:paraId="3B46FA64" w14:textId="77777777" w:rsidR="00B1107F" w:rsidRPr="008048DD" w:rsidRDefault="00B1107F" w:rsidP="00EE7D24">
            <w:pPr>
              <w:rPr>
                <w:spacing w:val="-4"/>
                <w:sz w:val="18"/>
                <w:szCs w:val="18"/>
              </w:rPr>
            </w:pPr>
            <w:r w:rsidRPr="008048DD">
              <w:rPr>
                <w:spacing w:val="-4"/>
                <w:sz w:val="18"/>
                <w:szCs w:val="18"/>
              </w:rPr>
              <w:t>- Informe sobre los informes previstos en el artículo 21</w:t>
            </w:r>
          </w:p>
          <w:p w14:paraId="2D00B0C9" w14:textId="77777777" w:rsidR="00B1107F" w:rsidRPr="008048DD" w:rsidRDefault="00B1107F" w:rsidP="00EE7D24">
            <w:pPr>
              <w:rPr>
                <w:spacing w:val="-4"/>
                <w:sz w:val="18"/>
                <w:szCs w:val="18"/>
              </w:rPr>
            </w:pPr>
          </w:p>
        </w:tc>
        <w:tc>
          <w:tcPr>
            <w:tcW w:w="2717" w:type="dxa"/>
            <w:gridSpan w:val="2"/>
            <w:shd w:val="clear" w:color="auto" w:fill="FFFFFF" w:themeFill="background1"/>
          </w:tcPr>
          <w:p w14:paraId="0E8ADC6C" w14:textId="77777777" w:rsidR="00B1107F" w:rsidRPr="008048DD" w:rsidRDefault="003570F7" w:rsidP="00EE7D24">
            <w:pPr>
              <w:rPr>
                <w:spacing w:val="-4"/>
                <w:sz w:val="18"/>
                <w:szCs w:val="18"/>
              </w:rPr>
            </w:pPr>
            <w:r w:rsidRPr="008048DD">
              <w:rPr>
                <w:spacing w:val="-4"/>
                <w:sz w:val="18"/>
                <w:szCs w:val="18"/>
              </w:rPr>
              <w:t>No se aplica</w:t>
            </w:r>
          </w:p>
        </w:tc>
        <w:tc>
          <w:tcPr>
            <w:tcW w:w="3151" w:type="dxa"/>
            <w:vMerge/>
            <w:shd w:val="clear" w:color="auto" w:fill="auto"/>
          </w:tcPr>
          <w:p w14:paraId="0036E711" w14:textId="77777777" w:rsidR="00B1107F" w:rsidRPr="008048DD" w:rsidRDefault="00B1107F" w:rsidP="00EE7D24">
            <w:pPr>
              <w:rPr>
                <w:spacing w:val="-4"/>
                <w:sz w:val="18"/>
                <w:szCs w:val="18"/>
              </w:rPr>
            </w:pPr>
          </w:p>
        </w:tc>
      </w:tr>
      <w:tr w:rsidR="00B1107F" w:rsidRPr="008048DD" w14:paraId="67888439" w14:textId="77777777" w:rsidTr="00576B21">
        <w:trPr>
          <w:cantSplit/>
          <w:trHeight w:val="57"/>
          <w:jc w:val="right"/>
        </w:trPr>
        <w:tc>
          <w:tcPr>
            <w:tcW w:w="1430" w:type="dxa"/>
            <w:vMerge w:val="restart"/>
            <w:tcBorders>
              <w:bottom w:val="single" w:sz="4" w:space="0" w:color="auto"/>
            </w:tcBorders>
            <w:shd w:val="clear" w:color="auto" w:fill="B8CCE4" w:themeFill="accent1" w:themeFillTint="66"/>
          </w:tcPr>
          <w:p w14:paraId="3EA7A63D" w14:textId="5E827922" w:rsidR="00B1107F" w:rsidRPr="008048DD" w:rsidRDefault="00B1107F" w:rsidP="00EE7D24">
            <w:pPr>
              <w:rPr>
                <w:b/>
                <w:bCs/>
                <w:spacing w:val="-4"/>
                <w:sz w:val="18"/>
                <w:szCs w:val="18"/>
              </w:rPr>
            </w:pPr>
            <w:r w:rsidRPr="008048DD">
              <w:rPr>
                <w:b/>
                <w:bCs/>
                <w:spacing w:val="-4"/>
                <w:sz w:val="18"/>
                <w:szCs w:val="18"/>
              </w:rPr>
              <w:t xml:space="preserve">Informes que ha de preparar el </w:t>
            </w:r>
            <w:r w:rsidR="001D64C0" w:rsidRPr="008048DD">
              <w:rPr>
                <w:b/>
                <w:bCs/>
                <w:spacing w:val="-4"/>
                <w:sz w:val="18"/>
                <w:szCs w:val="18"/>
              </w:rPr>
              <w:t>Comité de Evaluación de la E</w:t>
            </w:r>
            <w:r w:rsidR="00E006FC" w:rsidRPr="008048DD">
              <w:rPr>
                <w:b/>
                <w:bCs/>
                <w:spacing w:val="-4"/>
                <w:sz w:val="18"/>
                <w:szCs w:val="18"/>
              </w:rPr>
              <w:t>ficacia</w:t>
            </w:r>
          </w:p>
        </w:tc>
        <w:tc>
          <w:tcPr>
            <w:tcW w:w="860" w:type="dxa"/>
            <w:vMerge w:val="restart"/>
            <w:tcBorders>
              <w:bottom w:val="single" w:sz="4" w:space="0" w:color="auto"/>
              <w:right w:val="single" w:sz="4" w:space="0" w:color="auto"/>
            </w:tcBorders>
            <w:shd w:val="clear" w:color="auto" w:fill="FFFFFF" w:themeFill="background1"/>
            <w:textDirection w:val="btLr"/>
          </w:tcPr>
          <w:p w14:paraId="40A15571" w14:textId="77777777" w:rsidR="00B1107F" w:rsidRPr="008048DD" w:rsidRDefault="00B1107F" w:rsidP="00EE7D24">
            <w:pPr>
              <w:ind w:left="113" w:right="113"/>
              <w:jc w:val="center"/>
              <w:rPr>
                <w:spacing w:val="-4"/>
                <w:sz w:val="18"/>
                <w:szCs w:val="18"/>
              </w:rPr>
            </w:pPr>
            <w:r w:rsidRPr="008048DD">
              <w:rPr>
                <w:spacing w:val="-4"/>
                <w:sz w:val="18"/>
                <w:szCs w:val="18"/>
              </w:rPr>
              <w:t>Niveles 1 a 3</w:t>
            </w:r>
          </w:p>
          <w:p w14:paraId="08579D61" w14:textId="77777777" w:rsidR="00B1107F" w:rsidRPr="008048DD" w:rsidRDefault="00B1107F" w:rsidP="00EE7D24">
            <w:pPr>
              <w:ind w:left="113" w:right="113"/>
              <w:rPr>
                <w:spacing w:val="-4"/>
                <w:sz w:val="18"/>
                <w:szCs w:val="18"/>
              </w:rPr>
            </w:pPr>
          </w:p>
        </w:tc>
        <w:tc>
          <w:tcPr>
            <w:tcW w:w="5018" w:type="dxa"/>
            <w:gridSpan w:val="2"/>
            <w:vMerge w:val="restart"/>
            <w:tcBorders>
              <w:top w:val="single" w:sz="4" w:space="0" w:color="auto"/>
              <w:left w:val="single" w:sz="4" w:space="0" w:color="auto"/>
              <w:bottom w:val="nil"/>
              <w:right w:val="single" w:sz="4" w:space="0" w:color="auto"/>
            </w:tcBorders>
            <w:shd w:val="clear" w:color="auto" w:fill="auto"/>
          </w:tcPr>
          <w:p w14:paraId="243D5719" w14:textId="77777777" w:rsidR="00B1107F" w:rsidRPr="008048DD" w:rsidRDefault="00B1107F" w:rsidP="00E3751C">
            <w:pPr>
              <w:rPr>
                <w:i/>
                <w:iCs/>
                <w:spacing w:val="-4"/>
                <w:sz w:val="18"/>
                <w:szCs w:val="18"/>
              </w:rPr>
            </w:pPr>
            <w:r w:rsidRPr="008048DD">
              <w:rPr>
                <w:spacing w:val="-4"/>
                <w:sz w:val="18"/>
                <w:szCs w:val="18"/>
              </w:rPr>
              <w:t xml:space="preserve">1. Informe de síntesis previsto en el artículo 21 sobre progresos realizados por las Partes en el cumplimiento de sus obligaciones </w:t>
            </w:r>
            <w:r w:rsidR="00E43F17" w:rsidRPr="008048DD">
              <w:rPr>
                <w:spacing w:val="-4"/>
                <w:sz w:val="18"/>
                <w:szCs w:val="18"/>
              </w:rPr>
              <w:t>previstas en e</w:t>
            </w:r>
            <w:r w:rsidRPr="008048DD">
              <w:rPr>
                <w:spacing w:val="-4"/>
                <w:sz w:val="18"/>
                <w:szCs w:val="18"/>
              </w:rPr>
              <w:t xml:space="preserve">l Convenio de Minamata (indicadores </w:t>
            </w:r>
            <w:r w:rsidR="00BA5A8F" w:rsidRPr="008048DD">
              <w:rPr>
                <w:spacing w:val="-4"/>
                <w:sz w:val="18"/>
                <w:szCs w:val="18"/>
              </w:rPr>
              <w:t>pertinentes</w:t>
            </w:r>
            <w:r w:rsidRPr="008048DD">
              <w:rPr>
                <w:spacing w:val="-4"/>
                <w:sz w:val="18"/>
                <w:szCs w:val="18"/>
              </w:rPr>
              <w:t xml:space="preserve"> en los informes presentados con arreglo artículo 21)</w:t>
            </w:r>
          </w:p>
          <w:p w14:paraId="60433126" w14:textId="77777777" w:rsidR="00B1107F" w:rsidRPr="008048DD" w:rsidRDefault="00B1107F" w:rsidP="00EE7D24">
            <w:pPr>
              <w:rPr>
                <w:spacing w:val="-4"/>
                <w:sz w:val="18"/>
                <w:szCs w:val="18"/>
              </w:rPr>
            </w:pPr>
            <w:r w:rsidRPr="008048DD">
              <w:rPr>
                <w:spacing w:val="-4"/>
                <w:sz w:val="18"/>
                <w:szCs w:val="18"/>
              </w:rPr>
              <w:t>2. Informe sobre las emisiones y liberaciones de mercurio en el medio ambiente (Grupo sobre presión)</w:t>
            </w:r>
          </w:p>
          <w:p w14:paraId="0CC15B32" w14:textId="77777777" w:rsidR="00B1107F" w:rsidRPr="008048DD" w:rsidRDefault="00B1107F" w:rsidP="00E43F17">
            <w:pPr>
              <w:rPr>
                <w:i/>
                <w:iCs/>
                <w:spacing w:val="-4"/>
                <w:sz w:val="18"/>
                <w:szCs w:val="18"/>
              </w:rPr>
            </w:pPr>
            <w:r w:rsidRPr="008048DD">
              <w:rPr>
                <w:spacing w:val="-4"/>
                <w:sz w:val="18"/>
                <w:szCs w:val="18"/>
              </w:rPr>
              <w:t xml:space="preserve">3. Informe sobre el comercio, </w:t>
            </w:r>
            <w:r w:rsidR="00E0374C" w:rsidRPr="008048DD">
              <w:rPr>
                <w:spacing w:val="-4"/>
                <w:sz w:val="18"/>
                <w:szCs w:val="18"/>
              </w:rPr>
              <w:t>el suministro</w:t>
            </w:r>
            <w:r w:rsidRPr="008048DD">
              <w:rPr>
                <w:spacing w:val="-4"/>
                <w:sz w:val="18"/>
                <w:szCs w:val="18"/>
              </w:rPr>
              <w:t xml:space="preserve"> y la demanda de mercurio en la economía (grupo sobre </w:t>
            </w:r>
            <w:r w:rsidR="00E43F17" w:rsidRPr="008048DD">
              <w:rPr>
                <w:spacing w:val="-4"/>
                <w:sz w:val="18"/>
                <w:szCs w:val="18"/>
              </w:rPr>
              <w:t>suministro</w:t>
            </w:r>
            <w:r w:rsidRPr="008048DD">
              <w:rPr>
                <w:spacing w:val="-4"/>
                <w:sz w:val="18"/>
                <w:szCs w:val="18"/>
              </w:rPr>
              <w:t xml:space="preserve"> y demanda) “movimientos de mercurio en la economía”</w:t>
            </w:r>
          </w:p>
        </w:tc>
        <w:tc>
          <w:tcPr>
            <w:tcW w:w="568" w:type="dxa"/>
            <w:tcBorders>
              <w:left w:val="single" w:sz="4" w:space="0" w:color="auto"/>
              <w:bottom w:val="single" w:sz="4" w:space="0" w:color="auto"/>
            </w:tcBorders>
            <w:shd w:val="clear" w:color="auto" w:fill="FFFFFF" w:themeFill="background1"/>
            <w:textDirection w:val="btLr"/>
          </w:tcPr>
          <w:p w14:paraId="70D43F37" w14:textId="77777777" w:rsidR="00B1107F" w:rsidRPr="008048DD" w:rsidRDefault="00B1107F" w:rsidP="00EE7D24">
            <w:pPr>
              <w:ind w:left="113" w:right="113"/>
              <w:jc w:val="center"/>
              <w:rPr>
                <w:spacing w:val="-4"/>
                <w:sz w:val="18"/>
                <w:szCs w:val="18"/>
              </w:rPr>
            </w:pPr>
            <w:r w:rsidRPr="008048DD">
              <w:rPr>
                <w:spacing w:val="-4"/>
                <w:sz w:val="18"/>
                <w:szCs w:val="18"/>
              </w:rPr>
              <w:t>Nivel 3</w:t>
            </w:r>
          </w:p>
        </w:tc>
        <w:tc>
          <w:tcPr>
            <w:tcW w:w="2149" w:type="dxa"/>
            <w:tcBorders>
              <w:bottom w:val="single" w:sz="4" w:space="0" w:color="auto"/>
            </w:tcBorders>
            <w:shd w:val="clear" w:color="auto" w:fill="FFFFFF" w:themeFill="background1"/>
          </w:tcPr>
          <w:p w14:paraId="198A07B6" w14:textId="77777777" w:rsidR="00B1107F" w:rsidRPr="008048DD" w:rsidRDefault="00B1107F" w:rsidP="00EE7D24">
            <w:pPr>
              <w:rPr>
                <w:spacing w:val="-4"/>
                <w:sz w:val="18"/>
                <w:szCs w:val="18"/>
              </w:rPr>
            </w:pPr>
          </w:p>
          <w:p w14:paraId="5F5685CA" w14:textId="77777777" w:rsidR="00B1107F" w:rsidRPr="008048DD" w:rsidRDefault="00B1107F" w:rsidP="00EE7D24">
            <w:pPr>
              <w:rPr>
                <w:spacing w:val="-4"/>
                <w:sz w:val="18"/>
                <w:szCs w:val="18"/>
              </w:rPr>
            </w:pPr>
            <w:r w:rsidRPr="008048DD">
              <w:rPr>
                <w:spacing w:val="-4"/>
                <w:sz w:val="18"/>
                <w:szCs w:val="18"/>
              </w:rPr>
              <w:t>5. Informe de vigilancia</w:t>
            </w:r>
          </w:p>
          <w:p w14:paraId="15578AD3" w14:textId="77777777" w:rsidR="00B1107F" w:rsidRPr="008048DD" w:rsidRDefault="00B1107F" w:rsidP="00EE7D24">
            <w:pPr>
              <w:rPr>
                <w:spacing w:val="-4"/>
                <w:sz w:val="18"/>
                <w:szCs w:val="18"/>
              </w:rPr>
            </w:pPr>
          </w:p>
          <w:p w14:paraId="5A757E78" w14:textId="77777777" w:rsidR="00B1107F" w:rsidRPr="008048DD" w:rsidRDefault="00B1107F" w:rsidP="00EE7D24">
            <w:pPr>
              <w:rPr>
                <w:spacing w:val="-4"/>
                <w:sz w:val="18"/>
                <w:szCs w:val="18"/>
              </w:rPr>
            </w:pPr>
          </w:p>
          <w:p w14:paraId="688195D0" w14:textId="77777777" w:rsidR="00B1107F" w:rsidRPr="008048DD" w:rsidRDefault="00B1107F" w:rsidP="00EE7D24">
            <w:pPr>
              <w:rPr>
                <w:spacing w:val="-4"/>
                <w:sz w:val="18"/>
                <w:szCs w:val="18"/>
              </w:rPr>
            </w:pPr>
          </w:p>
        </w:tc>
        <w:tc>
          <w:tcPr>
            <w:tcW w:w="3151" w:type="dxa"/>
            <w:vMerge/>
            <w:tcBorders>
              <w:bottom w:val="single" w:sz="4" w:space="0" w:color="auto"/>
            </w:tcBorders>
            <w:shd w:val="clear" w:color="auto" w:fill="auto"/>
            <w:textDirection w:val="btLr"/>
          </w:tcPr>
          <w:p w14:paraId="4E5D2CB2" w14:textId="77777777" w:rsidR="00B1107F" w:rsidRPr="008048DD" w:rsidRDefault="00B1107F" w:rsidP="00EE7D24">
            <w:pPr>
              <w:rPr>
                <w:spacing w:val="-4"/>
                <w:sz w:val="18"/>
                <w:szCs w:val="18"/>
              </w:rPr>
            </w:pPr>
          </w:p>
        </w:tc>
      </w:tr>
      <w:tr w:rsidR="00B1107F" w:rsidRPr="008048DD" w14:paraId="20B643E4" w14:textId="77777777" w:rsidTr="00576B21">
        <w:trPr>
          <w:cantSplit/>
          <w:trHeight w:val="207"/>
          <w:jc w:val="right"/>
        </w:trPr>
        <w:tc>
          <w:tcPr>
            <w:tcW w:w="1430" w:type="dxa"/>
            <w:vMerge/>
            <w:shd w:val="clear" w:color="auto" w:fill="B8CCE4" w:themeFill="accent1" w:themeFillTint="66"/>
          </w:tcPr>
          <w:p w14:paraId="7B457D8F" w14:textId="77777777" w:rsidR="00B1107F" w:rsidRPr="008048DD" w:rsidRDefault="00B1107F" w:rsidP="00EE7D24">
            <w:pPr>
              <w:rPr>
                <w:b/>
                <w:bCs/>
                <w:spacing w:val="-4"/>
                <w:sz w:val="18"/>
                <w:szCs w:val="18"/>
              </w:rPr>
            </w:pPr>
          </w:p>
        </w:tc>
        <w:tc>
          <w:tcPr>
            <w:tcW w:w="860" w:type="dxa"/>
            <w:vMerge/>
            <w:tcBorders>
              <w:right w:val="single" w:sz="4" w:space="0" w:color="auto"/>
            </w:tcBorders>
            <w:shd w:val="clear" w:color="auto" w:fill="FFFFFF" w:themeFill="background1"/>
            <w:textDirection w:val="btLr"/>
          </w:tcPr>
          <w:p w14:paraId="33EEC4A5" w14:textId="77777777" w:rsidR="00B1107F" w:rsidRPr="008048DD" w:rsidRDefault="00B1107F" w:rsidP="00EE7D24">
            <w:pPr>
              <w:ind w:left="113" w:right="113"/>
              <w:jc w:val="center"/>
              <w:rPr>
                <w:spacing w:val="-4"/>
                <w:sz w:val="18"/>
                <w:szCs w:val="18"/>
              </w:rPr>
            </w:pPr>
          </w:p>
        </w:tc>
        <w:tc>
          <w:tcPr>
            <w:tcW w:w="5018" w:type="dxa"/>
            <w:gridSpan w:val="2"/>
            <w:vMerge/>
            <w:tcBorders>
              <w:top w:val="nil"/>
              <w:left w:val="single" w:sz="4" w:space="0" w:color="auto"/>
              <w:bottom w:val="nil"/>
              <w:right w:val="single" w:sz="4" w:space="0" w:color="auto"/>
            </w:tcBorders>
            <w:shd w:val="clear" w:color="auto" w:fill="auto"/>
          </w:tcPr>
          <w:p w14:paraId="69FAC4C8" w14:textId="77777777" w:rsidR="00B1107F" w:rsidRPr="008048DD" w:rsidRDefault="00B1107F" w:rsidP="00EE7D24">
            <w:pPr>
              <w:rPr>
                <w:i/>
                <w:iCs/>
                <w:spacing w:val="-4"/>
                <w:sz w:val="18"/>
                <w:szCs w:val="18"/>
              </w:rPr>
            </w:pPr>
          </w:p>
        </w:tc>
        <w:tc>
          <w:tcPr>
            <w:tcW w:w="568" w:type="dxa"/>
            <w:vMerge w:val="restart"/>
            <w:tcBorders>
              <w:left w:val="single" w:sz="4" w:space="0" w:color="auto"/>
            </w:tcBorders>
            <w:shd w:val="clear" w:color="auto" w:fill="auto"/>
            <w:textDirection w:val="btLr"/>
          </w:tcPr>
          <w:p w14:paraId="545C1A80" w14:textId="77777777" w:rsidR="00B1107F" w:rsidRPr="008048DD" w:rsidRDefault="00B1107F" w:rsidP="00EE7D24">
            <w:pPr>
              <w:ind w:left="113" w:right="113"/>
              <w:jc w:val="center"/>
              <w:rPr>
                <w:spacing w:val="-4"/>
                <w:sz w:val="18"/>
                <w:szCs w:val="18"/>
                <w:vertAlign w:val="superscript"/>
              </w:rPr>
            </w:pPr>
            <w:r w:rsidRPr="008048DD">
              <w:rPr>
                <w:spacing w:val="-4"/>
                <w:sz w:val="18"/>
                <w:szCs w:val="18"/>
              </w:rPr>
              <w:t xml:space="preserve">Nivel 4 </w:t>
            </w:r>
          </w:p>
          <w:p w14:paraId="6C718547" w14:textId="77777777" w:rsidR="00B1107F" w:rsidRPr="008048DD" w:rsidRDefault="00B1107F" w:rsidP="00EE7D24">
            <w:pPr>
              <w:ind w:left="113" w:right="113"/>
              <w:jc w:val="center"/>
              <w:rPr>
                <w:spacing w:val="-4"/>
                <w:sz w:val="18"/>
                <w:szCs w:val="18"/>
              </w:rPr>
            </w:pPr>
          </w:p>
        </w:tc>
        <w:tc>
          <w:tcPr>
            <w:tcW w:w="2149" w:type="dxa"/>
            <w:vMerge w:val="restart"/>
            <w:shd w:val="clear" w:color="auto" w:fill="auto"/>
          </w:tcPr>
          <w:p w14:paraId="5A12DA65" w14:textId="77777777" w:rsidR="00B1107F" w:rsidRPr="008048DD" w:rsidRDefault="00B1107F" w:rsidP="00EE7D24">
            <w:pPr>
              <w:rPr>
                <w:spacing w:val="-4"/>
                <w:sz w:val="18"/>
                <w:szCs w:val="18"/>
              </w:rPr>
            </w:pPr>
          </w:p>
          <w:p w14:paraId="20513A39" w14:textId="77777777" w:rsidR="00B1107F" w:rsidRPr="008048DD" w:rsidRDefault="00B1107F" w:rsidP="00EE7D24">
            <w:pPr>
              <w:rPr>
                <w:sz w:val="18"/>
                <w:szCs w:val="18"/>
                <w:highlight w:val="lightGray"/>
              </w:rPr>
            </w:pPr>
            <w:r w:rsidRPr="008048DD">
              <w:rPr>
                <w:sz w:val="18"/>
                <w:szCs w:val="18"/>
                <w:highlight w:val="lightGray"/>
              </w:rPr>
              <w:t xml:space="preserve">6. Informe sobre la atribución </w:t>
            </w:r>
          </w:p>
          <w:p w14:paraId="673354E7" w14:textId="77777777" w:rsidR="00B1107F" w:rsidRPr="008048DD" w:rsidRDefault="00B1107F" w:rsidP="00EE7D24">
            <w:pPr>
              <w:rPr>
                <w:spacing w:val="-4"/>
                <w:sz w:val="18"/>
                <w:szCs w:val="18"/>
              </w:rPr>
            </w:pPr>
          </w:p>
        </w:tc>
        <w:tc>
          <w:tcPr>
            <w:tcW w:w="3151" w:type="dxa"/>
            <w:vMerge/>
            <w:shd w:val="clear" w:color="auto" w:fill="auto"/>
            <w:textDirection w:val="btLr"/>
          </w:tcPr>
          <w:p w14:paraId="374D0499" w14:textId="77777777" w:rsidR="00B1107F" w:rsidRPr="008048DD" w:rsidRDefault="00B1107F" w:rsidP="00EE7D24">
            <w:pPr>
              <w:rPr>
                <w:spacing w:val="-4"/>
                <w:sz w:val="18"/>
                <w:szCs w:val="18"/>
              </w:rPr>
            </w:pPr>
          </w:p>
        </w:tc>
      </w:tr>
      <w:tr w:rsidR="00B1107F" w:rsidRPr="008048DD" w14:paraId="6924B593" w14:textId="77777777" w:rsidTr="00576B21">
        <w:trPr>
          <w:cantSplit/>
          <w:trHeight w:val="57"/>
          <w:jc w:val="right"/>
        </w:trPr>
        <w:tc>
          <w:tcPr>
            <w:tcW w:w="1430" w:type="dxa"/>
            <w:vMerge/>
            <w:shd w:val="clear" w:color="auto" w:fill="B8CCE4" w:themeFill="accent1" w:themeFillTint="66"/>
          </w:tcPr>
          <w:p w14:paraId="0B57414C" w14:textId="77777777" w:rsidR="00B1107F" w:rsidRPr="008048DD" w:rsidRDefault="00B1107F" w:rsidP="00EE7D24">
            <w:pPr>
              <w:rPr>
                <w:b/>
                <w:bCs/>
                <w:spacing w:val="-4"/>
                <w:sz w:val="18"/>
                <w:szCs w:val="18"/>
              </w:rPr>
            </w:pPr>
          </w:p>
        </w:tc>
        <w:tc>
          <w:tcPr>
            <w:tcW w:w="860" w:type="dxa"/>
            <w:vMerge/>
            <w:tcBorders>
              <w:right w:val="single" w:sz="4" w:space="0" w:color="auto"/>
            </w:tcBorders>
            <w:shd w:val="clear" w:color="auto" w:fill="FFFFFF" w:themeFill="background1"/>
            <w:textDirection w:val="btLr"/>
          </w:tcPr>
          <w:p w14:paraId="2D70AE51" w14:textId="77777777" w:rsidR="00B1107F" w:rsidRPr="008048DD" w:rsidRDefault="00B1107F" w:rsidP="00EE7D24">
            <w:pPr>
              <w:ind w:left="113" w:right="113"/>
              <w:jc w:val="center"/>
              <w:rPr>
                <w:b/>
                <w:bCs/>
                <w:spacing w:val="-4"/>
                <w:sz w:val="18"/>
                <w:szCs w:val="18"/>
              </w:rPr>
            </w:pPr>
          </w:p>
        </w:tc>
        <w:tc>
          <w:tcPr>
            <w:tcW w:w="5018" w:type="dxa"/>
            <w:gridSpan w:val="2"/>
            <w:tcBorders>
              <w:top w:val="nil"/>
              <w:left w:val="single" w:sz="4" w:space="0" w:color="auto"/>
              <w:bottom w:val="single" w:sz="4" w:space="0" w:color="auto"/>
              <w:right w:val="single" w:sz="4" w:space="0" w:color="auto"/>
            </w:tcBorders>
            <w:shd w:val="clear" w:color="auto" w:fill="auto"/>
          </w:tcPr>
          <w:p w14:paraId="56DC2B9F" w14:textId="77777777" w:rsidR="00B1107F" w:rsidRPr="008048DD" w:rsidRDefault="00B1107F" w:rsidP="00E43F17">
            <w:pPr>
              <w:rPr>
                <w:i/>
                <w:iCs/>
                <w:spacing w:val="-4"/>
                <w:sz w:val="18"/>
                <w:szCs w:val="18"/>
              </w:rPr>
            </w:pPr>
            <w:r w:rsidRPr="008048DD">
              <w:rPr>
                <w:sz w:val="18"/>
                <w:szCs w:val="18"/>
                <w:highlight w:val="lightGray"/>
              </w:rPr>
              <w:t xml:space="preserve">4. Informe sobre </w:t>
            </w:r>
            <w:r w:rsidR="00E43F17" w:rsidRPr="008048DD">
              <w:rPr>
                <w:sz w:val="18"/>
                <w:szCs w:val="18"/>
                <w:highlight w:val="lightGray"/>
              </w:rPr>
              <w:t>desechos</w:t>
            </w:r>
            <w:r w:rsidRPr="008048DD">
              <w:rPr>
                <w:sz w:val="18"/>
                <w:szCs w:val="18"/>
                <w:highlight w:val="lightGray"/>
              </w:rPr>
              <w:t xml:space="preserve"> </w:t>
            </w:r>
            <w:r w:rsidR="00576B21" w:rsidRPr="008048DD">
              <w:rPr>
                <w:sz w:val="18"/>
                <w:szCs w:val="18"/>
                <w:highlight w:val="lightGray"/>
              </w:rPr>
              <w:t xml:space="preserve">de </w:t>
            </w:r>
            <w:r w:rsidRPr="008048DD">
              <w:rPr>
                <w:sz w:val="18"/>
                <w:szCs w:val="18"/>
                <w:highlight w:val="lightGray"/>
              </w:rPr>
              <w:t>“mercurio que permanece</w:t>
            </w:r>
            <w:r w:rsidR="00E43F17" w:rsidRPr="008048DD">
              <w:rPr>
                <w:sz w:val="18"/>
                <w:szCs w:val="18"/>
                <w:highlight w:val="lightGray"/>
              </w:rPr>
              <w:t>n</w:t>
            </w:r>
            <w:r w:rsidRPr="008048DD">
              <w:rPr>
                <w:sz w:val="18"/>
                <w:szCs w:val="18"/>
                <w:highlight w:val="lightGray"/>
              </w:rPr>
              <w:t xml:space="preserve"> en la economía”</w:t>
            </w:r>
            <w:r w:rsidR="00E43F17" w:rsidRPr="008048DD">
              <w:rPr>
                <w:sz w:val="18"/>
                <w:szCs w:val="18"/>
                <w:highlight w:val="lightGray"/>
              </w:rPr>
              <w:t xml:space="preserve"> (grupo sobre suministro y demanda, grupo sobre presión)</w:t>
            </w:r>
          </w:p>
        </w:tc>
        <w:tc>
          <w:tcPr>
            <w:tcW w:w="568" w:type="dxa"/>
            <w:vMerge/>
            <w:tcBorders>
              <w:left w:val="single" w:sz="4" w:space="0" w:color="auto"/>
            </w:tcBorders>
            <w:shd w:val="clear" w:color="auto" w:fill="auto"/>
            <w:textDirection w:val="btLr"/>
          </w:tcPr>
          <w:p w14:paraId="57825691" w14:textId="77777777" w:rsidR="00B1107F" w:rsidRPr="008048DD" w:rsidRDefault="00B1107F" w:rsidP="00EE7D24">
            <w:pPr>
              <w:ind w:left="113" w:right="113"/>
              <w:jc w:val="center"/>
              <w:rPr>
                <w:b/>
                <w:bCs/>
                <w:spacing w:val="-4"/>
                <w:sz w:val="18"/>
                <w:szCs w:val="18"/>
              </w:rPr>
            </w:pPr>
          </w:p>
        </w:tc>
        <w:tc>
          <w:tcPr>
            <w:tcW w:w="2149" w:type="dxa"/>
            <w:vMerge/>
            <w:shd w:val="clear" w:color="auto" w:fill="auto"/>
          </w:tcPr>
          <w:p w14:paraId="3E3FD06B" w14:textId="77777777" w:rsidR="00B1107F" w:rsidRPr="008048DD" w:rsidRDefault="00B1107F" w:rsidP="00EE7D24">
            <w:pPr>
              <w:rPr>
                <w:b/>
                <w:bCs/>
                <w:spacing w:val="-4"/>
                <w:sz w:val="18"/>
                <w:szCs w:val="18"/>
              </w:rPr>
            </w:pPr>
          </w:p>
        </w:tc>
        <w:tc>
          <w:tcPr>
            <w:tcW w:w="3151" w:type="dxa"/>
            <w:vMerge/>
            <w:shd w:val="clear" w:color="auto" w:fill="auto"/>
            <w:textDirection w:val="btLr"/>
          </w:tcPr>
          <w:p w14:paraId="312B673F" w14:textId="77777777" w:rsidR="00B1107F" w:rsidRPr="008048DD" w:rsidRDefault="00B1107F" w:rsidP="00EE7D24">
            <w:pPr>
              <w:rPr>
                <w:spacing w:val="-4"/>
                <w:sz w:val="18"/>
                <w:szCs w:val="18"/>
              </w:rPr>
            </w:pPr>
          </w:p>
        </w:tc>
      </w:tr>
      <w:tr w:rsidR="00B1107F" w:rsidRPr="008048DD" w14:paraId="3368D2D0" w14:textId="77777777" w:rsidTr="00576B21">
        <w:trPr>
          <w:cantSplit/>
          <w:trHeight w:val="57"/>
          <w:jc w:val="right"/>
        </w:trPr>
        <w:tc>
          <w:tcPr>
            <w:tcW w:w="1430" w:type="dxa"/>
            <w:shd w:val="clear" w:color="auto" w:fill="B8CCE4" w:themeFill="accent1" w:themeFillTint="66"/>
          </w:tcPr>
          <w:p w14:paraId="4056B280" w14:textId="77777777" w:rsidR="00B1107F" w:rsidRPr="008048DD" w:rsidRDefault="00B1107F" w:rsidP="00A50785">
            <w:pPr>
              <w:rPr>
                <w:b/>
                <w:bCs/>
                <w:spacing w:val="-4"/>
                <w:sz w:val="18"/>
                <w:szCs w:val="18"/>
              </w:rPr>
            </w:pPr>
            <w:r w:rsidRPr="008048DD">
              <w:rPr>
                <w:b/>
                <w:bCs/>
                <w:spacing w:val="-4"/>
                <w:sz w:val="18"/>
                <w:szCs w:val="18"/>
              </w:rPr>
              <w:t>Resultados</w:t>
            </w:r>
          </w:p>
        </w:tc>
        <w:tc>
          <w:tcPr>
            <w:tcW w:w="11746" w:type="dxa"/>
            <w:gridSpan w:val="6"/>
            <w:shd w:val="clear" w:color="auto" w:fill="auto"/>
          </w:tcPr>
          <w:p w14:paraId="590ABA21" w14:textId="77777777" w:rsidR="00B1107F" w:rsidRPr="008048DD" w:rsidRDefault="00B1107F" w:rsidP="00A50785">
            <w:pPr>
              <w:jc w:val="right"/>
              <w:rPr>
                <w:spacing w:val="-4"/>
                <w:sz w:val="18"/>
                <w:szCs w:val="18"/>
              </w:rPr>
            </w:pPr>
            <w:r w:rsidRPr="008048DD">
              <w:rPr>
                <w:spacing w:val="-4"/>
                <w:sz w:val="18"/>
                <w:szCs w:val="18"/>
              </w:rPr>
              <w:t>Nivel 6</w:t>
            </w:r>
          </w:p>
          <w:p w14:paraId="0B9377D5" w14:textId="4EF62A1A" w:rsidR="00B1107F" w:rsidRPr="008048DD" w:rsidRDefault="00B1107F" w:rsidP="00A50785">
            <w:pPr>
              <w:spacing w:after="60"/>
              <w:rPr>
                <w:spacing w:val="-4"/>
                <w:sz w:val="18"/>
                <w:szCs w:val="18"/>
              </w:rPr>
            </w:pPr>
            <w:r w:rsidRPr="008048DD">
              <w:rPr>
                <w:spacing w:val="-4"/>
                <w:sz w:val="18"/>
                <w:szCs w:val="18"/>
              </w:rPr>
              <w:t xml:space="preserve">La Conferencia de las Partes examinará las conclusiones del </w:t>
            </w:r>
            <w:r w:rsidR="001D64C0" w:rsidRPr="008048DD">
              <w:rPr>
                <w:spacing w:val="-4"/>
                <w:sz w:val="18"/>
                <w:szCs w:val="18"/>
              </w:rPr>
              <w:t>Comité de Evaluación de la E</w:t>
            </w:r>
            <w:r w:rsidR="00E006FC" w:rsidRPr="008048DD">
              <w:rPr>
                <w:spacing w:val="-4"/>
                <w:sz w:val="18"/>
                <w:szCs w:val="18"/>
              </w:rPr>
              <w:t>ficacia</w:t>
            </w:r>
            <w:r w:rsidRPr="008048DD">
              <w:rPr>
                <w:spacing w:val="-4"/>
                <w:sz w:val="18"/>
                <w:szCs w:val="18"/>
              </w:rPr>
              <w:t xml:space="preserve"> en relación con las cuatro cuestiones normativas.</w:t>
            </w:r>
          </w:p>
        </w:tc>
      </w:tr>
    </w:tbl>
    <w:p w14:paraId="0DABBDE5" w14:textId="77777777" w:rsidR="000D3019" w:rsidRPr="003974D7" w:rsidRDefault="000D3019" w:rsidP="00B83939">
      <w:pPr>
        <w:pStyle w:val="CH1"/>
        <w:rPr>
          <w:lang w:val="es-ES"/>
        </w:rPr>
        <w:sectPr w:rsidR="000D3019" w:rsidRPr="003974D7" w:rsidSect="00AA0417">
          <w:headerReference w:type="default" r:id="rId17"/>
          <w:type w:val="nextColumn"/>
          <w:pgSz w:w="16840" w:h="11907" w:orient="landscape" w:code="9"/>
          <w:pgMar w:top="907" w:right="992" w:bottom="1559" w:left="1418" w:header="539" w:footer="975" w:gutter="0"/>
          <w:cols w:space="708"/>
          <w:docGrid w:linePitch="360"/>
        </w:sectPr>
      </w:pPr>
    </w:p>
    <w:p w14:paraId="5EE821D1" w14:textId="3158499F" w:rsidR="00B1107F" w:rsidRPr="003974D7" w:rsidRDefault="00B83939" w:rsidP="00B83939">
      <w:pPr>
        <w:pStyle w:val="CH1"/>
        <w:tabs>
          <w:tab w:val="right" w:pos="851"/>
          <w:tab w:val="left" w:pos="1247"/>
          <w:tab w:val="left" w:pos="1814"/>
          <w:tab w:val="left" w:pos="2381"/>
          <w:tab w:val="left" w:pos="2948"/>
          <w:tab w:val="left" w:pos="3515"/>
          <w:tab w:val="left" w:pos="4082"/>
        </w:tabs>
        <w:ind w:left="1247" w:hanging="1247"/>
        <w:rPr>
          <w:lang w:val="es-ES"/>
        </w:rPr>
      </w:pPr>
      <w:r w:rsidRPr="003974D7">
        <w:rPr>
          <w:rFonts w:ascii="Times New Roman" w:hAnsi="Times New Roman" w:cs="Times New Roman"/>
          <w:lang w:val="es-ES"/>
        </w:rPr>
        <w:tab/>
      </w:r>
      <w:r w:rsidRPr="00B83939">
        <w:rPr>
          <w:rFonts w:ascii="Times New Roman" w:hAnsi="Times New Roman" w:cs="Times New Roman"/>
          <w:lang w:val="es-ES"/>
        </w:rPr>
        <w:t>III.</w:t>
      </w:r>
      <w:r w:rsidRPr="00B83939">
        <w:rPr>
          <w:rFonts w:ascii="Times New Roman" w:hAnsi="Times New Roman" w:cs="Times New Roman"/>
          <w:lang w:val="es-ES"/>
        </w:rPr>
        <w:tab/>
      </w:r>
      <w:r w:rsidR="00483B21" w:rsidRPr="003974D7">
        <w:rPr>
          <w:lang w:val="es-ES"/>
        </w:rPr>
        <w:t>Metodología y periodicidad de la evaluación de la eficacia propuestas</w:t>
      </w:r>
    </w:p>
    <w:p w14:paraId="0A6632F5" w14:textId="77777777" w:rsidR="00B1107F" w:rsidRPr="008048DD" w:rsidRDefault="006531FE" w:rsidP="00B66A03">
      <w:pPr>
        <w:pStyle w:val="CH2"/>
        <w:rPr>
          <w:lang w:val="es-ES_tradnl"/>
        </w:rPr>
      </w:pPr>
      <w:r w:rsidRPr="008048DD">
        <w:rPr>
          <w:lang w:val="es-ES_tradnl"/>
        </w:rPr>
        <w:tab/>
      </w:r>
      <w:r w:rsidR="00B66A03" w:rsidRPr="008048DD">
        <w:rPr>
          <w:lang w:val="es-ES_tradnl"/>
        </w:rPr>
        <w:t>A.</w:t>
      </w:r>
      <w:r w:rsidR="00B66A03" w:rsidRPr="008048DD">
        <w:rPr>
          <w:lang w:val="es-ES_tradnl"/>
        </w:rPr>
        <w:tab/>
      </w:r>
      <w:r w:rsidR="00B66A03" w:rsidRPr="008048DD">
        <w:rPr>
          <w:bCs/>
          <w:lang w:val="es-ES_tradnl"/>
        </w:rPr>
        <w:t xml:space="preserve">Flujo de información y análisis </w:t>
      </w:r>
      <w:r w:rsidR="00BA5A8F" w:rsidRPr="008048DD">
        <w:rPr>
          <w:bCs/>
          <w:lang w:val="es-ES_tradnl"/>
        </w:rPr>
        <w:t xml:space="preserve">para </w:t>
      </w:r>
      <w:r w:rsidR="00B66A03" w:rsidRPr="008048DD">
        <w:rPr>
          <w:bCs/>
          <w:lang w:val="es-ES_tradnl"/>
        </w:rPr>
        <w:t xml:space="preserve">la evaluación </w:t>
      </w:r>
      <w:r w:rsidR="00BA5A8F" w:rsidRPr="008048DD">
        <w:rPr>
          <w:bCs/>
          <w:lang w:val="es-ES_tradnl"/>
        </w:rPr>
        <w:t xml:space="preserve">propuesta </w:t>
      </w:r>
      <w:r w:rsidR="00B66A03" w:rsidRPr="008048DD">
        <w:rPr>
          <w:bCs/>
          <w:lang w:val="es-ES_tradnl"/>
        </w:rPr>
        <w:t xml:space="preserve">de la eficacia </w:t>
      </w:r>
    </w:p>
    <w:p w14:paraId="0DBDA74A" w14:textId="09207D05"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La evaluación de la eficacia se llevará a cabo </w:t>
      </w:r>
      <w:r w:rsidR="009F2AE4" w:rsidRPr="008048DD">
        <w:rPr>
          <w:lang w:val="es-ES_tradnl"/>
        </w:rPr>
        <w:t xml:space="preserve">mediante una serie </w:t>
      </w:r>
      <w:r w:rsidRPr="008048DD">
        <w:rPr>
          <w:lang w:val="es-ES_tradnl"/>
        </w:rPr>
        <w:t>de etapas consecutivas de selección y reunión de datos, recopilación de información, evaluación, análisis, síntesis, atribución (si</w:t>
      </w:r>
      <w:r w:rsidR="005D2CBB" w:rsidRPr="008048DD">
        <w:rPr>
          <w:lang w:val="es-ES_tradnl"/>
        </w:rPr>
        <w:t> </w:t>
      </w:r>
      <w:r w:rsidRPr="008048DD">
        <w:rPr>
          <w:lang w:val="es-ES_tradnl"/>
        </w:rPr>
        <w:t>es posible)</w:t>
      </w:r>
      <w:r w:rsidR="00BA5A8F" w:rsidRPr="008048DD">
        <w:rPr>
          <w:lang w:val="es-ES_tradnl"/>
        </w:rPr>
        <w:t>,</w:t>
      </w:r>
      <w:r w:rsidRPr="008048DD">
        <w:rPr>
          <w:lang w:val="es-ES_tradnl"/>
        </w:rPr>
        <w:t xml:space="preserve"> </w:t>
      </w:r>
      <w:r w:rsidR="009F2AE4" w:rsidRPr="008048DD">
        <w:rPr>
          <w:lang w:val="es-ES_tradnl"/>
        </w:rPr>
        <w:t>e</w:t>
      </w:r>
      <w:r w:rsidRPr="008048DD">
        <w:rPr>
          <w:lang w:val="es-ES_tradnl"/>
        </w:rPr>
        <w:t xml:space="preserve"> integración. El marco presenta el flujo de información, que comienza con la selección y reunión de la información hasta la recopilación y sintetización de la información (niveles 1 a 3). En el marco se prevé una función de atribución (nivel 4) antes de pasar al </w:t>
      </w:r>
      <w:r w:rsidR="005D2CBB" w:rsidRPr="008048DD">
        <w:rPr>
          <w:lang w:val="es-ES_tradnl"/>
        </w:rPr>
        <w:t>Comité de Evaluación de la E</w:t>
      </w:r>
      <w:r w:rsidR="00E006FC" w:rsidRPr="008048DD">
        <w:rPr>
          <w:lang w:val="es-ES_tradnl"/>
        </w:rPr>
        <w:t>ficacia</w:t>
      </w:r>
      <w:r w:rsidRPr="008048DD">
        <w:rPr>
          <w:lang w:val="es-ES_tradnl"/>
        </w:rPr>
        <w:t xml:space="preserve"> (nivel 5), donde la información se integrará para que el Comité pueda formular sus conclusiones, que </w:t>
      </w:r>
      <w:r w:rsidR="009F2AE4" w:rsidRPr="008048DD">
        <w:rPr>
          <w:lang w:val="es-ES_tradnl"/>
        </w:rPr>
        <w:t xml:space="preserve">se habrán de examinar en </w:t>
      </w:r>
      <w:r w:rsidRPr="008048DD">
        <w:rPr>
          <w:lang w:val="es-ES_tradnl"/>
        </w:rPr>
        <w:t>la Conferencia de las Partes (nivel 6)</w:t>
      </w:r>
      <w:r w:rsidR="00467D4C" w:rsidRPr="008048DD">
        <w:rPr>
          <w:lang w:val="es-ES_tradnl"/>
        </w:rPr>
        <w:t>.</w:t>
      </w:r>
      <w:r w:rsidRPr="008048DD">
        <w:rPr>
          <w:lang w:val="es-ES_tradnl"/>
        </w:rPr>
        <w:t xml:space="preserve"> El flu</w:t>
      </w:r>
      <w:r w:rsidR="00467D4C" w:rsidRPr="008048DD">
        <w:rPr>
          <w:lang w:val="es-ES_tradnl"/>
        </w:rPr>
        <w:t>j</w:t>
      </w:r>
      <w:r w:rsidRPr="008048DD">
        <w:rPr>
          <w:lang w:val="es-ES_tradnl"/>
        </w:rPr>
        <w:t>o de información y an</w:t>
      </w:r>
      <w:r w:rsidR="009F2AE4" w:rsidRPr="008048DD">
        <w:rPr>
          <w:lang w:val="es-ES_tradnl"/>
        </w:rPr>
        <w:t>álisis en los distintos niveles</w:t>
      </w:r>
      <w:r w:rsidRPr="008048DD">
        <w:rPr>
          <w:lang w:val="es-ES_tradnl"/>
        </w:rPr>
        <w:t xml:space="preserve"> se ilustra a continuación en la figura 1, y se explica</w:t>
      </w:r>
      <w:r w:rsidR="00BA5A8F" w:rsidRPr="008048DD">
        <w:rPr>
          <w:lang w:val="es-ES_tradnl"/>
        </w:rPr>
        <w:t xml:space="preserve"> con</w:t>
      </w:r>
      <w:r w:rsidRPr="008048DD">
        <w:rPr>
          <w:lang w:val="es-ES_tradnl"/>
        </w:rPr>
        <w:t xml:space="preserve"> más detalle </w:t>
      </w:r>
      <w:r w:rsidR="00BA5A8F" w:rsidRPr="008048DD">
        <w:rPr>
          <w:lang w:val="es-ES_tradnl"/>
        </w:rPr>
        <w:t>a continuación</w:t>
      </w:r>
      <w:r w:rsidRPr="008048DD">
        <w:rPr>
          <w:lang w:val="es-ES_tradnl"/>
        </w:rPr>
        <w:t>.</w:t>
      </w:r>
    </w:p>
    <w:p w14:paraId="3FC783E5" w14:textId="77777777" w:rsidR="00E537C4" w:rsidRPr="00B83939" w:rsidRDefault="00E537C4" w:rsidP="00637B0A">
      <w:pPr>
        <w:pStyle w:val="Caption"/>
        <w:spacing w:after="120"/>
        <w:ind w:left="1247"/>
        <w:rPr>
          <w:b/>
          <w:bCs/>
          <w:sz w:val="20"/>
          <w:szCs w:val="20"/>
        </w:rPr>
      </w:pPr>
      <w:r w:rsidRPr="00B83939">
        <w:rPr>
          <w:i w:val="0"/>
          <w:color w:val="auto"/>
          <w:sz w:val="20"/>
          <w:szCs w:val="20"/>
        </w:rPr>
        <w:t>Figura 1</w:t>
      </w:r>
      <w:r w:rsidR="00C56501" w:rsidRPr="00B83939">
        <w:rPr>
          <w:i w:val="0"/>
          <w:color w:val="auto"/>
          <w:sz w:val="20"/>
          <w:szCs w:val="20"/>
        </w:rPr>
        <w:br/>
      </w:r>
      <w:r w:rsidRPr="00B83939">
        <w:rPr>
          <w:b/>
          <w:bCs/>
          <w:i w:val="0"/>
          <w:color w:val="auto"/>
          <w:sz w:val="20"/>
          <w:szCs w:val="20"/>
        </w:rPr>
        <w:t>Flujo de información y análisis</w:t>
      </w:r>
    </w:p>
    <w:p w14:paraId="1814DCE6" w14:textId="71C3E33C" w:rsidR="00E537C4" w:rsidRPr="008048DD" w:rsidRDefault="00865EB2" w:rsidP="006D5F3D">
      <w:pPr>
        <w:pStyle w:val="Normal-pool"/>
      </w:pPr>
      <w:r>
        <w:rPr>
          <w:sz w:val="24"/>
          <w:szCs w:val="24"/>
        </w:rPr>
        <w:pict w14:anchorId="07D7682F">
          <v:shape id="_x0000_i1034" type="#_x0000_t75" style="width:461.2pt;height:315.6pt">
            <v:imagedata r:id="rId18" o:title="Capture"/>
          </v:shape>
        </w:pict>
      </w:r>
      <w:r w:rsidR="00343BFC" w:rsidRPr="008048DD">
        <w:tab/>
      </w:r>
      <w:r w:rsidR="00E537C4" w:rsidRPr="00B83939">
        <w:t>Abreviaturas</w:t>
      </w:r>
      <w:r w:rsidR="00E537C4" w:rsidRPr="008048DD">
        <w:t>: CP</w:t>
      </w:r>
      <w:r w:rsidR="00456E90" w:rsidRPr="008048DD">
        <w:t xml:space="preserve"> – </w:t>
      </w:r>
      <w:r w:rsidR="00E537C4" w:rsidRPr="008048DD">
        <w:t>Conferencia de las Partes.</w:t>
      </w:r>
    </w:p>
    <w:p w14:paraId="736B2DBB" w14:textId="77777777" w:rsidR="00B1107F" w:rsidRPr="008048DD" w:rsidRDefault="005410EC" w:rsidP="005512AB">
      <w:pPr>
        <w:pStyle w:val="Normalnumber"/>
        <w:ind w:left="1247" w:firstLine="624"/>
        <w:rPr>
          <w:lang w:val="es-ES_tradnl"/>
        </w:rPr>
      </w:pPr>
      <w:r w:rsidRPr="008048DD">
        <w:rPr>
          <w:lang w:val="es-ES_tradnl"/>
        </w:rPr>
        <w:t>a)</w:t>
      </w:r>
      <w:r w:rsidRPr="008048DD">
        <w:rPr>
          <w:lang w:val="es-ES_tradnl"/>
        </w:rPr>
        <w:tab/>
      </w:r>
      <w:r w:rsidR="00B1107F" w:rsidRPr="008048DD">
        <w:rPr>
          <w:lang w:val="es-ES_tradnl"/>
        </w:rPr>
        <w:t xml:space="preserve">Nivel 1 – selección: como primera medida, se determinarán y reunirán los recursos de información disponibles para apoyar la evaluación de la eficacia. Esto incluirá los siguientes informes encomendados en el Convenio: informes de las Partes (según el artículo 21); informes del Comité de Aplicación y Cumplimiento (según el artículo 15); informes sobre el mecanismo financiero (según el artículo 13); informes sobre creación de capacidad, asistencia técnica y transferencia de tecnología (según el artículo 14); inventarios de las emisiones (según el artículo 8); inventarios de liberaciones (según el artículo 9); e informes sobre los progresos realizados en la ejecución de los planes de acción nacionales sobre la extracción de oro artesanal y en pequeña escala (según el artículo 7). Puede incluir también otros documentos pertinentes. </w:t>
      </w:r>
    </w:p>
    <w:p w14:paraId="71C65864" w14:textId="77777777" w:rsidR="00B1107F" w:rsidRPr="008048DD" w:rsidRDefault="00FF564D" w:rsidP="005512AB">
      <w:pPr>
        <w:pStyle w:val="Normalnumber"/>
        <w:ind w:left="1247"/>
        <w:rPr>
          <w:lang w:val="es-ES_tradnl"/>
        </w:rPr>
      </w:pPr>
      <w:r w:rsidRPr="008048DD">
        <w:rPr>
          <w:lang w:val="es-ES_tradnl"/>
        </w:rPr>
        <w:t>Dado que la presentación de informes puede estar incompleta, esos informes se complementarán con otra información científica, ambiental, técnica, financiera y económica disponible, según el párrafo 3 del artículo 22, y el artículo 19.</w:t>
      </w:r>
    </w:p>
    <w:p w14:paraId="6139DF19" w14:textId="2CE21159" w:rsidR="00B1107F" w:rsidRPr="008048DD" w:rsidRDefault="00B1107F" w:rsidP="005512AB">
      <w:pPr>
        <w:pStyle w:val="Normalnumber"/>
        <w:ind w:left="1247"/>
        <w:rPr>
          <w:lang w:val="es-ES_tradnl"/>
        </w:rPr>
      </w:pPr>
      <w:r w:rsidRPr="008048DD">
        <w:rPr>
          <w:lang w:val="es-ES_tradnl"/>
        </w:rPr>
        <w:t xml:space="preserve">Se deberán mantener criterios claros </w:t>
      </w:r>
      <w:r w:rsidR="00BA5A8F" w:rsidRPr="008048DD">
        <w:rPr>
          <w:lang w:val="es-ES_tradnl"/>
        </w:rPr>
        <w:t>en relación con</w:t>
      </w:r>
      <w:r w:rsidRPr="008048DD">
        <w:rPr>
          <w:lang w:val="es-ES_tradnl"/>
        </w:rPr>
        <w:t xml:space="preserve"> la información </w:t>
      </w:r>
      <w:r w:rsidR="00BA5A8F" w:rsidRPr="008048DD">
        <w:rPr>
          <w:lang w:val="es-ES_tradnl"/>
        </w:rPr>
        <w:t xml:space="preserve">indicada </w:t>
      </w:r>
      <w:r w:rsidRPr="008048DD">
        <w:rPr>
          <w:lang w:val="es-ES_tradnl"/>
        </w:rPr>
        <w:t xml:space="preserve">en este nivel (por ejemplo, entre </w:t>
      </w:r>
      <w:r w:rsidR="00507230" w:rsidRPr="008048DD">
        <w:rPr>
          <w:lang w:val="es-ES_tradnl"/>
        </w:rPr>
        <w:t>otros, los</w:t>
      </w:r>
      <w:r w:rsidRPr="008048DD">
        <w:rPr>
          <w:lang w:val="es-ES_tradnl"/>
        </w:rPr>
        <w:t xml:space="preserve"> artículos resultantes de investigaciones examinados por homólogos y publicaciones oficiales, como los informes nacionales). Los arreglos de vigilancia a nivel mundial, que</w:t>
      </w:r>
      <w:r w:rsidR="00B83939">
        <w:rPr>
          <w:lang w:val="es-ES_tradnl"/>
        </w:rPr>
        <w:t> </w:t>
      </w:r>
      <w:r w:rsidRPr="008048DD">
        <w:rPr>
          <w:lang w:val="es-ES_tradnl"/>
        </w:rPr>
        <w:t xml:space="preserve">se especifican en el apéndice III, determinarán la información sobre vigilancia que se incluirá en la evaluación de la eficacia. </w:t>
      </w:r>
    </w:p>
    <w:p w14:paraId="0430BC25" w14:textId="77777777" w:rsidR="00B1107F" w:rsidRPr="008048DD" w:rsidRDefault="005410EC" w:rsidP="00451D0C">
      <w:pPr>
        <w:pStyle w:val="Normalnumber"/>
        <w:ind w:left="1247" w:firstLine="624"/>
        <w:rPr>
          <w:lang w:val="es-ES_tradnl"/>
        </w:rPr>
      </w:pPr>
      <w:r w:rsidRPr="008048DD">
        <w:rPr>
          <w:lang w:val="es-ES_tradnl"/>
        </w:rPr>
        <w:t>b)</w:t>
      </w:r>
      <w:r w:rsidRPr="008048DD">
        <w:rPr>
          <w:lang w:val="es-ES_tradnl"/>
        </w:rPr>
        <w:tab/>
      </w:r>
      <w:r w:rsidR="00B1107F" w:rsidRPr="008048DD">
        <w:rPr>
          <w:lang w:val="es-ES_tradnl"/>
        </w:rPr>
        <w:t>Nivel 2 – recopilación: los datos que interesan a la evaluación de la eficacia se extraerán de los materiales de consulta seleccionados y se compilarán en un formato que permita utilizarlos en las etapas posteriores de</w:t>
      </w:r>
      <w:r w:rsidR="00B3310A" w:rsidRPr="008048DD">
        <w:rPr>
          <w:lang w:val="es-ES_tradnl"/>
        </w:rPr>
        <w:t xml:space="preserve"> </w:t>
      </w:r>
      <w:r w:rsidR="00B1107F" w:rsidRPr="008048DD">
        <w:rPr>
          <w:lang w:val="es-ES_tradnl"/>
        </w:rPr>
        <w:t>atribución e integración. En esta etapa se deberá llevar a cabo el control de la calidad de los datos. En el caso de los datos de vigilancia, esta labor puede incluir la recopilación de datos de vigilancia en una base de dato</w:t>
      </w:r>
      <w:r w:rsidR="00BA5A8F" w:rsidRPr="008048DD">
        <w:rPr>
          <w:lang w:val="es-ES_tradnl"/>
        </w:rPr>
        <w:t>s</w:t>
      </w:r>
      <w:r w:rsidR="00B1107F" w:rsidRPr="008048DD">
        <w:rPr>
          <w:lang w:val="es-ES_tradnl"/>
        </w:rPr>
        <w:t xml:space="preserve"> centralizada/a nivel mundial con un formato coherente, procedimientos de garantía y control de la calidad comunes, una evaluación de la confianza y otros elementos</w:t>
      </w:r>
      <w:r w:rsidR="00467D4C" w:rsidRPr="008048DD">
        <w:rPr>
          <w:lang w:val="es-ES_tradnl"/>
        </w:rPr>
        <w:t xml:space="preserve"> </w:t>
      </w:r>
      <w:r w:rsidR="00B1107F" w:rsidRPr="008048DD">
        <w:rPr>
          <w:lang w:val="es-ES_tradnl"/>
        </w:rPr>
        <w:t>que vengan al caso.</w:t>
      </w:r>
    </w:p>
    <w:p w14:paraId="5CAE86CB" w14:textId="29646DEE" w:rsidR="00B1107F" w:rsidRPr="008048DD" w:rsidRDefault="005410EC" w:rsidP="00451D0C">
      <w:pPr>
        <w:pStyle w:val="Normalnumber"/>
        <w:ind w:left="1247" w:firstLine="624"/>
        <w:rPr>
          <w:lang w:val="es-ES_tradnl"/>
        </w:rPr>
      </w:pPr>
      <w:r w:rsidRPr="008048DD">
        <w:rPr>
          <w:lang w:val="es-ES_tradnl"/>
        </w:rPr>
        <w:t>c)</w:t>
      </w:r>
      <w:r w:rsidRPr="008048DD">
        <w:rPr>
          <w:lang w:val="es-ES_tradnl"/>
        </w:rPr>
        <w:tab/>
      </w:r>
      <w:r w:rsidR="00B1107F" w:rsidRPr="008048DD">
        <w:rPr>
          <w:lang w:val="es-ES_tradnl"/>
        </w:rPr>
        <w:t>Nivel 3 – síntesis: Los datos recopilados se utilizarán para crear un conjunto de informes que sintetizar</w:t>
      </w:r>
      <w:r w:rsidR="00BA5A8F" w:rsidRPr="008048DD">
        <w:rPr>
          <w:lang w:val="es-ES_tradnl"/>
        </w:rPr>
        <w:t>á</w:t>
      </w:r>
      <w:r w:rsidR="00B1107F" w:rsidRPr="008048DD">
        <w:rPr>
          <w:lang w:val="es-ES_tradnl"/>
        </w:rPr>
        <w:t xml:space="preserve">n la información reunida y fundamentarán las respuestas a las cuatro cuestiones normativas. En vista del deseo </w:t>
      </w:r>
      <w:r w:rsidR="00467D4C" w:rsidRPr="008048DD">
        <w:rPr>
          <w:lang w:val="es-ES_tradnl"/>
        </w:rPr>
        <w:t>expresado por</w:t>
      </w:r>
      <w:r w:rsidR="00B1107F" w:rsidRPr="008048DD">
        <w:rPr>
          <w:lang w:val="es-ES_tradnl"/>
        </w:rPr>
        <w:t xml:space="preserve"> la Conferencia de las Parte</w:t>
      </w:r>
      <w:r w:rsidR="00467D4C" w:rsidRPr="008048DD">
        <w:rPr>
          <w:lang w:val="es-ES_tradnl"/>
        </w:rPr>
        <w:t>s de que la</w:t>
      </w:r>
      <w:r w:rsidR="00C56501" w:rsidRPr="008048DD">
        <w:rPr>
          <w:lang w:val="es-ES_tradnl"/>
        </w:rPr>
        <w:t> </w:t>
      </w:r>
      <w:r w:rsidR="00467D4C" w:rsidRPr="008048DD">
        <w:rPr>
          <w:lang w:val="es-ES_tradnl"/>
        </w:rPr>
        <w:t>evaluación proporcione</w:t>
      </w:r>
      <w:r w:rsidR="00B1107F" w:rsidRPr="008048DD">
        <w:rPr>
          <w:lang w:val="es-ES_tradnl"/>
        </w:rPr>
        <w:t xml:space="preserve"> una imagen integradora de la eficacia general del Convenio, tal como se expresa en el mandato </w:t>
      </w:r>
      <w:r w:rsidR="00467D4C" w:rsidRPr="008048DD">
        <w:rPr>
          <w:lang w:val="es-ES_tradnl"/>
        </w:rPr>
        <w:t>modificado</w:t>
      </w:r>
      <w:r w:rsidR="00B1107F" w:rsidRPr="008048DD">
        <w:rPr>
          <w:lang w:val="es-ES_tradnl"/>
        </w:rPr>
        <w:t xml:space="preserve"> del </w:t>
      </w:r>
      <w:r w:rsidR="00891F8B" w:rsidRPr="008048DD">
        <w:rPr>
          <w:lang w:val="es-ES_tradnl"/>
        </w:rPr>
        <w:t>grupo especial de expertos</w:t>
      </w:r>
      <w:r w:rsidR="00B1107F" w:rsidRPr="008048DD">
        <w:rPr>
          <w:lang w:val="es-ES_tradnl"/>
        </w:rPr>
        <w:t xml:space="preserve"> técni</w:t>
      </w:r>
      <w:r w:rsidR="00BA5A8F" w:rsidRPr="008048DD">
        <w:rPr>
          <w:lang w:val="es-ES_tradnl"/>
        </w:rPr>
        <w:t>cos en la decisión MC-2/10, el</w:t>
      </w:r>
      <w:r w:rsidR="00B83939">
        <w:rPr>
          <w:lang w:val="es-ES_tradnl"/>
        </w:rPr>
        <w:t> </w:t>
      </w:r>
      <w:r w:rsidR="00BA5A8F" w:rsidRPr="008048DD">
        <w:rPr>
          <w:lang w:val="es-ES_tradnl"/>
        </w:rPr>
        <w:t>g</w:t>
      </w:r>
      <w:r w:rsidR="00B1107F" w:rsidRPr="008048DD">
        <w:rPr>
          <w:lang w:val="es-ES_tradnl"/>
        </w:rPr>
        <w:t>rupo prevé que ha</w:t>
      </w:r>
      <w:r w:rsidR="00BA5A8F" w:rsidRPr="008048DD">
        <w:rPr>
          <w:lang w:val="es-ES_tradnl"/>
        </w:rPr>
        <w:t>ga</w:t>
      </w:r>
      <w:r w:rsidR="00B1107F" w:rsidRPr="008048DD">
        <w:rPr>
          <w:lang w:val="es-ES_tradnl"/>
        </w:rPr>
        <w:t xml:space="preserve">n falta los siguientes informes de síntesis (véase el apéndice IV para las descripciones de todos los informes que ha de preparar el </w:t>
      </w:r>
      <w:r w:rsidR="00E006FC" w:rsidRPr="008048DD">
        <w:rPr>
          <w:lang w:val="es-ES_tradnl"/>
        </w:rPr>
        <w:t>comité de evaluación de la eficacia</w:t>
      </w:r>
      <w:r w:rsidR="00B1107F" w:rsidRPr="008048DD">
        <w:rPr>
          <w:lang w:val="es-ES_tradnl"/>
        </w:rPr>
        <w:t xml:space="preserve">): </w:t>
      </w:r>
    </w:p>
    <w:p w14:paraId="2E761228" w14:textId="77777777" w:rsidR="00B1107F" w:rsidRPr="008048DD" w:rsidRDefault="00B1107F" w:rsidP="00362646">
      <w:pPr>
        <w:pStyle w:val="Normalnumber"/>
        <w:numPr>
          <w:ilvl w:val="0"/>
          <w:numId w:val="39"/>
        </w:numPr>
        <w:ind w:left="3119" w:hanging="624"/>
        <w:rPr>
          <w:lang w:val="es-ES_tradnl"/>
        </w:rPr>
      </w:pPr>
      <w:r w:rsidRPr="008048DD">
        <w:rPr>
          <w:lang w:val="es-ES_tradnl"/>
        </w:rPr>
        <w:t>Informe de síntesis previsto en el artículo</w:t>
      </w:r>
      <w:r w:rsidR="00B3310A" w:rsidRPr="008048DD">
        <w:rPr>
          <w:lang w:val="es-ES_tradnl"/>
        </w:rPr>
        <w:t xml:space="preserve"> </w:t>
      </w:r>
      <w:r w:rsidRPr="008048DD">
        <w:rPr>
          <w:lang w:val="es-ES_tradnl"/>
        </w:rPr>
        <w:t>21, basado en la información presentada por las Partes con arreglo al artículo 21 sobre presentación de informes;</w:t>
      </w:r>
    </w:p>
    <w:p w14:paraId="02A35E67" w14:textId="011FDA77" w:rsidR="00B1107F" w:rsidRPr="008048DD" w:rsidRDefault="00B1107F" w:rsidP="00362646">
      <w:pPr>
        <w:pStyle w:val="Normalnumber"/>
        <w:numPr>
          <w:ilvl w:val="0"/>
          <w:numId w:val="39"/>
        </w:numPr>
        <w:ind w:left="3119" w:hanging="624"/>
        <w:rPr>
          <w:lang w:val="es-ES_tradnl"/>
        </w:rPr>
      </w:pPr>
      <w:r w:rsidRPr="008048DD">
        <w:rPr>
          <w:lang w:val="es-ES_tradnl"/>
        </w:rPr>
        <w:t xml:space="preserve">Informe sobre las emisiones y liberaciones, que seguirá el modelo del informe </w:t>
      </w:r>
      <w:r w:rsidR="00AB7A0F" w:rsidRPr="008048DD">
        <w:rPr>
          <w:lang w:val="es-ES_tradnl"/>
        </w:rPr>
        <w:t>“</w:t>
      </w:r>
      <w:r w:rsidRPr="008048DD">
        <w:rPr>
          <w:iCs/>
          <w:lang w:val="es-ES_tradnl"/>
        </w:rPr>
        <w:t>Evaluación Mundial del Mercurio 2018</w:t>
      </w:r>
      <w:r w:rsidR="00AB7A0F" w:rsidRPr="008048DD">
        <w:rPr>
          <w:iCs/>
          <w:lang w:val="es-ES_tradnl"/>
        </w:rPr>
        <w:t>”</w:t>
      </w:r>
      <w:r w:rsidRPr="008048DD">
        <w:rPr>
          <w:vertAlign w:val="superscript"/>
          <w:lang w:val="es-ES_tradnl"/>
        </w:rPr>
        <w:t>6</w:t>
      </w:r>
      <w:r w:rsidR="00312956" w:rsidRPr="008048DD">
        <w:rPr>
          <w:lang w:val="es-ES_tradnl"/>
        </w:rPr>
        <w:t>;</w:t>
      </w:r>
    </w:p>
    <w:p w14:paraId="50694F0A" w14:textId="3FFD0BB8" w:rsidR="00B1107F" w:rsidRPr="008048DD" w:rsidRDefault="00B1107F" w:rsidP="00362646">
      <w:pPr>
        <w:pStyle w:val="Normalnumber"/>
        <w:numPr>
          <w:ilvl w:val="0"/>
          <w:numId w:val="39"/>
        </w:numPr>
        <w:ind w:left="3119" w:hanging="624"/>
        <w:rPr>
          <w:lang w:val="es-ES_tradnl"/>
        </w:rPr>
      </w:pPr>
      <w:r w:rsidRPr="008048DD">
        <w:rPr>
          <w:lang w:val="es-ES_tradnl"/>
        </w:rPr>
        <w:t xml:space="preserve">Informe sobre el comercio, </w:t>
      </w:r>
      <w:r w:rsidR="00E0374C" w:rsidRPr="008048DD">
        <w:rPr>
          <w:lang w:val="es-ES_tradnl"/>
        </w:rPr>
        <w:t>el suministro</w:t>
      </w:r>
      <w:r w:rsidRPr="008048DD">
        <w:rPr>
          <w:lang w:val="es-ES_tradnl"/>
        </w:rPr>
        <w:t xml:space="preserve"> y la demanda, que sigue el modelo del informe de 2017 </w:t>
      </w:r>
      <w:r w:rsidR="00AB7A0F" w:rsidRPr="008048DD">
        <w:rPr>
          <w:i/>
          <w:iCs/>
          <w:lang w:val="es-ES_tradnl"/>
        </w:rPr>
        <w:t>Global Mercury Supply, Trade and D</w:t>
      </w:r>
      <w:r w:rsidR="004C2444" w:rsidRPr="008048DD">
        <w:rPr>
          <w:i/>
          <w:iCs/>
          <w:lang w:val="es-ES_tradnl"/>
        </w:rPr>
        <w:t>eman</w:t>
      </w:r>
      <w:r w:rsidR="00312956" w:rsidRPr="008048DD">
        <w:rPr>
          <w:i/>
          <w:iCs/>
          <w:lang w:val="es-ES_tradnl"/>
        </w:rPr>
        <w:t>d</w:t>
      </w:r>
      <w:r w:rsidRPr="008048DD">
        <w:rPr>
          <w:vertAlign w:val="superscript"/>
          <w:lang w:val="es-ES_tradnl"/>
        </w:rPr>
        <w:t>7</w:t>
      </w:r>
      <w:r w:rsidRPr="008048DD">
        <w:rPr>
          <w:lang w:val="es-ES_tradnl"/>
        </w:rPr>
        <w:t>;</w:t>
      </w:r>
    </w:p>
    <w:p w14:paraId="730A0042" w14:textId="340EC200" w:rsidR="00B1107F" w:rsidRPr="008048DD" w:rsidRDefault="00B1107F" w:rsidP="00362646">
      <w:pPr>
        <w:pStyle w:val="Normalnumber"/>
        <w:numPr>
          <w:ilvl w:val="0"/>
          <w:numId w:val="39"/>
        </w:numPr>
        <w:ind w:left="3119" w:hanging="624"/>
        <w:rPr>
          <w:highlight w:val="lightGray"/>
          <w:lang w:val="es-ES_tradnl"/>
        </w:rPr>
      </w:pPr>
      <w:r w:rsidRPr="008048DD">
        <w:rPr>
          <w:highlight w:val="lightGray"/>
          <w:lang w:val="es-ES_tradnl"/>
        </w:rPr>
        <w:t xml:space="preserve">Informe sobre los desechos, que se basa en el informe de 2018 </w:t>
      </w:r>
      <w:r w:rsidR="0088213A" w:rsidRPr="008048DD">
        <w:rPr>
          <w:highlight w:val="lightGray"/>
          <w:lang w:val="es-ES_tradnl"/>
        </w:rPr>
        <w:t>“</w:t>
      </w:r>
      <w:r w:rsidRPr="008048DD">
        <w:rPr>
          <w:highlight w:val="lightGray"/>
          <w:lang w:val="es-ES_tradnl"/>
        </w:rPr>
        <w:t xml:space="preserve">Evaluación mundial de los desechos de mercurio: </w:t>
      </w:r>
      <w:r w:rsidR="00BA5A8F" w:rsidRPr="008048DD">
        <w:rPr>
          <w:highlight w:val="lightGray"/>
          <w:lang w:val="es-ES_tradnl"/>
        </w:rPr>
        <w:t>E</w:t>
      </w:r>
      <w:r w:rsidRPr="008048DD">
        <w:rPr>
          <w:highlight w:val="lightGray"/>
          <w:lang w:val="es-ES_tradnl"/>
        </w:rPr>
        <w:t>xamen de las medidas nacionales vigentes</w:t>
      </w:r>
      <w:r w:rsidR="0088213A" w:rsidRPr="008048DD">
        <w:rPr>
          <w:highlight w:val="lightGray"/>
          <w:lang w:val="es-ES_tradnl"/>
        </w:rPr>
        <w:t>”</w:t>
      </w:r>
      <w:r w:rsidRPr="008048DD">
        <w:rPr>
          <w:highlight w:val="lightGray"/>
          <w:lang w:val="es-ES_tradnl"/>
        </w:rPr>
        <w:t>;</w:t>
      </w:r>
    </w:p>
    <w:p w14:paraId="61B8DBB6" w14:textId="77777777" w:rsidR="00B1107F" w:rsidRPr="008048DD" w:rsidRDefault="00F43A19" w:rsidP="00362646">
      <w:pPr>
        <w:pStyle w:val="Normalnumber"/>
        <w:numPr>
          <w:ilvl w:val="0"/>
          <w:numId w:val="39"/>
        </w:numPr>
        <w:ind w:left="3119" w:hanging="624"/>
        <w:rPr>
          <w:lang w:val="es-ES_tradnl"/>
        </w:rPr>
      </w:pPr>
      <w:r w:rsidRPr="008048DD">
        <w:rPr>
          <w:lang w:val="es-ES_tradnl"/>
        </w:rPr>
        <w:t>Informe de vigilancia</w:t>
      </w:r>
      <w:r w:rsidR="00B1107F" w:rsidRPr="008048DD">
        <w:rPr>
          <w:lang w:val="es-ES_tradnl"/>
        </w:rPr>
        <w:t>, en el que se presenta el estado de los niveles de mercurio en el medio ambiente, los medios bióticos y las poblaciones vulnerables a nivel mundial, así como las tendencias en el transcurso del tiempo, preparado por el grupo sobre vigilancia.</w:t>
      </w:r>
    </w:p>
    <w:p w14:paraId="0BD1B926" w14:textId="273291F8" w:rsidR="00B1107F" w:rsidRPr="008048DD" w:rsidRDefault="00B1107F" w:rsidP="00C25AFB">
      <w:pPr>
        <w:pStyle w:val="Normalnumber"/>
        <w:ind w:left="1247" w:firstLine="624"/>
        <w:rPr>
          <w:lang w:val="es-ES_tradnl"/>
        </w:rPr>
      </w:pPr>
      <w:r w:rsidRPr="008048DD">
        <w:rPr>
          <w:lang w:val="es-ES_tradnl"/>
        </w:rPr>
        <w:t>En esos informes se presentar</w:t>
      </w:r>
      <w:r w:rsidR="00BA5A8F" w:rsidRPr="008048DD">
        <w:rPr>
          <w:lang w:val="es-ES_tradnl"/>
        </w:rPr>
        <w:t>á</w:t>
      </w:r>
      <w:r w:rsidRPr="008048DD">
        <w:rPr>
          <w:lang w:val="es-ES_tradnl"/>
        </w:rPr>
        <w:t xml:space="preserve"> la información sobre los indicadores de procesos, resultados y vigilancia para facilitar el examen de las cuatro cuestiones normativas</w:t>
      </w:r>
      <w:r w:rsidR="00C25AFB" w:rsidRPr="008048DD">
        <w:rPr>
          <w:lang w:val="es-ES_tradnl"/>
        </w:rPr>
        <w:t xml:space="preserve"> que realizará el Comité de Evaluación de la E</w:t>
      </w:r>
      <w:r w:rsidR="00BA5A8F" w:rsidRPr="008048DD">
        <w:rPr>
          <w:lang w:val="es-ES_tradnl"/>
        </w:rPr>
        <w:t>ficacia</w:t>
      </w:r>
      <w:r w:rsidRPr="008048DD">
        <w:rPr>
          <w:lang w:val="es-ES_tradnl"/>
        </w:rPr>
        <w:t>. En ellos se incluirá</w:t>
      </w:r>
      <w:r w:rsidR="00BA5A8F" w:rsidRPr="008048DD">
        <w:rPr>
          <w:lang w:val="es-ES_tradnl"/>
        </w:rPr>
        <w:t>n</w:t>
      </w:r>
      <w:r w:rsidRPr="008048DD">
        <w:rPr>
          <w:lang w:val="es-ES_tradnl"/>
        </w:rPr>
        <w:t xml:space="preserve"> </w:t>
      </w:r>
      <w:r w:rsidR="00BA5A8F" w:rsidRPr="008048DD">
        <w:rPr>
          <w:lang w:val="es-ES_tradnl"/>
        </w:rPr>
        <w:t xml:space="preserve">la </w:t>
      </w:r>
      <w:r w:rsidRPr="008048DD">
        <w:rPr>
          <w:lang w:val="es-ES_tradnl"/>
        </w:rPr>
        <w:t>información de antecedentes y presentaciones audiovisuales accesibles de carácter científico y técnico.</w:t>
      </w:r>
    </w:p>
    <w:p w14:paraId="07B8AD17" w14:textId="1C7A2D1C" w:rsidR="00B1107F" w:rsidRPr="008048DD" w:rsidRDefault="005410EC" w:rsidP="00C25AFB">
      <w:pPr>
        <w:pStyle w:val="Normalnumber"/>
        <w:ind w:left="1247" w:firstLine="624"/>
        <w:rPr>
          <w:lang w:val="es-ES_tradnl"/>
        </w:rPr>
      </w:pPr>
      <w:r w:rsidRPr="008048DD">
        <w:rPr>
          <w:lang w:val="es-ES_tradnl"/>
        </w:rPr>
        <w:t>d)</w:t>
      </w:r>
      <w:r w:rsidRPr="008048DD">
        <w:rPr>
          <w:lang w:val="es-ES_tradnl"/>
        </w:rPr>
        <w:tab/>
      </w:r>
      <w:r w:rsidR="00B1107F" w:rsidRPr="008048DD">
        <w:rPr>
          <w:lang w:val="es-ES_tradnl"/>
        </w:rPr>
        <w:t>Nivel 4 – atribución: los informes de síntesis (y, en su caso, los datos básicos o adicionales) sobre las medidas adoptadas con arreglo al Convenio y los datos sobre las emisiones, liberaciones y la vigilancia pueden ser utilizados para el sexto informe, es decir, el informe sobre la atribución, cuando se disponga de todos los instrumentos para prepararlo. En</w:t>
      </w:r>
      <w:r w:rsidR="00733954" w:rsidRPr="008048DD">
        <w:rPr>
          <w:lang w:val="es-ES_tradnl"/>
        </w:rPr>
        <w:t> </w:t>
      </w:r>
      <w:r w:rsidR="00B1107F" w:rsidRPr="008048DD">
        <w:rPr>
          <w:lang w:val="es-ES_tradnl"/>
        </w:rPr>
        <w:t>el informe sobr</w:t>
      </w:r>
      <w:r w:rsidR="00467D4C" w:rsidRPr="008048DD">
        <w:rPr>
          <w:lang w:val="es-ES_tradnl"/>
        </w:rPr>
        <w:t>e la atribución se haría una di</w:t>
      </w:r>
      <w:r w:rsidR="00B1107F" w:rsidRPr="008048DD">
        <w:rPr>
          <w:lang w:val="es-ES_tradnl"/>
        </w:rPr>
        <w:t xml:space="preserve">stinción entre los indicadores de procesos, resultados y vigilancia para facilitar la labor del </w:t>
      </w:r>
      <w:r w:rsidR="002A0FF9" w:rsidRPr="008048DD">
        <w:rPr>
          <w:lang w:val="es-ES_tradnl"/>
        </w:rPr>
        <w:t>Comité de Evaluación de la E</w:t>
      </w:r>
      <w:r w:rsidR="00E006FC" w:rsidRPr="008048DD">
        <w:rPr>
          <w:lang w:val="es-ES_tradnl"/>
        </w:rPr>
        <w:t>ficacia</w:t>
      </w:r>
      <w:r w:rsidR="00B1107F" w:rsidRPr="008048DD">
        <w:rPr>
          <w:lang w:val="es-ES_tradnl"/>
        </w:rPr>
        <w:t xml:space="preserve"> al abordar las cuatro cuestiones normativas. Se tendría en cuenta otra información (como la información socioeconómica, la innovación tecnológica, los datos sobre el clima y las principales políticas mundiales)</w:t>
      </w:r>
      <w:r w:rsidR="00722952" w:rsidRPr="008048DD">
        <w:rPr>
          <w:lang w:val="es-ES_tradnl"/>
        </w:rPr>
        <w:t>,</w:t>
      </w:r>
      <w:r w:rsidR="00B1107F" w:rsidRPr="008048DD">
        <w:rPr>
          <w:lang w:val="es-ES_tradnl"/>
        </w:rPr>
        <w:t xml:space="preserve"> según sea necesario. Un</w:t>
      </w:r>
      <w:r w:rsidR="00B83939">
        <w:rPr>
          <w:lang w:val="es-ES_tradnl"/>
        </w:rPr>
        <w:t> </w:t>
      </w:r>
      <w:r w:rsidR="00B1107F" w:rsidRPr="008048DD">
        <w:rPr>
          <w:lang w:val="es-ES_tradnl"/>
        </w:rPr>
        <w:t>subgrupo sobre modelización elaboraría el informe sobre la atribución (véase el apéndice IV para</w:t>
      </w:r>
      <w:r w:rsidR="00B83939">
        <w:rPr>
          <w:lang w:val="es-ES_tradnl"/>
        </w:rPr>
        <w:t> </w:t>
      </w:r>
      <w:r w:rsidR="00B1107F" w:rsidRPr="008048DD">
        <w:rPr>
          <w:lang w:val="es-ES_tradnl"/>
        </w:rPr>
        <w:t>una descripción detallada del informe sobre la atribución)</w:t>
      </w:r>
      <w:r w:rsidRPr="008048DD">
        <w:rPr>
          <w:lang w:val="es-ES_tradnl"/>
        </w:rPr>
        <w:t>.</w:t>
      </w:r>
    </w:p>
    <w:p w14:paraId="52D50D5E" w14:textId="77777777" w:rsidR="00B1107F" w:rsidRPr="008048DD" w:rsidRDefault="00B1107F" w:rsidP="002A0FF9">
      <w:pPr>
        <w:pStyle w:val="Normalnumber"/>
        <w:tabs>
          <w:tab w:val="left" w:pos="624"/>
        </w:tabs>
        <w:ind w:left="1247"/>
        <w:rPr>
          <w:lang w:val="es-ES_tradnl"/>
        </w:rPr>
      </w:pPr>
      <w:r w:rsidRPr="008048DD">
        <w:rPr>
          <w:lang w:val="es-ES_tradnl"/>
        </w:rPr>
        <w:t>El análisis de</w:t>
      </w:r>
      <w:r w:rsidR="00722952" w:rsidRPr="008048DD">
        <w:rPr>
          <w:lang w:val="es-ES_tradnl"/>
        </w:rPr>
        <w:t>l</w:t>
      </w:r>
      <w:r w:rsidRPr="008048DD">
        <w:rPr>
          <w:lang w:val="es-ES_tradnl"/>
        </w:rPr>
        <w:t xml:space="preserve"> nivel 4 incluiría probablemente la elaboración de modelos para estimar la manera en que los cambios en las emisiones y liberaciones resultantes de las medidas previstas en el Convenio han contribuido a cambios en los niveles de mercurio en el medio ambiente, los medios bióticos y las poblaciones vulnerables. C</w:t>
      </w:r>
      <w:r w:rsidR="00722952" w:rsidRPr="008048DD">
        <w:rPr>
          <w:lang w:val="es-ES_tradnl"/>
        </w:rPr>
        <w:t xml:space="preserve">uando se proceda a evaluar </w:t>
      </w:r>
      <w:r w:rsidRPr="008048DD">
        <w:rPr>
          <w:lang w:val="es-ES_tradnl"/>
        </w:rPr>
        <w:t>la atribución</w:t>
      </w:r>
      <w:r w:rsidR="00722952" w:rsidRPr="008048DD">
        <w:rPr>
          <w:lang w:val="es-ES_tradnl"/>
        </w:rPr>
        <w:t>,</w:t>
      </w:r>
      <w:r w:rsidRPr="008048DD">
        <w:rPr>
          <w:lang w:val="es-ES_tradnl"/>
        </w:rPr>
        <w:t xml:space="preserve"> se procurar</w:t>
      </w:r>
      <w:r w:rsidR="00722952" w:rsidRPr="008048DD">
        <w:rPr>
          <w:lang w:val="es-ES_tradnl"/>
        </w:rPr>
        <w:t>á</w:t>
      </w:r>
      <w:r w:rsidRPr="008048DD">
        <w:rPr>
          <w:lang w:val="es-ES_tradnl"/>
        </w:rPr>
        <w:t xml:space="preserve"> también evaluar las tendencias a largo plazo, a fin de interpretar la importancia de los datos sociales, técnicos y económicos en el contexto de la eficacia del Convenio con respecto a su objetivo. </w:t>
      </w:r>
      <w:r w:rsidR="00722952" w:rsidRPr="008048DD">
        <w:rPr>
          <w:lang w:val="es-ES_tradnl"/>
        </w:rPr>
        <w:t>Si bien</w:t>
      </w:r>
      <w:r w:rsidRPr="008048DD">
        <w:rPr>
          <w:lang w:val="es-ES_tradnl"/>
        </w:rPr>
        <w:t xml:space="preserve"> el informe sobre la atribución sería un informe científico y técnico de carácter empírico, estaría también al alcance de lectores que no son técnicos e incluiría representaciones visuales. </w:t>
      </w:r>
    </w:p>
    <w:p w14:paraId="526EA9F6" w14:textId="68927FC0" w:rsidR="00B1107F" w:rsidRPr="008048DD" w:rsidRDefault="005410EC" w:rsidP="00EF5E6F">
      <w:pPr>
        <w:pStyle w:val="Normalnumber"/>
        <w:ind w:left="1247" w:firstLine="624"/>
        <w:rPr>
          <w:rFonts w:eastAsiaTheme="minorHAnsi"/>
          <w:lang w:val="es-ES_tradnl"/>
        </w:rPr>
      </w:pPr>
      <w:r w:rsidRPr="008048DD">
        <w:rPr>
          <w:lang w:val="es-ES_tradnl"/>
        </w:rPr>
        <w:t>e)</w:t>
      </w:r>
      <w:r w:rsidRPr="008048DD">
        <w:rPr>
          <w:lang w:val="es-ES_tradnl"/>
        </w:rPr>
        <w:tab/>
      </w:r>
      <w:r w:rsidR="00B1107F" w:rsidRPr="008048DD">
        <w:rPr>
          <w:lang w:val="es-ES_tradnl"/>
        </w:rPr>
        <w:t xml:space="preserve">Nivel 5 </w:t>
      </w:r>
      <w:r w:rsidR="00733954" w:rsidRPr="008048DD">
        <w:rPr>
          <w:lang w:val="es-ES_tradnl"/>
        </w:rPr>
        <w:t>–</w:t>
      </w:r>
      <w:r w:rsidR="00B1107F" w:rsidRPr="008048DD">
        <w:rPr>
          <w:lang w:val="es-ES_tradnl"/>
        </w:rPr>
        <w:t xml:space="preserve"> integración: Se prepararán cinco informes de síntesis, complementados, cuando esté disponible, con el informe sobre la atribución, para el </w:t>
      </w:r>
      <w:r w:rsidR="00365180" w:rsidRPr="008048DD">
        <w:rPr>
          <w:lang w:val="es-ES_tradnl"/>
        </w:rPr>
        <w:t>C</w:t>
      </w:r>
      <w:r w:rsidR="00E006FC" w:rsidRPr="008048DD">
        <w:rPr>
          <w:lang w:val="es-ES_tradnl"/>
        </w:rPr>
        <w:t xml:space="preserve">omité de </w:t>
      </w:r>
      <w:r w:rsidR="00365180" w:rsidRPr="008048DD">
        <w:rPr>
          <w:lang w:val="es-ES_tradnl"/>
        </w:rPr>
        <w:t>Evaluación de la E</w:t>
      </w:r>
      <w:r w:rsidR="00E006FC" w:rsidRPr="008048DD">
        <w:rPr>
          <w:lang w:val="es-ES_tradnl"/>
        </w:rPr>
        <w:t>ficacia</w:t>
      </w:r>
      <w:r w:rsidR="00B1107F" w:rsidRPr="008048DD">
        <w:rPr>
          <w:lang w:val="es-ES_tradnl"/>
        </w:rPr>
        <w:t>, que utilizará esa información con un enfoque integrador para examinar las cuatro cuestiones normativas y formular conclusiones que ha de presentar a la Conferencia de las Partes. En su informe, el Comité podrá incluir sugerencias para mejorar los futuros ciclos de evaluación de la eficacia.</w:t>
      </w:r>
      <w:bookmarkStart w:id="9" w:name="_Hlk10383875"/>
      <w:bookmarkEnd w:id="9"/>
    </w:p>
    <w:p w14:paraId="7A7B21E6" w14:textId="2762817D" w:rsidR="00B1107F" w:rsidRPr="008048DD" w:rsidRDefault="005410EC" w:rsidP="00365180">
      <w:pPr>
        <w:pStyle w:val="Normalnumber"/>
        <w:ind w:left="1247" w:firstLine="624"/>
        <w:rPr>
          <w:rFonts w:eastAsiaTheme="minorHAnsi"/>
          <w:lang w:val="es-ES_tradnl"/>
        </w:rPr>
      </w:pPr>
      <w:r w:rsidRPr="008048DD">
        <w:rPr>
          <w:lang w:val="es-ES_tradnl"/>
        </w:rPr>
        <w:t>f)</w:t>
      </w:r>
      <w:r w:rsidRPr="008048DD">
        <w:rPr>
          <w:lang w:val="es-ES_tradnl"/>
        </w:rPr>
        <w:tab/>
      </w:r>
      <w:r w:rsidR="00B1107F" w:rsidRPr="008048DD">
        <w:rPr>
          <w:lang w:val="es-ES_tradnl"/>
        </w:rPr>
        <w:t>Nivel 6 – Conferencia de las Partes: En este último nivel, la Conferencia de las Partes</w:t>
      </w:r>
      <w:r w:rsidR="001F7A11" w:rsidRPr="008048DD">
        <w:rPr>
          <w:lang w:val="es-ES_tradnl"/>
        </w:rPr>
        <w:t> </w:t>
      </w:r>
      <w:r w:rsidR="00B1107F" w:rsidRPr="008048DD">
        <w:rPr>
          <w:lang w:val="es-ES_tradnl"/>
        </w:rPr>
        <w:t xml:space="preserve">recibe y examina las conclusiones del </w:t>
      </w:r>
      <w:r w:rsidR="001F7A11" w:rsidRPr="008048DD">
        <w:rPr>
          <w:lang w:val="es-ES_tradnl"/>
        </w:rPr>
        <w:t>Comité de Evaluación de la E</w:t>
      </w:r>
      <w:r w:rsidR="00E006FC" w:rsidRPr="008048DD">
        <w:rPr>
          <w:lang w:val="es-ES_tradnl"/>
        </w:rPr>
        <w:t>ficacia</w:t>
      </w:r>
      <w:r w:rsidR="00B1107F" w:rsidRPr="008048DD">
        <w:rPr>
          <w:lang w:val="es-ES_tradnl"/>
        </w:rPr>
        <w:t xml:space="preserve"> y formula sus determinaciones sobre la eficacia del Convenio. </w:t>
      </w:r>
    </w:p>
    <w:p w14:paraId="60D06518" w14:textId="77777777" w:rsidR="00B1107F" w:rsidRPr="008048DD" w:rsidRDefault="006531FE" w:rsidP="00B66A03">
      <w:pPr>
        <w:pStyle w:val="CH2"/>
        <w:rPr>
          <w:lang w:val="es-ES_tradnl"/>
        </w:rPr>
      </w:pPr>
      <w:r w:rsidRPr="008048DD">
        <w:rPr>
          <w:lang w:val="es-ES_tradnl"/>
        </w:rPr>
        <w:tab/>
      </w:r>
      <w:r w:rsidR="00B66A03" w:rsidRPr="008048DD">
        <w:rPr>
          <w:lang w:val="es-ES_tradnl"/>
        </w:rPr>
        <w:t>B.</w:t>
      </w:r>
      <w:r w:rsidR="00B66A03" w:rsidRPr="008048DD">
        <w:rPr>
          <w:lang w:val="es-ES_tradnl"/>
        </w:rPr>
        <w:tab/>
      </w:r>
      <w:r w:rsidR="00B66A03" w:rsidRPr="008048DD">
        <w:rPr>
          <w:bCs/>
          <w:lang w:val="es-ES_tradnl"/>
        </w:rPr>
        <w:t xml:space="preserve">Elaboración de </w:t>
      </w:r>
      <w:r w:rsidRPr="008048DD">
        <w:rPr>
          <w:bCs/>
          <w:lang w:val="es-ES_tradnl"/>
        </w:rPr>
        <w:t xml:space="preserve">los </w:t>
      </w:r>
      <w:r w:rsidR="00B66A03" w:rsidRPr="008048DD">
        <w:rPr>
          <w:bCs/>
          <w:lang w:val="es-ES_tradnl"/>
        </w:rPr>
        <w:t>indicadores</w:t>
      </w:r>
    </w:p>
    <w:p w14:paraId="35C34354" w14:textId="2EAF9985"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El Convenio de Minamata incluye algunas medidas que tienen por objeto controlar, reducir o eliminar las fuentes y los usos principales del mercurio, así como un conjunto de otras disposiciones que obligan a las Partes a trabajar de consuno para apoyarse mutuamente en la tarea general de proteger a las personas y al medio ambiente de los efectos adversos del mercurio. Para ofrecer una imagen completa de la eficacia de las medidas y las disposiciones del Convenio, el </w:t>
      </w:r>
      <w:r w:rsidR="00F41622" w:rsidRPr="008048DD">
        <w:rPr>
          <w:lang w:val="es-ES_tradnl"/>
        </w:rPr>
        <w:t>G</w:t>
      </w:r>
      <w:r w:rsidR="00891F8B" w:rsidRPr="008048DD">
        <w:rPr>
          <w:lang w:val="es-ES_tradnl"/>
        </w:rPr>
        <w:t>rupo especial de expertos</w:t>
      </w:r>
      <w:r w:rsidRPr="008048DD">
        <w:rPr>
          <w:lang w:val="es-ES_tradnl"/>
        </w:rPr>
        <w:t xml:space="preserve"> técnicos aplicó un enfoque integrador </w:t>
      </w:r>
      <w:r w:rsidR="00722952" w:rsidRPr="008048DD">
        <w:rPr>
          <w:lang w:val="es-ES_tradnl"/>
        </w:rPr>
        <w:t>al</w:t>
      </w:r>
      <w:r w:rsidRPr="008048DD">
        <w:rPr>
          <w:lang w:val="es-ES_tradnl"/>
        </w:rPr>
        <w:t xml:space="preserve"> seleccionar posibles indicadores. </w:t>
      </w:r>
    </w:p>
    <w:p w14:paraId="1EFABFCA"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Se proponen tres tipos de indicadores: los de procesos, los de resultados y los de vigilancia, para fundamentar el examen de las cuatro cuestiones normativas que rigen la evaluación de la eficacia. Los indicadores propuestos se basan en la labor anterior sobre los elementos del marco de evaluación de la eficacia y las capacidades y posibilidades de vigilancia. </w:t>
      </w:r>
    </w:p>
    <w:p w14:paraId="149C6CCC"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Tras un examen minucioso de cada artículo, los indicadores propuestos se agruparon según se indica a continuación para facilitar el análisis sintetizado de los informes propuestos: </w:t>
      </w:r>
    </w:p>
    <w:p w14:paraId="50067B5E" w14:textId="77777777" w:rsidR="00B1107F" w:rsidRPr="008048DD" w:rsidRDefault="00B1107F" w:rsidP="00F16FA4">
      <w:pPr>
        <w:pStyle w:val="Normalnumber"/>
        <w:numPr>
          <w:ilvl w:val="0"/>
          <w:numId w:val="29"/>
        </w:numPr>
        <w:spacing w:after="80"/>
        <w:ind w:left="1247" w:firstLine="624"/>
        <w:rPr>
          <w:lang w:val="es-ES_tradnl"/>
        </w:rPr>
      </w:pPr>
      <w:r w:rsidRPr="008048DD">
        <w:rPr>
          <w:lang w:val="es-ES_tradnl"/>
        </w:rPr>
        <w:t>Grupo (B) sobre suministro: suministro, almacenamiento y desechos (artículos 3, 10 y</w:t>
      </w:r>
      <w:r w:rsidR="00F16FA4" w:rsidRPr="008048DD">
        <w:rPr>
          <w:lang w:val="es-ES_tradnl"/>
        </w:rPr>
        <w:t> </w:t>
      </w:r>
      <w:r w:rsidRPr="008048DD">
        <w:rPr>
          <w:lang w:val="es-ES_tradnl"/>
        </w:rPr>
        <w:t>11);</w:t>
      </w:r>
    </w:p>
    <w:p w14:paraId="23B793E6" w14:textId="77777777" w:rsidR="00B1107F" w:rsidRPr="008048DD" w:rsidRDefault="00B1107F" w:rsidP="00A00B9F">
      <w:pPr>
        <w:pStyle w:val="Normalnumber"/>
        <w:numPr>
          <w:ilvl w:val="0"/>
          <w:numId w:val="29"/>
        </w:numPr>
        <w:spacing w:after="80"/>
        <w:ind w:left="1247" w:firstLine="624"/>
        <w:rPr>
          <w:lang w:val="es-ES_tradnl"/>
        </w:rPr>
      </w:pPr>
      <w:r w:rsidRPr="008048DD">
        <w:rPr>
          <w:lang w:val="es-ES_tradnl"/>
        </w:rPr>
        <w:t>Grupo (C) sobre demanda: productos, procesos y extracción de oro artesanal y en pequeña escala (artículos 4, 5 y 7);</w:t>
      </w:r>
    </w:p>
    <w:p w14:paraId="54B1B4B9" w14:textId="77777777" w:rsidR="00B1107F" w:rsidRPr="008048DD" w:rsidRDefault="00B1107F" w:rsidP="00A00B9F">
      <w:pPr>
        <w:pStyle w:val="Normalnumber"/>
        <w:numPr>
          <w:ilvl w:val="0"/>
          <w:numId w:val="29"/>
        </w:numPr>
        <w:spacing w:after="80"/>
        <w:ind w:left="1247" w:firstLine="624"/>
        <w:rPr>
          <w:lang w:val="es-ES_tradnl"/>
        </w:rPr>
      </w:pPr>
      <w:r w:rsidRPr="008048DD">
        <w:rPr>
          <w:lang w:val="es-ES_tradnl"/>
        </w:rPr>
        <w:t>Grupo (D) sobre presión: emisiones, liberaciones y sitios contaminados (artículos 8, 9 y 12);</w:t>
      </w:r>
    </w:p>
    <w:p w14:paraId="406EF2B3" w14:textId="77777777" w:rsidR="00B1107F" w:rsidRPr="008048DD" w:rsidRDefault="00722952" w:rsidP="00A00B9F">
      <w:pPr>
        <w:pStyle w:val="Normalnumber"/>
        <w:numPr>
          <w:ilvl w:val="0"/>
          <w:numId w:val="29"/>
        </w:numPr>
        <w:spacing w:after="80"/>
        <w:ind w:left="1247" w:firstLine="624"/>
        <w:rPr>
          <w:lang w:val="es-ES_tradnl"/>
        </w:rPr>
      </w:pPr>
      <w:r w:rsidRPr="008048DD">
        <w:rPr>
          <w:lang w:val="es-ES_tradnl"/>
        </w:rPr>
        <w:t>Grupo (E) sobre</w:t>
      </w:r>
      <w:r w:rsidR="00B1107F" w:rsidRPr="008048DD">
        <w:rPr>
          <w:lang w:val="es-ES_tradnl"/>
        </w:rPr>
        <w:t xml:space="preserve"> apoyo: asistencia financiera y técnica (artículos 13 y 14); </w:t>
      </w:r>
    </w:p>
    <w:p w14:paraId="7B61A087" w14:textId="59F85F23" w:rsidR="00B1107F" w:rsidRPr="008048DD" w:rsidRDefault="00B1107F" w:rsidP="00F16FA4">
      <w:pPr>
        <w:pStyle w:val="Normalnumber"/>
        <w:numPr>
          <w:ilvl w:val="0"/>
          <w:numId w:val="29"/>
        </w:numPr>
        <w:spacing w:after="80"/>
        <w:ind w:left="1247" w:firstLine="624"/>
        <w:rPr>
          <w:lang w:val="es-ES_tradnl"/>
        </w:rPr>
      </w:pPr>
      <w:r w:rsidRPr="008048DD">
        <w:rPr>
          <w:lang w:val="es-ES_tradnl"/>
        </w:rPr>
        <w:t xml:space="preserve">Grupo (H) </w:t>
      </w:r>
      <w:r w:rsidR="00722952" w:rsidRPr="008048DD">
        <w:rPr>
          <w:lang w:val="es-ES_tradnl"/>
        </w:rPr>
        <w:t>sobr</w:t>
      </w:r>
      <w:r w:rsidRPr="008048DD">
        <w:rPr>
          <w:lang w:val="es-ES_tradnl"/>
        </w:rPr>
        <w:t>e información e investigación: intercambio de información, información pública e investigación (artículos 17, 18 y 19)</w:t>
      </w:r>
      <w:r w:rsidR="00D853D2" w:rsidRPr="008048DD">
        <w:rPr>
          <w:lang w:val="es-ES_tradnl"/>
        </w:rPr>
        <w:t>.</w:t>
      </w:r>
      <w:r w:rsidRPr="008048DD">
        <w:rPr>
          <w:lang w:val="es-ES_tradnl"/>
        </w:rPr>
        <w:t xml:space="preserve"> </w:t>
      </w:r>
    </w:p>
    <w:p w14:paraId="6B5863A3"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Reconociendo el carácter central del artículo 1 (que establece el objetivo del Convenio) y el carácter intersectorial del artículo 16 (relativo a los aspectos de salud), esos artículos se mantuvieron aparte a los efectos de la determinación de los indicadores. </w:t>
      </w:r>
    </w:p>
    <w:p w14:paraId="38F34326" w14:textId="77777777" w:rsidR="002E7A5A"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La justificación de los tipos de indicadores propuestos es la siguiente: </w:t>
      </w:r>
    </w:p>
    <w:p w14:paraId="6763E809" w14:textId="77777777" w:rsidR="002E7A5A" w:rsidRPr="008048DD" w:rsidRDefault="00B1107F" w:rsidP="00362646">
      <w:pPr>
        <w:pStyle w:val="Normalnumber"/>
        <w:numPr>
          <w:ilvl w:val="0"/>
          <w:numId w:val="36"/>
        </w:numPr>
        <w:spacing w:after="80"/>
        <w:ind w:left="1247" w:firstLine="624"/>
        <w:rPr>
          <w:lang w:val="es-ES_tradnl"/>
        </w:rPr>
      </w:pPr>
      <w:r w:rsidRPr="008048DD">
        <w:rPr>
          <w:lang w:val="es-ES_tradnl"/>
        </w:rPr>
        <w:t xml:space="preserve">Los indicadores de procesos son necesarios para determinar si las Partes han adoptado medidas para aplicar el Convenio de Minamata; </w:t>
      </w:r>
    </w:p>
    <w:p w14:paraId="7EC99C4C" w14:textId="1B9996EF" w:rsidR="002E7A5A" w:rsidRPr="008048DD" w:rsidRDefault="00B1107F" w:rsidP="00362646">
      <w:pPr>
        <w:pStyle w:val="Normalnumber"/>
        <w:numPr>
          <w:ilvl w:val="0"/>
          <w:numId w:val="36"/>
        </w:numPr>
        <w:spacing w:after="80"/>
        <w:ind w:left="1247" w:firstLine="624"/>
        <w:rPr>
          <w:lang w:val="es-ES_tradnl"/>
        </w:rPr>
      </w:pPr>
      <w:r w:rsidRPr="008048DD">
        <w:rPr>
          <w:lang w:val="es-ES_tradnl"/>
        </w:rPr>
        <w:t xml:space="preserve">Los indicadores de resultados son necesarios para determinar si las medidas adoptadas han dado lugar a cambios en </w:t>
      </w:r>
      <w:r w:rsidR="00E0374C" w:rsidRPr="008048DD">
        <w:rPr>
          <w:lang w:val="es-ES_tradnl"/>
        </w:rPr>
        <w:t>el suministro</w:t>
      </w:r>
      <w:r w:rsidRPr="008048DD">
        <w:rPr>
          <w:lang w:val="es-ES_tradnl"/>
        </w:rPr>
        <w:t xml:space="preserve">, el uso, las emisiones y </w:t>
      </w:r>
      <w:r w:rsidR="00722952" w:rsidRPr="008048DD">
        <w:rPr>
          <w:lang w:val="es-ES_tradnl"/>
        </w:rPr>
        <w:t xml:space="preserve">las </w:t>
      </w:r>
      <w:r w:rsidRPr="008048DD">
        <w:rPr>
          <w:lang w:val="es-ES_tradnl"/>
        </w:rPr>
        <w:t xml:space="preserve">liberaciones de mercurio en el medio ambiente. Para cada grupo de artículos, el </w:t>
      </w:r>
      <w:r w:rsidR="00A63BE0" w:rsidRPr="008048DD">
        <w:rPr>
          <w:lang w:val="es-ES_tradnl"/>
        </w:rPr>
        <w:t>G</w:t>
      </w:r>
      <w:r w:rsidR="00891F8B" w:rsidRPr="008048DD">
        <w:rPr>
          <w:lang w:val="es-ES_tradnl"/>
        </w:rPr>
        <w:t>rupo especial de expertos</w:t>
      </w:r>
      <w:r w:rsidRPr="008048DD">
        <w:rPr>
          <w:lang w:val="es-ES_tradnl"/>
        </w:rPr>
        <w:t xml:space="preserve"> determinó </w:t>
      </w:r>
      <w:r w:rsidR="00722952" w:rsidRPr="008048DD">
        <w:rPr>
          <w:lang w:val="es-ES_tradnl"/>
        </w:rPr>
        <w:t>las</w:t>
      </w:r>
      <w:r w:rsidRPr="008048DD">
        <w:rPr>
          <w:lang w:val="es-ES_tradnl"/>
        </w:rPr>
        <w:t xml:space="preserve"> Partes </w:t>
      </w:r>
      <w:r w:rsidR="00722952" w:rsidRPr="008048DD">
        <w:rPr>
          <w:lang w:val="es-ES_tradnl"/>
        </w:rPr>
        <w:t>que</w:t>
      </w:r>
      <w:r w:rsidR="00781EF1">
        <w:rPr>
          <w:lang w:val="es-ES_tradnl"/>
        </w:rPr>
        <w:t> </w:t>
      </w:r>
      <w:r w:rsidRPr="008048DD">
        <w:rPr>
          <w:lang w:val="es-ES_tradnl"/>
        </w:rPr>
        <w:t>estaban adoptando medidas en relación con una actividad normativa clave, y los resultados de esas</w:t>
      </w:r>
      <w:r w:rsidR="00781EF1">
        <w:rPr>
          <w:lang w:val="es-ES_tradnl"/>
        </w:rPr>
        <w:t> </w:t>
      </w:r>
      <w:r w:rsidRPr="008048DD">
        <w:rPr>
          <w:lang w:val="es-ES_tradnl"/>
        </w:rPr>
        <w:t xml:space="preserve">medidas; </w:t>
      </w:r>
    </w:p>
    <w:p w14:paraId="177E198E" w14:textId="77777777" w:rsidR="00B1107F" w:rsidRPr="008048DD" w:rsidRDefault="00B1107F" w:rsidP="00362646">
      <w:pPr>
        <w:pStyle w:val="Normalnumber"/>
        <w:numPr>
          <w:ilvl w:val="0"/>
          <w:numId w:val="36"/>
        </w:numPr>
        <w:spacing w:after="80"/>
        <w:ind w:left="1247" w:firstLine="624"/>
        <w:rPr>
          <w:lang w:val="es-ES_tradnl"/>
        </w:rPr>
      </w:pPr>
      <w:r w:rsidRPr="008048DD">
        <w:rPr>
          <w:lang w:val="es-ES_tradnl"/>
        </w:rPr>
        <w:t>Los indicadores de vigilancia (que pueden denotar los resultados) son necesarios para proporcionar información científica validada que fundamente y apoye la formulación de políticas y la adopción de decision</w:t>
      </w:r>
      <w:r w:rsidR="00467D4C" w:rsidRPr="008048DD">
        <w:rPr>
          <w:lang w:val="es-ES_tradnl"/>
        </w:rPr>
        <w:t>e</w:t>
      </w:r>
      <w:r w:rsidRPr="008048DD">
        <w:rPr>
          <w:lang w:val="es-ES_tradnl"/>
        </w:rPr>
        <w:t xml:space="preserve">s sobre los efectos de las medidas de control. </w:t>
      </w:r>
    </w:p>
    <w:p w14:paraId="5BA71F7F" w14:textId="47AE322A"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Los indicadores se elaboraron, en su mayoría, teniendo presentes los datos y los informes encomendados con arreglo a las necesidades de presentación de informes del Convenio o de otros órganos afines (como, por ejemplo, los informes del Fondo para el Medio Ambiente Mundial)</w:t>
      </w:r>
      <w:r w:rsidR="00722952" w:rsidRPr="008048DD">
        <w:rPr>
          <w:lang w:val="es-ES_tradnl"/>
        </w:rPr>
        <w:t>.</w:t>
      </w:r>
      <w:r w:rsidRPr="008048DD">
        <w:rPr>
          <w:lang w:val="es-ES_tradnl"/>
        </w:rPr>
        <w:t xml:space="preserve"> Estos informes se complementarán con otros datos disponibles recopilados en los informes de síntesis y el</w:t>
      </w:r>
      <w:r w:rsidR="00781EF1">
        <w:rPr>
          <w:lang w:val="es-ES_tradnl"/>
        </w:rPr>
        <w:t> </w:t>
      </w:r>
      <w:r w:rsidRPr="008048DD">
        <w:rPr>
          <w:lang w:val="es-ES_tradnl"/>
        </w:rPr>
        <w:t xml:space="preserve">informe </w:t>
      </w:r>
      <w:r w:rsidR="00722952" w:rsidRPr="008048DD">
        <w:rPr>
          <w:lang w:val="es-ES_tradnl"/>
        </w:rPr>
        <w:t xml:space="preserve">de </w:t>
      </w:r>
      <w:r w:rsidRPr="008048DD">
        <w:rPr>
          <w:lang w:val="es-ES_tradnl"/>
        </w:rPr>
        <w:t xml:space="preserve">atribución. </w:t>
      </w:r>
      <w:r w:rsidR="0005484A" w:rsidRPr="008048DD">
        <w:rPr>
          <w:lang w:val="es-ES_tradnl"/>
        </w:rPr>
        <w:t>El uso d</w:t>
      </w:r>
      <w:r w:rsidRPr="008048DD">
        <w:rPr>
          <w:lang w:val="es-ES_tradnl"/>
        </w:rPr>
        <w:t xml:space="preserve">e datos ya disponibles </w:t>
      </w:r>
      <w:r w:rsidR="0005484A" w:rsidRPr="008048DD">
        <w:rPr>
          <w:lang w:val="es-ES_tradnl"/>
        </w:rPr>
        <w:t xml:space="preserve">garantiza la rentabilidad de </w:t>
      </w:r>
      <w:r w:rsidRPr="008048DD">
        <w:rPr>
          <w:lang w:val="es-ES_tradnl"/>
        </w:rPr>
        <w:t>los indicadores. Además, mientras el Convenio esté vigente se proporcionarán datos constantemente, lo que los hará</w:t>
      </w:r>
      <w:r w:rsidR="00781EF1">
        <w:rPr>
          <w:lang w:val="es-ES_tradnl"/>
        </w:rPr>
        <w:t> </w:t>
      </w:r>
      <w:r w:rsidRPr="008048DD">
        <w:rPr>
          <w:lang w:val="es-ES_tradnl"/>
        </w:rPr>
        <w:t xml:space="preserve">sostenibles. </w:t>
      </w:r>
    </w:p>
    <w:p w14:paraId="35702CD8"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Los indicadores se formulan de manera que sea</w:t>
      </w:r>
      <w:r w:rsidR="0005484A" w:rsidRPr="008048DD">
        <w:rPr>
          <w:lang w:val="es-ES_tradnl"/>
        </w:rPr>
        <w:t>n</w:t>
      </w:r>
      <w:r w:rsidRPr="008048DD">
        <w:rPr>
          <w:lang w:val="es-ES_tradnl"/>
        </w:rPr>
        <w:t xml:space="preserve"> práctico</w:t>
      </w:r>
      <w:r w:rsidR="0005484A" w:rsidRPr="008048DD">
        <w:rPr>
          <w:lang w:val="es-ES_tradnl"/>
        </w:rPr>
        <w:t>s</w:t>
      </w:r>
      <w:r w:rsidRPr="008048DD">
        <w:rPr>
          <w:lang w:val="es-ES_tradnl"/>
        </w:rPr>
        <w:t xml:space="preserve"> y viable</w:t>
      </w:r>
      <w:r w:rsidR="0005484A" w:rsidRPr="008048DD">
        <w:rPr>
          <w:lang w:val="es-ES_tradnl"/>
        </w:rPr>
        <w:t>s</w:t>
      </w:r>
      <w:r w:rsidRPr="008048DD">
        <w:rPr>
          <w:lang w:val="es-ES_tradnl"/>
        </w:rPr>
        <w:t>. Se han concebido para facilitar su conteo y su cálculo, y para que se entiendan con facilidad (no representan funciones complejas)</w:t>
      </w:r>
      <w:r w:rsidR="0005484A" w:rsidRPr="008048DD">
        <w:rPr>
          <w:lang w:val="es-ES_tradnl"/>
        </w:rPr>
        <w:t>.</w:t>
      </w:r>
      <w:r w:rsidRPr="008048DD">
        <w:rPr>
          <w:lang w:val="es-ES_tradnl"/>
        </w:rPr>
        <w:t xml:space="preserve"> Si los datos presentados con arreglo al artículo 21 se envían electrónicamente a la Secretaría, su cálculo debería ser especialmente sencillo. </w:t>
      </w:r>
    </w:p>
    <w:p w14:paraId="2B752EEA" w14:textId="77777777" w:rsidR="00B1107F" w:rsidRPr="0025005D" w:rsidRDefault="00B1107F" w:rsidP="00362646">
      <w:pPr>
        <w:pStyle w:val="Normalnumber"/>
        <w:numPr>
          <w:ilvl w:val="0"/>
          <w:numId w:val="40"/>
        </w:numPr>
        <w:tabs>
          <w:tab w:val="clear" w:pos="1057"/>
        </w:tabs>
        <w:ind w:left="1247"/>
        <w:rPr>
          <w:lang w:val="es-ES_tradnl"/>
        </w:rPr>
      </w:pPr>
      <w:r w:rsidRPr="008048DD">
        <w:rPr>
          <w:lang w:val="es-ES_tradnl"/>
        </w:rPr>
        <w:t>Los parámetros de referencia se consideran fundamentales para una evaluación de la eficacia, y permiten la evaluación de los indicadores a lo largo del tiempo. En el Convenio no se prevé ningún procedimiento oficial para establecer los parámetros de referencia. Hay dos tipos de parámetros de referencia: los de “antes-después” y los de “con-sin”. Los primeros sirve</w:t>
      </w:r>
      <w:r w:rsidR="00467D4C" w:rsidRPr="008048DD">
        <w:rPr>
          <w:lang w:val="es-ES_tradnl"/>
        </w:rPr>
        <w:t>n para indicadores que son r</w:t>
      </w:r>
      <w:r w:rsidRPr="008048DD">
        <w:rPr>
          <w:lang w:val="es-ES_tradnl"/>
        </w:rPr>
        <w:t xml:space="preserve">elativamente estables, para los cuales se puede usar un valor temporal antes de la entrada en vigor del Convenio durante todo el proceso de evaluación. Los últimos sirven para los indicadores que varían con el tiempo debido a factores que nada tienen que ver con las intervenciones realizadas como resultado de las disposiciones del Convenio, como son los aspectos socioeconómicos y demográficos, </w:t>
      </w:r>
      <w:r w:rsidRPr="0025005D">
        <w:rPr>
          <w:lang w:val="es-ES_tradnl"/>
        </w:rPr>
        <w:t>el cambio climático, las iniciativas en curso y los cambios en el estilo de vida, todos los cuales repercuten en el valor del parámetro de referencia a mediano y largo plazos.</w:t>
      </w:r>
    </w:p>
    <w:p w14:paraId="27D61273" w14:textId="171C18D5" w:rsidR="000D3019" w:rsidRPr="0085267C" w:rsidRDefault="00B1107F" w:rsidP="00362646">
      <w:pPr>
        <w:pStyle w:val="Normalnumber"/>
        <w:numPr>
          <w:ilvl w:val="0"/>
          <w:numId w:val="40"/>
        </w:numPr>
        <w:tabs>
          <w:tab w:val="clear" w:pos="1057"/>
        </w:tabs>
        <w:ind w:left="1247"/>
        <w:rPr>
          <w:lang w:val="es-ES"/>
        </w:rPr>
      </w:pPr>
      <w:r w:rsidRPr="0025005D">
        <w:rPr>
          <w:lang w:val="es-ES_tradnl"/>
        </w:rPr>
        <w:t xml:space="preserve">En el cuadro 2 se presentan los indicadores propuestos, que se complementan con los </w:t>
      </w:r>
      <w:r w:rsidR="00507230" w:rsidRPr="0025005D">
        <w:rPr>
          <w:lang w:val="es-ES_tradnl"/>
        </w:rPr>
        <w:t>indicadores</w:t>
      </w:r>
      <w:r w:rsidRPr="0025005D">
        <w:rPr>
          <w:lang w:val="es-ES_tradnl"/>
        </w:rPr>
        <w:t xml:space="preserve"> de vigilancia señalados en el cuadro 4. Cabe señalar que el cuadro 2 contiene un número importante</w:t>
      </w:r>
      <w:r w:rsidRPr="000D3019">
        <w:rPr>
          <w:lang w:val="es-ES_tradnl"/>
        </w:rPr>
        <w:t xml:space="preserve"> de indicadores que la Conferencia de las Partes tendrá que examinar. El </w:t>
      </w:r>
      <w:r w:rsidR="004B29B1" w:rsidRPr="000D3019">
        <w:rPr>
          <w:lang w:val="es-ES_tradnl"/>
        </w:rPr>
        <w:t>G</w:t>
      </w:r>
      <w:r w:rsidR="00891F8B" w:rsidRPr="000D3019">
        <w:rPr>
          <w:lang w:val="es-ES_tradnl"/>
        </w:rPr>
        <w:t>rupo especial de expertos</w:t>
      </w:r>
      <w:r w:rsidRPr="000D3019">
        <w:rPr>
          <w:lang w:val="es-ES_tradnl"/>
        </w:rPr>
        <w:t xml:space="preserve"> técnicos elaboró esos indicadores en un momento en que todavía no </w:t>
      </w:r>
      <w:r w:rsidR="00507230" w:rsidRPr="000D3019">
        <w:rPr>
          <w:lang w:val="es-ES_tradnl"/>
        </w:rPr>
        <w:t>se</w:t>
      </w:r>
      <w:r w:rsidRPr="000D3019">
        <w:rPr>
          <w:lang w:val="es-ES_tradnl"/>
        </w:rPr>
        <w:t xml:space="preserve"> habían recopilado los datos ni la información, por lo que, probablemente, ha</w:t>
      </w:r>
      <w:r w:rsidR="005410EC" w:rsidRPr="000D3019">
        <w:rPr>
          <w:lang w:val="es-ES_tradnl"/>
        </w:rPr>
        <w:t>ya</w:t>
      </w:r>
      <w:r w:rsidRPr="000D3019">
        <w:rPr>
          <w:lang w:val="es-ES_tradnl"/>
        </w:rPr>
        <w:t xml:space="preserve"> que ajustar algunos de ellos en función de la cantidad y calidad de los datos y la información disponibles, y esa labor de reparación habrá que hacerla. Es posible que al</w:t>
      </w:r>
      <w:r w:rsidR="00507230" w:rsidRPr="000D3019">
        <w:rPr>
          <w:lang w:val="es-ES_tradnl"/>
        </w:rPr>
        <w:t>gunos de los indicadores no sea</w:t>
      </w:r>
      <w:r w:rsidRPr="000D3019">
        <w:rPr>
          <w:lang w:val="es-ES_tradnl"/>
        </w:rPr>
        <w:t>n</w:t>
      </w:r>
      <w:r w:rsidR="00507230" w:rsidRPr="000D3019">
        <w:rPr>
          <w:lang w:val="es-ES_tradnl"/>
        </w:rPr>
        <w:t xml:space="preserve"> </w:t>
      </w:r>
      <w:r w:rsidRPr="000D3019">
        <w:rPr>
          <w:lang w:val="es-ES_tradnl"/>
        </w:rPr>
        <w:t>viables y, en un final, no lle</w:t>
      </w:r>
      <w:r w:rsidR="0005484A" w:rsidRPr="000D3019">
        <w:rPr>
          <w:lang w:val="es-ES_tradnl"/>
        </w:rPr>
        <w:t>guen a usarse. No obstante, el g</w:t>
      </w:r>
      <w:r w:rsidRPr="000D3019">
        <w:rPr>
          <w:lang w:val="es-ES_tradnl"/>
        </w:rPr>
        <w:t>rupo consideró que era importante presentar una lista más larga para su examen.</w:t>
      </w:r>
    </w:p>
    <w:p w14:paraId="1F1B7E3C" w14:textId="77777777" w:rsidR="00A92C2B" w:rsidRDefault="00A92C2B" w:rsidP="007F691B">
      <w:pPr>
        <w:rPr>
          <w:b/>
        </w:rPr>
        <w:sectPr w:rsidR="00A92C2B" w:rsidSect="00AA0417">
          <w:headerReference w:type="even" r:id="rId19"/>
          <w:type w:val="nextColumn"/>
          <w:pgSz w:w="11907" w:h="16840" w:code="1"/>
          <w:pgMar w:top="907" w:right="992" w:bottom="1559" w:left="1418" w:header="539" w:footer="975" w:gutter="0"/>
          <w:cols w:space="708"/>
          <w:docGrid w:linePitch="360"/>
        </w:sectPr>
      </w:pPr>
    </w:p>
    <w:p w14:paraId="23FB6A8C" w14:textId="5A8E9F51" w:rsidR="00434AD2" w:rsidRPr="000D3019" w:rsidRDefault="00D930DD" w:rsidP="000E0696">
      <w:pPr>
        <w:pStyle w:val="Normalnumber"/>
        <w:spacing w:after="60"/>
        <w:rPr>
          <w:b/>
          <w:lang w:val="es-ES_tradnl"/>
        </w:rPr>
      </w:pPr>
      <w:r w:rsidRPr="000D3019">
        <w:rPr>
          <w:lang w:val="es-ES_tradnl"/>
        </w:rPr>
        <w:t>Cuadro 2</w:t>
      </w:r>
      <w:r w:rsidRPr="000D3019">
        <w:rPr>
          <w:lang w:val="es-ES_tradnl"/>
        </w:rPr>
        <w:br/>
      </w:r>
      <w:r w:rsidR="00434AD2" w:rsidRPr="000D3019">
        <w:rPr>
          <w:b/>
          <w:bCs/>
          <w:lang w:val="es-ES_tradnl"/>
        </w:rPr>
        <w:t>Indicadores propuestos para evaluar la eficacia del Convenio de Minamata, por artículo</w:t>
      </w:r>
    </w:p>
    <w:tbl>
      <w:tblPr>
        <w:tblStyle w:val="TableGrid"/>
        <w:tblW w:w="5000" w:type="pct"/>
        <w:jc w:val="right"/>
        <w:tblLayout w:type="fixed"/>
        <w:tblLook w:val="04A0" w:firstRow="1" w:lastRow="0" w:firstColumn="1" w:lastColumn="0" w:noHBand="0" w:noVBand="1"/>
      </w:tblPr>
      <w:tblGrid>
        <w:gridCol w:w="3007"/>
        <w:gridCol w:w="6023"/>
        <w:gridCol w:w="2695"/>
        <w:gridCol w:w="2695"/>
      </w:tblGrid>
      <w:tr w:rsidR="00B1107F" w:rsidRPr="008048DD" w14:paraId="69C96450" w14:textId="77777777" w:rsidTr="00F1134F">
        <w:trPr>
          <w:trHeight w:val="454"/>
          <w:jc w:val="right"/>
        </w:trPr>
        <w:tc>
          <w:tcPr>
            <w:tcW w:w="8404" w:type="dxa"/>
            <w:gridSpan w:val="2"/>
            <w:shd w:val="clear" w:color="auto" w:fill="B8CCE4"/>
          </w:tcPr>
          <w:p w14:paraId="7F33399F" w14:textId="77777777" w:rsidR="00851861" w:rsidRPr="008048DD" w:rsidRDefault="00B1107F" w:rsidP="004D78F9">
            <w:pPr>
              <w:rPr>
                <w:rStyle w:val="dn"/>
                <w:rFonts w:eastAsia="Roboto"/>
                <w:b/>
                <w:sz w:val="18"/>
                <w:szCs w:val="18"/>
              </w:rPr>
            </w:pPr>
            <w:r w:rsidRPr="008048DD">
              <w:rPr>
                <w:b/>
                <w:bCs/>
                <w:sz w:val="18"/>
                <w:szCs w:val="18"/>
              </w:rPr>
              <w:t>A: Artículo 1 (objetivo)</w:t>
            </w:r>
          </w:p>
          <w:p w14:paraId="6B3694E0" w14:textId="77777777" w:rsidR="00B1107F" w:rsidRPr="008048DD" w:rsidRDefault="00B1107F" w:rsidP="00851861">
            <w:pPr>
              <w:ind w:left="698"/>
              <w:rPr>
                <w:b/>
                <w:bCs/>
                <w:sz w:val="18"/>
                <w:szCs w:val="18"/>
              </w:rPr>
            </w:pPr>
            <w:r w:rsidRPr="008048DD">
              <w:rPr>
                <w:sz w:val="18"/>
                <w:szCs w:val="18"/>
              </w:rPr>
              <w:t>(El indicador relacionado con el artículo 1 debe interpretarse junto con el indicador correspondiente sobre vigilancia del cuadro 4).</w:t>
            </w:r>
          </w:p>
        </w:tc>
        <w:tc>
          <w:tcPr>
            <w:tcW w:w="2508" w:type="dxa"/>
            <w:shd w:val="clear" w:color="auto" w:fill="B8CCE4" w:themeFill="accent1" w:themeFillTint="66"/>
          </w:tcPr>
          <w:p w14:paraId="27FA48FE" w14:textId="77777777" w:rsidR="00B1107F" w:rsidRPr="008048DD" w:rsidRDefault="00B1107F" w:rsidP="00EE7D24">
            <w:pPr>
              <w:rPr>
                <w:rStyle w:val="dn"/>
                <w:rFonts w:eastAsia="Roboto"/>
                <w:b/>
                <w:bCs/>
                <w:sz w:val="18"/>
                <w:szCs w:val="18"/>
              </w:rPr>
            </w:pPr>
            <w:r w:rsidRPr="008048DD">
              <w:rPr>
                <w:b/>
                <w:bCs/>
                <w:sz w:val="18"/>
                <w:szCs w:val="18"/>
              </w:rPr>
              <w:t>Fuente de información sobre el indicador</w:t>
            </w:r>
          </w:p>
        </w:tc>
        <w:tc>
          <w:tcPr>
            <w:tcW w:w="2508" w:type="dxa"/>
            <w:shd w:val="clear" w:color="auto" w:fill="B8CCE4" w:themeFill="accent1" w:themeFillTint="66"/>
          </w:tcPr>
          <w:p w14:paraId="47CEF63D" w14:textId="77777777" w:rsidR="00B1107F" w:rsidRPr="008048DD" w:rsidRDefault="00507230" w:rsidP="00507230">
            <w:pPr>
              <w:rPr>
                <w:rStyle w:val="dn"/>
                <w:rFonts w:eastAsia="Roboto"/>
                <w:b/>
                <w:bCs/>
                <w:sz w:val="18"/>
                <w:szCs w:val="18"/>
              </w:rPr>
            </w:pPr>
            <w:r w:rsidRPr="008048DD">
              <w:rPr>
                <w:b/>
                <w:bCs/>
                <w:sz w:val="18"/>
                <w:szCs w:val="18"/>
              </w:rPr>
              <w:t>Parámetro de referencia del indicador</w:t>
            </w:r>
          </w:p>
        </w:tc>
      </w:tr>
      <w:tr w:rsidR="00B1107F" w:rsidRPr="008048DD" w14:paraId="48B1AD8F" w14:textId="77777777" w:rsidTr="00F1134F">
        <w:trPr>
          <w:trHeight w:val="454"/>
          <w:jc w:val="right"/>
        </w:trPr>
        <w:tc>
          <w:tcPr>
            <w:tcW w:w="2799" w:type="dxa"/>
          </w:tcPr>
          <w:p w14:paraId="6E1A4F50" w14:textId="77777777" w:rsidR="00B1107F" w:rsidRPr="008048DD" w:rsidRDefault="00B1107F" w:rsidP="00EE7D24">
            <w:pPr>
              <w:rPr>
                <w:sz w:val="18"/>
                <w:szCs w:val="18"/>
              </w:rPr>
            </w:pPr>
            <w:r w:rsidRPr="008048DD">
              <w:rPr>
                <w:sz w:val="18"/>
                <w:szCs w:val="18"/>
              </w:rPr>
              <w:t>A1. Indicador de vigilancia intersectorial</w:t>
            </w:r>
          </w:p>
        </w:tc>
        <w:tc>
          <w:tcPr>
            <w:tcW w:w="5605" w:type="dxa"/>
          </w:tcPr>
          <w:p w14:paraId="0261B2BE" w14:textId="77777777" w:rsidR="00B1107F" w:rsidRPr="008048DD" w:rsidRDefault="00B1107F" w:rsidP="00EE7D24">
            <w:pPr>
              <w:rPr>
                <w:sz w:val="18"/>
                <w:szCs w:val="18"/>
              </w:rPr>
            </w:pPr>
            <w:r w:rsidRPr="008048DD">
              <w:rPr>
                <w:sz w:val="18"/>
                <w:szCs w:val="18"/>
              </w:rPr>
              <w:t>Niveles de mercurio en el medio ambiente y los seres humanos debidos a las emisiones y liberaciones antropógenas</w:t>
            </w:r>
          </w:p>
        </w:tc>
        <w:tc>
          <w:tcPr>
            <w:tcW w:w="2508" w:type="dxa"/>
          </w:tcPr>
          <w:p w14:paraId="7912CE1B" w14:textId="77777777" w:rsidR="00B1107F" w:rsidRPr="008048DD" w:rsidRDefault="00B1107F" w:rsidP="00EE7D24">
            <w:pPr>
              <w:rPr>
                <w:sz w:val="18"/>
                <w:szCs w:val="18"/>
              </w:rPr>
            </w:pPr>
            <w:r w:rsidRPr="008048DD">
              <w:rPr>
                <w:sz w:val="18"/>
                <w:szCs w:val="18"/>
              </w:rPr>
              <w:t>Modelización de la atribución</w:t>
            </w:r>
          </w:p>
          <w:p w14:paraId="6179CCA8" w14:textId="77777777" w:rsidR="00B1107F" w:rsidRPr="008048DD" w:rsidRDefault="00B1107F" w:rsidP="00EE7D24">
            <w:pPr>
              <w:rPr>
                <w:sz w:val="18"/>
                <w:szCs w:val="18"/>
              </w:rPr>
            </w:pPr>
          </w:p>
        </w:tc>
        <w:tc>
          <w:tcPr>
            <w:tcW w:w="2508" w:type="dxa"/>
          </w:tcPr>
          <w:p w14:paraId="18AD3AB3" w14:textId="77777777" w:rsidR="00B1107F" w:rsidRPr="008048DD" w:rsidRDefault="00F1134F" w:rsidP="00EE7D24">
            <w:pPr>
              <w:rPr>
                <w:sz w:val="18"/>
                <w:szCs w:val="18"/>
              </w:rPr>
            </w:pPr>
            <w:r w:rsidRPr="008048DD">
              <w:rPr>
                <w:sz w:val="18"/>
                <w:szCs w:val="18"/>
              </w:rPr>
              <w:t>Cantidad en la primera evaluación (si se dispone de modelos)</w:t>
            </w:r>
          </w:p>
        </w:tc>
      </w:tr>
      <w:tr w:rsidR="00B1107F" w:rsidRPr="008048DD" w14:paraId="76B25123" w14:textId="77777777" w:rsidTr="00C05B03">
        <w:trPr>
          <w:trHeight w:val="57"/>
          <w:jc w:val="right"/>
        </w:trPr>
        <w:tc>
          <w:tcPr>
            <w:tcW w:w="2799" w:type="dxa"/>
            <w:shd w:val="clear" w:color="auto" w:fill="B8CCE4"/>
          </w:tcPr>
          <w:p w14:paraId="635C1A31" w14:textId="77777777" w:rsidR="00B1107F" w:rsidRPr="008048DD" w:rsidRDefault="00B1107F" w:rsidP="00EE7D24">
            <w:pPr>
              <w:rPr>
                <w:b/>
                <w:bCs/>
                <w:sz w:val="18"/>
                <w:szCs w:val="18"/>
              </w:rPr>
            </w:pPr>
            <w:r w:rsidRPr="008048DD">
              <w:rPr>
                <w:b/>
                <w:bCs/>
                <w:sz w:val="18"/>
                <w:szCs w:val="18"/>
              </w:rPr>
              <w:t>Notas</w:t>
            </w:r>
          </w:p>
        </w:tc>
        <w:tc>
          <w:tcPr>
            <w:tcW w:w="10621" w:type="dxa"/>
            <w:gridSpan w:val="3"/>
          </w:tcPr>
          <w:p w14:paraId="5F65C26F" w14:textId="77777777" w:rsidR="00B1107F" w:rsidRPr="008048DD" w:rsidRDefault="00B1107F" w:rsidP="00A00B9F">
            <w:pPr>
              <w:pStyle w:val="ListParagraph"/>
              <w:numPr>
                <w:ilvl w:val="0"/>
                <w:numId w:val="19"/>
              </w:numPr>
              <w:pBdr>
                <w:top w:val="nil"/>
                <w:left w:val="nil"/>
                <w:bottom w:val="nil"/>
                <w:right w:val="nil"/>
                <w:between w:val="nil"/>
                <w:bar w:val="nil"/>
              </w:pBdr>
              <w:ind w:left="202" w:hanging="202"/>
              <w:rPr>
                <w:sz w:val="18"/>
                <w:szCs w:val="18"/>
              </w:rPr>
            </w:pPr>
            <w:r w:rsidRPr="008048DD">
              <w:rPr>
                <w:sz w:val="18"/>
                <w:szCs w:val="18"/>
              </w:rPr>
              <w:t xml:space="preserve">La atribución se habrá de estimar a partir de modelos que no se han elaborado todavía; por tanto, es posible que la información para este indicador esté o no </w:t>
            </w:r>
            <w:r w:rsidR="00467D4C" w:rsidRPr="008048DD">
              <w:rPr>
                <w:sz w:val="18"/>
                <w:szCs w:val="18"/>
              </w:rPr>
              <w:t>esté disponible durante el prim</w:t>
            </w:r>
            <w:r w:rsidRPr="008048DD">
              <w:rPr>
                <w:sz w:val="18"/>
                <w:szCs w:val="18"/>
              </w:rPr>
              <w:t>er ciclo de evaluación de la eficacia.</w:t>
            </w:r>
          </w:p>
          <w:p w14:paraId="5DE10718" w14:textId="77777777" w:rsidR="00B1107F" w:rsidRPr="008048DD" w:rsidRDefault="00B1107F" w:rsidP="00A00B9F">
            <w:pPr>
              <w:pStyle w:val="ListParagraph"/>
              <w:numPr>
                <w:ilvl w:val="0"/>
                <w:numId w:val="19"/>
              </w:numPr>
              <w:pBdr>
                <w:top w:val="nil"/>
                <w:left w:val="nil"/>
                <w:bottom w:val="nil"/>
                <w:right w:val="nil"/>
                <w:between w:val="nil"/>
                <w:bar w:val="nil"/>
              </w:pBdr>
              <w:ind w:left="202" w:hanging="202"/>
              <w:rPr>
                <w:sz w:val="18"/>
                <w:szCs w:val="18"/>
              </w:rPr>
            </w:pPr>
            <w:r w:rsidRPr="008048DD">
              <w:rPr>
                <w:sz w:val="18"/>
                <w:szCs w:val="18"/>
              </w:rPr>
              <w:t>Las estimaciones obtenidas de los modelos irán acompañadas de las correspondientes notas sobre las incertidumbres en la modelización.</w:t>
            </w:r>
          </w:p>
          <w:p w14:paraId="1CDA1DB4" w14:textId="77777777" w:rsidR="00B1107F" w:rsidRPr="008048DD" w:rsidRDefault="00467D4C" w:rsidP="00A00B9F">
            <w:pPr>
              <w:pStyle w:val="ListParagraph"/>
              <w:numPr>
                <w:ilvl w:val="0"/>
                <w:numId w:val="19"/>
              </w:numPr>
              <w:pBdr>
                <w:top w:val="nil"/>
                <w:left w:val="nil"/>
                <w:bottom w:val="nil"/>
                <w:right w:val="nil"/>
                <w:between w:val="nil"/>
                <w:bar w:val="nil"/>
              </w:pBdr>
              <w:ind w:left="202" w:hanging="202"/>
              <w:rPr>
                <w:sz w:val="18"/>
                <w:szCs w:val="18"/>
              </w:rPr>
            </w:pPr>
            <w:r w:rsidRPr="008048DD">
              <w:rPr>
                <w:sz w:val="18"/>
                <w:szCs w:val="18"/>
              </w:rPr>
              <w:t>En caso de que no se dispon</w:t>
            </w:r>
            <w:r w:rsidR="00B1107F" w:rsidRPr="008048DD">
              <w:rPr>
                <w:sz w:val="18"/>
                <w:szCs w:val="18"/>
              </w:rPr>
              <w:t>ga de información de los modelos, los niveles de mercurio y las tendencias en los niveles de mercurio (cambios en el transcurso del tiempo) podrían utilizarse a los efectos de la atribución.</w:t>
            </w:r>
          </w:p>
        </w:tc>
      </w:tr>
    </w:tbl>
    <w:p w14:paraId="31DFA83F" w14:textId="77777777" w:rsidR="00B1107F" w:rsidRPr="008048DD" w:rsidRDefault="00B1107F" w:rsidP="00B1107F">
      <w:pPr>
        <w:rPr>
          <w:sz w:val="12"/>
          <w:szCs w:val="12"/>
        </w:rPr>
      </w:pPr>
    </w:p>
    <w:tbl>
      <w:tblPr>
        <w:tblStyle w:val="TableGrid"/>
        <w:tblW w:w="5000" w:type="pct"/>
        <w:jc w:val="right"/>
        <w:tblLayout w:type="fixed"/>
        <w:tblLook w:val="04A0" w:firstRow="1" w:lastRow="0" w:firstColumn="1" w:lastColumn="0" w:noHBand="0" w:noVBand="1"/>
      </w:tblPr>
      <w:tblGrid>
        <w:gridCol w:w="3007"/>
        <w:gridCol w:w="6023"/>
        <w:gridCol w:w="2695"/>
        <w:gridCol w:w="2695"/>
      </w:tblGrid>
      <w:tr w:rsidR="00B1107F" w:rsidRPr="008048DD" w14:paraId="5EA465D1" w14:textId="77777777" w:rsidTr="003A6617">
        <w:trPr>
          <w:trHeight w:val="454"/>
          <w:jc w:val="right"/>
        </w:trPr>
        <w:tc>
          <w:tcPr>
            <w:tcW w:w="8075" w:type="dxa"/>
            <w:gridSpan w:val="2"/>
            <w:shd w:val="clear" w:color="auto" w:fill="B8CCE4" w:themeFill="accent1" w:themeFillTint="66"/>
          </w:tcPr>
          <w:p w14:paraId="6C464E87" w14:textId="77777777" w:rsidR="00851861" w:rsidRPr="008048DD" w:rsidRDefault="00B1107F" w:rsidP="00780EA2">
            <w:pPr>
              <w:rPr>
                <w:rStyle w:val="dn"/>
                <w:rFonts w:eastAsia="Roboto"/>
                <w:b/>
                <w:sz w:val="18"/>
                <w:szCs w:val="18"/>
              </w:rPr>
            </w:pPr>
            <w:r w:rsidRPr="008048DD">
              <w:rPr>
                <w:b/>
                <w:bCs/>
                <w:sz w:val="18"/>
                <w:szCs w:val="18"/>
              </w:rPr>
              <w:t>B: Grupo sobre suministro</w:t>
            </w:r>
            <w:r w:rsidRPr="008048DD">
              <w:rPr>
                <w:sz w:val="18"/>
                <w:szCs w:val="18"/>
              </w:rPr>
              <w:t xml:space="preserve"> </w:t>
            </w:r>
          </w:p>
          <w:p w14:paraId="603F827C" w14:textId="77777777" w:rsidR="00B1107F" w:rsidRPr="008048DD" w:rsidRDefault="00851861" w:rsidP="00851861">
            <w:pPr>
              <w:ind w:left="788"/>
              <w:rPr>
                <w:b/>
                <w:bCs/>
                <w:sz w:val="18"/>
                <w:szCs w:val="18"/>
              </w:rPr>
            </w:pPr>
            <w:r w:rsidRPr="008048DD">
              <w:rPr>
                <w:b/>
                <w:bCs/>
                <w:sz w:val="18"/>
                <w:szCs w:val="18"/>
              </w:rPr>
              <w:t>Artículo 3 (fuentes de suministro y comercio de mercurio);</w:t>
            </w:r>
            <w:r w:rsidRPr="008048DD">
              <w:rPr>
                <w:sz w:val="18"/>
                <w:szCs w:val="18"/>
              </w:rPr>
              <w:t xml:space="preserve"> </w:t>
            </w:r>
            <w:r w:rsidRPr="008048DD">
              <w:rPr>
                <w:b/>
                <w:bCs/>
                <w:sz w:val="18"/>
                <w:szCs w:val="18"/>
              </w:rPr>
              <w:t>artículo 10 (almacenamiento provisional ambientalmente racional de mercurio, distinto del mercurio de desecho);</w:t>
            </w:r>
            <w:r w:rsidRPr="008048DD">
              <w:rPr>
                <w:sz w:val="18"/>
                <w:szCs w:val="18"/>
              </w:rPr>
              <w:t xml:space="preserve"> </w:t>
            </w:r>
            <w:r w:rsidRPr="008048DD">
              <w:rPr>
                <w:b/>
                <w:bCs/>
                <w:sz w:val="18"/>
                <w:szCs w:val="18"/>
              </w:rPr>
              <w:t>artículo 11 (desechos de mercurio)</w:t>
            </w:r>
            <w:r w:rsidRPr="008048DD">
              <w:rPr>
                <w:sz w:val="18"/>
                <w:szCs w:val="18"/>
              </w:rPr>
              <w:t xml:space="preserve"> </w:t>
            </w:r>
          </w:p>
        </w:tc>
        <w:tc>
          <w:tcPr>
            <w:tcW w:w="2410" w:type="dxa"/>
            <w:shd w:val="clear" w:color="auto" w:fill="B8CCE4" w:themeFill="accent1" w:themeFillTint="66"/>
          </w:tcPr>
          <w:p w14:paraId="7F7DA92F" w14:textId="77777777" w:rsidR="00B1107F" w:rsidRPr="008048DD" w:rsidRDefault="00B1107F" w:rsidP="00EE7D24">
            <w:pPr>
              <w:rPr>
                <w:b/>
                <w:bCs/>
                <w:sz w:val="18"/>
                <w:szCs w:val="18"/>
              </w:rPr>
            </w:pPr>
            <w:r w:rsidRPr="008048DD">
              <w:rPr>
                <w:b/>
                <w:bCs/>
                <w:sz w:val="18"/>
                <w:szCs w:val="18"/>
              </w:rPr>
              <w:t>Fuente de información sobre el indicador</w:t>
            </w:r>
          </w:p>
        </w:tc>
        <w:tc>
          <w:tcPr>
            <w:tcW w:w="2410" w:type="dxa"/>
            <w:shd w:val="clear" w:color="auto" w:fill="B8CCE4" w:themeFill="accent1" w:themeFillTint="66"/>
          </w:tcPr>
          <w:p w14:paraId="12D05D9F" w14:textId="77777777" w:rsidR="00B1107F" w:rsidRPr="008048DD" w:rsidRDefault="00B1107F" w:rsidP="00EE7D24">
            <w:pPr>
              <w:rPr>
                <w:b/>
                <w:bCs/>
                <w:sz w:val="18"/>
                <w:szCs w:val="18"/>
              </w:rPr>
            </w:pPr>
            <w:r w:rsidRPr="008048DD">
              <w:rPr>
                <w:b/>
                <w:bCs/>
                <w:sz w:val="18"/>
                <w:szCs w:val="18"/>
              </w:rPr>
              <w:t>Parámetro de referencia para el indicador</w:t>
            </w:r>
          </w:p>
        </w:tc>
      </w:tr>
      <w:tr w:rsidR="00B1107F" w:rsidRPr="008048DD" w14:paraId="2E199AB0" w14:textId="77777777" w:rsidTr="003A6617">
        <w:trPr>
          <w:trHeight w:val="624"/>
          <w:jc w:val="right"/>
        </w:trPr>
        <w:tc>
          <w:tcPr>
            <w:tcW w:w="2689" w:type="dxa"/>
          </w:tcPr>
          <w:p w14:paraId="63E2E096" w14:textId="77777777" w:rsidR="00B1107F" w:rsidRPr="008048DD" w:rsidRDefault="00B1107F" w:rsidP="00EE7D24">
            <w:pPr>
              <w:rPr>
                <w:bCs/>
                <w:sz w:val="18"/>
                <w:szCs w:val="18"/>
              </w:rPr>
            </w:pPr>
            <w:r w:rsidRPr="008048DD">
              <w:rPr>
                <w:sz w:val="18"/>
                <w:szCs w:val="18"/>
              </w:rPr>
              <w:t>B1. Indicador general de procesos para los artículos 3, 10 y 11</w:t>
            </w:r>
          </w:p>
        </w:tc>
        <w:tc>
          <w:tcPr>
            <w:tcW w:w="5386" w:type="dxa"/>
          </w:tcPr>
          <w:p w14:paraId="11CEB648" w14:textId="77777777" w:rsidR="00B1107F" w:rsidRPr="008048DD" w:rsidRDefault="00F16695" w:rsidP="00E777BB">
            <w:pPr>
              <w:pBdr>
                <w:top w:val="nil"/>
                <w:left w:val="nil"/>
                <w:bottom w:val="nil"/>
                <w:right w:val="nil"/>
                <w:between w:val="nil"/>
                <w:bar w:val="nil"/>
              </w:pBdr>
              <w:tabs>
                <w:tab w:val="left" w:pos="1163"/>
              </w:tabs>
              <w:rPr>
                <w:sz w:val="18"/>
                <w:szCs w:val="18"/>
              </w:rPr>
            </w:pPr>
            <w:r w:rsidRPr="008048DD">
              <w:rPr>
                <w:sz w:val="18"/>
                <w:szCs w:val="18"/>
              </w:rPr>
              <w:t>Proporción de Partes que han aplicado disposiciones fundamentales en relación con este grupo temático (que abarca todos los indicadores de procesos, es decir, B5. B6, B7, B8, B9 y B13)</w:t>
            </w:r>
          </w:p>
        </w:tc>
        <w:tc>
          <w:tcPr>
            <w:tcW w:w="2410" w:type="dxa"/>
          </w:tcPr>
          <w:p w14:paraId="4233AF30" w14:textId="6D62999F" w:rsidR="00B1107F" w:rsidRPr="008048DD" w:rsidRDefault="00B1107F" w:rsidP="00EE7D24">
            <w:pPr>
              <w:pBdr>
                <w:top w:val="nil"/>
                <w:left w:val="nil"/>
                <w:bottom w:val="nil"/>
                <w:right w:val="nil"/>
                <w:between w:val="nil"/>
                <w:bar w:val="nil"/>
              </w:pBdr>
              <w:tabs>
                <w:tab w:val="left" w:pos="1163"/>
              </w:tabs>
              <w:ind w:right="-1192"/>
              <w:rPr>
                <w:iCs/>
                <w:sz w:val="18"/>
                <w:szCs w:val="18"/>
              </w:rPr>
            </w:pPr>
            <w:r w:rsidRPr="008048DD">
              <w:rPr>
                <w:sz w:val="18"/>
                <w:szCs w:val="18"/>
              </w:rPr>
              <w:t>- Presentación de informes con</w:t>
            </w:r>
            <w:r w:rsidR="009D6B5E" w:rsidRPr="008048DD">
              <w:rPr>
                <w:sz w:val="18"/>
                <w:szCs w:val="18"/>
              </w:rPr>
              <w:br/>
            </w:r>
            <w:r w:rsidRPr="008048DD">
              <w:rPr>
                <w:sz w:val="18"/>
                <w:szCs w:val="18"/>
              </w:rPr>
              <w:t>arreglo al artículo 21</w:t>
            </w:r>
          </w:p>
          <w:p w14:paraId="53D4A5C5" w14:textId="77777777" w:rsidR="00B1107F" w:rsidRPr="008048DD" w:rsidRDefault="00B1107F" w:rsidP="00EE7D24">
            <w:pPr>
              <w:pBdr>
                <w:top w:val="nil"/>
                <w:left w:val="nil"/>
                <w:bottom w:val="nil"/>
                <w:right w:val="nil"/>
                <w:between w:val="nil"/>
                <w:bar w:val="nil"/>
              </w:pBdr>
              <w:tabs>
                <w:tab w:val="left" w:pos="1163"/>
              </w:tabs>
              <w:ind w:right="-1192"/>
              <w:rPr>
                <w:rStyle w:val="dn"/>
                <w:rFonts w:eastAsia="Roboto"/>
                <w:iCs/>
                <w:sz w:val="18"/>
                <w:szCs w:val="18"/>
              </w:rPr>
            </w:pPr>
          </w:p>
        </w:tc>
        <w:tc>
          <w:tcPr>
            <w:tcW w:w="2410" w:type="dxa"/>
          </w:tcPr>
          <w:p w14:paraId="1FE84E89"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30470666" w14:textId="77777777" w:rsidTr="003A6617">
        <w:trPr>
          <w:trHeight w:val="624"/>
          <w:jc w:val="right"/>
        </w:trPr>
        <w:tc>
          <w:tcPr>
            <w:tcW w:w="2689" w:type="dxa"/>
          </w:tcPr>
          <w:p w14:paraId="27501F44" w14:textId="77777777" w:rsidR="00B1107F" w:rsidRPr="008048DD" w:rsidRDefault="00B1107F" w:rsidP="00EE7D24">
            <w:pPr>
              <w:rPr>
                <w:bCs/>
                <w:sz w:val="18"/>
                <w:szCs w:val="18"/>
              </w:rPr>
            </w:pPr>
            <w:r w:rsidRPr="008048DD">
              <w:rPr>
                <w:sz w:val="18"/>
                <w:szCs w:val="18"/>
              </w:rPr>
              <w:t>B2. Otros indicadores de resultados intersectoriales para los artículos 3, 10 y 11</w:t>
            </w:r>
          </w:p>
        </w:tc>
        <w:tc>
          <w:tcPr>
            <w:tcW w:w="5386" w:type="dxa"/>
          </w:tcPr>
          <w:p w14:paraId="47CC3890" w14:textId="333E6663" w:rsidR="00B1107F" w:rsidRPr="008048DD" w:rsidRDefault="00B1107F" w:rsidP="00EE7D24">
            <w:pPr>
              <w:pBdr>
                <w:top w:val="nil"/>
                <w:left w:val="nil"/>
                <w:bottom w:val="nil"/>
                <w:right w:val="nil"/>
                <w:between w:val="nil"/>
                <w:bar w:val="nil"/>
              </w:pBdr>
              <w:rPr>
                <w:rFonts w:eastAsia="Roboto"/>
                <w:sz w:val="18"/>
                <w:szCs w:val="18"/>
              </w:rPr>
            </w:pPr>
            <w:r w:rsidRPr="008048DD">
              <w:rPr>
                <w:sz w:val="18"/>
                <w:szCs w:val="18"/>
              </w:rPr>
              <w:t>Estimación de</w:t>
            </w:r>
            <w:r w:rsidR="00B63D0C" w:rsidRPr="008048DD">
              <w:rPr>
                <w:sz w:val="18"/>
                <w:szCs w:val="18"/>
              </w:rPr>
              <w:t>l</w:t>
            </w:r>
            <w:r w:rsidR="00E0374C" w:rsidRPr="008048DD">
              <w:rPr>
                <w:sz w:val="18"/>
                <w:szCs w:val="18"/>
              </w:rPr>
              <w:t xml:space="preserve"> suministro</w:t>
            </w:r>
            <w:r w:rsidRPr="008048DD">
              <w:rPr>
                <w:sz w:val="18"/>
                <w:szCs w:val="18"/>
              </w:rPr>
              <w:t xml:space="preserve"> de mercurio</w:t>
            </w:r>
            <w:r w:rsidR="00B63D0C" w:rsidRPr="008048DD">
              <w:rPr>
                <w:sz w:val="18"/>
                <w:szCs w:val="18"/>
              </w:rPr>
              <w:t xml:space="preserve"> a nivel mundial</w:t>
            </w:r>
            <w:r w:rsidRPr="008048DD">
              <w:rPr>
                <w:sz w:val="18"/>
                <w:szCs w:val="18"/>
              </w:rPr>
              <w:t>, en toneladas por</w:t>
            </w:r>
            <w:r w:rsidR="009D6B5E" w:rsidRPr="008048DD">
              <w:rPr>
                <w:sz w:val="18"/>
                <w:szCs w:val="18"/>
              </w:rPr>
              <w:t> </w:t>
            </w:r>
            <w:r w:rsidRPr="008048DD">
              <w:rPr>
                <w:sz w:val="18"/>
                <w:szCs w:val="18"/>
              </w:rPr>
              <w:t>año</w:t>
            </w:r>
          </w:p>
          <w:p w14:paraId="00A2C362" w14:textId="77777777" w:rsidR="00B1107F" w:rsidRPr="008048DD" w:rsidRDefault="00B1107F" w:rsidP="00EE7D24">
            <w:pPr>
              <w:rPr>
                <w:sz w:val="18"/>
                <w:szCs w:val="18"/>
              </w:rPr>
            </w:pPr>
          </w:p>
        </w:tc>
        <w:tc>
          <w:tcPr>
            <w:tcW w:w="2410" w:type="dxa"/>
          </w:tcPr>
          <w:p w14:paraId="7F2E3C9F" w14:textId="77777777" w:rsidR="00B1107F" w:rsidRPr="008048DD" w:rsidRDefault="00B1107F" w:rsidP="00EE7D24">
            <w:pPr>
              <w:pBdr>
                <w:top w:val="nil"/>
                <w:left w:val="nil"/>
                <w:bottom w:val="nil"/>
                <w:right w:val="nil"/>
                <w:between w:val="nil"/>
                <w:bar w:val="nil"/>
              </w:pBdr>
              <w:rPr>
                <w:sz w:val="18"/>
                <w:szCs w:val="18"/>
              </w:rPr>
            </w:pPr>
            <w:r w:rsidRPr="008048DD">
              <w:rPr>
                <w:sz w:val="18"/>
                <w:szCs w:val="18"/>
              </w:rPr>
              <w:t>- Información sintetizada de los distintos indicadores para los artículos 3, 10 y 11</w:t>
            </w:r>
          </w:p>
        </w:tc>
        <w:tc>
          <w:tcPr>
            <w:tcW w:w="2410" w:type="dxa"/>
          </w:tcPr>
          <w:p w14:paraId="2BD89E8B"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504613C4" w14:textId="77777777" w:rsidTr="003A6617">
        <w:trPr>
          <w:trHeight w:val="57"/>
          <w:jc w:val="right"/>
        </w:trPr>
        <w:tc>
          <w:tcPr>
            <w:tcW w:w="2689" w:type="dxa"/>
            <w:shd w:val="clear" w:color="auto" w:fill="B8CCE4" w:themeFill="accent1" w:themeFillTint="66"/>
          </w:tcPr>
          <w:p w14:paraId="2FCD50F8" w14:textId="77777777" w:rsidR="00B1107F" w:rsidRPr="008048DD" w:rsidRDefault="00B1107F" w:rsidP="00EE7D24">
            <w:pPr>
              <w:rPr>
                <w:b/>
                <w:sz w:val="18"/>
                <w:szCs w:val="18"/>
              </w:rPr>
            </w:pPr>
            <w:r w:rsidRPr="008048DD">
              <w:rPr>
                <w:b/>
                <w:bCs/>
                <w:sz w:val="18"/>
                <w:szCs w:val="18"/>
              </w:rPr>
              <w:t>Artículo 3</w:t>
            </w:r>
          </w:p>
        </w:tc>
        <w:tc>
          <w:tcPr>
            <w:tcW w:w="5386" w:type="dxa"/>
            <w:shd w:val="clear" w:color="auto" w:fill="B8CCE4" w:themeFill="accent1" w:themeFillTint="66"/>
          </w:tcPr>
          <w:p w14:paraId="72A812BB" w14:textId="77777777" w:rsidR="00B1107F" w:rsidRPr="008048DD" w:rsidRDefault="00B1107F" w:rsidP="00EE7D24">
            <w:pPr>
              <w:rPr>
                <w:sz w:val="18"/>
                <w:szCs w:val="18"/>
              </w:rPr>
            </w:pPr>
          </w:p>
        </w:tc>
        <w:tc>
          <w:tcPr>
            <w:tcW w:w="2410" w:type="dxa"/>
            <w:shd w:val="clear" w:color="auto" w:fill="B8CCE4" w:themeFill="accent1" w:themeFillTint="66"/>
          </w:tcPr>
          <w:p w14:paraId="34E38B91" w14:textId="77777777" w:rsidR="00B1107F" w:rsidRPr="008048DD" w:rsidRDefault="00B1107F" w:rsidP="00EE7D24">
            <w:pPr>
              <w:ind w:right="-1192"/>
              <w:rPr>
                <w:sz w:val="18"/>
                <w:szCs w:val="18"/>
              </w:rPr>
            </w:pPr>
          </w:p>
        </w:tc>
        <w:tc>
          <w:tcPr>
            <w:tcW w:w="2410" w:type="dxa"/>
            <w:shd w:val="clear" w:color="auto" w:fill="B8CCE4" w:themeFill="accent1" w:themeFillTint="66"/>
          </w:tcPr>
          <w:p w14:paraId="186E086E" w14:textId="77777777" w:rsidR="00B1107F" w:rsidRPr="008048DD" w:rsidRDefault="00B1107F" w:rsidP="00EE7D24">
            <w:pPr>
              <w:ind w:right="-1192"/>
              <w:rPr>
                <w:sz w:val="18"/>
                <w:szCs w:val="18"/>
              </w:rPr>
            </w:pPr>
          </w:p>
        </w:tc>
      </w:tr>
      <w:tr w:rsidR="00B1107F" w:rsidRPr="008048DD" w14:paraId="1A0E05C5" w14:textId="77777777" w:rsidTr="003A6617">
        <w:trPr>
          <w:trHeight w:val="57"/>
          <w:jc w:val="right"/>
        </w:trPr>
        <w:tc>
          <w:tcPr>
            <w:tcW w:w="2689" w:type="dxa"/>
          </w:tcPr>
          <w:p w14:paraId="2B711BB3" w14:textId="77777777" w:rsidR="00B1107F" w:rsidRPr="008048DD" w:rsidRDefault="00B1107F" w:rsidP="00EE7D24">
            <w:pPr>
              <w:rPr>
                <w:sz w:val="18"/>
                <w:szCs w:val="18"/>
              </w:rPr>
            </w:pPr>
            <w:r w:rsidRPr="008048DD">
              <w:rPr>
                <w:sz w:val="18"/>
                <w:szCs w:val="18"/>
              </w:rPr>
              <w:t>B3. Indicador de resultados para el artículo 3</w:t>
            </w:r>
          </w:p>
        </w:tc>
        <w:tc>
          <w:tcPr>
            <w:tcW w:w="5386" w:type="dxa"/>
          </w:tcPr>
          <w:p w14:paraId="2D405F2C" w14:textId="77777777" w:rsidR="00B1107F" w:rsidRPr="008048DD" w:rsidRDefault="00B1107F" w:rsidP="00EE7D24">
            <w:pPr>
              <w:pBdr>
                <w:top w:val="nil"/>
                <w:left w:val="nil"/>
                <w:bottom w:val="nil"/>
                <w:right w:val="nil"/>
                <w:between w:val="nil"/>
                <w:bar w:val="nil"/>
              </w:pBdr>
              <w:tabs>
                <w:tab w:val="left" w:pos="1163"/>
              </w:tabs>
              <w:rPr>
                <w:rStyle w:val="dn"/>
                <w:rFonts w:eastAsia="Roboto"/>
                <w:b/>
                <w:bCs/>
                <w:sz w:val="18"/>
                <w:szCs w:val="18"/>
              </w:rPr>
            </w:pPr>
            <w:r w:rsidRPr="008048DD">
              <w:rPr>
                <w:sz w:val="18"/>
                <w:szCs w:val="18"/>
              </w:rPr>
              <w:t>Cantidad total de mercurio extraído de minas de extracción primaria</w:t>
            </w:r>
          </w:p>
          <w:p w14:paraId="198FD6DB" w14:textId="77777777" w:rsidR="00B1107F" w:rsidRPr="008048DD" w:rsidRDefault="00B1107F" w:rsidP="00EE7D24">
            <w:pPr>
              <w:rPr>
                <w:sz w:val="18"/>
                <w:szCs w:val="18"/>
              </w:rPr>
            </w:pPr>
          </w:p>
        </w:tc>
        <w:tc>
          <w:tcPr>
            <w:tcW w:w="2410" w:type="dxa"/>
          </w:tcPr>
          <w:p w14:paraId="3E32480E" w14:textId="77777777" w:rsidR="00B1107F" w:rsidRPr="008048DD" w:rsidRDefault="00B1107F" w:rsidP="00EE7D24">
            <w:pPr>
              <w:pBdr>
                <w:top w:val="nil"/>
                <w:left w:val="nil"/>
                <w:bottom w:val="nil"/>
                <w:right w:val="nil"/>
                <w:between w:val="nil"/>
                <w:bar w:val="nil"/>
              </w:pBdr>
              <w:rPr>
                <w:sz w:val="18"/>
                <w:szCs w:val="18"/>
              </w:rPr>
            </w:pPr>
            <w:r w:rsidRPr="008048DD">
              <w:rPr>
                <w:sz w:val="18"/>
                <w:szCs w:val="18"/>
              </w:rPr>
              <w:t xml:space="preserve">- Informe de 2017 sobre </w:t>
            </w:r>
            <w:r w:rsidR="00E0374C" w:rsidRPr="008048DD">
              <w:rPr>
                <w:sz w:val="18"/>
                <w:szCs w:val="18"/>
              </w:rPr>
              <w:t>el suministro</w:t>
            </w:r>
            <w:r w:rsidRPr="008048DD">
              <w:rPr>
                <w:sz w:val="18"/>
                <w:szCs w:val="18"/>
              </w:rPr>
              <w:t>, el comercio y la demanda de mercurio</w:t>
            </w:r>
          </w:p>
          <w:p w14:paraId="2A031947" w14:textId="27DC3B8C" w:rsidR="00B1107F" w:rsidRPr="008048DD" w:rsidRDefault="00B1107F" w:rsidP="00EE7D24">
            <w:pPr>
              <w:pBdr>
                <w:top w:val="nil"/>
                <w:left w:val="nil"/>
                <w:bottom w:val="nil"/>
                <w:right w:val="nil"/>
                <w:between w:val="nil"/>
                <w:bar w:val="nil"/>
              </w:pBdr>
              <w:tabs>
                <w:tab w:val="left" w:pos="1163"/>
              </w:tabs>
              <w:ind w:right="-1192"/>
              <w:rPr>
                <w:iCs/>
                <w:sz w:val="18"/>
                <w:szCs w:val="18"/>
              </w:rPr>
            </w:pPr>
            <w:r w:rsidRPr="008048DD">
              <w:rPr>
                <w:sz w:val="18"/>
                <w:szCs w:val="18"/>
              </w:rPr>
              <w:t>- Presentación de informes con</w:t>
            </w:r>
            <w:r w:rsidR="009D6B5E" w:rsidRPr="008048DD">
              <w:rPr>
                <w:sz w:val="18"/>
                <w:szCs w:val="18"/>
              </w:rPr>
              <w:br/>
            </w:r>
            <w:r w:rsidRPr="008048DD">
              <w:rPr>
                <w:sz w:val="18"/>
                <w:szCs w:val="18"/>
              </w:rPr>
              <w:t>arreglo</w:t>
            </w:r>
            <w:r w:rsidR="009D6B5E" w:rsidRPr="008048DD">
              <w:rPr>
                <w:sz w:val="18"/>
                <w:szCs w:val="18"/>
              </w:rPr>
              <w:t> </w:t>
            </w:r>
            <w:r w:rsidRPr="008048DD">
              <w:rPr>
                <w:sz w:val="18"/>
                <w:szCs w:val="18"/>
              </w:rPr>
              <w:t>al artículo 21</w:t>
            </w:r>
          </w:p>
          <w:p w14:paraId="53ED8A9D" w14:textId="4CCF64A6" w:rsidR="00B1107F" w:rsidRPr="008048DD" w:rsidRDefault="00B1107F" w:rsidP="00EE7D24">
            <w:pPr>
              <w:rPr>
                <w:sz w:val="18"/>
                <w:szCs w:val="18"/>
              </w:rPr>
            </w:pPr>
            <w:r w:rsidRPr="008048DD">
              <w:rPr>
                <w:sz w:val="18"/>
                <w:szCs w:val="18"/>
              </w:rPr>
              <w:t>- Informes sobre el plan de acción nacional para la extracción de oro artesanal y en</w:t>
            </w:r>
            <w:r w:rsidR="009D6B5E" w:rsidRPr="008048DD">
              <w:rPr>
                <w:sz w:val="18"/>
                <w:szCs w:val="18"/>
              </w:rPr>
              <w:t> </w:t>
            </w:r>
            <w:r w:rsidRPr="008048DD">
              <w:rPr>
                <w:sz w:val="18"/>
                <w:szCs w:val="18"/>
              </w:rPr>
              <w:t>pequeña escala</w:t>
            </w:r>
          </w:p>
        </w:tc>
        <w:tc>
          <w:tcPr>
            <w:tcW w:w="2410" w:type="dxa"/>
          </w:tcPr>
          <w:p w14:paraId="5AEB905C"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701FEBEC" w14:textId="77777777" w:rsidTr="003A6617">
        <w:trPr>
          <w:trHeight w:val="283"/>
          <w:jc w:val="right"/>
        </w:trPr>
        <w:tc>
          <w:tcPr>
            <w:tcW w:w="2689" w:type="dxa"/>
          </w:tcPr>
          <w:p w14:paraId="27002312" w14:textId="77777777" w:rsidR="00B1107F" w:rsidRPr="008048DD" w:rsidRDefault="00B1107F" w:rsidP="00F1134F">
            <w:pPr>
              <w:rPr>
                <w:sz w:val="18"/>
                <w:szCs w:val="18"/>
              </w:rPr>
            </w:pPr>
            <w:r w:rsidRPr="008048DD">
              <w:rPr>
                <w:sz w:val="18"/>
                <w:szCs w:val="18"/>
              </w:rPr>
              <w:t>B4. Indicador de resultados para el artículo 3</w:t>
            </w:r>
          </w:p>
        </w:tc>
        <w:tc>
          <w:tcPr>
            <w:tcW w:w="5386" w:type="dxa"/>
          </w:tcPr>
          <w:p w14:paraId="4B4E2E79" w14:textId="77777777" w:rsidR="00B1107F" w:rsidRPr="008048DD" w:rsidRDefault="00B1107F" w:rsidP="00F1134F">
            <w:pPr>
              <w:pBdr>
                <w:top w:val="nil"/>
                <w:left w:val="nil"/>
                <w:bottom w:val="nil"/>
                <w:right w:val="nil"/>
                <w:between w:val="nil"/>
                <w:bar w:val="nil"/>
              </w:pBdr>
              <w:tabs>
                <w:tab w:val="left" w:pos="1163"/>
              </w:tabs>
              <w:rPr>
                <w:sz w:val="18"/>
                <w:szCs w:val="18"/>
              </w:rPr>
            </w:pPr>
            <w:r w:rsidRPr="008048DD">
              <w:rPr>
                <w:sz w:val="18"/>
                <w:szCs w:val="18"/>
              </w:rPr>
              <w:t>Cantidad de mercurio comercializado, desglosada por finalidad específica</w:t>
            </w:r>
          </w:p>
        </w:tc>
        <w:tc>
          <w:tcPr>
            <w:tcW w:w="2410" w:type="dxa"/>
          </w:tcPr>
          <w:p w14:paraId="1159B5FF" w14:textId="77777777" w:rsidR="00B1107F" w:rsidRPr="008048DD" w:rsidRDefault="00B1107F" w:rsidP="00F1134F">
            <w:pPr>
              <w:pBdr>
                <w:top w:val="nil"/>
                <w:left w:val="nil"/>
                <w:bottom w:val="nil"/>
                <w:right w:val="nil"/>
                <w:between w:val="nil"/>
                <w:bar w:val="nil"/>
              </w:pBdr>
              <w:rPr>
                <w:rStyle w:val="dn"/>
                <w:rFonts w:eastAsia="Roboto"/>
                <w:iCs/>
                <w:sz w:val="18"/>
                <w:szCs w:val="18"/>
              </w:rPr>
            </w:pPr>
            <w:r w:rsidRPr="008048DD">
              <w:rPr>
                <w:sz w:val="18"/>
                <w:szCs w:val="18"/>
              </w:rPr>
              <w:t>- Formularios del artículo 3</w:t>
            </w:r>
          </w:p>
        </w:tc>
        <w:tc>
          <w:tcPr>
            <w:tcW w:w="2410" w:type="dxa"/>
          </w:tcPr>
          <w:p w14:paraId="39A7A98A" w14:textId="77777777" w:rsidR="00B1107F" w:rsidRPr="008048DD" w:rsidRDefault="00F1134F" w:rsidP="00F1134F">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71978AD5" w14:textId="77777777" w:rsidTr="003A6617">
        <w:trPr>
          <w:trHeight w:val="454"/>
          <w:jc w:val="right"/>
        </w:trPr>
        <w:tc>
          <w:tcPr>
            <w:tcW w:w="2689" w:type="dxa"/>
          </w:tcPr>
          <w:p w14:paraId="13AA9FF1" w14:textId="18558AF9" w:rsidR="00B1107F" w:rsidRPr="008048DD" w:rsidRDefault="00B1107F" w:rsidP="00EE7D24">
            <w:pPr>
              <w:rPr>
                <w:sz w:val="18"/>
                <w:szCs w:val="18"/>
              </w:rPr>
            </w:pPr>
            <w:r w:rsidRPr="008048DD">
              <w:rPr>
                <w:sz w:val="18"/>
                <w:szCs w:val="18"/>
              </w:rPr>
              <w:t>B5. Indicador de procesos del artículo</w:t>
            </w:r>
            <w:r w:rsidR="00B83939">
              <w:rPr>
                <w:sz w:val="18"/>
                <w:szCs w:val="18"/>
              </w:rPr>
              <w:t> </w:t>
            </w:r>
            <w:r w:rsidRPr="008048DD">
              <w:rPr>
                <w:sz w:val="18"/>
                <w:szCs w:val="18"/>
              </w:rPr>
              <w:t>3</w:t>
            </w:r>
          </w:p>
        </w:tc>
        <w:tc>
          <w:tcPr>
            <w:tcW w:w="5386" w:type="dxa"/>
          </w:tcPr>
          <w:p w14:paraId="13C6A6E9"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r w:rsidRPr="008048DD">
              <w:rPr>
                <w:sz w:val="18"/>
                <w:szCs w:val="18"/>
              </w:rPr>
              <w:t>Número de Partes que han puesto empeño en indicar las existencias y fuentes de suministro</w:t>
            </w:r>
          </w:p>
        </w:tc>
        <w:tc>
          <w:tcPr>
            <w:tcW w:w="2410" w:type="dxa"/>
          </w:tcPr>
          <w:p w14:paraId="46FE01A0" w14:textId="1984E113" w:rsidR="00B1107F" w:rsidRPr="008048DD" w:rsidRDefault="00B1107F" w:rsidP="00EE7D24">
            <w:pPr>
              <w:pBdr>
                <w:top w:val="nil"/>
                <w:left w:val="nil"/>
                <w:bottom w:val="nil"/>
                <w:right w:val="nil"/>
                <w:between w:val="nil"/>
                <w:bar w:val="nil"/>
              </w:pBdr>
              <w:tabs>
                <w:tab w:val="left" w:pos="1163"/>
              </w:tabs>
              <w:ind w:right="-1192"/>
              <w:rPr>
                <w:rFonts w:eastAsia="Roboto"/>
                <w:sz w:val="18"/>
                <w:szCs w:val="18"/>
              </w:rPr>
            </w:pPr>
            <w:r w:rsidRPr="008048DD">
              <w:rPr>
                <w:sz w:val="18"/>
                <w:szCs w:val="18"/>
              </w:rPr>
              <w:t>- Presentación de informes con</w:t>
            </w:r>
            <w:r w:rsidR="009D6B5E" w:rsidRPr="008048DD">
              <w:rPr>
                <w:sz w:val="18"/>
                <w:szCs w:val="18"/>
              </w:rPr>
              <w:br/>
            </w:r>
            <w:r w:rsidRPr="008048DD">
              <w:rPr>
                <w:sz w:val="18"/>
                <w:szCs w:val="18"/>
              </w:rPr>
              <w:t>arreglo al artículo 21</w:t>
            </w:r>
          </w:p>
        </w:tc>
        <w:tc>
          <w:tcPr>
            <w:tcW w:w="2410" w:type="dxa"/>
          </w:tcPr>
          <w:p w14:paraId="19912DD2"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Número en la primera evaluación</w:t>
            </w:r>
          </w:p>
        </w:tc>
      </w:tr>
      <w:tr w:rsidR="00B1107F" w:rsidRPr="008048DD" w14:paraId="0183E345" w14:textId="77777777" w:rsidTr="003A6617">
        <w:trPr>
          <w:trHeight w:val="624"/>
          <w:jc w:val="right"/>
        </w:trPr>
        <w:tc>
          <w:tcPr>
            <w:tcW w:w="2689" w:type="dxa"/>
          </w:tcPr>
          <w:p w14:paraId="5DB5FA66" w14:textId="24542B68"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B6. Indicador de procesos del artículo</w:t>
            </w:r>
            <w:r w:rsidR="00B83939">
              <w:rPr>
                <w:sz w:val="18"/>
                <w:szCs w:val="18"/>
              </w:rPr>
              <w:t> </w:t>
            </w:r>
            <w:r w:rsidRPr="008048DD">
              <w:rPr>
                <w:sz w:val="18"/>
                <w:szCs w:val="18"/>
              </w:rPr>
              <w:t>3</w:t>
            </w:r>
          </w:p>
        </w:tc>
        <w:tc>
          <w:tcPr>
            <w:tcW w:w="5386" w:type="dxa"/>
          </w:tcPr>
          <w:p w14:paraId="2953FFFC" w14:textId="35E3EB2F" w:rsidR="00B1107F" w:rsidRPr="008048DD" w:rsidRDefault="00780EA2" w:rsidP="001702CC">
            <w:pPr>
              <w:pBdr>
                <w:top w:val="nil"/>
                <w:left w:val="nil"/>
                <w:bottom w:val="nil"/>
                <w:right w:val="nil"/>
                <w:between w:val="nil"/>
                <w:bar w:val="nil"/>
              </w:pBdr>
              <w:tabs>
                <w:tab w:val="left" w:pos="1163"/>
              </w:tabs>
              <w:rPr>
                <w:rFonts w:eastAsia="Roboto"/>
                <w:sz w:val="18"/>
                <w:szCs w:val="18"/>
              </w:rPr>
            </w:pPr>
            <w:r w:rsidRPr="008048DD">
              <w:rPr>
                <w:sz w:val="18"/>
                <w:szCs w:val="18"/>
              </w:rPr>
              <w:t>Proporción de Partes con exceso de mercurio derivado de la prod</w:t>
            </w:r>
            <w:r w:rsidR="00A60032" w:rsidRPr="008048DD">
              <w:rPr>
                <w:sz w:val="18"/>
                <w:szCs w:val="18"/>
              </w:rPr>
              <w:t xml:space="preserve">ucción de cloro-álcali </w:t>
            </w:r>
            <w:r w:rsidRPr="008048DD">
              <w:rPr>
                <w:sz w:val="18"/>
                <w:szCs w:val="18"/>
              </w:rPr>
              <w:t>que han adoptado medidas para la eliminación definitiva de ese mercurio</w:t>
            </w:r>
          </w:p>
        </w:tc>
        <w:tc>
          <w:tcPr>
            <w:tcW w:w="2410" w:type="dxa"/>
          </w:tcPr>
          <w:p w14:paraId="169033BA" w14:textId="16CE9C2D" w:rsidR="00B1107F" w:rsidRPr="008048DD" w:rsidRDefault="00B1107F" w:rsidP="00EE7D24">
            <w:pPr>
              <w:rPr>
                <w:iCs/>
                <w:sz w:val="18"/>
                <w:szCs w:val="18"/>
              </w:rPr>
            </w:pPr>
            <w:r w:rsidRPr="008048DD">
              <w:rPr>
                <w:sz w:val="18"/>
                <w:szCs w:val="18"/>
              </w:rPr>
              <w:t xml:space="preserve">- Presentación de informes con arreglo al artículo 21 </w:t>
            </w:r>
          </w:p>
          <w:p w14:paraId="351D1D7E" w14:textId="77777777" w:rsidR="00B1107F" w:rsidRPr="008048DD" w:rsidRDefault="00B1107F" w:rsidP="00EE7D24">
            <w:pPr>
              <w:rPr>
                <w:rStyle w:val="dn"/>
                <w:iCs/>
                <w:sz w:val="18"/>
                <w:szCs w:val="18"/>
              </w:rPr>
            </w:pPr>
            <w:r w:rsidRPr="008048DD">
              <w:rPr>
                <w:sz w:val="18"/>
                <w:szCs w:val="18"/>
              </w:rPr>
              <w:t>- Informes del Consejo Mundial del Cloro</w:t>
            </w:r>
          </w:p>
        </w:tc>
        <w:tc>
          <w:tcPr>
            <w:tcW w:w="2410" w:type="dxa"/>
          </w:tcPr>
          <w:p w14:paraId="39014A15"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Porcentaje en la primera evaluación</w:t>
            </w:r>
          </w:p>
        </w:tc>
      </w:tr>
      <w:tr w:rsidR="00B1107F" w:rsidRPr="008048DD" w14:paraId="3ECB7FB2" w14:textId="77777777" w:rsidTr="003A6617">
        <w:trPr>
          <w:trHeight w:val="454"/>
          <w:jc w:val="right"/>
        </w:trPr>
        <w:tc>
          <w:tcPr>
            <w:tcW w:w="2689" w:type="dxa"/>
          </w:tcPr>
          <w:p w14:paraId="3BB2872A" w14:textId="69FBD020"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B7. Indicador de procesos del artículo</w:t>
            </w:r>
            <w:r w:rsidR="00B83939">
              <w:rPr>
                <w:sz w:val="18"/>
                <w:szCs w:val="18"/>
              </w:rPr>
              <w:t> </w:t>
            </w:r>
            <w:r w:rsidRPr="008048DD">
              <w:rPr>
                <w:sz w:val="18"/>
                <w:szCs w:val="18"/>
              </w:rPr>
              <w:t>3</w:t>
            </w:r>
          </w:p>
        </w:tc>
        <w:tc>
          <w:tcPr>
            <w:tcW w:w="5386" w:type="dxa"/>
          </w:tcPr>
          <w:p w14:paraId="4AF81978"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y proporción de Partes que comercian con mercurio</w:t>
            </w:r>
          </w:p>
        </w:tc>
        <w:tc>
          <w:tcPr>
            <w:tcW w:w="2410" w:type="dxa"/>
          </w:tcPr>
          <w:p w14:paraId="2AF5F347" w14:textId="433239A4" w:rsidR="00B1107F" w:rsidRPr="008048DD" w:rsidRDefault="00B1107F" w:rsidP="00EE7D24">
            <w:pPr>
              <w:pBdr>
                <w:top w:val="nil"/>
                <w:left w:val="nil"/>
                <w:bottom w:val="nil"/>
                <w:right w:val="nil"/>
                <w:between w:val="nil"/>
                <w:bar w:val="nil"/>
              </w:pBdr>
              <w:tabs>
                <w:tab w:val="left" w:pos="1163"/>
              </w:tabs>
              <w:ind w:right="-1192"/>
              <w:rPr>
                <w:rStyle w:val="dn"/>
                <w:rFonts w:eastAsia="Roboto"/>
                <w:sz w:val="18"/>
                <w:szCs w:val="18"/>
              </w:rPr>
            </w:pPr>
            <w:r w:rsidRPr="008048DD">
              <w:rPr>
                <w:sz w:val="18"/>
                <w:szCs w:val="18"/>
              </w:rPr>
              <w:t>- Presentación de informes con</w:t>
            </w:r>
            <w:r w:rsidR="00992546">
              <w:rPr>
                <w:sz w:val="18"/>
                <w:szCs w:val="18"/>
              </w:rPr>
              <w:br/>
            </w:r>
            <w:r w:rsidRPr="008048DD">
              <w:rPr>
                <w:sz w:val="18"/>
                <w:szCs w:val="18"/>
              </w:rPr>
              <w:t xml:space="preserve">arreglo al artículo 21 </w:t>
            </w:r>
          </w:p>
          <w:p w14:paraId="3882A6BD" w14:textId="77777777" w:rsidR="00B1107F" w:rsidRPr="008048DD" w:rsidRDefault="00B1107F" w:rsidP="00EE7D24">
            <w:pPr>
              <w:pBdr>
                <w:top w:val="nil"/>
                <w:left w:val="nil"/>
                <w:bottom w:val="nil"/>
                <w:right w:val="nil"/>
                <w:between w:val="nil"/>
                <w:bar w:val="nil"/>
              </w:pBdr>
              <w:tabs>
                <w:tab w:val="left" w:pos="1163"/>
              </w:tabs>
              <w:ind w:right="-1192"/>
              <w:rPr>
                <w:rStyle w:val="dn"/>
                <w:rFonts w:eastAsia="Roboto"/>
                <w:sz w:val="18"/>
                <w:szCs w:val="18"/>
              </w:rPr>
            </w:pPr>
            <w:r w:rsidRPr="008048DD">
              <w:rPr>
                <w:sz w:val="18"/>
                <w:szCs w:val="18"/>
              </w:rPr>
              <w:t>- Formularios del artículo 3</w:t>
            </w:r>
          </w:p>
        </w:tc>
        <w:tc>
          <w:tcPr>
            <w:tcW w:w="2410" w:type="dxa"/>
          </w:tcPr>
          <w:p w14:paraId="07436021"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1CE9C861" w14:textId="77777777" w:rsidTr="003A6617">
        <w:trPr>
          <w:trHeight w:val="283"/>
          <w:jc w:val="right"/>
        </w:trPr>
        <w:tc>
          <w:tcPr>
            <w:tcW w:w="2689" w:type="dxa"/>
          </w:tcPr>
          <w:p w14:paraId="1FEEA1DD" w14:textId="1BF8712D"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B8. Indicador de procesos del artículo</w:t>
            </w:r>
            <w:r w:rsidR="00B83939">
              <w:rPr>
                <w:sz w:val="18"/>
                <w:szCs w:val="18"/>
              </w:rPr>
              <w:t> </w:t>
            </w:r>
            <w:r w:rsidRPr="008048DD">
              <w:rPr>
                <w:sz w:val="18"/>
                <w:szCs w:val="18"/>
              </w:rPr>
              <w:t>3</w:t>
            </w:r>
          </w:p>
        </w:tc>
        <w:tc>
          <w:tcPr>
            <w:tcW w:w="5386" w:type="dxa"/>
          </w:tcPr>
          <w:p w14:paraId="20C458BB"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Volumen de mercurio comercializado</w:t>
            </w:r>
          </w:p>
        </w:tc>
        <w:tc>
          <w:tcPr>
            <w:tcW w:w="2410" w:type="dxa"/>
          </w:tcPr>
          <w:p w14:paraId="278CAF50" w14:textId="3670F365" w:rsidR="00B1107F" w:rsidRPr="008048DD" w:rsidRDefault="00B1107F" w:rsidP="00EE7D24">
            <w:pPr>
              <w:pBdr>
                <w:top w:val="nil"/>
                <w:left w:val="nil"/>
                <w:bottom w:val="nil"/>
                <w:right w:val="nil"/>
                <w:between w:val="nil"/>
                <w:bar w:val="nil"/>
              </w:pBdr>
              <w:tabs>
                <w:tab w:val="left" w:pos="1163"/>
              </w:tabs>
              <w:ind w:right="-1192"/>
              <w:rPr>
                <w:iCs/>
                <w:sz w:val="18"/>
                <w:szCs w:val="18"/>
              </w:rPr>
            </w:pPr>
            <w:r w:rsidRPr="008048DD">
              <w:rPr>
                <w:sz w:val="18"/>
                <w:szCs w:val="18"/>
              </w:rPr>
              <w:t xml:space="preserve">- Presentación de informes con arreglo al artículo 21 </w:t>
            </w:r>
          </w:p>
        </w:tc>
        <w:tc>
          <w:tcPr>
            <w:tcW w:w="2410" w:type="dxa"/>
          </w:tcPr>
          <w:p w14:paraId="5B2E5E70"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5303382C" w14:textId="77777777" w:rsidTr="003A6617">
        <w:trPr>
          <w:trHeight w:val="57"/>
          <w:jc w:val="right"/>
        </w:trPr>
        <w:tc>
          <w:tcPr>
            <w:tcW w:w="2689" w:type="dxa"/>
            <w:shd w:val="clear" w:color="auto" w:fill="B8CCE4" w:themeFill="accent1" w:themeFillTint="66"/>
          </w:tcPr>
          <w:p w14:paraId="4FB8F4F9" w14:textId="77777777" w:rsidR="00B1107F" w:rsidRPr="008048DD" w:rsidRDefault="00B1107F" w:rsidP="00EE7D24">
            <w:pPr>
              <w:pBdr>
                <w:top w:val="nil"/>
                <w:left w:val="nil"/>
                <w:bottom w:val="nil"/>
                <w:right w:val="nil"/>
                <w:between w:val="nil"/>
                <w:bar w:val="nil"/>
              </w:pBdr>
              <w:tabs>
                <w:tab w:val="left" w:pos="1163"/>
              </w:tabs>
              <w:rPr>
                <w:b/>
                <w:sz w:val="18"/>
                <w:szCs w:val="18"/>
              </w:rPr>
            </w:pPr>
            <w:r w:rsidRPr="008048DD">
              <w:rPr>
                <w:b/>
                <w:bCs/>
                <w:sz w:val="18"/>
                <w:szCs w:val="18"/>
              </w:rPr>
              <w:t>Artículo 10</w:t>
            </w:r>
          </w:p>
        </w:tc>
        <w:tc>
          <w:tcPr>
            <w:tcW w:w="5386" w:type="dxa"/>
            <w:shd w:val="clear" w:color="auto" w:fill="B8CCE4" w:themeFill="accent1" w:themeFillTint="66"/>
          </w:tcPr>
          <w:p w14:paraId="059AD618"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p>
        </w:tc>
        <w:tc>
          <w:tcPr>
            <w:tcW w:w="2410" w:type="dxa"/>
            <w:shd w:val="clear" w:color="auto" w:fill="B8CCE4" w:themeFill="accent1" w:themeFillTint="66"/>
          </w:tcPr>
          <w:p w14:paraId="2013FDD5" w14:textId="77777777" w:rsidR="00B1107F" w:rsidRPr="008048DD" w:rsidRDefault="00B1107F" w:rsidP="00EE7D24">
            <w:pPr>
              <w:pBdr>
                <w:top w:val="nil"/>
                <w:left w:val="nil"/>
                <w:bottom w:val="nil"/>
                <w:right w:val="nil"/>
                <w:between w:val="nil"/>
                <w:bar w:val="nil"/>
              </w:pBdr>
              <w:tabs>
                <w:tab w:val="left" w:pos="1163"/>
              </w:tabs>
              <w:ind w:right="-1192"/>
              <w:rPr>
                <w:rStyle w:val="dn"/>
                <w:rFonts w:eastAsia="Roboto"/>
                <w:sz w:val="18"/>
                <w:szCs w:val="18"/>
              </w:rPr>
            </w:pPr>
          </w:p>
        </w:tc>
        <w:tc>
          <w:tcPr>
            <w:tcW w:w="2410" w:type="dxa"/>
            <w:shd w:val="clear" w:color="auto" w:fill="B8CCE4" w:themeFill="accent1" w:themeFillTint="66"/>
          </w:tcPr>
          <w:p w14:paraId="39FDA72D" w14:textId="77777777" w:rsidR="00B1107F" w:rsidRPr="008048DD" w:rsidRDefault="00B1107F" w:rsidP="00EE7D24">
            <w:pPr>
              <w:pBdr>
                <w:top w:val="nil"/>
                <w:left w:val="nil"/>
                <w:bottom w:val="nil"/>
                <w:right w:val="nil"/>
                <w:between w:val="nil"/>
                <w:bar w:val="nil"/>
              </w:pBdr>
              <w:rPr>
                <w:sz w:val="18"/>
                <w:szCs w:val="18"/>
              </w:rPr>
            </w:pPr>
          </w:p>
        </w:tc>
      </w:tr>
      <w:tr w:rsidR="00B1107F" w:rsidRPr="008048DD" w14:paraId="649FFD32" w14:textId="77777777" w:rsidTr="003A6617">
        <w:trPr>
          <w:trHeight w:val="454"/>
          <w:jc w:val="right"/>
        </w:trPr>
        <w:tc>
          <w:tcPr>
            <w:tcW w:w="2689" w:type="dxa"/>
          </w:tcPr>
          <w:p w14:paraId="3D8ECD1F"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B9. Indicador de procesos en relación con el artículo 10</w:t>
            </w:r>
          </w:p>
        </w:tc>
        <w:tc>
          <w:tcPr>
            <w:tcW w:w="5386" w:type="dxa"/>
          </w:tcPr>
          <w:p w14:paraId="2A5FEFA3"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Número y proporción de Partes que han adoptado medidas para garantizar un almacenamiento provisional ambientalmente racional</w:t>
            </w:r>
          </w:p>
        </w:tc>
        <w:tc>
          <w:tcPr>
            <w:tcW w:w="2410" w:type="dxa"/>
          </w:tcPr>
          <w:p w14:paraId="3D78FDBB" w14:textId="339D0E47" w:rsidR="00B1107F" w:rsidRPr="008048DD" w:rsidRDefault="00B1107F" w:rsidP="00EE7D24">
            <w:pPr>
              <w:pBdr>
                <w:top w:val="nil"/>
                <w:left w:val="nil"/>
                <w:bottom w:val="nil"/>
                <w:right w:val="nil"/>
                <w:between w:val="nil"/>
                <w:bar w:val="nil"/>
              </w:pBdr>
              <w:ind w:right="-1192"/>
              <w:rPr>
                <w:rStyle w:val="dn"/>
                <w:rFonts w:eastAsia="Roboto"/>
                <w:sz w:val="18"/>
                <w:szCs w:val="18"/>
              </w:rPr>
            </w:pPr>
            <w:r w:rsidRPr="008048DD">
              <w:rPr>
                <w:sz w:val="18"/>
                <w:szCs w:val="18"/>
              </w:rPr>
              <w:t>- Presentación de informes con</w:t>
            </w:r>
            <w:r w:rsidR="00A60032" w:rsidRPr="008048DD">
              <w:rPr>
                <w:sz w:val="18"/>
                <w:szCs w:val="18"/>
              </w:rPr>
              <w:br/>
            </w:r>
            <w:r w:rsidRPr="008048DD">
              <w:rPr>
                <w:sz w:val="18"/>
                <w:szCs w:val="18"/>
              </w:rPr>
              <w:t>arreglo al artículo 21</w:t>
            </w:r>
          </w:p>
        </w:tc>
        <w:tc>
          <w:tcPr>
            <w:tcW w:w="2410" w:type="dxa"/>
          </w:tcPr>
          <w:p w14:paraId="65AACDA4"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33C44D9F" w14:textId="77777777" w:rsidTr="003A6617">
        <w:trPr>
          <w:trHeight w:val="454"/>
          <w:jc w:val="right"/>
        </w:trPr>
        <w:tc>
          <w:tcPr>
            <w:tcW w:w="2689" w:type="dxa"/>
          </w:tcPr>
          <w:p w14:paraId="68C1413A" w14:textId="61FE103E" w:rsidR="00B1107F" w:rsidRPr="008048DD" w:rsidRDefault="00B1107F" w:rsidP="00C32C4C">
            <w:pPr>
              <w:pBdr>
                <w:top w:val="nil"/>
                <w:left w:val="nil"/>
                <w:bottom w:val="nil"/>
                <w:right w:val="nil"/>
                <w:between w:val="nil"/>
                <w:bar w:val="nil"/>
              </w:pBdr>
              <w:tabs>
                <w:tab w:val="clear" w:pos="1247"/>
                <w:tab w:val="clear" w:pos="1814"/>
                <w:tab w:val="clear" w:pos="2381"/>
              </w:tabs>
              <w:ind w:right="-57"/>
              <w:rPr>
                <w:spacing w:val="-2"/>
                <w:sz w:val="18"/>
                <w:szCs w:val="18"/>
              </w:rPr>
            </w:pPr>
            <w:r w:rsidRPr="008048DD">
              <w:rPr>
                <w:sz w:val="18"/>
                <w:szCs w:val="18"/>
              </w:rPr>
              <w:t>B10. Indicador de resultados para el</w:t>
            </w:r>
            <w:r w:rsidR="009D6B5E" w:rsidRPr="008048DD">
              <w:rPr>
                <w:sz w:val="18"/>
                <w:szCs w:val="18"/>
              </w:rPr>
              <w:t> </w:t>
            </w:r>
            <w:r w:rsidRPr="008048DD">
              <w:rPr>
                <w:sz w:val="18"/>
                <w:szCs w:val="18"/>
              </w:rPr>
              <w:t>artículo 10</w:t>
            </w:r>
          </w:p>
        </w:tc>
        <w:tc>
          <w:tcPr>
            <w:tcW w:w="5386" w:type="dxa"/>
          </w:tcPr>
          <w:p w14:paraId="58F034A5"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Cantidad de mercurio almacenado de manera ambientalmente racional (indicada en el inventario de las existencias)</w:t>
            </w:r>
          </w:p>
        </w:tc>
        <w:tc>
          <w:tcPr>
            <w:tcW w:w="2410" w:type="dxa"/>
          </w:tcPr>
          <w:p w14:paraId="12209156" w14:textId="5833D0D2" w:rsidR="00B1107F" w:rsidRPr="008048DD" w:rsidRDefault="00B1107F" w:rsidP="00EE7D24">
            <w:pPr>
              <w:pBdr>
                <w:top w:val="nil"/>
                <w:left w:val="nil"/>
                <w:bottom w:val="nil"/>
                <w:right w:val="nil"/>
                <w:between w:val="nil"/>
                <w:bar w:val="nil"/>
              </w:pBdr>
              <w:tabs>
                <w:tab w:val="left" w:pos="1163"/>
              </w:tabs>
              <w:ind w:right="-1192"/>
              <w:rPr>
                <w:rStyle w:val="dn"/>
                <w:rFonts w:eastAsia="Roboto"/>
                <w:sz w:val="18"/>
                <w:szCs w:val="18"/>
              </w:rPr>
            </w:pPr>
            <w:r w:rsidRPr="008048DD">
              <w:rPr>
                <w:sz w:val="18"/>
                <w:szCs w:val="18"/>
              </w:rPr>
              <w:t>- Presentación de informes con</w:t>
            </w:r>
            <w:r w:rsidR="00A60032" w:rsidRPr="008048DD">
              <w:rPr>
                <w:sz w:val="18"/>
                <w:szCs w:val="18"/>
              </w:rPr>
              <w:br/>
            </w:r>
            <w:r w:rsidRPr="008048DD">
              <w:rPr>
                <w:sz w:val="18"/>
                <w:szCs w:val="18"/>
              </w:rPr>
              <w:t>arreglo al artículo 21</w:t>
            </w:r>
          </w:p>
        </w:tc>
        <w:tc>
          <w:tcPr>
            <w:tcW w:w="2410" w:type="dxa"/>
          </w:tcPr>
          <w:p w14:paraId="0674393B"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4374EF76" w14:textId="77777777" w:rsidTr="003A6617">
        <w:trPr>
          <w:trHeight w:val="57"/>
          <w:jc w:val="right"/>
        </w:trPr>
        <w:tc>
          <w:tcPr>
            <w:tcW w:w="2689" w:type="dxa"/>
            <w:shd w:val="clear" w:color="auto" w:fill="B8CCE4" w:themeFill="accent1" w:themeFillTint="66"/>
          </w:tcPr>
          <w:p w14:paraId="0CE2A7A7" w14:textId="77777777" w:rsidR="00B1107F" w:rsidRPr="008048DD" w:rsidRDefault="00B1107F" w:rsidP="00780EA2">
            <w:pPr>
              <w:keepNext/>
              <w:pBdr>
                <w:top w:val="nil"/>
                <w:left w:val="nil"/>
                <w:bottom w:val="nil"/>
                <w:right w:val="nil"/>
                <w:between w:val="nil"/>
                <w:bar w:val="nil"/>
              </w:pBdr>
              <w:tabs>
                <w:tab w:val="left" w:pos="1163"/>
              </w:tabs>
              <w:rPr>
                <w:b/>
                <w:sz w:val="18"/>
                <w:szCs w:val="18"/>
              </w:rPr>
            </w:pPr>
            <w:r w:rsidRPr="008048DD">
              <w:rPr>
                <w:b/>
                <w:bCs/>
                <w:sz w:val="18"/>
                <w:szCs w:val="18"/>
              </w:rPr>
              <w:t>Artículo 11</w:t>
            </w:r>
          </w:p>
        </w:tc>
        <w:tc>
          <w:tcPr>
            <w:tcW w:w="5386" w:type="dxa"/>
            <w:shd w:val="clear" w:color="auto" w:fill="B8CCE4" w:themeFill="accent1" w:themeFillTint="66"/>
          </w:tcPr>
          <w:p w14:paraId="6E4671CE" w14:textId="77777777" w:rsidR="00B1107F" w:rsidRPr="008048DD" w:rsidRDefault="00B1107F" w:rsidP="00780EA2">
            <w:pPr>
              <w:keepNext/>
              <w:pBdr>
                <w:top w:val="nil"/>
                <w:left w:val="nil"/>
                <w:bottom w:val="nil"/>
                <w:right w:val="nil"/>
                <w:between w:val="nil"/>
                <w:bar w:val="nil"/>
              </w:pBdr>
              <w:tabs>
                <w:tab w:val="left" w:pos="1163"/>
              </w:tabs>
              <w:rPr>
                <w:rStyle w:val="dn"/>
                <w:rFonts w:eastAsia="Roboto"/>
                <w:sz w:val="18"/>
                <w:szCs w:val="18"/>
              </w:rPr>
            </w:pPr>
          </w:p>
        </w:tc>
        <w:tc>
          <w:tcPr>
            <w:tcW w:w="2410" w:type="dxa"/>
            <w:shd w:val="clear" w:color="auto" w:fill="B8CCE4" w:themeFill="accent1" w:themeFillTint="66"/>
          </w:tcPr>
          <w:p w14:paraId="1F88D842" w14:textId="77777777" w:rsidR="00B1107F" w:rsidRPr="008048DD" w:rsidRDefault="00B1107F" w:rsidP="00780EA2">
            <w:pPr>
              <w:keepNext/>
              <w:pBdr>
                <w:top w:val="nil"/>
                <w:left w:val="nil"/>
                <w:bottom w:val="nil"/>
                <w:right w:val="nil"/>
                <w:between w:val="nil"/>
                <w:bar w:val="nil"/>
              </w:pBdr>
              <w:tabs>
                <w:tab w:val="left" w:pos="1163"/>
              </w:tabs>
              <w:ind w:right="-1192"/>
              <w:rPr>
                <w:rStyle w:val="dn"/>
                <w:rFonts w:eastAsia="Roboto"/>
                <w:sz w:val="18"/>
                <w:szCs w:val="18"/>
              </w:rPr>
            </w:pPr>
          </w:p>
        </w:tc>
        <w:tc>
          <w:tcPr>
            <w:tcW w:w="2410" w:type="dxa"/>
            <w:shd w:val="clear" w:color="auto" w:fill="B8CCE4" w:themeFill="accent1" w:themeFillTint="66"/>
          </w:tcPr>
          <w:p w14:paraId="5FDD2F85" w14:textId="77777777" w:rsidR="00B1107F" w:rsidRPr="008048DD" w:rsidRDefault="00B1107F" w:rsidP="00780EA2">
            <w:pPr>
              <w:keepNext/>
              <w:pBdr>
                <w:top w:val="nil"/>
                <w:left w:val="nil"/>
                <w:bottom w:val="nil"/>
                <w:right w:val="nil"/>
                <w:between w:val="nil"/>
                <w:bar w:val="nil"/>
              </w:pBdr>
              <w:rPr>
                <w:sz w:val="18"/>
                <w:szCs w:val="18"/>
              </w:rPr>
            </w:pPr>
          </w:p>
        </w:tc>
      </w:tr>
      <w:tr w:rsidR="00B1107F" w:rsidRPr="008048DD" w14:paraId="62ED0CD4" w14:textId="77777777" w:rsidTr="003A6617">
        <w:trPr>
          <w:trHeight w:val="454"/>
          <w:jc w:val="right"/>
        </w:trPr>
        <w:tc>
          <w:tcPr>
            <w:tcW w:w="2689" w:type="dxa"/>
          </w:tcPr>
          <w:p w14:paraId="78135C27" w14:textId="77777777" w:rsidR="00B1107F" w:rsidRPr="008048DD" w:rsidRDefault="00B1107F" w:rsidP="00C32C4C">
            <w:pPr>
              <w:pBdr>
                <w:top w:val="nil"/>
                <w:left w:val="nil"/>
                <w:bottom w:val="nil"/>
                <w:right w:val="nil"/>
                <w:between w:val="nil"/>
                <w:bar w:val="nil"/>
              </w:pBdr>
              <w:tabs>
                <w:tab w:val="left" w:pos="1163"/>
              </w:tabs>
              <w:ind w:right="-57"/>
              <w:rPr>
                <w:spacing w:val="-2"/>
                <w:sz w:val="18"/>
                <w:szCs w:val="18"/>
              </w:rPr>
            </w:pPr>
            <w:r w:rsidRPr="008048DD">
              <w:rPr>
                <w:sz w:val="18"/>
                <w:szCs w:val="18"/>
              </w:rPr>
              <w:t>B11. Indicador de resultados para el artículo 11</w:t>
            </w:r>
          </w:p>
        </w:tc>
        <w:tc>
          <w:tcPr>
            <w:tcW w:w="5386" w:type="dxa"/>
          </w:tcPr>
          <w:p w14:paraId="19C33FA7" w14:textId="77777777" w:rsidR="00B1107F" w:rsidRPr="008048DD" w:rsidRDefault="00B1107F" w:rsidP="00E777BB">
            <w:pPr>
              <w:pBdr>
                <w:top w:val="nil"/>
                <w:left w:val="nil"/>
                <w:bottom w:val="nil"/>
                <w:right w:val="nil"/>
                <w:between w:val="nil"/>
                <w:bar w:val="nil"/>
              </w:pBdr>
              <w:rPr>
                <w:rStyle w:val="dn"/>
                <w:rFonts w:eastAsia="Roboto"/>
                <w:sz w:val="18"/>
                <w:szCs w:val="18"/>
              </w:rPr>
            </w:pPr>
            <w:r w:rsidRPr="008048DD">
              <w:rPr>
                <w:sz w:val="18"/>
                <w:szCs w:val="18"/>
              </w:rPr>
              <w:t>Cantidad de desechos que contienen mer</w:t>
            </w:r>
            <w:r w:rsidR="00467D4C" w:rsidRPr="008048DD">
              <w:rPr>
                <w:sz w:val="18"/>
                <w:szCs w:val="18"/>
              </w:rPr>
              <w:t>curio o compuestos de mercurio o</w:t>
            </w:r>
            <w:r w:rsidRPr="008048DD">
              <w:rPr>
                <w:sz w:val="18"/>
                <w:szCs w:val="18"/>
              </w:rPr>
              <w:t>bjeto de eliminación definitiva</w:t>
            </w:r>
          </w:p>
        </w:tc>
        <w:tc>
          <w:tcPr>
            <w:tcW w:w="2410" w:type="dxa"/>
          </w:tcPr>
          <w:p w14:paraId="726DAA54" w14:textId="337536FD" w:rsidR="00B1107F" w:rsidRPr="008048DD" w:rsidRDefault="00B1107F" w:rsidP="00EE7D24">
            <w:pPr>
              <w:pBdr>
                <w:top w:val="nil"/>
                <w:left w:val="nil"/>
                <w:bottom w:val="nil"/>
                <w:right w:val="nil"/>
                <w:between w:val="nil"/>
                <w:bar w:val="nil"/>
              </w:pBdr>
              <w:ind w:right="-1192"/>
              <w:rPr>
                <w:rStyle w:val="dn"/>
                <w:rFonts w:eastAsia="Roboto"/>
                <w:sz w:val="18"/>
                <w:szCs w:val="18"/>
              </w:rPr>
            </w:pPr>
            <w:r w:rsidRPr="008048DD">
              <w:rPr>
                <w:sz w:val="18"/>
                <w:szCs w:val="18"/>
              </w:rPr>
              <w:t>- Presentación de informes con</w:t>
            </w:r>
            <w:r w:rsidR="00A60032" w:rsidRPr="008048DD">
              <w:rPr>
                <w:sz w:val="18"/>
                <w:szCs w:val="18"/>
              </w:rPr>
              <w:br/>
            </w:r>
            <w:r w:rsidRPr="008048DD">
              <w:rPr>
                <w:sz w:val="18"/>
                <w:szCs w:val="18"/>
              </w:rPr>
              <w:t>arreglo al artículo 21</w:t>
            </w:r>
          </w:p>
        </w:tc>
        <w:tc>
          <w:tcPr>
            <w:tcW w:w="2410" w:type="dxa"/>
          </w:tcPr>
          <w:p w14:paraId="742C4F59"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4220BC17" w14:textId="77777777" w:rsidTr="003A6617">
        <w:trPr>
          <w:trHeight w:val="454"/>
          <w:jc w:val="right"/>
        </w:trPr>
        <w:tc>
          <w:tcPr>
            <w:tcW w:w="2689" w:type="dxa"/>
          </w:tcPr>
          <w:p w14:paraId="3B1218D4" w14:textId="77777777" w:rsidR="00B1107F" w:rsidRPr="008048DD" w:rsidRDefault="00B1107F" w:rsidP="007F45A9">
            <w:pPr>
              <w:pBdr>
                <w:top w:val="nil"/>
                <w:left w:val="nil"/>
                <w:bottom w:val="nil"/>
                <w:right w:val="nil"/>
                <w:between w:val="nil"/>
                <w:bar w:val="nil"/>
              </w:pBdr>
              <w:tabs>
                <w:tab w:val="left" w:pos="1163"/>
              </w:tabs>
              <w:ind w:right="-57"/>
              <w:rPr>
                <w:spacing w:val="-2"/>
                <w:sz w:val="18"/>
                <w:szCs w:val="18"/>
              </w:rPr>
            </w:pPr>
            <w:r w:rsidRPr="008048DD">
              <w:rPr>
                <w:sz w:val="18"/>
                <w:szCs w:val="18"/>
              </w:rPr>
              <w:t>B12. Indicador de resultados para el artículo 11</w:t>
            </w:r>
          </w:p>
        </w:tc>
        <w:tc>
          <w:tcPr>
            <w:tcW w:w="5386" w:type="dxa"/>
          </w:tcPr>
          <w:p w14:paraId="404F4180"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Número de Partes con instalaciones para la eliminación definitiva de los desechos que contienen mercurio o compuestos de mercurio</w:t>
            </w:r>
          </w:p>
        </w:tc>
        <w:tc>
          <w:tcPr>
            <w:tcW w:w="2410" w:type="dxa"/>
          </w:tcPr>
          <w:p w14:paraId="3B90A617" w14:textId="3785C600" w:rsidR="00B1107F" w:rsidRPr="008048DD" w:rsidRDefault="00B1107F" w:rsidP="00EE7D24">
            <w:pPr>
              <w:pBdr>
                <w:top w:val="nil"/>
                <w:left w:val="nil"/>
                <w:bottom w:val="nil"/>
                <w:right w:val="nil"/>
                <w:between w:val="nil"/>
                <w:bar w:val="nil"/>
              </w:pBdr>
              <w:ind w:right="-1192"/>
              <w:rPr>
                <w:iCs/>
                <w:sz w:val="18"/>
                <w:szCs w:val="18"/>
              </w:rPr>
            </w:pPr>
            <w:r w:rsidRPr="008048DD">
              <w:rPr>
                <w:sz w:val="18"/>
                <w:szCs w:val="18"/>
              </w:rPr>
              <w:t>- Presentación de informes con</w:t>
            </w:r>
            <w:r w:rsidR="00A60032" w:rsidRPr="008048DD">
              <w:rPr>
                <w:sz w:val="18"/>
                <w:szCs w:val="18"/>
              </w:rPr>
              <w:br/>
            </w:r>
            <w:r w:rsidRPr="008048DD">
              <w:rPr>
                <w:sz w:val="18"/>
                <w:szCs w:val="18"/>
              </w:rPr>
              <w:t>arreglo al artículo 21</w:t>
            </w:r>
          </w:p>
        </w:tc>
        <w:tc>
          <w:tcPr>
            <w:tcW w:w="2410" w:type="dxa"/>
          </w:tcPr>
          <w:p w14:paraId="37408AFC"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5736C1AA" w14:textId="77777777" w:rsidTr="003A6617">
        <w:trPr>
          <w:trHeight w:val="454"/>
          <w:jc w:val="right"/>
        </w:trPr>
        <w:tc>
          <w:tcPr>
            <w:tcW w:w="2689" w:type="dxa"/>
          </w:tcPr>
          <w:p w14:paraId="7CDC9053" w14:textId="5F4E9C43" w:rsidR="00B1107F" w:rsidRPr="008048DD" w:rsidRDefault="00B1107F" w:rsidP="007F45A9">
            <w:pPr>
              <w:pBdr>
                <w:top w:val="nil"/>
                <w:left w:val="nil"/>
                <w:bottom w:val="nil"/>
                <w:right w:val="nil"/>
                <w:between w:val="nil"/>
                <w:bar w:val="nil"/>
              </w:pBdr>
              <w:tabs>
                <w:tab w:val="left" w:pos="1163"/>
              </w:tabs>
              <w:ind w:right="-57"/>
              <w:rPr>
                <w:sz w:val="18"/>
                <w:szCs w:val="18"/>
              </w:rPr>
            </w:pPr>
            <w:r w:rsidRPr="008048DD">
              <w:rPr>
                <w:sz w:val="18"/>
                <w:szCs w:val="18"/>
              </w:rPr>
              <w:t>B13. Indicador de procesos del artículo</w:t>
            </w:r>
            <w:r w:rsidR="00B83939">
              <w:rPr>
                <w:sz w:val="18"/>
                <w:szCs w:val="18"/>
              </w:rPr>
              <w:t> </w:t>
            </w:r>
            <w:r w:rsidRPr="008048DD">
              <w:rPr>
                <w:sz w:val="18"/>
                <w:szCs w:val="18"/>
              </w:rPr>
              <w:t>11</w:t>
            </w:r>
          </w:p>
        </w:tc>
        <w:tc>
          <w:tcPr>
            <w:tcW w:w="5386" w:type="dxa"/>
          </w:tcPr>
          <w:p w14:paraId="3499B56B"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Número de Partes que han adoptado medidas para gestionar los desechos de mercurio de manera ambientalmente racional</w:t>
            </w:r>
          </w:p>
        </w:tc>
        <w:tc>
          <w:tcPr>
            <w:tcW w:w="2410" w:type="dxa"/>
          </w:tcPr>
          <w:p w14:paraId="07D187B1" w14:textId="1110F1E1" w:rsidR="00B1107F" w:rsidRPr="008048DD" w:rsidRDefault="00B1107F" w:rsidP="00EE7D24">
            <w:pPr>
              <w:pBdr>
                <w:top w:val="nil"/>
                <w:left w:val="nil"/>
                <w:bottom w:val="nil"/>
                <w:right w:val="nil"/>
                <w:between w:val="nil"/>
                <w:bar w:val="nil"/>
              </w:pBdr>
              <w:ind w:right="-1192"/>
              <w:rPr>
                <w:rStyle w:val="dn"/>
                <w:rFonts w:eastAsia="Roboto"/>
                <w:sz w:val="18"/>
                <w:szCs w:val="18"/>
              </w:rPr>
            </w:pPr>
            <w:r w:rsidRPr="008048DD">
              <w:rPr>
                <w:sz w:val="18"/>
                <w:szCs w:val="18"/>
              </w:rPr>
              <w:t>- Presentación de informes con</w:t>
            </w:r>
            <w:r w:rsidR="00A60032" w:rsidRPr="008048DD">
              <w:rPr>
                <w:sz w:val="18"/>
                <w:szCs w:val="18"/>
              </w:rPr>
              <w:br/>
            </w:r>
            <w:r w:rsidRPr="008048DD">
              <w:rPr>
                <w:sz w:val="18"/>
                <w:szCs w:val="18"/>
              </w:rPr>
              <w:t>arreglo al artículo 21</w:t>
            </w:r>
          </w:p>
        </w:tc>
        <w:tc>
          <w:tcPr>
            <w:tcW w:w="2410" w:type="dxa"/>
          </w:tcPr>
          <w:p w14:paraId="0C4F3F29"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Cantidad en la primera evaluación</w:t>
            </w:r>
          </w:p>
        </w:tc>
      </w:tr>
      <w:tr w:rsidR="00B1107F" w:rsidRPr="008048DD" w14:paraId="44F86D7D" w14:textId="77777777" w:rsidTr="003A6617">
        <w:trPr>
          <w:trHeight w:val="227"/>
          <w:jc w:val="right"/>
        </w:trPr>
        <w:tc>
          <w:tcPr>
            <w:tcW w:w="2689" w:type="dxa"/>
            <w:shd w:val="clear" w:color="auto" w:fill="B8CCE4" w:themeFill="accent1" w:themeFillTint="66"/>
          </w:tcPr>
          <w:p w14:paraId="6AB07251" w14:textId="77777777" w:rsidR="00B1107F" w:rsidRPr="008048DD" w:rsidRDefault="00B1107F" w:rsidP="00EE7D24">
            <w:pPr>
              <w:rPr>
                <w:b/>
                <w:bCs/>
                <w:sz w:val="18"/>
                <w:szCs w:val="18"/>
              </w:rPr>
            </w:pPr>
            <w:r w:rsidRPr="008048DD">
              <w:rPr>
                <w:b/>
                <w:bCs/>
                <w:sz w:val="18"/>
                <w:szCs w:val="18"/>
              </w:rPr>
              <w:t>Notas</w:t>
            </w:r>
          </w:p>
        </w:tc>
        <w:tc>
          <w:tcPr>
            <w:tcW w:w="10206" w:type="dxa"/>
            <w:gridSpan w:val="3"/>
          </w:tcPr>
          <w:p w14:paraId="0E1E8C48" w14:textId="77777777" w:rsidR="00B1107F" w:rsidRPr="008048DD" w:rsidRDefault="00B1107F" w:rsidP="00A00B9F">
            <w:pPr>
              <w:pStyle w:val="ListParagraph"/>
              <w:numPr>
                <w:ilvl w:val="0"/>
                <w:numId w:val="21"/>
              </w:numPr>
              <w:pBdr>
                <w:top w:val="nil"/>
                <w:left w:val="nil"/>
                <w:bottom w:val="nil"/>
                <w:right w:val="nil"/>
                <w:between w:val="nil"/>
                <w:bar w:val="nil"/>
              </w:pBdr>
              <w:tabs>
                <w:tab w:val="clear" w:pos="1247"/>
              </w:tabs>
              <w:ind w:right="-1192"/>
              <w:rPr>
                <w:sz w:val="18"/>
                <w:szCs w:val="18"/>
              </w:rPr>
            </w:pPr>
            <w:r w:rsidRPr="008048DD">
              <w:rPr>
                <w:sz w:val="18"/>
                <w:szCs w:val="18"/>
              </w:rPr>
              <w:t>Los datos de entida</w:t>
            </w:r>
            <w:r w:rsidR="00467D4C" w:rsidRPr="008048DD">
              <w:rPr>
                <w:sz w:val="18"/>
                <w:szCs w:val="18"/>
              </w:rPr>
              <w:t>des que no s</w:t>
            </w:r>
            <w:r w:rsidRPr="008048DD">
              <w:rPr>
                <w:sz w:val="18"/>
                <w:szCs w:val="18"/>
              </w:rPr>
              <w:t>on Partes también podrían ser importantes en algunos casos.</w:t>
            </w:r>
          </w:p>
        </w:tc>
      </w:tr>
    </w:tbl>
    <w:p w14:paraId="098D2B41" w14:textId="77777777" w:rsidR="00B1107F" w:rsidRPr="008048DD" w:rsidRDefault="00B1107F" w:rsidP="00B1107F">
      <w:pPr>
        <w:rPr>
          <w:sz w:val="18"/>
          <w:szCs w:val="18"/>
        </w:rPr>
      </w:pPr>
    </w:p>
    <w:tbl>
      <w:tblPr>
        <w:tblStyle w:val="TableGrid"/>
        <w:tblW w:w="5000" w:type="pct"/>
        <w:jc w:val="right"/>
        <w:tblLayout w:type="fixed"/>
        <w:tblLook w:val="04A0" w:firstRow="1" w:lastRow="0" w:firstColumn="1" w:lastColumn="0" w:noHBand="0" w:noVBand="1"/>
      </w:tblPr>
      <w:tblGrid>
        <w:gridCol w:w="3151"/>
        <w:gridCol w:w="5840"/>
        <w:gridCol w:w="2793"/>
        <w:gridCol w:w="2636"/>
      </w:tblGrid>
      <w:tr w:rsidR="00B1107F" w:rsidRPr="008048DD" w14:paraId="428C5212" w14:textId="77777777" w:rsidTr="003A6617">
        <w:trPr>
          <w:trHeight w:val="454"/>
          <w:jc w:val="right"/>
        </w:trPr>
        <w:tc>
          <w:tcPr>
            <w:tcW w:w="8075" w:type="dxa"/>
            <w:gridSpan w:val="2"/>
            <w:shd w:val="clear" w:color="auto" w:fill="B8CCE4" w:themeFill="accent1" w:themeFillTint="66"/>
          </w:tcPr>
          <w:p w14:paraId="17929180" w14:textId="176AA22B" w:rsidR="00B1107F" w:rsidRPr="007B20DF" w:rsidRDefault="00B1107F" w:rsidP="007B20DF">
            <w:pPr>
              <w:rPr>
                <w:b/>
                <w:bCs/>
                <w:sz w:val="18"/>
                <w:szCs w:val="18"/>
              </w:rPr>
            </w:pPr>
            <w:r w:rsidRPr="007B20DF">
              <w:rPr>
                <w:b/>
                <w:bCs/>
                <w:sz w:val="18"/>
                <w:szCs w:val="18"/>
              </w:rPr>
              <w:t xml:space="preserve">C: Grupo sobre la demanda </w:t>
            </w:r>
            <w:r w:rsidR="000F552F" w:rsidRPr="007B20DF">
              <w:rPr>
                <w:b/>
                <w:bCs/>
                <w:sz w:val="18"/>
                <w:szCs w:val="18"/>
              </w:rPr>
              <w:br/>
            </w:r>
            <w:r w:rsidR="00851861" w:rsidRPr="007B20DF">
              <w:rPr>
                <w:b/>
                <w:bCs/>
                <w:sz w:val="18"/>
                <w:szCs w:val="18"/>
              </w:rPr>
              <w:t xml:space="preserve">Artículo 4 (productos con mercurio añadido); artículo 5 (procesos de producción en los que se utiliza mercurio o compuestos de mercurio); artículo 7 (extracción de oro artesanal y en pequeña escala) </w:t>
            </w:r>
          </w:p>
        </w:tc>
        <w:tc>
          <w:tcPr>
            <w:tcW w:w="2508" w:type="dxa"/>
            <w:shd w:val="clear" w:color="auto" w:fill="B8CCE4" w:themeFill="accent1" w:themeFillTint="66"/>
          </w:tcPr>
          <w:p w14:paraId="6CE49ABD" w14:textId="055173A8" w:rsidR="00B1107F" w:rsidRPr="00B83939" w:rsidRDefault="00B1107F" w:rsidP="000F552F">
            <w:pPr>
              <w:ind w:right="-1192"/>
              <w:rPr>
                <w:rStyle w:val="dn"/>
                <w:b/>
                <w:bCs/>
                <w:i/>
              </w:rPr>
            </w:pPr>
            <w:r w:rsidRPr="00B83939">
              <w:rPr>
                <w:b/>
                <w:bCs/>
                <w:sz w:val="18"/>
                <w:szCs w:val="18"/>
              </w:rPr>
              <w:t>Fuente de información sobre</w:t>
            </w:r>
            <w:r w:rsidR="00543AAF" w:rsidRPr="00B83939">
              <w:rPr>
                <w:b/>
                <w:bCs/>
                <w:sz w:val="18"/>
                <w:szCs w:val="18"/>
              </w:rPr>
              <w:br/>
            </w:r>
            <w:r w:rsidRPr="00B83939">
              <w:rPr>
                <w:b/>
                <w:bCs/>
                <w:sz w:val="18"/>
                <w:szCs w:val="18"/>
              </w:rPr>
              <w:t>el indicador</w:t>
            </w:r>
          </w:p>
        </w:tc>
        <w:tc>
          <w:tcPr>
            <w:tcW w:w="2367" w:type="dxa"/>
            <w:shd w:val="clear" w:color="auto" w:fill="B8CCE4" w:themeFill="accent1" w:themeFillTint="66"/>
          </w:tcPr>
          <w:p w14:paraId="19112A31" w14:textId="21C876EC" w:rsidR="00B1107F" w:rsidRPr="00B83939" w:rsidRDefault="00B1107F" w:rsidP="000F552F">
            <w:pPr>
              <w:ind w:right="-1192"/>
              <w:rPr>
                <w:rStyle w:val="dn"/>
                <w:b/>
                <w:bCs/>
                <w:i/>
              </w:rPr>
            </w:pPr>
            <w:r w:rsidRPr="00B83939">
              <w:rPr>
                <w:b/>
                <w:bCs/>
                <w:sz w:val="18"/>
                <w:szCs w:val="18"/>
              </w:rPr>
              <w:t>Parámetro de referencia</w:t>
            </w:r>
            <w:r w:rsidR="00543AAF" w:rsidRPr="00B83939">
              <w:rPr>
                <w:b/>
                <w:bCs/>
                <w:sz w:val="18"/>
                <w:szCs w:val="18"/>
              </w:rPr>
              <w:br/>
            </w:r>
            <w:r w:rsidRPr="00B83939">
              <w:rPr>
                <w:b/>
                <w:bCs/>
                <w:sz w:val="18"/>
                <w:szCs w:val="18"/>
              </w:rPr>
              <w:t>del indicador</w:t>
            </w:r>
          </w:p>
        </w:tc>
      </w:tr>
      <w:tr w:rsidR="00B1107F" w:rsidRPr="008048DD" w14:paraId="29634E11" w14:textId="77777777" w:rsidTr="003A6617">
        <w:trPr>
          <w:trHeight w:val="624"/>
          <w:jc w:val="right"/>
        </w:trPr>
        <w:tc>
          <w:tcPr>
            <w:tcW w:w="2830" w:type="dxa"/>
          </w:tcPr>
          <w:p w14:paraId="1C356631" w14:textId="77777777" w:rsidR="00B1107F" w:rsidRPr="008048DD" w:rsidRDefault="00B1107F" w:rsidP="00EE7D24">
            <w:pPr>
              <w:rPr>
                <w:bCs/>
                <w:sz w:val="18"/>
                <w:szCs w:val="18"/>
              </w:rPr>
            </w:pPr>
            <w:r w:rsidRPr="008048DD">
              <w:rPr>
                <w:sz w:val="18"/>
                <w:szCs w:val="18"/>
              </w:rPr>
              <w:t>C1. Indicador intersectorial de procesos para los artículos 4, 5 y 7</w:t>
            </w:r>
          </w:p>
        </w:tc>
        <w:tc>
          <w:tcPr>
            <w:tcW w:w="5245" w:type="dxa"/>
          </w:tcPr>
          <w:p w14:paraId="479E1D9F" w14:textId="77777777" w:rsidR="00B1107F" w:rsidRPr="008048DD" w:rsidRDefault="00780EA2" w:rsidP="00EE7D24">
            <w:pPr>
              <w:pBdr>
                <w:top w:val="nil"/>
                <w:left w:val="nil"/>
                <w:bottom w:val="nil"/>
                <w:right w:val="nil"/>
                <w:between w:val="nil"/>
                <w:bar w:val="nil"/>
              </w:pBdr>
              <w:rPr>
                <w:rStyle w:val="dn"/>
                <w:rFonts w:eastAsia="Roboto"/>
                <w:sz w:val="18"/>
                <w:szCs w:val="18"/>
              </w:rPr>
            </w:pPr>
            <w:r w:rsidRPr="008048DD">
              <w:rPr>
                <w:sz w:val="18"/>
                <w:szCs w:val="18"/>
              </w:rPr>
              <w:t>Proporción de Partes que han aplicado disposiciones fundamentales en relación con este grupo</w:t>
            </w:r>
          </w:p>
          <w:p w14:paraId="17E342F7" w14:textId="77777777" w:rsidR="00B1107F" w:rsidRPr="008048DD" w:rsidRDefault="00B1107F" w:rsidP="00EE7D24">
            <w:pPr>
              <w:rPr>
                <w:sz w:val="18"/>
                <w:szCs w:val="18"/>
              </w:rPr>
            </w:pPr>
          </w:p>
        </w:tc>
        <w:tc>
          <w:tcPr>
            <w:tcW w:w="2508" w:type="dxa"/>
          </w:tcPr>
          <w:p w14:paraId="048CCE48"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 Información sintetizada de los distintos indicadores para los artículos 4, 5 y 7</w:t>
            </w:r>
          </w:p>
        </w:tc>
        <w:tc>
          <w:tcPr>
            <w:tcW w:w="2367" w:type="dxa"/>
          </w:tcPr>
          <w:p w14:paraId="28D25DC0"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Porcentaje en la primera evaluación</w:t>
            </w:r>
          </w:p>
        </w:tc>
      </w:tr>
      <w:tr w:rsidR="00B1107F" w:rsidRPr="008048DD" w14:paraId="7F6C27EA" w14:textId="77777777" w:rsidTr="003A6617">
        <w:trPr>
          <w:trHeight w:val="454"/>
          <w:jc w:val="right"/>
        </w:trPr>
        <w:tc>
          <w:tcPr>
            <w:tcW w:w="2830" w:type="dxa"/>
          </w:tcPr>
          <w:p w14:paraId="61B6A84F" w14:textId="77777777" w:rsidR="00B1107F" w:rsidRPr="008048DD" w:rsidRDefault="00B1107F" w:rsidP="00EE7D24">
            <w:pPr>
              <w:rPr>
                <w:bCs/>
                <w:sz w:val="18"/>
                <w:szCs w:val="18"/>
              </w:rPr>
            </w:pPr>
            <w:r w:rsidRPr="008048DD">
              <w:rPr>
                <w:sz w:val="18"/>
                <w:szCs w:val="18"/>
              </w:rPr>
              <w:t>C2. Indicador intersectorial de resultados para los artículos 4, 5 y 7</w:t>
            </w:r>
          </w:p>
        </w:tc>
        <w:tc>
          <w:tcPr>
            <w:tcW w:w="5245" w:type="dxa"/>
          </w:tcPr>
          <w:p w14:paraId="3763B923" w14:textId="77777777" w:rsidR="00B1107F" w:rsidRPr="008048DD" w:rsidRDefault="00B1107F" w:rsidP="00EE7D24">
            <w:pPr>
              <w:rPr>
                <w:sz w:val="18"/>
                <w:szCs w:val="18"/>
              </w:rPr>
            </w:pPr>
            <w:r w:rsidRPr="008048DD">
              <w:rPr>
                <w:sz w:val="18"/>
                <w:szCs w:val="18"/>
              </w:rPr>
              <w:t xml:space="preserve">Uso mundial del mercurio en la fabricación de productos o procesos, en toneladas por aplicación </w:t>
            </w:r>
          </w:p>
        </w:tc>
        <w:tc>
          <w:tcPr>
            <w:tcW w:w="2508" w:type="dxa"/>
          </w:tcPr>
          <w:p w14:paraId="07C256C6" w14:textId="7FFEC315" w:rsidR="00B1107F" w:rsidRPr="008048DD" w:rsidRDefault="00B1107F" w:rsidP="00EE7D24">
            <w:pPr>
              <w:rPr>
                <w:rStyle w:val="dn"/>
                <w:rFonts w:eastAsia="Roboto"/>
                <w:sz w:val="18"/>
                <w:szCs w:val="18"/>
              </w:rPr>
            </w:pPr>
            <w:r w:rsidRPr="008048DD">
              <w:rPr>
                <w:sz w:val="18"/>
                <w:szCs w:val="18"/>
              </w:rPr>
              <w:t>información de fuentes de la</w:t>
            </w:r>
            <w:r w:rsidR="00A60032" w:rsidRPr="008048DD">
              <w:rPr>
                <w:sz w:val="18"/>
                <w:szCs w:val="18"/>
              </w:rPr>
              <w:t> </w:t>
            </w:r>
            <w:r w:rsidRPr="008048DD">
              <w:rPr>
                <w:sz w:val="18"/>
                <w:szCs w:val="18"/>
              </w:rPr>
              <w:t>industria</w:t>
            </w:r>
          </w:p>
        </w:tc>
        <w:tc>
          <w:tcPr>
            <w:tcW w:w="2367" w:type="dxa"/>
          </w:tcPr>
          <w:p w14:paraId="4587A25A" w14:textId="77777777" w:rsidR="00B1107F" w:rsidRPr="008048DD" w:rsidRDefault="00F1134F" w:rsidP="00EE7D24">
            <w:pPr>
              <w:rPr>
                <w:sz w:val="18"/>
                <w:szCs w:val="18"/>
              </w:rPr>
            </w:pPr>
            <w:r w:rsidRPr="008048DD">
              <w:rPr>
                <w:sz w:val="18"/>
                <w:szCs w:val="18"/>
              </w:rPr>
              <w:t>Cantidad en la primera evaluación</w:t>
            </w:r>
          </w:p>
        </w:tc>
      </w:tr>
      <w:tr w:rsidR="00B1107F" w:rsidRPr="008048DD" w14:paraId="79EA2BB0" w14:textId="77777777" w:rsidTr="003A6617">
        <w:trPr>
          <w:trHeight w:val="57"/>
          <w:jc w:val="right"/>
        </w:trPr>
        <w:tc>
          <w:tcPr>
            <w:tcW w:w="2830" w:type="dxa"/>
            <w:shd w:val="clear" w:color="auto" w:fill="B8CCE4" w:themeFill="accent1" w:themeFillTint="66"/>
          </w:tcPr>
          <w:p w14:paraId="73443850" w14:textId="77777777" w:rsidR="00B1107F" w:rsidRPr="008048DD" w:rsidRDefault="00B1107F" w:rsidP="00EE7D24">
            <w:pPr>
              <w:rPr>
                <w:b/>
                <w:sz w:val="18"/>
                <w:szCs w:val="18"/>
              </w:rPr>
            </w:pPr>
            <w:r w:rsidRPr="008048DD">
              <w:rPr>
                <w:b/>
                <w:bCs/>
                <w:sz w:val="18"/>
                <w:szCs w:val="18"/>
              </w:rPr>
              <w:t>Artículo 4</w:t>
            </w:r>
          </w:p>
        </w:tc>
        <w:tc>
          <w:tcPr>
            <w:tcW w:w="5245" w:type="dxa"/>
            <w:shd w:val="clear" w:color="auto" w:fill="B8CCE4" w:themeFill="accent1" w:themeFillTint="66"/>
          </w:tcPr>
          <w:p w14:paraId="1B313C17" w14:textId="77777777" w:rsidR="00B1107F" w:rsidRPr="008048DD" w:rsidRDefault="00B1107F" w:rsidP="00EE7D24">
            <w:pPr>
              <w:rPr>
                <w:sz w:val="18"/>
                <w:szCs w:val="18"/>
              </w:rPr>
            </w:pPr>
          </w:p>
        </w:tc>
        <w:tc>
          <w:tcPr>
            <w:tcW w:w="2508" w:type="dxa"/>
            <w:shd w:val="clear" w:color="auto" w:fill="B8CCE4" w:themeFill="accent1" w:themeFillTint="66"/>
          </w:tcPr>
          <w:p w14:paraId="4ADB0EE7" w14:textId="77777777" w:rsidR="00B1107F" w:rsidRPr="008048DD" w:rsidRDefault="00B1107F" w:rsidP="00EE7D24">
            <w:pPr>
              <w:rPr>
                <w:sz w:val="18"/>
                <w:szCs w:val="18"/>
              </w:rPr>
            </w:pPr>
          </w:p>
        </w:tc>
        <w:tc>
          <w:tcPr>
            <w:tcW w:w="2367" w:type="dxa"/>
            <w:shd w:val="clear" w:color="auto" w:fill="B8CCE4" w:themeFill="accent1" w:themeFillTint="66"/>
          </w:tcPr>
          <w:p w14:paraId="50D797DF" w14:textId="77777777" w:rsidR="00B1107F" w:rsidRPr="008048DD" w:rsidRDefault="00B1107F" w:rsidP="00EE7D24">
            <w:pPr>
              <w:rPr>
                <w:sz w:val="18"/>
                <w:szCs w:val="18"/>
              </w:rPr>
            </w:pPr>
          </w:p>
        </w:tc>
      </w:tr>
      <w:tr w:rsidR="00B1107F" w:rsidRPr="008048DD" w14:paraId="652EB0B8" w14:textId="77777777" w:rsidTr="003A6617">
        <w:trPr>
          <w:trHeight w:val="624"/>
          <w:jc w:val="right"/>
        </w:trPr>
        <w:tc>
          <w:tcPr>
            <w:tcW w:w="2830" w:type="dxa"/>
          </w:tcPr>
          <w:p w14:paraId="279AEB6F" w14:textId="77777777" w:rsidR="00B1107F" w:rsidRPr="008048DD" w:rsidRDefault="00B1107F" w:rsidP="00EE7D24">
            <w:pPr>
              <w:rPr>
                <w:sz w:val="18"/>
                <w:szCs w:val="18"/>
              </w:rPr>
            </w:pPr>
            <w:r w:rsidRPr="008048DD">
              <w:rPr>
                <w:sz w:val="18"/>
                <w:szCs w:val="18"/>
              </w:rPr>
              <w:t>C3. Indicador de procesos en relación con el artículo 4</w:t>
            </w:r>
          </w:p>
        </w:tc>
        <w:tc>
          <w:tcPr>
            <w:tcW w:w="5245" w:type="dxa"/>
          </w:tcPr>
          <w:p w14:paraId="7D46DBC2" w14:textId="77777777" w:rsidR="00B1107F" w:rsidRPr="008048DD" w:rsidRDefault="00B1107F" w:rsidP="008244FA">
            <w:pPr>
              <w:pBdr>
                <w:top w:val="nil"/>
                <w:left w:val="nil"/>
                <w:bottom w:val="nil"/>
                <w:right w:val="nil"/>
                <w:between w:val="nil"/>
                <w:bar w:val="nil"/>
              </w:pBdr>
              <w:rPr>
                <w:sz w:val="18"/>
                <w:szCs w:val="18"/>
              </w:rPr>
            </w:pPr>
            <w:r w:rsidRPr="008048DD">
              <w:rPr>
                <w:sz w:val="18"/>
                <w:szCs w:val="18"/>
              </w:rPr>
              <w:t>Número de Partes que aplican medidas adecuadas para impedir la fabricación, exportación o importación de productos con mercurio añadido incluidos en la parte I del anexo A</w:t>
            </w:r>
          </w:p>
        </w:tc>
        <w:tc>
          <w:tcPr>
            <w:tcW w:w="2508" w:type="dxa"/>
          </w:tcPr>
          <w:p w14:paraId="2269AAE6" w14:textId="54EFA1A6" w:rsidR="00B1107F" w:rsidRPr="008048DD" w:rsidRDefault="00B1107F" w:rsidP="00EE7D24">
            <w:pPr>
              <w:pBdr>
                <w:top w:val="nil"/>
                <w:left w:val="nil"/>
                <w:bottom w:val="nil"/>
                <w:right w:val="nil"/>
                <w:between w:val="nil"/>
                <w:bar w:val="nil"/>
              </w:pBdr>
              <w:rPr>
                <w:iCs/>
                <w:sz w:val="18"/>
                <w:szCs w:val="18"/>
              </w:rPr>
            </w:pPr>
            <w:r w:rsidRPr="008048DD">
              <w:rPr>
                <w:sz w:val="18"/>
                <w:szCs w:val="18"/>
              </w:rPr>
              <w:t>- Presentación de informes con arreglo al artículo 21</w:t>
            </w:r>
          </w:p>
          <w:p w14:paraId="4ACDF220" w14:textId="77777777" w:rsidR="00B1107F" w:rsidRPr="008048DD" w:rsidRDefault="00B1107F" w:rsidP="00EE7D24">
            <w:pPr>
              <w:pBdr>
                <w:top w:val="nil"/>
                <w:left w:val="nil"/>
                <w:bottom w:val="nil"/>
                <w:right w:val="nil"/>
                <w:between w:val="nil"/>
                <w:bar w:val="nil"/>
              </w:pBdr>
              <w:rPr>
                <w:rStyle w:val="dn"/>
                <w:sz w:val="18"/>
                <w:szCs w:val="18"/>
                <w:lang w:eastAsia="ja-JP"/>
              </w:rPr>
            </w:pPr>
          </w:p>
        </w:tc>
        <w:tc>
          <w:tcPr>
            <w:tcW w:w="2367" w:type="dxa"/>
          </w:tcPr>
          <w:p w14:paraId="59CE94C8"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Número en la primera evaluación</w:t>
            </w:r>
          </w:p>
        </w:tc>
      </w:tr>
      <w:tr w:rsidR="00B1107F" w:rsidRPr="008048DD" w14:paraId="452405D5" w14:textId="77777777" w:rsidTr="003A6617">
        <w:trPr>
          <w:trHeight w:val="283"/>
          <w:jc w:val="right"/>
        </w:trPr>
        <w:tc>
          <w:tcPr>
            <w:tcW w:w="2830" w:type="dxa"/>
          </w:tcPr>
          <w:p w14:paraId="4B3E6A8B" w14:textId="77777777" w:rsidR="00B1107F" w:rsidRPr="008048DD" w:rsidRDefault="00B1107F" w:rsidP="00EE7D24">
            <w:pPr>
              <w:rPr>
                <w:sz w:val="18"/>
                <w:szCs w:val="18"/>
              </w:rPr>
            </w:pPr>
            <w:r w:rsidRPr="008048DD">
              <w:rPr>
                <w:sz w:val="18"/>
                <w:szCs w:val="18"/>
              </w:rPr>
              <w:t>C4. Indicador de procesos en relación con el artículo 4</w:t>
            </w:r>
          </w:p>
        </w:tc>
        <w:tc>
          <w:tcPr>
            <w:tcW w:w="5245" w:type="dxa"/>
          </w:tcPr>
          <w:p w14:paraId="348A3F52" w14:textId="77777777" w:rsidR="00B1107F" w:rsidRPr="008048DD" w:rsidRDefault="00B1107F" w:rsidP="006A08EA">
            <w:pPr>
              <w:pBdr>
                <w:top w:val="nil"/>
                <w:left w:val="nil"/>
                <w:bottom w:val="nil"/>
                <w:right w:val="nil"/>
                <w:between w:val="nil"/>
                <w:bar w:val="nil"/>
              </w:pBdr>
              <w:rPr>
                <w:sz w:val="18"/>
                <w:szCs w:val="18"/>
              </w:rPr>
            </w:pPr>
            <w:r w:rsidRPr="008048DD">
              <w:rPr>
                <w:sz w:val="18"/>
                <w:szCs w:val="18"/>
              </w:rPr>
              <w:t>Número de exenciones por categoría de productos que siguen siendo válidas</w:t>
            </w:r>
          </w:p>
        </w:tc>
        <w:tc>
          <w:tcPr>
            <w:tcW w:w="2508" w:type="dxa"/>
          </w:tcPr>
          <w:p w14:paraId="36AC0B0D"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 Registro de exenciones</w:t>
            </w:r>
          </w:p>
        </w:tc>
        <w:tc>
          <w:tcPr>
            <w:tcW w:w="2367" w:type="dxa"/>
          </w:tcPr>
          <w:p w14:paraId="0130B889" w14:textId="77777777" w:rsidR="00B1107F" w:rsidRPr="008048DD" w:rsidRDefault="00F1134F" w:rsidP="00EE7D24">
            <w:pPr>
              <w:pBdr>
                <w:top w:val="nil"/>
                <w:left w:val="nil"/>
                <w:bottom w:val="nil"/>
                <w:right w:val="nil"/>
                <w:between w:val="nil"/>
                <w:bar w:val="nil"/>
              </w:pBdr>
              <w:rPr>
                <w:sz w:val="18"/>
                <w:szCs w:val="18"/>
              </w:rPr>
            </w:pPr>
            <w:r w:rsidRPr="008048DD">
              <w:rPr>
                <w:sz w:val="18"/>
                <w:szCs w:val="18"/>
              </w:rPr>
              <w:t>Número en la primera evaluación</w:t>
            </w:r>
          </w:p>
        </w:tc>
      </w:tr>
      <w:tr w:rsidR="00B1107F" w:rsidRPr="008048DD" w14:paraId="4AD13119" w14:textId="77777777" w:rsidTr="003A6617">
        <w:trPr>
          <w:trHeight w:val="454"/>
          <w:jc w:val="right"/>
        </w:trPr>
        <w:tc>
          <w:tcPr>
            <w:tcW w:w="2830" w:type="dxa"/>
          </w:tcPr>
          <w:p w14:paraId="1200A0B6" w14:textId="77777777" w:rsidR="00B1107F" w:rsidRPr="008048DD" w:rsidRDefault="00B1107F" w:rsidP="00EE7D24">
            <w:pPr>
              <w:rPr>
                <w:sz w:val="18"/>
                <w:szCs w:val="18"/>
              </w:rPr>
            </w:pPr>
            <w:r w:rsidRPr="008048DD">
              <w:rPr>
                <w:sz w:val="18"/>
                <w:szCs w:val="18"/>
              </w:rPr>
              <w:t>C5. Indicador de procesos en relación con el artículo 4</w:t>
            </w:r>
          </w:p>
        </w:tc>
        <w:tc>
          <w:tcPr>
            <w:tcW w:w="5245" w:type="dxa"/>
          </w:tcPr>
          <w:p w14:paraId="3D222D60" w14:textId="77777777" w:rsidR="00B1107F" w:rsidRPr="008048DD" w:rsidRDefault="00B1107F" w:rsidP="00E777BB">
            <w:pPr>
              <w:pBdr>
                <w:top w:val="nil"/>
                <w:left w:val="nil"/>
                <w:bottom w:val="nil"/>
                <w:right w:val="nil"/>
                <w:between w:val="nil"/>
                <w:bar w:val="nil"/>
              </w:pBdr>
              <w:rPr>
                <w:sz w:val="18"/>
                <w:szCs w:val="18"/>
              </w:rPr>
            </w:pPr>
            <w:r w:rsidRPr="008048DD">
              <w:rPr>
                <w:sz w:val="18"/>
                <w:szCs w:val="18"/>
              </w:rPr>
              <w:t>Número de Partes que han adoptado dos medidas o más en relación con los productos con mercurio añadido incluidos en la parte II del anexo A</w:t>
            </w:r>
          </w:p>
        </w:tc>
        <w:tc>
          <w:tcPr>
            <w:tcW w:w="2508" w:type="dxa"/>
          </w:tcPr>
          <w:p w14:paraId="63338BBF" w14:textId="292E4452" w:rsidR="00B1107F" w:rsidRPr="008048DD" w:rsidRDefault="00B1107F" w:rsidP="00EE7D24">
            <w:pPr>
              <w:pBdr>
                <w:top w:val="nil"/>
                <w:left w:val="nil"/>
                <w:bottom w:val="nil"/>
                <w:right w:val="nil"/>
                <w:between w:val="nil"/>
                <w:bar w:val="nil"/>
              </w:pBdr>
              <w:rPr>
                <w:rStyle w:val="dn"/>
                <w:sz w:val="18"/>
                <w:szCs w:val="18"/>
              </w:rPr>
            </w:pPr>
            <w:r w:rsidRPr="008048DD">
              <w:rPr>
                <w:sz w:val="18"/>
                <w:szCs w:val="18"/>
              </w:rPr>
              <w:t>- Presentación de informes con arreglo al artículo 21</w:t>
            </w:r>
          </w:p>
        </w:tc>
        <w:tc>
          <w:tcPr>
            <w:tcW w:w="2367" w:type="dxa"/>
          </w:tcPr>
          <w:p w14:paraId="4B85105A" w14:textId="77777777" w:rsidR="00B1107F" w:rsidRPr="008048DD" w:rsidRDefault="00F1134F" w:rsidP="00EE7D24">
            <w:pPr>
              <w:pBdr>
                <w:top w:val="nil"/>
                <w:left w:val="nil"/>
                <w:bottom w:val="nil"/>
                <w:right w:val="nil"/>
                <w:between w:val="nil"/>
                <w:bar w:val="nil"/>
              </w:pBdr>
              <w:rPr>
                <w:rStyle w:val="dn"/>
                <w:sz w:val="18"/>
                <w:szCs w:val="18"/>
              </w:rPr>
            </w:pPr>
            <w:r w:rsidRPr="008048DD">
              <w:rPr>
                <w:sz w:val="18"/>
                <w:szCs w:val="18"/>
              </w:rPr>
              <w:t>Número en la primera evaluación</w:t>
            </w:r>
          </w:p>
        </w:tc>
      </w:tr>
      <w:tr w:rsidR="00B1107F" w:rsidRPr="008048DD" w14:paraId="13BA17A6" w14:textId="77777777" w:rsidTr="003A6617">
        <w:trPr>
          <w:trHeight w:val="624"/>
          <w:jc w:val="right"/>
        </w:trPr>
        <w:tc>
          <w:tcPr>
            <w:tcW w:w="2830" w:type="dxa"/>
          </w:tcPr>
          <w:p w14:paraId="56557535"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C6. Indicador adicional de resultados en relación con el artículo 4</w:t>
            </w:r>
          </w:p>
        </w:tc>
        <w:tc>
          <w:tcPr>
            <w:tcW w:w="5245" w:type="dxa"/>
          </w:tcPr>
          <w:p w14:paraId="277E4607" w14:textId="5C3552BC"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Volumen, en toneladas de productos con mercurio añadido a) importados y b) exportados, en unidades por año, para cada categoría de productos incluidos en la parte I del anexo A</w:t>
            </w:r>
          </w:p>
        </w:tc>
        <w:tc>
          <w:tcPr>
            <w:tcW w:w="2508" w:type="dxa"/>
          </w:tcPr>
          <w:p w14:paraId="325130DE"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Comercio y datos de aduana</w:t>
            </w:r>
          </w:p>
        </w:tc>
        <w:tc>
          <w:tcPr>
            <w:tcW w:w="2367" w:type="dxa"/>
          </w:tcPr>
          <w:p w14:paraId="6FCC8292" w14:textId="77777777" w:rsidR="00B1107F" w:rsidRPr="008048DD" w:rsidRDefault="00F1134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Cantidad en la primera evaluación</w:t>
            </w:r>
          </w:p>
        </w:tc>
      </w:tr>
      <w:tr w:rsidR="00B1107F" w:rsidRPr="008048DD" w14:paraId="02410144" w14:textId="77777777" w:rsidTr="003A6617">
        <w:trPr>
          <w:trHeight w:val="57"/>
          <w:jc w:val="right"/>
        </w:trPr>
        <w:tc>
          <w:tcPr>
            <w:tcW w:w="2830" w:type="dxa"/>
            <w:shd w:val="clear" w:color="auto" w:fill="B8CCE4" w:themeFill="accent1" w:themeFillTint="66"/>
          </w:tcPr>
          <w:p w14:paraId="6529F17A" w14:textId="77777777" w:rsidR="00B1107F" w:rsidRPr="008048DD" w:rsidRDefault="00B1107F" w:rsidP="00EE7D24">
            <w:pPr>
              <w:pBdr>
                <w:top w:val="nil"/>
                <w:left w:val="nil"/>
                <w:bottom w:val="nil"/>
                <w:right w:val="nil"/>
                <w:between w:val="nil"/>
                <w:bar w:val="nil"/>
              </w:pBdr>
              <w:tabs>
                <w:tab w:val="left" w:pos="1163"/>
              </w:tabs>
              <w:rPr>
                <w:b/>
                <w:sz w:val="18"/>
                <w:szCs w:val="18"/>
              </w:rPr>
            </w:pPr>
            <w:r w:rsidRPr="008048DD">
              <w:rPr>
                <w:b/>
                <w:bCs/>
                <w:sz w:val="18"/>
                <w:szCs w:val="18"/>
              </w:rPr>
              <w:t>Artículo 5</w:t>
            </w:r>
          </w:p>
        </w:tc>
        <w:tc>
          <w:tcPr>
            <w:tcW w:w="5245" w:type="dxa"/>
            <w:shd w:val="clear" w:color="auto" w:fill="B8CCE4" w:themeFill="accent1" w:themeFillTint="66"/>
          </w:tcPr>
          <w:p w14:paraId="1521BBAD"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p>
        </w:tc>
        <w:tc>
          <w:tcPr>
            <w:tcW w:w="2508" w:type="dxa"/>
            <w:shd w:val="clear" w:color="auto" w:fill="B8CCE4" w:themeFill="accent1" w:themeFillTint="66"/>
          </w:tcPr>
          <w:p w14:paraId="4A2993F8"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p>
        </w:tc>
        <w:tc>
          <w:tcPr>
            <w:tcW w:w="2367" w:type="dxa"/>
            <w:shd w:val="clear" w:color="auto" w:fill="B8CCE4" w:themeFill="accent1" w:themeFillTint="66"/>
          </w:tcPr>
          <w:p w14:paraId="381E6CCF"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p>
        </w:tc>
      </w:tr>
      <w:tr w:rsidR="00B1107F" w:rsidRPr="008048DD" w14:paraId="235069E2" w14:textId="77777777" w:rsidTr="003A6617">
        <w:trPr>
          <w:trHeight w:val="454"/>
          <w:jc w:val="right"/>
        </w:trPr>
        <w:tc>
          <w:tcPr>
            <w:tcW w:w="2830" w:type="dxa"/>
          </w:tcPr>
          <w:p w14:paraId="12DA4CCC"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C7. Indicador de procesos en relación con el artículo 5</w:t>
            </w:r>
          </w:p>
        </w:tc>
        <w:tc>
          <w:tcPr>
            <w:tcW w:w="5245" w:type="dxa"/>
          </w:tcPr>
          <w:p w14:paraId="5BC0DF57"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de Partes con exenciones en relación con procesos incluidos en la parte I del anexo B, que siguen siendo válidas</w:t>
            </w:r>
          </w:p>
        </w:tc>
        <w:tc>
          <w:tcPr>
            <w:tcW w:w="2508" w:type="dxa"/>
          </w:tcPr>
          <w:p w14:paraId="1144E40D"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Registro de exenciones</w:t>
            </w:r>
          </w:p>
        </w:tc>
        <w:tc>
          <w:tcPr>
            <w:tcW w:w="2367" w:type="dxa"/>
          </w:tcPr>
          <w:p w14:paraId="1AED793A" w14:textId="77777777" w:rsidR="00B1107F" w:rsidRPr="008048DD" w:rsidRDefault="00F1134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20BEA54C" w14:textId="77777777" w:rsidTr="003A6617">
        <w:trPr>
          <w:trHeight w:val="624"/>
          <w:jc w:val="right"/>
        </w:trPr>
        <w:tc>
          <w:tcPr>
            <w:tcW w:w="2830" w:type="dxa"/>
          </w:tcPr>
          <w:p w14:paraId="5EFAC556"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C8; Indicador de procesos en relación con el artículo 5</w:t>
            </w:r>
          </w:p>
        </w:tc>
        <w:tc>
          <w:tcPr>
            <w:tcW w:w="5245" w:type="dxa"/>
          </w:tcPr>
          <w:p w14:paraId="557163F6" w14:textId="77777777" w:rsidR="00B1107F" w:rsidRPr="008048DD" w:rsidRDefault="00B1107F" w:rsidP="00EE7D24">
            <w:pPr>
              <w:pBdr>
                <w:top w:val="nil"/>
                <w:left w:val="nil"/>
                <w:bottom w:val="nil"/>
                <w:right w:val="nil"/>
                <w:between w:val="nil"/>
                <w:bar w:val="nil"/>
              </w:pBdr>
              <w:tabs>
                <w:tab w:val="left" w:pos="1163"/>
              </w:tabs>
              <w:rPr>
                <w:rStyle w:val="dn"/>
                <w:sz w:val="18"/>
                <w:szCs w:val="18"/>
              </w:rPr>
            </w:pPr>
            <w:r w:rsidRPr="008048DD">
              <w:rPr>
                <w:sz w:val="18"/>
                <w:szCs w:val="18"/>
              </w:rPr>
              <w:t xml:space="preserve">Número de Partes que cuentan con medidas para impedir el uso de mercurio o compuestos de mercurio en los procesos de fabricación </w:t>
            </w:r>
            <w:r w:rsidR="00507230" w:rsidRPr="008048DD">
              <w:rPr>
                <w:sz w:val="18"/>
                <w:szCs w:val="18"/>
              </w:rPr>
              <w:t>incluidos</w:t>
            </w:r>
            <w:r w:rsidRPr="008048DD">
              <w:rPr>
                <w:sz w:val="18"/>
                <w:szCs w:val="18"/>
              </w:rPr>
              <w:t xml:space="preserve"> en la parte I del anexo B</w:t>
            </w:r>
          </w:p>
        </w:tc>
        <w:tc>
          <w:tcPr>
            <w:tcW w:w="2508" w:type="dxa"/>
          </w:tcPr>
          <w:p w14:paraId="7A14A789" w14:textId="711A59C9" w:rsidR="00B1107F" w:rsidRPr="008048DD" w:rsidRDefault="00B1107F" w:rsidP="00EE7D24">
            <w:pPr>
              <w:pBdr>
                <w:top w:val="nil"/>
                <w:left w:val="nil"/>
                <w:bottom w:val="nil"/>
                <w:right w:val="nil"/>
                <w:between w:val="nil"/>
                <w:bar w:val="nil"/>
              </w:pBdr>
              <w:tabs>
                <w:tab w:val="left" w:pos="1163"/>
              </w:tabs>
              <w:rPr>
                <w:rStyle w:val="dn"/>
                <w:sz w:val="18"/>
                <w:szCs w:val="18"/>
              </w:rPr>
            </w:pPr>
            <w:r w:rsidRPr="008048DD">
              <w:rPr>
                <w:sz w:val="18"/>
                <w:szCs w:val="18"/>
              </w:rPr>
              <w:t>- Presentación de informes con arreglo al artículo 21</w:t>
            </w:r>
          </w:p>
        </w:tc>
        <w:tc>
          <w:tcPr>
            <w:tcW w:w="2367" w:type="dxa"/>
          </w:tcPr>
          <w:p w14:paraId="056C2471" w14:textId="77777777" w:rsidR="00B1107F" w:rsidRPr="008048DD" w:rsidRDefault="00F1134F" w:rsidP="00EE7D24">
            <w:pPr>
              <w:pBdr>
                <w:top w:val="nil"/>
                <w:left w:val="nil"/>
                <w:bottom w:val="nil"/>
                <w:right w:val="nil"/>
                <w:between w:val="nil"/>
                <w:bar w:val="nil"/>
              </w:pBdr>
              <w:tabs>
                <w:tab w:val="left" w:pos="1163"/>
              </w:tabs>
              <w:rPr>
                <w:rStyle w:val="dn"/>
                <w:sz w:val="18"/>
                <w:szCs w:val="18"/>
              </w:rPr>
            </w:pPr>
            <w:r w:rsidRPr="008048DD">
              <w:rPr>
                <w:sz w:val="18"/>
                <w:szCs w:val="18"/>
              </w:rPr>
              <w:t>Número en la primera evaluación</w:t>
            </w:r>
          </w:p>
        </w:tc>
      </w:tr>
      <w:tr w:rsidR="00B1107F" w:rsidRPr="008048DD" w14:paraId="06D7F782" w14:textId="77777777" w:rsidTr="003A6617">
        <w:trPr>
          <w:trHeight w:val="624"/>
          <w:jc w:val="right"/>
        </w:trPr>
        <w:tc>
          <w:tcPr>
            <w:tcW w:w="2830" w:type="dxa"/>
          </w:tcPr>
          <w:p w14:paraId="4CD80876"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C9. Indicador de procesos en relación con el artículo 5</w:t>
            </w:r>
          </w:p>
        </w:tc>
        <w:tc>
          <w:tcPr>
            <w:tcW w:w="5245" w:type="dxa"/>
          </w:tcPr>
          <w:p w14:paraId="16C96505" w14:textId="77777777" w:rsidR="00B1107F" w:rsidRPr="008048DD" w:rsidRDefault="00F16695" w:rsidP="00EE7D24">
            <w:pPr>
              <w:pBdr>
                <w:top w:val="nil"/>
                <w:left w:val="nil"/>
                <w:bottom w:val="nil"/>
                <w:right w:val="nil"/>
                <w:between w:val="nil"/>
                <w:bar w:val="nil"/>
              </w:pBdr>
              <w:tabs>
                <w:tab w:val="left" w:pos="1163"/>
              </w:tabs>
              <w:rPr>
                <w:rFonts w:eastAsia="Roboto"/>
                <w:sz w:val="18"/>
                <w:szCs w:val="18"/>
              </w:rPr>
            </w:pPr>
            <w:r w:rsidRPr="008048DD">
              <w:rPr>
                <w:sz w:val="18"/>
                <w:szCs w:val="18"/>
              </w:rPr>
              <w:t>Proporción de Partes que tienen procesos sujetos al artículo 5, párr. 3, y que han adoptado todas las medidas necesarias en relación con los respectivos procesos incluidos en la parte II del anexo B</w:t>
            </w:r>
          </w:p>
        </w:tc>
        <w:tc>
          <w:tcPr>
            <w:tcW w:w="2508" w:type="dxa"/>
          </w:tcPr>
          <w:p w14:paraId="4735359A" w14:textId="7C4776D9" w:rsidR="00B1107F" w:rsidRPr="008048DD" w:rsidRDefault="00B1107F" w:rsidP="00EE7D24">
            <w:pPr>
              <w:pBdr>
                <w:top w:val="nil"/>
                <w:left w:val="nil"/>
                <w:bottom w:val="nil"/>
                <w:right w:val="nil"/>
                <w:between w:val="nil"/>
                <w:bar w:val="nil"/>
              </w:pBdr>
              <w:tabs>
                <w:tab w:val="left" w:pos="1163"/>
              </w:tabs>
              <w:rPr>
                <w:rFonts w:eastAsia="Roboto"/>
                <w:sz w:val="18"/>
                <w:szCs w:val="18"/>
              </w:rPr>
            </w:pPr>
            <w:r w:rsidRPr="008048DD">
              <w:rPr>
                <w:sz w:val="18"/>
                <w:szCs w:val="18"/>
              </w:rPr>
              <w:t>- Presentación de informes con arreglo al artículo 21</w:t>
            </w:r>
          </w:p>
        </w:tc>
        <w:tc>
          <w:tcPr>
            <w:tcW w:w="2367" w:type="dxa"/>
          </w:tcPr>
          <w:p w14:paraId="5F56250B" w14:textId="77777777" w:rsidR="00B1107F" w:rsidRPr="008048DD" w:rsidRDefault="00F1134F" w:rsidP="00EE7D24">
            <w:pPr>
              <w:pBdr>
                <w:top w:val="nil"/>
                <w:left w:val="nil"/>
                <w:bottom w:val="nil"/>
                <w:right w:val="nil"/>
                <w:between w:val="nil"/>
                <w:bar w:val="nil"/>
              </w:pBdr>
              <w:tabs>
                <w:tab w:val="left" w:pos="1163"/>
              </w:tabs>
              <w:rPr>
                <w:rFonts w:eastAsia="Roboto"/>
                <w:sz w:val="18"/>
                <w:szCs w:val="18"/>
              </w:rPr>
            </w:pPr>
            <w:r w:rsidRPr="008048DD">
              <w:rPr>
                <w:sz w:val="18"/>
                <w:szCs w:val="18"/>
              </w:rPr>
              <w:t>Porcentaje en la primera evaluación</w:t>
            </w:r>
          </w:p>
        </w:tc>
      </w:tr>
      <w:tr w:rsidR="00B1107F" w:rsidRPr="008048DD" w14:paraId="7B2455CB" w14:textId="77777777" w:rsidTr="003A6617">
        <w:trPr>
          <w:trHeight w:val="57"/>
          <w:jc w:val="right"/>
        </w:trPr>
        <w:tc>
          <w:tcPr>
            <w:tcW w:w="2830" w:type="dxa"/>
            <w:shd w:val="clear" w:color="auto" w:fill="B8CCE4" w:themeFill="accent1" w:themeFillTint="66"/>
          </w:tcPr>
          <w:p w14:paraId="263EE7E8" w14:textId="77777777" w:rsidR="00B1107F" w:rsidRPr="008048DD" w:rsidRDefault="00B1107F" w:rsidP="00EE7D24">
            <w:pPr>
              <w:pBdr>
                <w:top w:val="nil"/>
                <w:left w:val="nil"/>
                <w:bottom w:val="nil"/>
                <w:right w:val="nil"/>
                <w:between w:val="nil"/>
                <w:bar w:val="nil"/>
              </w:pBdr>
              <w:tabs>
                <w:tab w:val="left" w:pos="1163"/>
              </w:tabs>
              <w:rPr>
                <w:b/>
                <w:sz w:val="18"/>
                <w:szCs w:val="18"/>
              </w:rPr>
            </w:pPr>
            <w:r w:rsidRPr="008048DD">
              <w:rPr>
                <w:b/>
                <w:bCs/>
                <w:sz w:val="18"/>
                <w:szCs w:val="18"/>
              </w:rPr>
              <w:t>Artículo 7</w:t>
            </w:r>
          </w:p>
        </w:tc>
        <w:tc>
          <w:tcPr>
            <w:tcW w:w="5245" w:type="dxa"/>
            <w:shd w:val="clear" w:color="auto" w:fill="B8CCE4" w:themeFill="accent1" w:themeFillTint="66"/>
          </w:tcPr>
          <w:p w14:paraId="5653732A"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p>
        </w:tc>
        <w:tc>
          <w:tcPr>
            <w:tcW w:w="2508" w:type="dxa"/>
            <w:shd w:val="clear" w:color="auto" w:fill="B8CCE4" w:themeFill="accent1" w:themeFillTint="66"/>
          </w:tcPr>
          <w:p w14:paraId="5A7601D3"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p>
        </w:tc>
        <w:tc>
          <w:tcPr>
            <w:tcW w:w="2367" w:type="dxa"/>
            <w:shd w:val="clear" w:color="auto" w:fill="B8CCE4" w:themeFill="accent1" w:themeFillTint="66"/>
          </w:tcPr>
          <w:p w14:paraId="7C30E73F"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p>
        </w:tc>
      </w:tr>
      <w:tr w:rsidR="00B1107F" w:rsidRPr="008048DD" w14:paraId="25906D27" w14:textId="77777777" w:rsidTr="003A6617">
        <w:trPr>
          <w:trHeight w:val="850"/>
          <w:jc w:val="right"/>
        </w:trPr>
        <w:tc>
          <w:tcPr>
            <w:tcW w:w="2830" w:type="dxa"/>
          </w:tcPr>
          <w:p w14:paraId="3BFC3AF7"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C10. Indicador de resultados para el artículo 7</w:t>
            </w:r>
          </w:p>
        </w:tc>
        <w:tc>
          <w:tcPr>
            <w:tcW w:w="5245" w:type="dxa"/>
          </w:tcPr>
          <w:p w14:paraId="566EF710"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xml:space="preserve">Cantidad total de mercurio usado en la extracción de oro artesanal y en pequeña escala en todo el mundo, en toneladas por año </w:t>
            </w:r>
          </w:p>
          <w:p w14:paraId="7A08F8C6"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p>
        </w:tc>
        <w:tc>
          <w:tcPr>
            <w:tcW w:w="2508" w:type="dxa"/>
          </w:tcPr>
          <w:p w14:paraId="453CCD93" w14:textId="37E27E93"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p w14:paraId="48A74DCE"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Planes de acción nacionales sobre extracción de oro artesanal</w:t>
            </w:r>
            <w:r w:rsidR="00B3310A" w:rsidRPr="008048DD">
              <w:rPr>
                <w:sz w:val="18"/>
                <w:szCs w:val="18"/>
              </w:rPr>
              <w:t xml:space="preserve"> </w:t>
            </w:r>
            <w:r w:rsidRPr="008048DD">
              <w:rPr>
                <w:sz w:val="18"/>
                <w:szCs w:val="18"/>
              </w:rPr>
              <w:t>en pequeña escala</w:t>
            </w:r>
            <w:r w:rsidR="00B3310A" w:rsidRPr="008048DD">
              <w:rPr>
                <w:sz w:val="18"/>
                <w:szCs w:val="18"/>
              </w:rPr>
              <w:t xml:space="preserve"> </w:t>
            </w:r>
            <w:r w:rsidRPr="008048DD">
              <w:rPr>
                <w:sz w:val="18"/>
                <w:szCs w:val="18"/>
              </w:rPr>
              <w:t>y su examen</w:t>
            </w:r>
          </w:p>
          <w:p w14:paraId="5560A3AA" w14:textId="5460A09C" w:rsidR="00B1107F" w:rsidRPr="008048DD" w:rsidRDefault="00A60032"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xml:space="preserve">- </w:t>
            </w:r>
            <w:r w:rsidR="00B1107F" w:rsidRPr="008048DD">
              <w:rPr>
                <w:sz w:val="18"/>
                <w:szCs w:val="18"/>
              </w:rPr>
              <w:t>Notificaciones</w:t>
            </w:r>
          </w:p>
        </w:tc>
        <w:tc>
          <w:tcPr>
            <w:tcW w:w="2367" w:type="dxa"/>
          </w:tcPr>
          <w:p w14:paraId="777383B3" w14:textId="77777777" w:rsidR="00B1107F" w:rsidRPr="008048DD" w:rsidRDefault="00F1134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Cantidad en la primera evaluación</w:t>
            </w:r>
          </w:p>
        </w:tc>
      </w:tr>
      <w:tr w:rsidR="00B1107F" w:rsidRPr="008048DD" w14:paraId="760181B6" w14:textId="77777777" w:rsidTr="003A6617">
        <w:trPr>
          <w:trHeight w:val="454"/>
          <w:jc w:val="right"/>
        </w:trPr>
        <w:tc>
          <w:tcPr>
            <w:tcW w:w="2830" w:type="dxa"/>
          </w:tcPr>
          <w:p w14:paraId="30B84636"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C11. Indicador de procesos en relación con el artículo 7</w:t>
            </w:r>
          </w:p>
        </w:tc>
        <w:tc>
          <w:tcPr>
            <w:tcW w:w="5245" w:type="dxa"/>
          </w:tcPr>
          <w:p w14:paraId="286A65AD" w14:textId="77777777" w:rsidR="00B1107F" w:rsidRPr="008048DD" w:rsidRDefault="00F16695" w:rsidP="00EE7D24">
            <w:pPr>
              <w:pBdr>
                <w:top w:val="nil"/>
                <w:left w:val="nil"/>
                <w:bottom w:val="nil"/>
                <w:right w:val="nil"/>
                <w:between w:val="nil"/>
                <w:bar w:val="nil"/>
              </w:pBdr>
              <w:tabs>
                <w:tab w:val="left" w:pos="1163"/>
              </w:tabs>
              <w:rPr>
                <w:rFonts w:eastAsia="Roboto"/>
                <w:sz w:val="18"/>
                <w:szCs w:val="18"/>
              </w:rPr>
            </w:pPr>
            <w:r w:rsidRPr="008048DD">
              <w:rPr>
                <w:sz w:val="18"/>
                <w:szCs w:val="18"/>
              </w:rPr>
              <w:t>Proporción de Partes que declaran una extracción de oro artesanal y en pequeña escala poco más que insignificante y que hayan presentado un plan de acción nacional</w:t>
            </w:r>
          </w:p>
        </w:tc>
        <w:tc>
          <w:tcPr>
            <w:tcW w:w="2508" w:type="dxa"/>
          </w:tcPr>
          <w:p w14:paraId="14CB7272" w14:textId="2C83D828" w:rsidR="00B1107F" w:rsidRPr="008048DD" w:rsidRDefault="00A60032"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xml:space="preserve">- </w:t>
            </w:r>
            <w:r w:rsidR="00B1107F" w:rsidRPr="008048DD">
              <w:rPr>
                <w:sz w:val="18"/>
                <w:szCs w:val="18"/>
              </w:rPr>
              <w:t>Notificaciones</w:t>
            </w:r>
          </w:p>
        </w:tc>
        <w:tc>
          <w:tcPr>
            <w:tcW w:w="2367" w:type="dxa"/>
          </w:tcPr>
          <w:p w14:paraId="5BF235A9" w14:textId="77777777" w:rsidR="00B1107F" w:rsidRPr="008048DD" w:rsidRDefault="00F1134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Porcentaje en la primera evaluación</w:t>
            </w:r>
          </w:p>
        </w:tc>
      </w:tr>
      <w:tr w:rsidR="00B1107F" w:rsidRPr="008048DD" w14:paraId="5B9536C8" w14:textId="77777777" w:rsidTr="003A6617">
        <w:trPr>
          <w:trHeight w:val="454"/>
          <w:jc w:val="right"/>
        </w:trPr>
        <w:tc>
          <w:tcPr>
            <w:tcW w:w="2830" w:type="dxa"/>
          </w:tcPr>
          <w:p w14:paraId="32DA23D8"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C12. Indicador de procesos en relación con el artículo 7</w:t>
            </w:r>
          </w:p>
        </w:tc>
        <w:tc>
          <w:tcPr>
            <w:tcW w:w="5245" w:type="dxa"/>
          </w:tcPr>
          <w:p w14:paraId="759DF1B4" w14:textId="77777777" w:rsidR="00B1107F" w:rsidRPr="008048DD" w:rsidRDefault="00F16695" w:rsidP="00EE7D24">
            <w:pPr>
              <w:pBdr>
                <w:top w:val="nil"/>
                <w:left w:val="nil"/>
                <w:bottom w:val="nil"/>
                <w:right w:val="nil"/>
                <w:between w:val="nil"/>
                <w:bar w:val="nil"/>
              </w:pBdr>
              <w:tabs>
                <w:tab w:val="left" w:pos="1163"/>
              </w:tabs>
              <w:rPr>
                <w:rFonts w:eastAsia="Roboto"/>
                <w:sz w:val="18"/>
                <w:szCs w:val="18"/>
              </w:rPr>
            </w:pPr>
            <w:r w:rsidRPr="008048DD">
              <w:rPr>
                <w:sz w:val="18"/>
                <w:szCs w:val="18"/>
              </w:rPr>
              <w:t>Proporción de Partes que han presentado un plan de acción nacional y lo han examinado</w:t>
            </w:r>
          </w:p>
          <w:p w14:paraId="474E773C"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p>
        </w:tc>
        <w:tc>
          <w:tcPr>
            <w:tcW w:w="2508" w:type="dxa"/>
          </w:tcPr>
          <w:p w14:paraId="2841018E" w14:textId="77777777" w:rsidR="00B1107F" w:rsidRPr="008048DD" w:rsidRDefault="00B1107F" w:rsidP="00EE7D24">
            <w:pPr>
              <w:pBdr>
                <w:top w:val="nil"/>
                <w:left w:val="nil"/>
                <w:bottom w:val="nil"/>
                <w:right w:val="nil"/>
                <w:between w:val="nil"/>
                <w:bar w:val="nil"/>
              </w:pBdr>
              <w:tabs>
                <w:tab w:val="left" w:pos="1163"/>
              </w:tabs>
              <w:rPr>
                <w:rStyle w:val="dn"/>
                <w:sz w:val="18"/>
                <w:szCs w:val="18"/>
              </w:rPr>
            </w:pPr>
            <w:r w:rsidRPr="008048DD">
              <w:rPr>
                <w:sz w:val="18"/>
                <w:szCs w:val="18"/>
              </w:rPr>
              <w:t>- Exámenes previstos en el artículo 7</w:t>
            </w:r>
          </w:p>
        </w:tc>
        <w:tc>
          <w:tcPr>
            <w:tcW w:w="2367" w:type="dxa"/>
          </w:tcPr>
          <w:p w14:paraId="60E5665F" w14:textId="77777777" w:rsidR="00B1107F" w:rsidRPr="008048DD" w:rsidRDefault="00F1134F" w:rsidP="00EE7D24">
            <w:pPr>
              <w:pBdr>
                <w:top w:val="nil"/>
                <w:left w:val="nil"/>
                <w:bottom w:val="nil"/>
                <w:right w:val="nil"/>
                <w:between w:val="nil"/>
                <w:bar w:val="nil"/>
              </w:pBdr>
              <w:tabs>
                <w:tab w:val="left" w:pos="1163"/>
              </w:tabs>
              <w:rPr>
                <w:rStyle w:val="dn"/>
                <w:sz w:val="18"/>
                <w:szCs w:val="18"/>
              </w:rPr>
            </w:pPr>
            <w:r w:rsidRPr="008048DD">
              <w:rPr>
                <w:sz w:val="18"/>
                <w:szCs w:val="18"/>
              </w:rPr>
              <w:t>Porcentaje en la primera evaluación</w:t>
            </w:r>
          </w:p>
        </w:tc>
      </w:tr>
      <w:tr w:rsidR="00B1107F" w:rsidRPr="008048DD" w14:paraId="7E00533C" w14:textId="77777777" w:rsidTr="003A6617">
        <w:trPr>
          <w:trHeight w:val="227"/>
          <w:jc w:val="right"/>
        </w:trPr>
        <w:tc>
          <w:tcPr>
            <w:tcW w:w="2830" w:type="dxa"/>
            <w:shd w:val="clear" w:color="auto" w:fill="B8CCE4" w:themeFill="accent1" w:themeFillTint="66"/>
          </w:tcPr>
          <w:p w14:paraId="0663828F" w14:textId="77777777" w:rsidR="00B1107F" w:rsidRPr="008048DD" w:rsidRDefault="00B1107F" w:rsidP="00EE7D24">
            <w:pPr>
              <w:rPr>
                <w:sz w:val="18"/>
                <w:szCs w:val="18"/>
              </w:rPr>
            </w:pPr>
            <w:r w:rsidRPr="008048DD">
              <w:rPr>
                <w:b/>
                <w:bCs/>
                <w:sz w:val="18"/>
                <w:szCs w:val="18"/>
              </w:rPr>
              <w:t>Notas</w:t>
            </w:r>
          </w:p>
        </w:tc>
        <w:tc>
          <w:tcPr>
            <w:tcW w:w="10120" w:type="dxa"/>
            <w:gridSpan w:val="3"/>
          </w:tcPr>
          <w:p w14:paraId="32944AA4" w14:textId="77777777" w:rsidR="00B1107F" w:rsidRPr="008048DD" w:rsidRDefault="00B1107F" w:rsidP="00A00B9F">
            <w:pPr>
              <w:pStyle w:val="ListParagraph"/>
              <w:numPr>
                <w:ilvl w:val="0"/>
                <w:numId w:val="21"/>
              </w:numPr>
              <w:pBdr>
                <w:top w:val="nil"/>
                <w:left w:val="nil"/>
                <w:bottom w:val="nil"/>
                <w:right w:val="nil"/>
                <w:between w:val="nil"/>
                <w:bar w:val="nil"/>
              </w:pBdr>
              <w:tabs>
                <w:tab w:val="clear" w:pos="1247"/>
              </w:tabs>
              <w:rPr>
                <w:sz w:val="18"/>
                <w:szCs w:val="18"/>
              </w:rPr>
            </w:pPr>
            <w:r w:rsidRPr="008048DD">
              <w:rPr>
                <w:sz w:val="18"/>
                <w:szCs w:val="18"/>
              </w:rPr>
              <w:t>Tal vez no sea fácil obtener algunos datos sobre los productos.</w:t>
            </w:r>
          </w:p>
        </w:tc>
      </w:tr>
    </w:tbl>
    <w:p w14:paraId="6D8626F2" w14:textId="77777777" w:rsidR="00B1107F" w:rsidRPr="008048DD" w:rsidRDefault="00B1107F" w:rsidP="00B1107F">
      <w:pPr>
        <w:rPr>
          <w:sz w:val="18"/>
          <w:szCs w:val="18"/>
        </w:rPr>
      </w:pPr>
    </w:p>
    <w:tbl>
      <w:tblPr>
        <w:tblStyle w:val="TableGrid"/>
        <w:tblW w:w="5000" w:type="pct"/>
        <w:jc w:val="right"/>
        <w:tblLayout w:type="fixed"/>
        <w:tblLook w:val="04A0" w:firstRow="1" w:lastRow="0" w:firstColumn="1" w:lastColumn="0" w:noHBand="0" w:noVBand="1"/>
      </w:tblPr>
      <w:tblGrid>
        <w:gridCol w:w="3152"/>
        <w:gridCol w:w="5840"/>
        <w:gridCol w:w="2788"/>
        <w:gridCol w:w="2640"/>
      </w:tblGrid>
      <w:tr w:rsidR="00B1107F" w:rsidRPr="008048DD" w14:paraId="50082925" w14:textId="77777777" w:rsidTr="003A6617">
        <w:trPr>
          <w:trHeight w:val="454"/>
          <w:jc w:val="right"/>
        </w:trPr>
        <w:tc>
          <w:tcPr>
            <w:tcW w:w="8075" w:type="dxa"/>
            <w:gridSpan w:val="2"/>
            <w:shd w:val="clear" w:color="auto" w:fill="B8CCE4" w:themeFill="accent1" w:themeFillTint="66"/>
          </w:tcPr>
          <w:p w14:paraId="2BA23AFA" w14:textId="614280B3" w:rsidR="00B1107F" w:rsidRPr="007B20DF" w:rsidRDefault="00B1107F" w:rsidP="007B20DF">
            <w:pPr>
              <w:rPr>
                <w:b/>
                <w:bCs/>
                <w:sz w:val="18"/>
                <w:szCs w:val="18"/>
              </w:rPr>
            </w:pPr>
            <w:r w:rsidRPr="007B20DF">
              <w:rPr>
                <w:b/>
                <w:bCs/>
                <w:sz w:val="18"/>
                <w:szCs w:val="18"/>
              </w:rPr>
              <w:t xml:space="preserve">D: Grupo temático sobre presión </w:t>
            </w:r>
            <w:r w:rsidR="00B83939" w:rsidRPr="007B20DF">
              <w:rPr>
                <w:b/>
                <w:bCs/>
                <w:sz w:val="18"/>
                <w:szCs w:val="18"/>
              </w:rPr>
              <w:br/>
            </w:r>
            <w:r w:rsidR="00851861" w:rsidRPr="007B20DF">
              <w:rPr>
                <w:b/>
                <w:bCs/>
                <w:sz w:val="18"/>
                <w:szCs w:val="18"/>
              </w:rPr>
              <w:t xml:space="preserve">Artículo 8 (emisiones); artículo 9 (liberaciones); artículo 12 (sitios contaminados) </w:t>
            </w:r>
          </w:p>
        </w:tc>
        <w:tc>
          <w:tcPr>
            <w:tcW w:w="2504" w:type="dxa"/>
            <w:shd w:val="clear" w:color="auto" w:fill="B8CCE4" w:themeFill="accent1" w:themeFillTint="66"/>
          </w:tcPr>
          <w:p w14:paraId="09BD63A3" w14:textId="77777777" w:rsidR="00B1107F" w:rsidRPr="007B20DF" w:rsidRDefault="00B1107F" w:rsidP="007B20DF">
            <w:pPr>
              <w:rPr>
                <w:b/>
                <w:bCs/>
                <w:sz w:val="18"/>
                <w:szCs w:val="18"/>
              </w:rPr>
            </w:pPr>
            <w:r w:rsidRPr="007B20DF">
              <w:rPr>
                <w:b/>
                <w:bCs/>
                <w:sz w:val="18"/>
                <w:szCs w:val="18"/>
              </w:rPr>
              <w:t>Fuente de información sobre el indicador</w:t>
            </w:r>
          </w:p>
        </w:tc>
        <w:tc>
          <w:tcPr>
            <w:tcW w:w="2371" w:type="dxa"/>
            <w:shd w:val="clear" w:color="auto" w:fill="B8CCE4" w:themeFill="accent1" w:themeFillTint="66"/>
          </w:tcPr>
          <w:p w14:paraId="41A41D63" w14:textId="77777777" w:rsidR="00B1107F" w:rsidRPr="007B20DF" w:rsidRDefault="00B1107F" w:rsidP="007B20DF">
            <w:pPr>
              <w:rPr>
                <w:b/>
                <w:bCs/>
                <w:sz w:val="18"/>
                <w:szCs w:val="18"/>
              </w:rPr>
            </w:pPr>
            <w:r w:rsidRPr="007B20DF">
              <w:rPr>
                <w:b/>
                <w:bCs/>
                <w:sz w:val="18"/>
                <w:szCs w:val="18"/>
              </w:rPr>
              <w:t>Parámetro de referencia del indicador</w:t>
            </w:r>
          </w:p>
        </w:tc>
      </w:tr>
      <w:tr w:rsidR="00B1107F" w:rsidRPr="008048DD" w14:paraId="11583B61" w14:textId="77777777" w:rsidTr="003A6617">
        <w:trPr>
          <w:trHeight w:val="454"/>
          <w:jc w:val="right"/>
        </w:trPr>
        <w:tc>
          <w:tcPr>
            <w:tcW w:w="2830" w:type="dxa"/>
          </w:tcPr>
          <w:p w14:paraId="641F4389" w14:textId="77777777" w:rsidR="00B1107F" w:rsidRPr="008048DD" w:rsidRDefault="00B1107F" w:rsidP="00EE7D24">
            <w:pPr>
              <w:rPr>
                <w:bCs/>
                <w:sz w:val="18"/>
                <w:szCs w:val="18"/>
              </w:rPr>
            </w:pPr>
            <w:r w:rsidRPr="008048DD">
              <w:rPr>
                <w:sz w:val="18"/>
                <w:szCs w:val="18"/>
              </w:rPr>
              <w:t>D1. Indicador general de procesos para los artículos 8, 9 y 12</w:t>
            </w:r>
          </w:p>
        </w:tc>
        <w:tc>
          <w:tcPr>
            <w:tcW w:w="5245" w:type="dxa"/>
          </w:tcPr>
          <w:p w14:paraId="1B33CD3F" w14:textId="2A53FD97" w:rsidR="00B1107F" w:rsidRPr="008048DD" w:rsidRDefault="00B1107F" w:rsidP="00E310BF">
            <w:pPr>
              <w:pBdr>
                <w:top w:val="nil"/>
                <w:left w:val="nil"/>
                <w:bottom w:val="nil"/>
                <w:right w:val="nil"/>
                <w:between w:val="nil"/>
                <w:bar w:val="nil"/>
              </w:pBdr>
              <w:rPr>
                <w:sz w:val="18"/>
                <w:szCs w:val="18"/>
              </w:rPr>
            </w:pPr>
            <w:r w:rsidRPr="008048DD">
              <w:rPr>
                <w:sz w:val="18"/>
                <w:szCs w:val="18"/>
              </w:rPr>
              <w:t>Porcentaje de Partes que han aplicado disposiciones fundamentales en relación con este grupo</w:t>
            </w:r>
          </w:p>
        </w:tc>
        <w:tc>
          <w:tcPr>
            <w:tcW w:w="2504" w:type="dxa"/>
          </w:tcPr>
          <w:p w14:paraId="4D373445" w14:textId="3B6C27A2" w:rsidR="00B1107F" w:rsidRPr="008048DD" w:rsidRDefault="00B1107F" w:rsidP="00E310BF">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tc>
        <w:tc>
          <w:tcPr>
            <w:tcW w:w="2371" w:type="dxa"/>
          </w:tcPr>
          <w:p w14:paraId="59DD1414" w14:textId="77777777" w:rsidR="00B1107F" w:rsidRPr="008048DD" w:rsidRDefault="00F1134F" w:rsidP="00EE7D24">
            <w:pPr>
              <w:pBdr>
                <w:top w:val="nil"/>
                <w:left w:val="nil"/>
                <w:bottom w:val="nil"/>
                <w:right w:val="nil"/>
                <w:between w:val="nil"/>
                <w:bar w:val="nil"/>
              </w:pBdr>
              <w:rPr>
                <w:rStyle w:val="dn"/>
                <w:rFonts w:eastAsia="Roboto"/>
                <w:sz w:val="18"/>
                <w:szCs w:val="18"/>
              </w:rPr>
            </w:pPr>
            <w:r w:rsidRPr="008048DD">
              <w:rPr>
                <w:sz w:val="18"/>
                <w:szCs w:val="18"/>
              </w:rPr>
              <w:t>Porcentaje en la primera evaluación</w:t>
            </w:r>
          </w:p>
        </w:tc>
      </w:tr>
      <w:tr w:rsidR="00B1107F" w:rsidRPr="008048DD" w14:paraId="45019973" w14:textId="77777777" w:rsidTr="003A6617">
        <w:trPr>
          <w:trHeight w:val="1077"/>
          <w:jc w:val="right"/>
        </w:trPr>
        <w:tc>
          <w:tcPr>
            <w:tcW w:w="2830" w:type="dxa"/>
          </w:tcPr>
          <w:p w14:paraId="00EAB23D" w14:textId="77777777" w:rsidR="00B1107F" w:rsidRPr="008048DD" w:rsidRDefault="00B1107F" w:rsidP="00EE7D24">
            <w:pPr>
              <w:rPr>
                <w:bCs/>
                <w:sz w:val="18"/>
                <w:szCs w:val="18"/>
              </w:rPr>
            </w:pPr>
            <w:r w:rsidRPr="008048DD">
              <w:rPr>
                <w:sz w:val="18"/>
                <w:szCs w:val="18"/>
              </w:rPr>
              <w:t>D2. Indicador intersectorial de resultados para los artículos 8, 9 y 12</w:t>
            </w:r>
          </w:p>
        </w:tc>
        <w:tc>
          <w:tcPr>
            <w:tcW w:w="5245" w:type="dxa"/>
          </w:tcPr>
          <w:p w14:paraId="46C471E7" w14:textId="77777777" w:rsidR="00B1107F" w:rsidRPr="008048DD" w:rsidRDefault="00B1107F" w:rsidP="00EE7D24">
            <w:pPr>
              <w:rPr>
                <w:sz w:val="18"/>
                <w:szCs w:val="18"/>
              </w:rPr>
            </w:pPr>
            <w:r w:rsidRPr="008048DD">
              <w:rPr>
                <w:sz w:val="18"/>
                <w:szCs w:val="18"/>
              </w:rPr>
              <w:t xml:space="preserve">Cantidad total de mercurio en emisiones y liberaciones </w:t>
            </w:r>
          </w:p>
        </w:tc>
        <w:tc>
          <w:tcPr>
            <w:tcW w:w="2504" w:type="dxa"/>
          </w:tcPr>
          <w:p w14:paraId="7952770B" w14:textId="646C1A8D" w:rsidR="00B1107F" w:rsidRPr="008048DD" w:rsidRDefault="00B1107F" w:rsidP="00EE7D24">
            <w:pPr>
              <w:rPr>
                <w:rStyle w:val="dn"/>
                <w:rFonts w:eastAsia="Roboto"/>
                <w:sz w:val="18"/>
                <w:szCs w:val="18"/>
              </w:rPr>
            </w:pPr>
            <w:r w:rsidRPr="008048DD">
              <w:rPr>
                <w:sz w:val="18"/>
                <w:szCs w:val="18"/>
              </w:rPr>
              <w:t>- Evaluación Mundial del Mercurio 2018</w:t>
            </w:r>
          </w:p>
          <w:p w14:paraId="6BADDB47" w14:textId="77777777" w:rsidR="00B1107F" w:rsidRPr="008048DD" w:rsidRDefault="00B1107F" w:rsidP="00EE7D24">
            <w:pPr>
              <w:rPr>
                <w:rStyle w:val="dn"/>
                <w:rFonts w:eastAsia="Roboto"/>
                <w:sz w:val="18"/>
                <w:szCs w:val="18"/>
              </w:rPr>
            </w:pPr>
            <w:r w:rsidRPr="008048DD">
              <w:rPr>
                <w:sz w:val="18"/>
                <w:szCs w:val="18"/>
              </w:rPr>
              <w:t>- Inventarios</w:t>
            </w:r>
          </w:p>
          <w:p w14:paraId="07C21D6B" w14:textId="1F4E75AA" w:rsidR="00B1107F" w:rsidRPr="008048DD" w:rsidRDefault="00E310BF" w:rsidP="00EE7D24">
            <w:pPr>
              <w:rPr>
                <w:rStyle w:val="dn"/>
                <w:rFonts w:eastAsia="Roboto"/>
                <w:sz w:val="18"/>
                <w:szCs w:val="18"/>
              </w:rPr>
            </w:pPr>
            <w:r w:rsidRPr="008048DD">
              <w:rPr>
                <w:sz w:val="18"/>
                <w:szCs w:val="18"/>
              </w:rPr>
              <w:t xml:space="preserve">- </w:t>
            </w:r>
            <w:r w:rsidR="00B1107F" w:rsidRPr="008048DD">
              <w:rPr>
                <w:sz w:val="18"/>
                <w:szCs w:val="18"/>
              </w:rPr>
              <w:t>Evaluaciones iniciales del Convenio de Minamata</w:t>
            </w:r>
          </w:p>
        </w:tc>
        <w:tc>
          <w:tcPr>
            <w:tcW w:w="2371" w:type="dxa"/>
          </w:tcPr>
          <w:p w14:paraId="3CEF57A1" w14:textId="77777777" w:rsidR="00B1107F" w:rsidRPr="008048DD" w:rsidRDefault="00F1134F" w:rsidP="00EE7D24">
            <w:pPr>
              <w:rPr>
                <w:rStyle w:val="dn"/>
                <w:rFonts w:eastAsia="Roboto"/>
                <w:sz w:val="18"/>
                <w:szCs w:val="18"/>
              </w:rPr>
            </w:pPr>
            <w:r w:rsidRPr="008048DD">
              <w:rPr>
                <w:sz w:val="18"/>
                <w:szCs w:val="18"/>
              </w:rPr>
              <w:t>Cantidad en la primera evaluación</w:t>
            </w:r>
          </w:p>
        </w:tc>
      </w:tr>
      <w:tr w:rsidR="00B1107F" w:rsidRPr="008048DD" w14:paraId="6E1E8FD0" w14:textId="77777777" w:rsidTr="003A6617">
        <w:trPr>
          <w:trHeight w:val="227"/>
          <w:jc w:val="right"/>
        </w:trPr>
        <w:tc>
          <w:tcPr>
            <w:tcW w:w="12950" w:type="dxa"/>
            <w:gridSpan w:val="4"/>
            <w:shd w:val="clear" w:color="auto" w:fill="B8CCE4" w:themeFill="accent1" w:themeFillTint="66"/>
          </w:tcPr>
          <w:p w14:paraId="6968A213" w14:textId="48763BB3" w:rsidR="00B1107F" w:rsidRPr="008048DD" w:rsidRDefault="00B1107F" w:rsidP="00EE7D24">
            <w:pPr>
              <w:tabs>
                <w:tab w:val="clear" w:pos="1247"/>
                <w:tab w:val="left" w:pos="1248"/>
                <w:tab w:val="left" w:pos="1872"/>
              </w:tabs>
              <w:rPr>
                <w:sz w:val="18"/>
                <w:szCs w:val="18"/>
              </w:rPr>
            </w:pPr>
            <w:r w:rsidRPr="008048DD">
              <w:rPr>
                <w:b/>
                <w:bCs/>
                <w:sz w:val="18"/>
                <w:szCs w:val="18"/>
              </w:rPr>
              <w:t>Artículo 8</w:t>
            </w:r>
            <w:r w:rsidRPr="008048DD">
              <w:rPr>
                <w:sz w:val="18"/>
                <w:szCs w:val="18"/>
              </w:rPr>
              <w:t xml:space="preserve"> (Los indicadores para el artículo 8 deben leerse junto con los indicadores de vigilancia pertinentes en el cuadro 4)</w:t>
            </w:r>
            <w:r w:rsidR="00E310BF" w:rsidRPr="008048DD">
              <w:rPr>
                <w:sz w:val="18"/>
                <w:szCs w:val="18"/>
              </w:rPr>
              <w:t>.</w:t>
            </w:r>
          </w:p>
        </w:tc>
      </w:tr>
      <w:tr w:rsidR="00B1107F" w:rsidRPr="008048DD" w14:paraId="02D2C482" w14:textId="77777777" w:rsidTr="003A6617">
        <w:trPr>
          <w:trHeight w:val="454"/>
          <w:jc w:val="right"/>
        </w:trPr>
        <w:tc>
          <w:tcPr>
            <w:tcW w:w="2830" w:type="dxa"/>
          </w:tcPr>
          <w:p w14:paraId="25800165" w14:textId="77777777" w:rsidR="00B1107F" w:rsidRPr="008048DD" w:rsidRDefault="00B1107F" w:rsidP="00EE7D24">
            <w:pPr>
              <w:rPr>
                <w:sz w:val="18"/>
                <w:szCs w:val="18"/>
              </w:rPr>
            </w:pPr>
            <w:r w:rsidRPr="008048DD">
              <w:rPr>
                <w:sz w:val="18"/>
                <w:szCs w:val="18"/>
              </w:rPr>
              <w:t>D3. Indicador de resultados para el artículo 8</w:t>
            </w:r>
          </w:p>
        </w:tc>
        <w:tc>
          <w:tcPr>
            <w:tcW w:w="5245" w:type="dxa"/>
          </w:tcPr>
          <w:p w14:paraId="3AC249A5" w14:textId="77777777" w:rsidR="00B1107F" w:rsidRPr="008048DD" w:rsidRDefault="00B1107F" w:rsidP="00F256E3">
            <w:pPr>
              <w:pBdr>
                <w:top w:val="nil"/>
                <w:left w:val="nil"/>
                <w:bottom w:val="nil"/>
                <w:right w:val="nil"/>
                <w:between w:val="nil"/>
                <w:bar w:val="nil"/>
              </w:pBdr>
              <w:rPr>
                <w:sz w:val="18"/>
                <w:szCs w:val="18"/>
              </w:rPr>
            </w:pPr>
            <w:r w:rsidRPr="008048DD">
              <w:rPr>
                <w:sz w:val="18"/>
                <w:szCs w:val="18"/>
              </w:rPr>
              <w:t xml:space="preserve">Cantidad total de mercurio en emisiones por cada categoría de fuente puntual del anexo D </w:t>
            </w:r>
          </w:p>
        </w:tc>
        <w:tc>
          <w:tcPr>
            <w:tcW w:w="2504" w:type="dxa"/>
          </w:tcPr>
          <w:p w14:paraId="4A90237F" w14:textId="78C6595C"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p w14:paraId="16AE8FD6" w14:textId="77777777" w:rsidR="00B1107F" w:rsidRPr="008048DD" w:rsidRDefault="00C6566F" w:rsidP="00C6566F">
            <w:pPr>
              <w:pBdr>
                <w:top w:val="nil"/>
                <w:left w:val="nil"/>
                <w:bottom w:val="nil"/>
                <w:right w:val="nil"/>
                <w:between w:val="nil"/>
                <w:bar w:val="nil"/>
              </w:pBdr>
              <w:tabs>
                <w:tab w:val="left" w:pos="1163"/>
              </w:tabs>
              <w:rPr>
                <w:rStyle w:val="dn"/>
                <w:rFonts w:eastAsia="Roboto"/>
                <w:sz w:val="18"/>
                <w:szCs w:val="18"/>
              </w:rPr>
            </w:pPr>
            <w:r w:rsidRPr="008048DD">
              <w:rPr>
                <w:sz w:val="18"/>
                <w:szCs w:val="18"/>
              </w:rPr>
              <w:t>- Inventarios</w:t>
            </w:r>
          </w:p>
        </w:tc>
        <w:tc>
          <w:tcPr>
            <w:tcW w:w="2371" w:type="dxa"/>
          </w:tcPr>
          <w:p w14:paraId="41D0D045" w14:textId="77777777" w:rsidR="00B1107F" w:rsidRPr="008048DD" w:rsidRDefault="006C5116" w:rsidP="00EE7D24">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177073BB" w14:textId="77777777" w:rsidTr="003A6617">
        <w:trPr>
          <w:trHeight w:val="454"/>
          <w:jc w:val="right"/>
        </w:trPr>
        <w:tc>
          <w:tcPr>
            <w:tcW w:w="2830" w:type="dxa"/>
          </w:tcPr>
          <w:p w14:paraId="6AC94FBE" w14:textId="77777777" w:rsidR="00B1107F" w:rsidRPr="008048DD" w:rsidRDefault="00B1107F" w:rsidP="00EE7D24">
            <w:pPr>
              <w:rPr>
                <w:sz w:val="18"/>
                <w:szCs w:val="18"/>
              </w:rPr>
            </w:pPr>
            <w:r w:rsidRPr="008048DD">
              <w:rPr>
                <w:sz w:val="18"/>
                <w:szCs w:val="18"/>
              </w:rPr>
              <w:t>D4. Indicador de procesos en relación con el artículo 8</w:t>
            </w:r>
          </w:p>
        </w:tc>
        <w:tc>
          <w:tcPr>
            <w:tcW w:w="5245" w:type="dxa"/>
          </w:tcPr>
          <w:p w14:paraId="480525C9" w14:textId="77777777" w:rsidR="00B1107F" w:rsidRPr="008048DD" w:rsidRDefault="00B1107F" w:rsidP="00EE7D24">
            <w:pPr>
              <w:pBdr>
                <w:top w:val="nil"/>
                <w:left w:val="nil"/>
                <w:bottom w:val="nil"/>
                <w:right w:val="nil"/>
                <w:between w:val="nil"/>
                <w:bar w:val="nil"/>
              </w:pBdr>
              <w:tabs>
                <w:tab w:val="left" w:pos="1163"/>
              </w:tabs>
              <w:rPr>
                <w:rFonts w:eastAsia="Roboto"/>
                <w:sz w:val="18"/>
                <w:szCs w:val="18"/>
              </w:rPr>
            </w:pPr>
            <w:r w:rsidRPr="008048DD">
              <w:rPr>
                <w:sz w:val="18"/>
                <w:szCs w:val="18"/>
              </w:rPr>
              <w:t>Número de Partes que requieren MTD/MPA o valores límite de las emisiones compatibles con la aplicación de las mejores técnicas disponibles</w:t>
            </w:r>
          </w:p>
        </w:tc>
        <w:tc>
          <w:tcPr>
            <w:tcW w:w="2504" w:type="dxa"/>
          </w:tcPr>
          <w:p w14:paraId="088760DF" w14:textId="55DD5901"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tc>
        <w:tc>
          <w:tcPr>
            <w:tcW w:w="2371" w:type="dxa"/>
          </w:tcPr>
          <w:p w14:paraId="4C9BFE1D" w14:textId="77777777" w:rsidR="00B1107F" w:rsidRPr="008048DD" w:rsidRDefault="006C5116"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515DB1AE" w14:textId="77777777" w:rsidTr="003A6617">
        <w:trPr>
          <w:trHeight w:val="454"/>
          <w:jc w:val="right"/>
        </w:trPr>
        <w:tc>
          <w:tcPr>
            <w:tcW w:w="2830" w:type="dxa"/>
          </w:tcPr>
          <w:p w14:paraId="50149490" w14:textId="77777777" w:rsidR="00B1107F" w:rsidRPr="008048DD" w:rsidRDefault="00B1107F" w:rsidP="00EE7D24">
            <w:pPr>
              <w:rPr>
                <w:sz w:val="18"/>
                <w:szCs w:val="18"/>
              </w:rPr>
            </w:pPr>
            <w:r w:rsidRPr="008048DD">
              <w:rPr>
                <w:sz w:val="18"/>
                <w:szCs w:val="18"/>
              </w:rPr>
              <w:t>D5. Indicador de procesos en relación con el artículo 8</w:t>
            </w:r>
          </w:p>
        </w:tc>
        <w:tc>
          <w:tcPr>
            <w:tcW w:w="5245" w:type="dxa"/>
          </w:tcPr>
          <w:p w14:paraId="40944B07" w14:textId="77777777" w:rsidR="00B1107F" w:rsidRPr="008048DD" w:rsidRDefault="00B1107F" w:rsidP="00EE7D24">
            <w:pPr>
              <w:rPr>
                <w:sz w:val="18"/>
                <w:szCs w:val="18"/>
              </w:rPr>
            </w:pPr>
            <w:r w:rsidRPr="008048DD">
              <w:rPr>
                <w:sz w:val="18"/>
                <w:szCs w:val="18"/>
              </w:rPr>
              <w:t>Número de Partes que han puesto en práctica medidas de control para las fuentes existentes (por cada una de las medidas previstas en el artículo 8, párr. 5)</w:t>
            </w:r>
          </w:p>
        </w:tc>
        <w:tc>
          <w:tcPr>
            <w:tcW w:w="2504" w:type="dxa"/>
          </w:tcPr>
          <w:p w14:paraId="140F28E8" w14:textId="4AB789EA" w:rsidR="00B1107F" w:rsidRPr="008048DD" w:rsidRDefault="00B1107F" w:rsidP="00EE7D24">
            <w:pPr>
              <w:rPr>
                <w:rStyle w:val="dn"/>
                <w:rFonts w:eastAsia="Roboto"/>
                <w:sz w:val="18"/>
                <w:szCs w:val="18"/>
              </w:rPr>
            </w:pPr>
            <w:r w:rsidRPr="008048DD">
              <w:rPr>
                <w:sz w:val="18"/>
                <w:szCs w:val="18"/>
              </w:rPr>
              <w:t>- Presentación de informes con arreglo al artículo 21</w:t>
            </w:r>
          </w:p>
        </w:tc>
        <w:tc>
          <w:tcPr>
            <w:tcW w:w="2371" w:type="dxa"/>
          </w:tcPr>
          <w:p w14:paraId="24A10C32" w14:textId="77777777" w:rsidR="00B1107F" w:rsidRPr="008048DD" w:rsidRDefault="006C5116" w:rsidP="00EE7D24">
            <w:pPr>
              <w:rPr>
                <w:rStyle w:val="dn"/>
                <w:rFonts w:eastAsia="Roboto"/>
                <w:sz w:val="18"/>
                <w:szCs w:val="18"/>
              </w:rPr>
            </w:pPr>
            <w:r w:rsidRPr="008048DD">
              <w:rPr>
                <w:sz w:val="18"/>
                <w:szCs w:val="18"/>
              </w:rPr>
              <w:t>Número en la primera evaluación</w:t>
            </w:r>
          </w:p>
        </w:tc>
      </w:tr>
      <w:tr w:rsidR="00B1107F" w:rsidRPr="008048DD" w14:paraId="56983BD4" w14:textId="77777777" w:rsidTr="003A6617">
        <w:trPr>
          <w:trHeight w:val="454"/>
          <w:jc w:val="right"/>
        </w:trPr>
        <w:tc>
          <w:tcPr>
            <w:tcW w:w="2830" w:type="dxa"/>
          </w:tcPr>
          <w:p w14:paraId="1276400C" w14:textId="77777777" w:rsidR="00B1107F" w:rsidRPr="008048DD" w:rsidRDefault="00B1107F" w:rsidP="00EE7D24">
            <w:pPr>
              <w:rPr>
                <w:sz w:val="18"/>
                <w:szCs w:val="18"/>
              </w:rPr>
            </w:pPr>
            <w:r w:rsidRPr="008048DD">
              <w:rPr>
                <w:sz w:val="18"/>
                <w:szCs w:val="18"/>
              </w:rPr>
              <w:t>D6. Indicador de procesos en relación con el artículo 8</w:t>
            </w:r>
          </w:p>
        </w:tc>
        <w:tc>
          <w:tcPr>
            <w:tcW w:w="5245" w:type="dxa"/>
          </w:tcPr>
          <w:p w14:paraId="5D83CC0C" w14:textId="6EDA7C8A" w:rsidR="00B1107F" w:rsidRPr="008048DD" w:rsidRDefault="00B1107F" w:rsidP="00EE7D24">
            <w:pPr>
              <w:rPr>
                <w:rStyle w:val="dn"/>
                <w:rFonts w:eastAsia="Roboto"/>
                <w:sz w:val="18"/>
                <w:szCs w:val="18"/>
              </w:rPr>
            </w:pPr>
            <w:r w:rsidRPr="008048DD">
              <w:rPr>
                <w:sz w:val="18"/>
                <w:szCs w:val="18"/>
              </w:rPr>
              <w:t>Número de Partes que han establecido y mantenido un inventario de las</w:t>
            </w:r>
            <w:r w:rsidR="00E310BF" w:rsidRPr="008048DD">
              <w:rPr>
                <w:sz w:val="18"/>
                <w:szCs w:val="18"/>
              </w:rPr>
              <w:t> </w:t>
            </w:r>
            <w:r w:rsidRPr="008048DD">
              <w:rPr>
                <w:sz w:val="18"/>
                <w:szCs w:val="18"/>
              </w:rPr>
              <w:t xml:space="preserve">emisiones </w:t>
            </w:r>
          </w:p>
        </w:tc>
        <w:tc>
          <w:tcPr>
            <w:tcW w:w="2504" w:type="dxa"/>
          </w:tcPr>
          <w:p w14:paraId="2437D156" w14:textId="03A25E68" w:rsidR="00B1107F" w:rsidRPr="008048DD" w:rsidRDefault="00B1107F" w:rsidP="00EE7D24">
            <w:pPr>
              <w:rPr>
                <w:iCs/>
                <w:sz w:val="18"/>
                <w:szCs w:val="18"/>
              </w:rPr>
            </w:pPr>
            <w:r w:rsidRPr="008048DD">
              <w:rPr>
                <w:sz w:val="18"/>
                <w:szCs w:val="18"/>
              </w:rPr>
              <w:t>- Presentación de informes con arreglo al artículo 21</w:t>
            </w:r>
          </w:p>
        </w:tc>
        <w:tc>
          <w:tcPr>
            <w:tcW w:w="2371" w:type="dxa"/>
          </w:tcPr>
          <w:p w14:paraId="0C669614" w14:textId="77777777" w:rsidR="00B1107F" w:rsidRPr="008048DD" w:rsidRDefault="006C5116" w:rsidP="00EE7D24">
            <w:pPr>
              <w:rPr>
                <w:sz w:val="18"/>
                <w:szCs w:val="18"/>
              </w:rPr>
            </w:pPr>
            <w:r w:rsidRPr="008048DD">
              <w:rPr>
                <w:sz w:val="18"/>
                <w:szCs w:val="18"/>
              </w:rPr>
              <w:t>Número en la primera evaluación</w:t>
            </w:r>
          </w:p>
        </w:tc>
      </w:tr>
      <w:tr w:rsidR="00B1107F" w:rsidRPr="008048DD" w14:paraId="03C64FE0" w14:textId="77777777" w:rsidTr="003A6617">
        <w:trPr>
          <w:trHeight w:val="227"/>
          <w:jc w:val="right"/>
        </w:trPr>
        <w:tc>
          <w:tcPr>
            <w:tcW w:w="12950" w:type="dxa"/>
            <w:gridSpan w:val="4"/>
            <w:shd w:val="clear" w:color="auto" w:fill="B8CCE4" w:themeFill="accent1" w:themeFillTint="66"/>
          </w:tcPr>
          <w:p w14:paraId="293C278F" w14:textId="0E03A775" w:rsidR="00B1107F" w:rsidRPr="008048DD" w:rsidRDefault="00B1107F" w:rsidP="00EE7D24">
            <w:pPr>
              <w:tabs>
                <w:tab w:val="left" w:pos="1872"/>
              </w:tabs>
              <w:rPr>
                <w:rStyle w:val="dn"/>
                <w:sz w:val="18"/>
                <w:szCs w:val="18"/>
              </w:rPr>
            </w:pPr>
            <w:r w:rsidRPr="008048DD">
              <w:rPr>
                <w:b/>
                <w:bCs/>
                <w:sz w:val="18"/>
                <w:szCs w:val="18"/>
              </w:rPr>
              <w:t>Artículo 9</w:t>
            </w:r>
            <w:r w:rsidRPr="008048DD">
              <w:rPr>
                <w:sz w:val="18"/>
                <w:szCs w:val="18"/>
              </w:rPr>
              <w:t xml:space="preserve"> (Los indicadores del artículo 9 deben leerse junto con los indicadores de vigilancia pertinentes en el cuadro 4)</w:t>
            </w:r>
            <w:r w:rsidR="00E310BF" w:rsidRPr="008048DD">
              <w:rPr>
                <w:sz w:val="18"/>
                <w:szCs w:val="18"/>
              </w:rPr>
              <w:t>.</w:t>
            </w:r>
          </w:p>
        </w:tc>
      </w:tr>
      <w:tr w:rsidR="00B1107F" w:rsidRPr="008048DD" w14:paraId="56A495FE" w14:textId="77777777" w:rsidTr="003A6617">
        <w:trPr>
          <w:trHeight w:val="454"/>
          <w:jc w:val="right"/>
        </w:trPr>
        <w:tc>
          <w:tcPr>
            <w:tcW w:w="2830" w:type="dxa"/>
          </w:tcPr>
          <w:p w14:paraId="69F2FD51"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D7. Indicador de resultados en relación con el artículo 9</w:t>
            </w:r>
          </w:p>
        </w:tc>
        <w:tc>
          <w:tcPr>
            <w:tcW w:w="5245" w:type="dxa"/>
          </w:tcPr>
          <w:p w14:paraId="29ED0E6E" w14:textId="77777777" w:rsidR="00B1107F" w:rsidRPr="008048DD" w:rsidRDefault="00B1107F" w:rsidP="00C32C4C">
            <w:pPr>
              <w:pBdr>
                <w:top w:val="nil"/>
                <w:left w:val="nil"/>
                <w:bottom w:val="nil"/>
                <w:right w:val="nil"/>
                <w:between w:val="nil"/>
                <w:bar w:val="nil"/>
              </w:pBdr>
              <w:rPr>
                <w:rStyle w:val="dn"/>
                <w:rFonts w:eastAsia="Roboto"/>
                <w:sz w:val="18"/>
                <w:szCs w:val="18"/>
              </w:rPr>
            </w:pPr>
            <w:r w:rsidRPr="008048DD">
              <w:rPr>
                <w:sz w:val="18"/>
                <w:szCs w:val="18"/>
              </w:rPr>
              <w:t xml:space="preserve">Cantidad total de las liberaciones de mercurio en el inventario de fuentes pertinentes </w:t>
            </w:r>
          </w:p>
        </w:tc>
        <w:tc>
          <w:tcPr>
            <w:tcW w:w="2504" w:type="dxa"/>
          </w:tcPr>
          <w:p w14:paraId="064F4B0F" w14:textId="0140751E"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p w14:paraId="2AFF41A9" w14:textId="77777777" w:rsidR="00B1107F" w:rsidRPr="008048DD" w:rsidRDefault="00C6566F" w:rsidP="00EE7D24">
            <w:pPr>
              <w:pBdr>
                <w:top w:val="nil"/>
                <w:left w:val="nil"/>
                <w:bottom w:val="nil"/>
                <w:right w:val="nil"/>
                <w:between w:val="nil"/>
                <w:bar w:val="nil"/>
              </w:pBdr>
              <w:rPr>
                <w:rStyle w:val="dn"/>
                <w:rFonts w:eastAsia="Roboto"/>
                <w:sz w:val="18"/>
                <w:szCs w:val="18"/>
              </w:rPr>
            </w:pPr>
            <w:r w:rsidRPr="008048DD">
              <w:rPr>
                <w:sz w:val="18"/>
                <w:szCs w:val="18"/>
              </w:rPr>
              <w:t>- Inventarios</w:t>
            </w:r>
          </w:p>
        </w:tc>
        <w:tc>
          <w:tcPr>
            <w:tcW w:w="2371" w:type="dxa"/>
          </w:tcPr>
          <w:p w14:paraId="1D86C79D" w14:textId="77777777" w:rsidR="00B1107F" w:rsidRPr="008048DD" w:rsidRDefault="006C5116" w:rsidP="00EE7D24">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2315BAFF" w14:textId="77777777" w:rsidTr="003A6617">
        <w:trPr>
          <w:trHeight w:val="255"/>
          <w:jc w:val="right"/>
        </w:trPr>
        <w:tc>
          <w:tcPr>
            <w:tcW w:w="2830" w:type="dxa"/>
          </w:tcPr>
          <w:p w14:paraId="031B27D0"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D8. Indicador de procesos en relación con el artículo 9</w:t>
            </w:r>
          </w:p>
        </w:tc>
        <w:tc>
          <w:tcPr>
            <w:tcW w:w="5245" w:type="dxa"/>
          </w:tcPr>
          <w:p w14:paraId="43D317AD" w14:textId="77777777" w:rsidR="00B1107F" w:rsidRPr="008048DD" w:rsidRDefault="00B1107F" w:rsidP="006A1927">
            <w:pPr>
              <w:pBdr>
                <w:top w:val="nil"/>
                <w:left w:val="nil"/>
                <w:bottom w:val="nil"/>
                <w:right w:val="nil"/>
                <w:between w:val="nil"/>
                <w:bar w:val="nil"/>
              </w:pBdr>
              <w:rPr>
                <w:rStyle w:val="dn"/>
                <w:rFonts w:eastAsia="Roboto"/>
                <w:sz w:val="18"/>
                <w:szCs w:val="18"/>
              </w:rPr>
            </w:pPr>
            <w:r w:rsidRPr="008048DD">
              <w:rPr>
                <w:sz w:val="18"/>
                <w:szCs w:val="18"/>
              </w:rPr>
              <w:t>Número de Partes que han detectado sitios contaminados</w:t>
            </w:r>
          </w:p>
        </w:tc>
        <w:tc>
          <w:tcPr>
            <w:tcW w:w="2504" w:type="dxa"/>
          </w:tcPr>
          <w:p w14:paraId="14401BC6" w14:textId="710C01F8"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 Presentación de informes con arreglo al artículo 21</w:t>
            </w:r>
          </w:p>
        </w:tc>
        <w:tc>
          <w:tcPr>
            <w:tcW w:w="2371" w:type="dxa"/>
          </w:tcPr>
          <w:p w14:paraId="7A762FD3" w14:textId="77777777" w:rsidR="00B1107F" w:rsidRPr="008048DD" w:rsidRDefault="006C5116" w:rsidP="00EE7D24">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4C480A93" w14:textId="77777777" w:rsidTr="003A6617">
        <w:trPr>
          <w:trHeight w:val="454"/>
          <w:jc w:val="right"/>
        </w:trPr>
        <w:tc>
          <w:tcPr>
            <w:tcW w:w="2830" w:type="dxa"/>
          </w:tcPr>
          <w:p w14:paraId="13B3A088"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D9. Indicador de procesos en relación con el artículo 9</w:t>
            </w:r>
          </w:p>
        </w:tc>
        <w:tc>
          <w:tcPr>
            <w:tcW w:w="5245" w:type="dxa"/>
          </w:tcPr>
          <w:p w14:paraId="6D22375A"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Número de Partes que han establecido y mantenido un inventario de liberaciones procedentes de fuentes importantes</w:t>
            </w:r>
          </w:p>
        </w:tc>
        <w:tc>
          <w:tcPr>
            <w:tcW w:w="2504" w:type="dxa"/>
          </w:tcPr>
          <w:p w14:paraId="54B26F81" w14:textId="2F3AF1E5"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 Presentación de informes con arreglo al artículo 21</w:t>
            </w:r>
          </w:p>
        </w:tc>
        <w:tc>
          <w:tcPr>
            <w:tcW w:w="2371" w:type="dxa"/>
          </w:tcPr>
          <w:p w14:paraId="5C6C92C9" w14:textId="77777777" w:rsidR="00B1107F" w:rsidRPr="008048DD" w:rsidRDefault="006C5116" w:rsidP="00EE7D24">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503F8E56" w14:textId="77777777" w:rsidTr="003A6617">
        <w:trPr>
          <w:trHeight w:val="227"/>
          <w:jc w:val="right"/>
        </w:trPr>
        <w:tc>
          <w:tcPr>
            <w:tcW w:w="2830" w:type="dxa"/>
            <w:shd w:val="clear" w:color="auto" w:fill="B8CCE4" w:themeFill="accent1" w:themeFillTint="66"/>
          </w:tcPr>
          <w:p w14:paraId="02CA9647" w14:textId="77777777" w:rsidR="00B1107F" w:rsidRPr="008048DD" w:rsidRDefault="00B1107F" w:rsidP="00E310BF">
            <w:pPr>
              <w:keepNext/>
              <w:keepLines/>
              <w:pBdr>
                <w:top w:val="nil"/>
                <w:left w:val="nil"/>
                <w:bottom w:val="nil"/>
                <w:right w:val="nil"/>
                <w:between w:val="nil"/>
                <w:bar w:val="nil"/>
              </w:pBdr>
              <w:tabs>
                <w:tab w:val="left" w:pos="1163"/>
              </w:tabs>
              <w:rPr>
                <w:b/>
                <w:sz w:val="18"/>
                <w:szCs w:val="18"/>
              </w:rPr>
            </w:pPr>
            <w:r w:rsidRPr="008048DD">
              <w:rPr>
                <w:b/>
                <w:bCs/>
                <w:sz w:val="18"/>
                <w:szCs w:val="18"/>
              </w:rPr>
              <w:t>Artículo 12</w:t>
            </w:r>
          </w:p>
        </w:tc>
        <w:tc>
          <w:tcPr>
            <w:tcW w:w="5245" w:type="dxa"/>
            <w:shd w:val="clear" w:color="auto" w:fill="B8CCE4" w:themeFill="accent1" w:themeFillTint="66"/>
          </w:tcPr>
          <w:p w14:paraId="30F3D259" w14:textId="77777777" w:rsidR="00B1107F" w:rsidRPr="008048DD" w:rsidRDefault="00B1107F" w:rsidP="00EE7D24">
            <w:pPr>
              <w:rPr>
                <w:rStyle w:val="dn"/>
                <w:i/>
                <w:iCs/>
                <w:color w:val="4F81BD" w:themeColor="accent1"/>
                <w:sz w:val="18"/>
                <w:szCs w:val="18"/>
              </w:rPr>
            </w:pPr>
          </w:p>
        </w:tc>
        <w:tc>
          <w:tcPr>
            <w:tcW w:w="2504" w:type="dxa"/>
            <w:shd w:val="clear" w:color="auto" w:fill="B8CCE4" w:themeFill="accent1" w:themeFillTint="66"/>
          </w:tcPr>
          <w:p w14:paraId="14D96ECA" w14:textId="77777777" w:rsidR="00B1107F" w:rsidRPr="008048DD" w:rsidRDefault="00B1107F" w:rsidP="00EE7D24">
            <w:pPr>
              <w:rPr>
                <w:i/>
                <w:iCs/>
                <w:color w:val="4F81BD" w:themeColor="accent1"/>
                <w:sz w:val="18"/>
                <w:szCs w:val="18"/>
              </w:rPr>
            </w:pPr>
          </w:p>
        </w:tc>
        <w:tc>
          <w:tcPr>
            <w:tcW w:w="2371" w:type="dxa"/>
            <w:shd w:val="clear" w:color="auto" w:fill="B8CCE4" w:themeFill="accent1" w:themeFillTint="66"/>
          </w:tcPr>
          <w:p w14:paraId="747BE650" w14:textId="77777777" w:rsidR="00B1107F" w:rsidRPr="008048DD" w:rsidRDefault="00B1107F" w:rsidP="00EE7D24">
            <w:pPr>
              <w:rPr>
                <w:i/>
                <w:iCs/>
                <w:color w:val="4F81BD" w:themeColor="accent1"/>
                <w:sz w:val="18"/>
                <w:szCs w:val="18"/>
              </w:rPr>
            </w:pPr>
          </w:p>
        </w:tc>
      </w:tr>
      <w:tr w:rsidR="00B1107F" w:rsidRPr="008048DD" w14:paraId="570E8A1F" w14:textId="77777777" w:rsidTr="003A6617">
        <w:trPr>
          <w:trHeight w:val="454"/>
          <w:jc w:val="right"/>
        </w:trPr>
        <w:tc>
          <w:tcPr>
            <w:tcW w:w="2830" w:type="dxa"/>
          </w:tcPr>
          <w:p w14:paraId="31445C13" w14:textId="77777777" w:rsidR="00B1107F" w:rsidRPr="008048DD" w:rsidRDefault="00B1107F" w:rsidP="00E310BF">
            <w:pPr>
              <w:keepNext/>
              <w:keepLines/>
              <w:pBdr>
                <w:top w:val="nil"/>
                <w:left w:val="nil"/>
                <w:bottom w:val="nil"/>
                <w:right w:val="nil"/>
                <w:between w:val="nil"/>
                <w:bar w:val="nil"/>
              </w:pBdr>
              <w:tabs>
                <w:tab w:val="left" w:pos="1163"/>
              </w:tabs>
              <w:rPr>
                <w:sz w:val="18"/>
                <w:szCs w:val="18"/>
              </w:rPr>
            </w:pPr>
            <w:r w:rsidRPr="008048DD">
              <w:rPr>
                <w:sz w:val="18"/>
                <w:szCs w:val="18"/>
              </w:rPr>
              <w:t>D10. Indicador de procesos en relación con el artículo 12</w:t>
            </w:r>
          </w:p>
        </w:tc>
        <w:tc>
          <w:tcPr>
            <w:tcW w:w="5245" w:type="dxa"/>
          </w:tcPr>
          <w:p w14:paraId="268D0EC9" w14:textId="77777777"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Número de Partes que han elaborado estrategias para detectar y evaluar sitios contaminados con mercurio o compuestos de mercurio</w:t>
            </w:r>
          </w:p>
        </w:tc>
        <w:tc>
          <w:tcPr>
            <w:tcW w:w="2504" w:type="dxa"/>
          </w:tcPr>
          <w:p w14:paraId="0C7CEC3F" w14:textId="33C08CA4" w:rsidR="00B1107F" w:rsidRPr="008048DD" w:rsidRDefault="00B1107F" w:rsidP="00EE7D24">
            <w:pPr>
              <w:pBdr>
                <w:top w:val="nil"/>
                <w:left w:val="nil"/>
                <w:bottom w:val="nil"/>
                <w:right w:val="nil"/>
                <w:between w:val="nil"/>
                <w:bar w:val="nil"/>
              </w:pBdr>
              <w:rPr>
                <w:rStyle w:val="dn"/>
                <w:rFonts w:eastAsia="Roboto"/>
                <w:sz w:val="18"/>
                <w:szCs w:val="18"/>
              </w:rPr>
            </w:pPr>
            <w:r w:rsidRPr="008048DD">
              <w:rPr>
                <w:sz w:val="18"/>
                <w:szCs w:val="18"/>
              </w:rPr>
              <w:t>- Presentación de informes con arreglo al artículo 21</w:t>
            </w:r>
          </w:p>
        </w:tc>
        <w:tc>
          <w:tcPr>
            <w:tcW w:w="2371" w:type="dxa"/>
          </w:tcPr>
          <w:p w14:paraId="2F7FDB58" w14:textId="77777777" w:rsidR="00B1107F" w:rsidRPr="008048DD" w:rsidRDefault="006C5116" w:rsidP="00EE7D24">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2B7E36FB" w14:textId="77777777" w:rsidTr="003A6617">
        <w:trPr>
          <w:trHeight w:val="255"/>
          <w:jc w:val="right"/>
        </w:trPr>
        <w:tc>
          <w:tcPr>
            <w:tcW w:w="2830" w:type="dxa"/>
          </w:tcPr>
          <w:p w14:paraId="63D5A838"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D11. Indicador de procesos en relación con el artículo 12</w:t>
            </w:r>
          </w:p>
        </w:tc>
        <w:tc>
          <w:tcPr>
            <w:tcW w:w="5245" w:type="dxa"/>
          </w:tcPr>
          <w:p w14:paraId="16A347D6" w14:textId="77777777" w:rsidR="00B1107F" w:rsidRPr="008048DD" w:rsidRDefault="00B1107F" w:rsidP="00EE7D24">
            <w:pPr>
              <w:pBdr>
                <w:top w:val="nil"/>
                <w:left w:val="nil"/>
                <w:bottom w:val="nil"/>
                <w:right w:val="nil"/>
                <w:between w:val="nil"/>
                <w:bar w:val="nil"/>
              </w:pBdr>
              <w:tabs>
                <w:tab w:val="left" w:pos="1163"/>
              </w:tabs>
              <w:rPr>
                <w:rStyle w:val="dn"/>
                <w:rFonts w:eastAsia="Roboto"/>
                <w:spacing w:val="-2"/>
                <w:sz w:val="18"/>
                <w:szCs w:val="18"/>
              </w:rPr>
            </w:pPr>
            <w:r w:rsidRPr="008048DD">
              <w:rPr>
                <w:sz w:val="18"/>
                <w:szCs w:val="18"/>
              </w:rPr>
              <w:t>Número de Partes que han elaborado un inventario de los sitios contaminados</w:t>
            </w:r>
          </w:p>
        </w:tc>
        <w:tc>
          <w:tcPr>
            <w:tcW w:w="2504" w:type="dxa"/>
          </w:tcPr>
          <w:p w14:paraId="110787E7" w14:textId="6FB17B1D"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tc>
        <w:tc>
          <w:tcPr>
            <w:tcW w:w="2371" w:type="dxa"/>
          </w:tcPr>
          <w:p w14:paraId="68F5745E" w14:textId="77777777" w:rsidR="00B1107F" w:rsidRPr="008048DD" w:rsidRDefault="006C5116"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08FE963D" w14:textId="77777777" w:rsidTr="003A6617">
        <w:trPr>
          <w:trHeight w:val="227"/>
          <w:jc w:val="right"/>
        </w:trPr>
        <w:tc>
          <w:tcPr>
            <w:tcW w:w="2830" w:type="dxa"/>
            <w:shd w:val="clear" w:color="auto" w:fill="B8CCE4" w:themeFill="accent1" w:themeFillTint="66"/>
          </w:tcPr>
          <w:p w14:paraId="24100630" w14:textId="77777777" w:rsidR="00B1107F" w:rsidRPr="008048DD" w:rsidRDefault="00B1107F" w:rsidP="00EE7D24">
            <w:pPr>
              <w:rPr>
                <w:sz w:val="18"/>
                <w:szCs w:val="18"/>
              </w:rPr>
            </w:pPr>
            <w:r w:rsidRPr="008048DD">
              <w:rPr>
                <w:b/>
                <w:bCs/>
                <w:sz w:val="18"/>
                <w:szCs w:val="18"/>
              </w:rPr>
              <w:t>Notas</w:t>
            </w:r>
          </w:p>
        </w:tc>
        <w:tc>
          <w:tcPr>
            <w:tcW w:w="10120" w:type="dxa"/>
            <w:gridSpan w:val="3"/>
          </w:tcPr>
          <w:p w14:paraId="15CA3276" w14:textId="77777777" w:rsidR="00B1107F" w:rsidRPr="008048DD"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48DD">
              <w:rPr>
                <w:sz w:val="18"/>
                <w:szCs w:val="18"/>
              </w:rPr>
              <w:t>Es posible que haya algunas deficiencias en los datos, ya que las Partes no están obligadas a compartir la información recopilada como parte de su inventario.</w:t>
            </w:r>
          </w:p>
        </w:tc>
      </w:tr>
    </w:tbl>
    <w:p w14:paraId="1D444F8A" w14:textId="2B9C36E5" w:rsidR="00D907C9" w:rsidRPr="008048DD" w:rsidRDefault="00D907C9" w:rsidP="00B1107F">
      <w:pPr>
        <w:rPr>
          <w:sz w:val="12"/>
          <w:szCs w:val="12"/>
        </w:rPr>
      </w:pPr>
    </w:p>
    <w:p w14:paraId="22F2AFA2" w14:textId="77777777" w:rsidR="00E310BF" w:rsidRPr="008048DD" w:rsidRDefault="00E310BF" w:rsidP="00B1107F">
      <w:pPr>
        <w:rPr>
          <w:sz w:val="12"/>
          <w:szCs w:val="12"/>
        </w:rPr>
      </w:pPr>
    </w:p>
    <w:tbl>
      <w:tblPr>
        <w:tblStyle w:val="TableGrid"/>
        <w:tblW w:w="5000" w:type="pct"/>
        <w:jc w:val="right"/>
        <w:tblLayout w:type="fixed"/>
        <w:tblLook w:val="04A0" w:firstRow="1" w:lastRow="0" w:firstColumn="1" w:lastColumn="0" w:noHBand="0" w:noVBand="1"/>
      </w:tblPr>
      <w:tblGrid>
        <w:gridCol w:w="3151"/>
        <w:gridCol w:w="5840"/>
        <w:gridCol w:w="2823"/>
        <w:gridCol w:w="2606"/>
      </w:tblGrid>
      <w:tr w:rsidR="00B1107F" w:rsidRPr="008048DD" w14:paraId="1C36027A" w14:textId="77777777" w:rsidTr="003A6617">
        <w:trPr>
          <w:trHeight w:val="454"/>
          <w:jc w:val="right"/>
        </w:trPr>
        <w:tc>
          <w:tcPr>
            <w:tcW w:w="8075" w:type="dxa"/>
            <w:gridSpan w:val="2"/>
            <w:shd w:val="clear" w:color="auto" w:fill="B8CCE4" w:themeFill="accent1" w:themeFillTint="66"/>
          </w:tcPr>
          <w:p w14:paraId="448B5740" w14:textId="5403B93B" w:rsidR="00B1107F" w:rsidRPr="007B20DF" w:rsidRDefault="00B1107F" w:rsidP="007B20DF">
            <w:pPr>
              <w:rPr>
                <w:b/>
                <w:bCs/>
                <w:sz w:val="18"/>
                <w:szCs w:val="18"/>
              </w:rPr>
            </w:pPr>
            <w:r w:rsidRPr="007B20DF">
              <w:rPr>
                <w:b/>
                <w:bCs/>
                <w:sz w:val="18"/>
                <w:szCs w:val="18"/>
              </w:rPr>
              <w:t xml:space="preserve">E: Grupo sobre apoyo </w:t>
            </w:r>
            <w:r w:rsidR="00B83939" w:rsidRPr="007B20DF">
              <w:rPr>
                <w:b/>
                <w:bCs/>
                <w:sz w:val="18"/>
                <w:szCs w:val="18"/>
              </w:rPr>
              <w:br/>
            </w:r>
            <w:r w:rsidR="00851861" w:rsidRPr="007B20DF">
              <w:rPr>
                <w:b/>
                <w:bCs/>
                <w:sz w:val="18"/>
                <w:szCs w:val="18"/>
              </w:rPr>
              <w:t xml:space="preserve">Artículo 13 (recursos financieros y mecanismo financiero); artículo 14 (creación de capacidad, asistencia técnica y transferencia de tecnología) </w:t>
            </w:r>
          </w:p>
        </w:tc>
        <w:tc>
          <w:tcPr>
            <w:tcW w:w="2535" w:type="dxa"/>
            <w:shd w:val="clear" w:color="auto" w:fill="B8CCE4" w:themeFill="accent1" w:themeFillTint="66"/>
          </w:tcPr>
          <w:p w14:paraId="309F0220" w14:textId="6B33A7EA" w:rsidR="00B1107F" w:rsidRPr="007B20DF" w:rsidRDefault="00B1107F" w:rsidP="007B20DF">
            <w:pPr>
              <w:rPr>
                <w:b/>
                <w:bCs/>
                <w:sz w:val="18"/>
                <w:szCs w:val="18"/>
              </w:rPr>
            </w:pPr>
            <w:r w:rsidRPr="007B20DF">
              <w:rPr>
                <w:b/>
                <w:bCs/>
                <w:sz w:val="18"/>
                <w:szCs w:val="18"/>
              </w:rPr>
              <w:t>Fuente de información sobre el indica</w:t>
            </w:r>
            <w:r w:rsidR="005C7097" w:rsidRPr="007B20DF">
              <w:rPr>
                <w:b/>
                <w:bCs/>
                <w:sz w:val="18"/>
                <w:szCs w:val="18"/>
              </w:rPr>
              <w:t>dor</w:t>
            </w:r>
          </w:p>
        </w:tc>
        <w:tc>
          <w:tcPr>
            <w:tcW w:w="2340" w:type="dxa"/>
            <w:shd w:val="clear" w:color="auto" w:fill="B8CCE4" w:themeFill="accent1" w:themeFillTint="66"/>
          </w:tcPr>
          <w:p w14:paraId="5F21513A" w14:textId="26296830" w:rsidR="00B1107F" w:rsidRPr="007B20DF" w:rsidRDefault="00B1107F" w:rsidP="007B20DF">
            <w:pPr>
              <w:rPr>
                <w:b/>
                <w:bCs/>
                <w:sz w:val="18"/>
                <w:szCs w:val="18"/>
              </w:rPr>
            </w:pPr>
            <w:r w:rsidRPr="007B20DF">
              <w:rPr>
                <w:b/>
                <w:bCs/>
                <w:sz w:val="18"/>
                <w:szCs w:val="18"/>
              </w:rPr>
              <w:t>Parámetro de referencia para el indica</w:t>
            </w:r>
            <w:r w:rsidR="005C7097" w:rsidRPr="007B20DF">
              <w:rPr>
                <w:b/>
                <w:bCs/>
                <w:sz w:val="18"/>
                <w:szCs w:val="18"/>
              </w:rPr>
              <w:t>dor</w:t>
            </w:r>
          </w:p>
        </w:tc>
      </w:tr>
      <w:tr w:rsidR="00B1107F" w:rsidRPr="008048DD" w14:paraId="27126D86" w14:textId="77777777" w:rsidTr="003A6617">
        <w:trPr>
          <w:trHeight w:val="227"/>
          <w:jc w:val="right"/>
        </w:trPr>
        <w:tc>
          <w:tcPr>
            <w:tcW w:w="2830" w:type="dxa"/>
            <w:shd w:val="clear" w:color="auto" w:fill="B8CCE4" w:themeFill="accent1" w:themeFillTint="66"/>
          </w:tcPr>
          <w:p w14:paraId="5F09C514" w14:textId="77777777" w:rsidR="00B1107F" w:rsidRPr="008048DD" w:rsidRDefault="00B1107F" w:rsidP="00EE7D24">
            <w:pPr>
              <w:rPr>
                <w:b/>
                <w:sz w:val="18"/>
                <w:szCs w:val="18"/>
              </w:rPr>
            </w:pPr>
            <w:r w:rsidRPr="008048DD">
              <w:rPr>
                <w:b/>
                <w:bCs/>
                <w:sz w:val="18"/>
                <w:szCs w:val="18"/>
              </w:rPr>
              <w:t>Artículo 13</w:t>
            </w:r>
          </w:p>
        </w:tc>
        <w:tc>
          <w:tcPr>
            <w:tcW w:w="5245" w:type="dxa"/>
            <w:shd w:val="clear" w:color="auto" w:fill="B8CCE4" w:themeFill="accent1" w:themeFillTint="66"/>
          </w:tcPr>
          <w:p w14:paraId="14DA8A67" w14:textId="77777777" w:rsidR="00B1107F" w:rsidRPr="008048DD" w:rsidRDefault="00B1107F" w:rsidP="00EE7D24">
            <w:pPr>
              <w:rPr>
                <w:sz w:val="18"/>
                <w:szCs w:val="18"/>
              </w:rPr>
            </w:pPr>
          </w:p>
        </w:tc>
        <w:tc>
          <w:tcPr>
            <w:tcW w:w="2535" w:type="dxa"/>
            <w:shd w:val="clear" w:color="auto" w:fill="B8CCE4" w:themeFill="accent1" w:themeFillTint="66"/>
          </w:tcPr>
          <w:p w14:paraId="1EFC47BE" w14:textId="77777777" w:rsidR="00B1107F" w:rsidRPr="008048DD" w:rsidRDefault="00B1107F" w:rsidP="00EE7D24">
            <w:pPr>
              <w:rPr>
                <w:sz w:val="18"/>
                <w:szCs w:val="18"/>
              </w:rPr>
            </w:pPr>
          </w:p>
        </w:tc>
        <w:tc>
          <w:tcPr>
            <w:tcW w:w="2340" w:type="dxa"/>
            <w:shd w:val="clear" w:color="auto" w:fill="B8CCE4" w:themeFill="accent1" w:themeFillTint="66"/>
          </w:tcPr>
          <w:p w14:paraId="4F5911F3" w14:textId="77777777" w:rsidR="00B1107F" w:rsidRPr="008048DD" w:rsidRDefault="00B1107F" w:rsidP="00EE7D24">
            <w:pPr>
              <w:rPr>
                <w:sz w:val="18"/>
                <w:szCs w:val="18"/>
              </w:rPr>
            </w:pPr>
          </w:p>
        </w:tc>
      </w:tr>
      <w:tr w:rsidR="00B1107F" w:rsidRPr="008048DD" w14:paraId="6533765A" w14:textId="77777777" w:rsidTr="003A6617">
        <w:trPr>
          <w:trHeight w:val="1276"/>
          <w:jc w:val="right"/>
        </w:trPr>
        <w:tc>
          <w:tcPr>
            <w:tcW w:w="2830" w:type="dxa"/>
          </w:tcPr>
          <w:p w14:paraId="090063C8" w14:textId="77777777" w:rsidR="00B1107F" w:rsidRPr="008048DD" w:rsidRDefault="00B1107F" w:rsidP="00902F3B">
            <w:pPr>
              <w:rPr>
                <w:sz w:val="18"/>
                <w:szCs w:val="18"/>
              </w:rPr>
            </w:pPr>
            <w:r w:rsidRPr="008048DD">
              <w:rPr>
                <w:sz w:val="18"/>
                <w:szCs w:val="18"/>
              </w:rPr>
              <w:t>E1. Indicador de procesos en relación con el artículo 13</w:t>
            </w:r>
          </w:p>
        </w:tc>
        <w:tc>
          <w:tcPr>
            <w:tcW w:w="5245" w:type="dxa"/>
          </w:tcPr>
          <w:p w14:paraId="6F00A8AD" w14:textId="77777777" w:rsidR="00B1107F" w:rsidRPr="008048DD" w:rsidRDefault="00B1107F"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 xml:space="preserve">Número de Partes que han: </w:t>
            </w:r>
          </w:p>
          <w:p w14:paraId="0753D775" w14:textId="77777777" w:rsidR="00B1107F" w:rsidRPr="008048DD"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Style w:val="dn"/>
                <w:rFonts w:eastAsia="Roboto"/>
                <w:sz w:val="18"/>
                <w:szCs w:val="18"/>
              </w:rPr>
            </w:pPr>
            <w:r w:rsidRPr="008048DD">
              <w:rPr>
                <w:sz w:val="18"/>
                <w:szCs w:val="18"/>
              </w:rPr>
              <w:t xml:space="preserve">Contribuido al mecanismo financiero a que se hace referencia en el artículo 13, párr. 5 </w:t>
            </w:r>
          </w:p>
          <w:p w14:paraId="367D587B" w14:textId="77777777" w:rsidR="00B1107F" w:rsidRPr="008048DD"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Style w:val="dn"/>
                <w:rFonts w:eastAsia="Roboto"/>
                <w:sz w:val="18"/>
                <w:szCs w:val="18"/>
              </w:rPr>
            </w:pPr>
            <w:r w:rsidRPr="008048DD">
              <w:rPr>
                <w:sz w:val="18"/>
                <w:szCs w:val="18"/>
              </w:rPr>
              <w:t>Recursos recibidos del Fondo para el Medio Ambiente Mundial</w:t>
            </w:r>
          </w:p>
          <w:p w14:paraId="01B82A46" w14:textId="77777777" w:rsidR="00B1107F" w:rsidRPr="008048DD" w:rsidRDefault="006A08EA" w:rsidP="00A00B9F">
            <w:pPr>
              <w:pStyle w:val="ListParagraph"/>
              <w:numPr>
                <w:ilvl w:val="0"/>
                <w:numId w:val="16"/>
              </w:numPr>
              <w:pBdr>
                <w:top w:val="nil"/>
                <w:left w:val="nil"/>
                <w:bottom w:val="nil"/>
                <w:right w:val="nil"/>
                <w:between w:val="nil"/>
                <w:bar w:val="nil"/>
              </w:pBdr>
              <w:tabs>
                <w:tab w:val="clear" w:pos="1814"/>
                <w:tab w:val="left" w:pos="1163"/>
                <w:tab w:val="left" w:pos="1815"/>
              </w:tabs>
              <w:ind w:left="283" w:hanging="170"/>
              <w:rPr>
                <w:rStyle w:val="dn"/>
                <w:rFonts w:eastAsia="Roboto"/>
                <w:sz w:val="18"/>
                <w:szCs w:val="18"/>
              </w:rPr>
            </w:pPr>
            <w:r w:rsidRPr="008048DD">
              <w:rPr>
                <w:sz w:val="18"/>
                <w:szCs w:val="18"/>
              </w:rPr>
              <w:t xml:space="preserve">Recursos recibidos del </w:t>
            </w:r>
            <w:r w:rsidRPr="008048DD">
              <w:rPr>
                <w:bCs/>
                <w:sz w:val="18"/>
                <w:szCs w:val="18"/>
              </w:rPr>
              <w:t>plan de implantación de la estrategia</w:t>
            </w:r>
          </w:p>
          <w:p w14:paraId="096B4A90" w14:textId="1C7B9D21" w:rsidR="00B1107F" w:rsidRPr="008048DD" w:rsidRDefault="006A08EA" w:rsidP="00E310BF">
            <w:pPr>
              <w:pStyle w:val="ListParagraph"/>
              <w:numPr>
                <w:ilvl w:val="0"/>
                <w:numId w:val="16"/>
              </w:numPr>
              <w:pBdr>
                <w:top w:val="nil"/>
                <w:left w:val="nil"/>
                <w:bottom w:val="nil"/>
                <w:right w:val="nil"/>
                <w:between w:val="nil"/>
                <w:bar w:val="nil"/>
              </w:pBdr>
              <w:tabs>
                <w:tab w:val="left" w:pos="1163"/>
              </w:tabs>
              <w:ind w:left="283" w:hanging="175"/>
              <w:rPr>
                <w:rFonts w:eastAsia="Roboto"/>
                <w:sz w:val="18"/>
                <w:szCs w:val="18"/>
              </w:rPr>
            </w:pPr>
            <w:r w:rsidRPr="008048DD">
              <w:rPr>
                <w:sz w:val="18"/>
                <w:szCs w:val="18"/>
              </w:rPr>
              <w:t xml:space="preserve">Recursos nacionales movilizados para </w:t>
            </w:r>
            <w:r w:rsidR="00507230" w:rsidRPr="008048DD">
              <w:rPr>
                <w:sz w:val="18"/>
                <w:szCs w:val="18"/>
              </w:rPr>
              <w:t>la</w:t>
            </w:r>
            <w:r w:rsidR="00E310BF" w:rsidRPr="008048DD">
              <w:rPr>
                <w:sz w:val="18"/>
                <w:szCs w:val="18"/>
              </w:rPr>
              <w:t xml:space="preserve"> </w:t>
            </w:r>
            <w:r w:rsidRPr="008048DD">
              <w:rPr>
                <w:sz w:val="18"/>
                <w:szCs w:val="18"/>
              </w:rPr>
              <w:t>aplicación del Convenio</w:t>
            </w:r>
            <w:r w:rsidR="00E310BF" w:rsidRPr="008048DD">
              <w:rPr>
                <w:sz w:val="18"/>
                <w:szCs w:val="18"/>
              </w:rPr>
              <w:br/>
            </w:r>
            <w:r w:rsidR="00B1107F" w:rsidRPr="008048DD">
              <w:rPr>
                <w:sz w:val="18"/>
                <w:szCs w:val="18"/>
              </w:rPr>
              <w:t>en el período sobre el que se informa</w:t>
            </w:r>
          </w:p>
        </w:tc>
        <w:tc>
          <w:tcPr>
            <w:tcW w:w="2535" w:type="dxa"/>
          </w:tcPr>
          <w:p w14:paraId="741838FF" w14:textId="1DE7D7A9" w:rsidR="00B1107F" w:rsidRPr="008048DD" w:rsidRDefault="00B1107F"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 Presentación de informes con arreglo al artículo 21</w:t>
            </w:r>
          </w:p>
        </w:tc>
        <w:tc>
          <w:tcPr>
            <w:tcW w:w="2340" w:type="dxa"/>
          </w:tcPr>
          <w:p w14:paraId="604F81CD" w14:textId="77777777" w:rsidR="00B1107F" w:rsidRPr="008048DD" w:rsidRDefault="006C5116"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3766CFE9" w14:textId="77777777" w:rsidTr="003A6617">
        <w:trPr>
          <w:trHeight w:val="910"/>
          <w:jc w:val="right"/>
        </w:trPr>
        <w:tc>
          <w:tcPr>
            <w:tcW w:w="2830" w:type="dxa"/>
          </w:tcPr>
          <w:p w14:paraId="02505595" w14:textId="77777777" w:rsidR="00B1107F" w:rsidRPr="008048DD" w:rsidRDefault="00B1107F" w:rsidP="00902F3B">
            <w:pPr>
              <w:rPr>
                <w:sz w:val="18"/>
                <w:szCs w:val="18"/>
              </w:rPr>
            </w:pPr>
            <w:r w:rsidRPr="008048DD">
              <w:rPr>
                <w:sz w:val="18"/>
                <w:szCs w:val="18"/>
              </w:rPr>
              <w:t>E2. Indicador de procesos en relación con el artículo 13</w:t>
            </w:r>
          </w:p>
        </w:tc>
        <w:tc>
          <w:tcPr>
            <w:tcW w:w="5245" w:type="dxa"/>
          </w:tcPr>
          <w:p w14:paraId="5EEFE468" w14:textId="77777777" w:rsidR="00B1107F" w:rsidRPr="008048DD" w:rsidRDefault="00B1107F"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Cantidad de recursos facilitados por</w:t>
            </w:r>
            <w:r w:rsidR="00312956" w:rsidRPr="008048DD">
              <w:rPr>
                <w:sz w:val="18"/>
                <w:szCs w:val="18"/>
              </w:rPr>
              <w:t xml:space="preserve"> el</w:t>
            </w:r>
            <w:r w:rsidRPr="008048DD">
              <w:rPr>
                <w:sz w:val="18"/>
                <w:szCs w:val="18"/>
              </w:rPr>
              <w:t xml:space="preserve">: </w:t>
            </w:r>
          </w:p>
          <w:p w14:paraId="341A5B3A" w14:textId="77777777" w:rsidR="00B1107F" w:rsidRPr="008048DD" w:rsidRDefault="00B1107F"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Style w:val="dn"/>
                <w:rFonts w:eastAsia="Roboto"/>
                <w:sz w:val="18"/>
                <w:szCs w:val="18"/>
              </w:rPr>
            </w:pPr>
            <w:r w:rsidRPr="008048DD">
              <w:rPr>
                <w:sz w:val="18"/>
                <w:szCs w:val="18"/>
              </w:rPr>
              <w:t>Fondo para el Medio Ambiente Mundial</w:t>
            </w:r>
          </w:p>
          <w:p w14:paraId="722A8AB2" w14:textId="77777777" w:rsidR="00B1107F" w:rsidRPr="008048DD" w:rsidRDefault="00312956"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Style w:val="dn"/>
                <w:rFonts w:eastAsia="Roboto"/>
                <w:sz w:val="18"/>
                <w:szCs w:val="18"/>
              </w:rPr>
            </w:pPr>
            <w:r w:rsidRPr="008048DD">
              <w:rPr>
                <w:bCs/>
                <w:sz w:val="18"/>
                <w:szCs w:val="18"/>
              </w:rPr>
              <w:t>Programa internacional específico</w:t>
            </w:r>
          </w:p>
          <w:p w14:paraId="6517CB91" w14:textId="77777777" w:rsidR="00B1107F" w:rsidRPr="008048DD" w:rsidRDefault="00B1107F" w:rsidP="00A00B9F">
            <w:pPr>
              <w:pStyle w:val="ListParagraph"/>
              <w:numPr>
                <w:ilvl w:val="0"/>
                <w:numId w:val="17"/>
              </w:numPr>
              <w:pBdr>
                <w:top w:val="nil"/>
                <w:left w:val="nil"/>
                <w:bottom w:val="nil"/>
                <w:right w:val="nil"/>
                <w:between w:val="nil"/>
                <w:bar w:val="nil"/>
              </w:pBdr>
              <w:tabs>
                <w:tab w:val="clear" w:pos="1247"/>
                <w:tab w:val="left" w:pos="1163"/>
                <w:tab w:val="left" w:pos="1248"/>
              </w:tabs>
              <w:ind w:left="283" w:hanging="170"/>
              <w:rPr>
                <w:rFonts w:eastAsia="Roboto"/>
                <w:sz w:val="18"/>
                <w:szCs w:val="18"/>
              </w:rPr>
            </w:pPr>
            <w:r w:rsidRPr="008048DD">
              <w:rPr>
                <w:sz w:val="18"/>
                <w:szCs w:val="18"/>
              </w:rPr>
              <w:t>Apoyo bilateral en el período que abarca el informe</w:t>
            </w:r>
          </w:p>
        </w:tc>
        <w:tc>
          <w:tcPr>
            <w:tcW w:w="2535" w:type="dxa"/>
          </w:tcPr>
          <w:p w14:paraId="5CE97216" w14:textId="78EA4663" w:rsidR="00B1107F" w:rsidRPr="008048DD" w:rsidRDefault="00B1107F" w:rsidP="00902F3B">
            <w:pPr>
              <w:pBdr>
                <w:top w:val="nil"/>
                <w:left w:val="nil"/>
                <w:bottom w:val="nil"/>
                <w:right w:val="nil"/>
                <w:between w:val="nil"/>
                <w:bar w:val="nil"/>
              </w:pBdr>
              <w:tabs>
                <w:tab w:val="left" w:pos="1163"/>
              </w:tabs>
              <w:rPr>
                <w:iCs/>
                <w:sz w:val="18"/>
                <w:szCs w:val="18"/>
              </w:rPr>
            </w:pPr>
            <w:r w:rsidRPr="008048DD">
              <w:rPr>
                <w:sz w:val="18"/>
                <w:szCs w:val="18"/>
              </w:rPr>
              <w:t>- Presentación de informes con arreglo al artículo 21</w:t>
            </w:r>
          </w:p>
          <w:p w14:paraId="02CA8BDD" w14:textId="1171A523" w:rsidR="00B1107F" w:rsidRPr="008048DD" w:rsidRDefault="00E310BF"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 xml:space="preserve">- </w:t>
            </w:r>
            <w:r w:rsidR="00B1107F" w:rsidRPr="008048DD">
              <w:rPr>
                <w:sz w:val="18"/>
                <w:szCs w:val="18"/>
              </w:rPr>
              <w:t>Otras fuentes públicas</w:t>
            </w:r>
          </w:p>
        </w:tc>
        <w:tc>
          <w:tcPr>
            <w:tcW w:w="2340" w:type="dxa"/>
          </w:tcPr>
          <w:p w14:paraId="2F6456E8" w14:textId="77777777" w:rsidR="00B1107F" w:rsidRPr="008048DD" w:rsidRDefault="006C5116" w:rsidP="00902F3B">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755A9820" w14:textId="77777777" w:rsidTr="003A6617">
        <w:trPr>
          <w:trHeight w:val="454"/>
          <w:jc w:val="right"/>
        </w:trPr>
        <w:tc>
          <w:tcPr>
            <w:tcW w:w="2830" w:type="dxa"/>
          </w:tcPr>
          <w:p w14:paraId="7E42EF03" w14:textId="77777777" w:rsidR="00B1107F" w:rsidRPr="008048DD" w:rsidRDefault="00B1107F" w:rsidP="00902F3B">
            <w:pPr>
              <w:pBdr>
                <w:top w:val="nil"/>
                <w:left w:val="nil"/>
                <w:bottom w:val="nil"/>
                <w:right w:val="nil"/>
                <w:between w:val="nil"/>
                <w:bar w:val="nil"/>
              </w:pBdr>
              <w:tabs>
                <w:tab w:val="left" w:pos="1163"/>
              </w:tabs>
              <w:rPr>
                <w:sz w:val="18"/>
                <w:szCs w:val="18"/>
              </w:rPr>
            </w:pPr>
            <w:r w:rsidRPr="008048DD">
              <w:rPr>
                <w:sz w:val="18"/>
                <w:szCs w:val="18"/>
              </w:rPr>
              <w:t>E3. Indicador adicional de procesos en relación con el artículo 13</w:t>
            </w:r>
          </w:p>
        </w:tc>
        <w:tc>
          <w:tcPr>
            <w:tcW w:w="5245" w:type="dxa"/>
          </w:tcPr>
          <w:p w14:paraId="68D85055" w14:textId="566E5C1C" w:rsidR="00B1107F" w:rsidRPr="008048DD" w:rsidRDefault="00B1107F" w:rsidP="00312956">
            <w:pPr>
              <w:pBdr>
                <w:top w:val="nil"/>
                <w:left w:val="nil"/>
                <w:bottom w:val="nil"/>
                <w:right w:val="nil"/>
                <w:between w:val="nil"/>
                <w:bar w:val="nil"/>
              </w:pBdr>
              <w:rPr>
                <w:sz w:val="18"/>
                <w:szCs w:val="18"/>
              </w:rPr>
            </w:pPr>
            <w:r w:rsidRPr="008048DD">
              <w:rPr>
                <w:sz w:val="18"/>
                <w:szCs w:val="18"/>
              </w:rPr>
              <w:t>Número de recomendaciones del examen financiero reproducidas en los documento</w:t>
            </w:r>
            <w:r w:rsidR="00E310BF" w:rsidRPr="008048DD">
              <w:rPr>
                <w:sz w:val="18"/>
                <w:szCs w:val="18"/>
              </w:rPr>
              <w:t>s</w:t>
            </w:r>
            <w:r w:rsidRPr="008048DD">
              <w:rPr>
                <w:sz w:val="18"/>
                <w:szCs w:val="18"/>
              </w:rPr>
              <w:t xml:space="preserve"> normativos del</w:t>
            </w:r>
            <w:r w:rsidR="00B3310A" w:rsidRPr="008048DD">
              <w:rPr>
                <w:sz w:val="18"/>
                <w:szCs w:val="18"/>
              </w:rPr>
              <w:t xml:space="preserve"> </w:t>
            </w:r>
            <w:r w:rsidRPr="008048DD">
              <w:rPr>
                <w:sz w:val="18"/>
                <w:szCs w:val="18"/>
              </w:rPr>
              <w:t xml:space="preserve">Fondo para el Medio Ambiente Mundial y el </w:t>
            </w:r>
            <w:r w:rsidR="003247CB" w:rsidRPr="008048DD">
              <w:rPr>
                <w:sz w:val="18"/>
                <w:szCs w:val="18"/>
              </w:rPr>
              <w:t>p</w:t>
            </w:r>
            <w:r w:rsidR="00E310BF" w:rsidRPr="008048DD">
              <w:rPr>
                <w:sz w:val="18"/>
                <w:szCs w:val="18"/>
              </w:rPr>
              <w:t>rograma internacional especí</w:t>
            </w:r>
            <w:r w:rsidR="00312956" w:rsidRPr="008048DD">
              <w:rPr>
                <w:sz w:val="18"/>
                <w:szCs w:val="18"/>
              </w:rPr>
              <w:t>fico</w:t>
            </w:r>
          </w:p>
        </w:tc>
        <w:tc>
          <w:tcPr>
            <w:tcW w:w="2535" w:type="dxa"/>
          </w:tcPr>
          <w:p w14:paraId="4D8EABAA" w14:textId="77777777" w:rsidR="00B1107F" w:rsidRPr="008048DD" w:rsidRDefault="00B1107F" w:rsidP="00902F3B">
            <w:pPr>
              <w:pBdr>
                <w:top w:val="nil"/>
                <w:left w:val="nil"/>
                <w:bottom w:val="nil"/>
                <w:right w:val="nil"/>
                <w:between w:val="nil"/>
                <w:bar w:val="nil"/>
              </w:pBdr>
              <w:rPr>
                <w:rStyle w:val="dn"/>
                <w:rFonts w:eastAsia="Roboto"/>
                <w:sz w:val="18"/>
                <w:szCs w:val="18"/>
              </w:rPr>
            </w:pPr>
            <w:r w:rsidRPr="008048DD">
              <w:rPr>
                <w:sz w:val="18"/>
                <w:szCs w:val="18"/>
              </w:rPr>
              <w:t>- Información procedente de los documentos normativos</w:t>
            </w:r>
          </w:p>
        </w:tc>
        <w:tc>
          <w:tcPr>
            <w:tcW w:w="2340" w:type="dxa"/>
          </w:tcPr>
          <w:p w14:paraId="755C69FA" w14:textId="77777777" w:rsidR="00B1107F" w:rsidRPr="008048DD" w:rsidRDefault="006C5116" w:rsidP="00902F3B">
            <w:pPr>
              <w:pBdr>
                <w:top w:val="nil"/>
                <w:left w:val="nil"/>
                <w:bottom w:val="nil"/>
                <w:right w:val="nil"/>
                <w:between w:val="nil"/>
                <w:bar w:val="nil"/>
              </w:pBdr>
              <w:rPr>
                <w:rStyle w:val="dn"/>
                <w:rFonts w:eastAsia="Roboto"/>
                <w:sz w:val="18"/>
                <w:szCs w:val="18"/>
              </w:rPr>
            </w:pPr>
            <w:r w:rsidRPr="008048DD">
              <w:rPr>
                <w:sz w:val="18"/>
                <w:szCs w:val="18"/>
              </w:rPr>
              <w:t>Cero</w:t>
            </w:r>
          </w:p>
        </w:tc>
      </w:tr>
      <w:tr w:rsidR="00B1107F" w:rsidRPr="008048DD" w14:paraId="74141EBC" w14:textId="77777777" w:rsidTr="003A6617">
        <w:trPr>
          <w:trHeight w:val="227"/>
          <w:jc w:val="right"/>
        </w:trPr>
        <w:tc>
          <w:tcPr>
            <w:tcW w:w="2830" w:type="dxa"/>
            <w:shd w:val="clear" w:color="auto" w:fill="B8CCE4" w:themeFill="accent1" w:themeFillTint="66"/>
          </w:tcPr>
          <w:p w14:paraId="2F8AEAA7" w14:textId="77777777" w:rsidR="00B1107F" w:rsidRPr="008048DD" w:rsidRDefault="00B1107F" w:rsidP="00C32C4C">
            <w:pPr>
              <w:keepNext/>
              <w:pBdr>
                <w:top w:val="nil"/>
                <w:left w:val="nil"/>
                <w:bottom w:val="nil"/>
                <w:right w:val="nil"/>
                <w:between w:val="nil"/>
                <w:bar w:val="nil"/>
              </w:pBdr>
              <w:tabs>
                <w:tab w:val="left" w:pos="1163"/>
              </w:tabs>
              <w:rPr>
                <w:b/>
                <w:sz w:val="18"/>
                <w:szCs w:val="18"/>
              </w:rPr>
            </w:pPr>
            <w:r w:rsidRPr="008048DD">
              <w:rPr>
                <w:b/>
                <w:bCs/>
                <w:sz w:val="18"/>
                <w:szCs w:val="18"/>
              </w:rPr>
              <w:t>Artículo 14</w:t>
            </w:r>
          </w:p>
        </w:tc>
        <w:tc>
          <w:tcPr>
            <w:tcW w:w="5245" w:type="dxa"/>
            <w:shd w:val="clear" w:color="auto" w:fill="B8CCE4" w:themeFill="accent1" w:themeFillTint="66"/>
          </w:tcPr>
          <w:p w14:paraId="7F58D936" w14:textId="77777777" w:rsidR="00B1107F" w:rsidRPr="008048DD" w:rsidRDefault="00B1107F" w:rsidP="00C32C4C">
            <w:pPr>
              <w:keepNext/>
              <w:pBdr>
                <w:top w:val="nil"/>
                <w:left w:val="nil"/>
                <w:bottom w:val="nil"/>
                <w:right w:val="nil"/>
                <w:between w:val="nil"/>
                <w:bar w:val="nil"/>
              </w:pBdr>
              <w:tabs>
                <w:tab w:val="left" w:pos="1163"/>
              </w:tabs>
              <w:rPr>
                <w:rStyle w:val="dn"/>
                <w:rFonts w:eastAsia="Roboto"/>
                <w:sz w:val="18"/>
                <w:szCs w:val="18"/>
              </w:rPr>
            </w:pPr>
          </w:p>
        </w:tc>
        <w:tc>
          <w:tcPr>
            <w:tcW w:w="2535" w:type="dxa"/>
            <w:shd w:val="clear" w:color="auto" w:fill="B8CCE4" w:themeFill="accent1" w:themeFillTint="66"/>
          </w:tcPr>
          <w:p w14:paraId="0E91F6F0" w14:textId="77777777" w:rsidR="00B1107F" w:rsidRPr="008048DD" w:rsidRDefault="00B1107F" w:rsidP="00C32C4C">
            <w:pPr>
              <w:keepNext/>
              <w:pBdr>
                <w:top w:val="nil"/>
                <w:left w:val="nil"/>
                <w:bottom w:val="nil"/>
                <w:right w:val="nil"/>
                <w:between w:val="nil"/>
                <w:bar w:val="nil"/>
              </w:pBdr>
              <w:tabs>
                <w:tab w:val="left" w:pos="1163"/>
              </w:tabs>
              <w:rPr>
                <w:rStyle w:val="dn"/>
                <w:rFonts w:eastAsia="Roboto"/>
                <w:sz w:val="18"/>
                <w:szCs w:val="18"/>
              </w:rPr>
            </w:pPr>
          </w:p>
        </w:tc>
        <w:tc>
          <w:tcPr>
            <w:tcW w:w="2340" w:type="dxa"/>
            <w:shd w:val="clear" w:color="auto" w:fill="B8CCE4" w:themeFill="accent1" w:themeFillTint="66"/>
          </w:tcPr>
          <w:p w14:paraId="10BB14A8" w14:textId="77777777" w:rsidR="00B1107F" w:rsidRPr="008048DD" w:rsidRDefault="00B1107F" w:rsidP="00C32C4C">
            <w:pPr>
              <w:keepNext/>
              <w:pBdr>
                <w:top w:val="nil"/>
                <w:left w:val="nil"/>
                <w:bottom w:val="nil"/>
                <w:right w:val="nil"/>
                <w:between w:val="nil"/>
                <w:bar w:val="nil"/>
              </w:pBdr>
              <w:tabs>
                <w:tab w:val="left" w:pos="1163"/>
              </w:tabs>
              <w:rPr>
                <w:rStyle w:val="dn"/>
                <w:rFonts w:eastAsia="Roboto"/>
                <w:sz w:val="18"/>
                <w:szCs w:val="18"/>
              </w:rPr>
            </w:pPr>
          </w:p>
        </w:tc>
      </w:tr>
      <w:tr w:rsidR="00B1107F" w:rsidRPr="008048DD" w14:paraId="6A774D00" w14:textId="77777777" w:rsidTr="003A6617">
        <w:trPr>
          <w:trHeight w:val="1276"/>
          <w:jc w:val="right"/>
        </w:trPr>
        <w:tc>
          <w:tcPr>
            <w:tcW w:w="2830" w:type="dxa"/>
          </w:tcPr>
          <w:p w14:paraId="42EC0ADB" w14:textId="77777777" w:rsidR="00B1107F" w:rsidRPr="008048DD" w:rsidRDefault="00B1107F" w:rsidP="00EE7D24">
            <w:pPr>
              <w:pBdr>
                <w:top w:val="nil"/>
                <w:left w:val="nil"/>
                <w:bottom w:val="nil"/>
                <w:right w:val="nil"/>
                <w:between w:val="nil"/>
                <w:bar w:val="nil"/>
              </w:pBdr>
              <w:tabs>
                <w:tab w:val="left" w:pos="1163"/>
              </w:tabs>
              <w:rPr>
                <w:sz w:val="18"/>
                <w:szCs w:val="18"/>
              </w:rPr>
            </w:pPr>
            <w:r w:rsidRPr="008048DD">
              <w:rPr>
                <w:sz w:val="18"/>
                <w:szCs w:val="18"/>
              </w:rPr>
              <w:t>E4. Indicador de procesos en relación con el artículo 14</w:t>
            </w:r>
          </w:p>
        </w:tc>
        <w:tc>
          <w:tcPr>
            <w:tcW w:w="5245" w:type="dxa"/>
          </w:tcPr>
          <w:p w14:paraId="7469576F"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de Partes que han:</w:t>
            </w:r>
          </w:p>
          <w:p w14:paraId="084C4267" w14:textId="77777777" w:rsidR="00B1107F" w:rsidRPr="008048DD" w:rsidRDefault="00E703E1" w:rsidP="00A00B9F">
            <w:pPr>
              <w:pStyle w:val="ListParagraph"/>
              <w:numPr>
                <w:ilvl w:val="0"/>
                <w:numId w:val="18"/>
              </w:numPr>
              <w:pBdr>
                <w:top w:val="nil"/>
                <w:left w:val="nil"/>
                <w:bottom w:val="nil"/>
                <w:right w:val="nil"/>
                <w:between w:val="nil"/>
                <w:bar w:val="nil"/>
              </w:pBdr>
              <w:tabs>
                <w:tab w:val="left" w:pos="1163"/>
              </w:tabs>
              <w:ind w:left="283" w:hanging="170"/>
              <w:rPr>
                <w:rStyle w:val="dn"/>
                <w:rFonts w:eastAsia="Roboto"/>
                <w:sz w:val="18"/>
                <w:szCs w:val="18"/>
              </w:rPr>
            </w:pPr>
            <w:r w:rsidRPr="008048DD">
              <w:rPr>
                <w:sz w:val="18"/>
                <w:szCs w:val="18"/>
              </w:rPr>
              <w:t>Cooperado prestando asistencia técnica y creando capacidad para otra Parte</w:t>
            </w:r>
          </w:p>
          <w:p w14:paraId="709C0D4E" w14:textId="77777777" w:rsidR="00B1107F" w:rsidRPr="008048DD" w:rsidRDefault="00E703E1" w:rsidP="00A00B9F">
            <w:pPr>
              <w:pStyle w:val="ListParagraph"/>
              <w:numPr>
                <w:ilvl w:val="0"/>
                <w:numId w:val="18"/>
              </w:numPr>
              <w:pBdr>
                <w:top w:val="nil"/>
                <w:left w:val="nil"/>
                <w:bottom w:val="nil"/>
                <w:right w:val="nil"/>
                <w:between w:val="nil"/>
                <w:bar w:val="nil"/>
              </w:pBdr>
              <w:tabs>
                <w:tab w:val="left" w:pos="1163"/>
              </w:tabs>
              <w:ind w:left="283" w:hanging="170"/>
              <w:rPr>
                <w:rStyle w:val="dn"/>
                <w:rFonts w:eastAsia="Roboto"/>
                <w:sz w:val="18"/>
                <w:szCs w:val="18"/>
              </w:rPr>
            </w:pPr>
            <w:r w:rsidRPr="008048DD">
              <w:rPr>
                <w:sz w:val="18"/>
                <w:szCs w:val="18"/>
              </w:rPr>
              <w:t>Asistencia técnica solicitada</w:t>
            </w:r>
          </w:p>
          <w:p w14:paraId="2DB769C4" w14:textId="77777777" w:rsidR="00B1107F" w:rsidRPr="008048DD" w:rsidRDefault="00E703E1" w:rsidP="00A00B9F">
            <w:pPr>
              <w:pStyle w:val="ListParagraph"/>
              <w:numPr>
                <w:ilvl w:val="0"/>
                <w:numId w:val="18"/>
              </w:numPr>
              <w:pBdr>
                <w:top w:val="nil"/>
                <w:left w:val="nil"/>
                <w:bottom w:val="nil"/>
                <w:right w:val="nil"/>
                <w:between w:val="nil"/>
                <w:bar w:val="nil"/>
              </w:pBdr>
              <w:tabs>
                <w:tab w:val="left" w:pos="1163"/>
              </w:tabs>
              <w:ind w:left="283" w:hanging="170"/>
              <w:rPr>
                <w:rStyle w:val="dn"/>
                <w:rFonts w:eastAsia="Roboto"/>
                <w:sz w:val="18"/>
                <w:szCs w:val="18"/>
              </w:rPr>
            </w:pPr>
            <w:r w:rsidRPr="008048DD">
              <w:rPr>
                <w:sz w:val="18"/>
                <w:szCs w:val="18"/>
              </w:rPr>
              <w:t>Creación de capacidad o asistencia técnica recibidas</w:t>
            </w:r>
          </w:p>
          <w:p w14:paraId="70614490" w14:textId="77777777" w:rsidR="00B1107F" w:rsidRPr="008048DD" w:rsidRDefault="00E703E1" w:rsidP="00A00B9F">
            <w:pPr>
              <w:pStyle w:val="ListParagraph"/>
              <w:numPr>
                <w:ilvl w:val="0"/>
                <w:numId w:val="18"/>
              </w:numPr>
              <w:pBdr>
                <w:top w:val="nil"/>
                <w:left w:val="nil"/>
                <w:bottom w:val="nil"/>
                <w:right w:val="nil"/>
                <w:between w:val="nil"/>
                <w:bar w:val="nil"/>
              </w:pBdr>
              <w:tabs>
                <w:tab w:val="left" w:pos="1163"/>
              </w:tabs>
              <w:ind w:left="283" w:hanging="170"/>
              <w:rPr>
                <w:rStyle w:val="dn"/>
                <w:rFonts w:eastAsia="Roboto"/>
                <w:sz w:val="18"/>
                <w:szCs w:val="18"/>
              </w:rPr>
            </w:pPr>
            <w:r w:rsidRPr="008048DD">
              <w:rPr>
                <w:sz w:val="18"/>
                <w:szCs w:val="18"/>
              </w:rPr>
              <w:t xml:space="preserve">Transferencia de tecnología promovida o facilitada </w:t>
            </w:r>
          </w:p>
        </w:tc>
        <w:tc>
          <w:tcPr>
            <w:tcW w:w="2535" w:type="dxa"/>
          </w:tcPr>
          <w:p w14:paraId="5E9049A3" w14:textId="77777777" w:rsidR="00B1107F" w:rsidRPr="008048DD" w:rsidRDefault="00B1107F" w:rsidP="00EE7D24">
            <w:pPr>
              <w:pBdr>
                <w:top w:val="nil"/>
                <w:left w:val="nil"/>
                <w:bottom w:val="nil"/>
                <w:right w:val="nil"/>
                <w:between w:val="nil"/>
                <w:bar w:val="nil"/>
              </w:pBdr>
              <w:tabs>
                <w:tab w:val="left" w:pos="1163"/>
              </w:tabs>
              <w:rPr>
                <w:iCs/>
                <w:sz w:val="18"/>
                <w:szCs w:val="18"/>
              </w:rPr>
            </w:pPr>
            <w:r w:rsidRPr="008048DD">
              <w:rPr>
                <w:sz w:val="18"/>
                <w:szCs w:val="18"/>
              </w:rPr>
              <w:t>- Presentación de info</w:t>
            </w:r>
            <w:r w:rsidR="005410EC" w:rsidRPr="008048DD">
              <w:rPr>
                <w:sz w:val="18"/>
                <w:szCs w:val="18"/>
              </w:rPr>
              <w:t>rmes con arreglo al artículo 21</w:t>
            </w:r>
          </w:p>
          <w:p w14:paraId="6065DFD5" w14:textId="77777777" w:rsidR="00B1107F" w:rsidRPr="008048DD" w:rsidRDefault="00B1107F"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 Otras fuentes públicas</w:t>
            </w:r>
          </w:p>
        </w:tc>
        <w:tc>
          <w:tcPr>
            <w:tcW w:w="2340" w:type="dxa"/>
          </w:tcPr>
          <w:p w14:paraId="3F48E49E" w14:textId="77777777" w:rsidR="00B1107F" w:rsidRPr="008048DD" w:rsidRDefault="006C5116" w:rsidP="00EE7D24">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643E5E55" w14:textId="77777777" w:rsidTr="003A6617">
        <w:trPr>
          <w:trHeight w:val="454"/>
          <w:jc w:val="right"/>
        </w:trPr>
        <w:tc>
          <w:tcPr>
            <w:tcW w:w="2830" w:type="dxa"/>
            <w:shd w:val="clear" w:color="auto" w:fill="B8CCE4" w:themeFill="accent1" w:themeFillTint="66"/>
          </w:tcPr>
          <w:p w14:paraId="7DD1DD67" w14:textId="77777777" w:rsidR="00B1107F" w:rsidRPr="008048DD" w:rsidRDefault="00B1107F" w:rsidP="00EE7D24">
            <w:pPr>
              <w:rPr>
                <w:b/>
                <w:bCs/>
                <w:sz w:val="18"/>
                <w:szCs w:val="18"/>
              </w:rPr>
            </w:pPr>
            <w:r w:rsidRPr="008048DD">
              <w:rPr>
                <w:b/>
                <w:bCs/>
                <w:sz w:val="18"/>
                <w:szCs w:val="18"/>
              </w:rPr>
              <w:t>Notas</w:t>
            </w:r>
          </w:p>
        </w:tc>
        <w:tc>
          <w:tcPr>
            <w:tcW w:w="10120" w:type="dxa"/>
            <w:gridSpan w:val="3"/>
          </w:tcPr>
          <w:p w14:paraId="7727A18A" w14:textId="77777777" w:rsidR="00B1107F" w:rsidRPr="008048DD"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48DD">
              <w:rPr>
                <w:sz w:val="18"/>
                <w:szCs w:val="18"/>
              </w:rPr>
              <w:t xml:space="preserve">El ciclo de examen del mecanismo financiero bien puede no coincidir con el ciclo de evaluación de la eficacia. </w:t>
            </w:r>
          </w:p>
          <w:p w14:paraId="466D2557" w14:textId="77777777" w:rsidR="00B1107F" w:rsidRPr="008048DD" w:rsidRDefault="00B1107F" w:rsidP="00A00B9F">
            <w:pPr>
              <w:pStyle w:val="ListParagraph"/>
              <w:numPr>
                <w:ilvl w:val="0"/>
                <w:numId w:val="20"/>
              </w:numPr>
              <w:pBdr>
                <w:top w:val="nil"/>
                <w:left w:val="nil"/>
                <w:bottom w:val="nil"/>
                <w:right w:val="nil"/>
                <w:between w:val="nil"/>
                <w:bar w:val="nil"/>
              </w:pBdr>
              <w:tabs>
                <w:tab w:val="left" w:pos="1872"/>
              </w:tabs>
              <w:rPr>
                <w:sz w:val="18"/>
                <w:szCs w:val="18"/>
              </w:rPr>
            </w:pPr>
            <w:r w:rsidRPr="008048DD">
              <w:rPr>
                <w:sz w:val="18"/>
                <w:szCs w:val="18"/>
              </w:rPr>
              <w:t>Como el formato de presentación de informes no solicita valores en dólares para los recursos proporcionados, tal vez haya que consultar a o</w:t>
            </w:r>
            <w:r w:rsidR="00467D4C" w:rsidRPr="008048DD">
              <w:rPr>
                <w:sz w:val="18"/>
                <w:szCs w:val="18"/>
              </w:rPr>
              <w:t>t</w:t>
            </w:r>
            <w:r w:rsidRPr="008048DD">
              <w:rPr>
                <w:sz w:val="18"/>
                <w:szCs w:val="18"/>
              </w:rPr>
              <w:t xml:space="preserve">ras fuentes públicas. </w:t>
            </w:r>
          </w:p>
        </w:tc>
      </w:tr>
    </w:tbl>
    <w:p w14:paraId="47B5DA04" w14:textId="77777777" w:rsidR="00B1107F" w:rsidRPr="008048DD" w:rsidRDefault="00B1107F" w:rsidP="00B1107F">
      <w:pPr>
        <w:rPr>
          <w:sz w:val="18"/>
          <w:szCs w:val="18"/>
        </w:rPr>
      </w:pPr>
    </w:p>
    <w:tbl>
      <w:tblPr>
        <w:tblStyle w:val="TableGrid"/>
        <w:tblW w:w="5000" w:type="pct"/>
        <w:jc w:val="right"/>
        <w:tblLayout w:type="fixed"/>
        <w:tblLook w:val="04A0" w:firstRow="1" w:lastRow="0" w:firstColumn="1" w:lastColumn="0" w:noHBand="0" w:noVBand="1"/>
      </w:tblPr>
      <w:tblGrid>
        <w:gridCol w:w="3151"/>
        <w:gridCol w:w="5916"/>
        <w:gridCol w:w="2676"/>
        <w:gridCol w:w="2677"/>
      </w:tblGrid>
      <w:tr w:rsidR="00B1107F" w:rsidRPr="008048DD" w14:paraId="1D4A5A32" w14:textId="77777777" w:rsidTr="00232941">
        <w:trPr>
          <w:trHeight w:val="454"/>
          <w:jc w:val="right"/>
        </w:trPr>
        <w:tc>
          <w:tcPr>
            <w:tcW w:w="8143" w:type="dxa"/>
            <w:gridSpan w:val="2"/>
            <w:shd w:val="clear" w:color="auto" w:fill="B8CCE4" w:themeFill="accent1" w:themeFillTint="66"/>
          </w:tcPr>
          <w:p w14:paraId="26799DF3" w14:textId="77777777" w:rsidR="00B1107F" w:rsidRPr="007B20DF" w:rsidRDefault="00B1107F" w:rsidP="007B20DF">
            <w:pPr>
              <w:rPr>
                <w:b/>
                <w:bCs/>
                <w:sz w:val="18"/>
                <w:szCs w:val="18"/>
              </w:rPr>
            </w:pPr>
            <w:r w:rsidRPr="007B20DF">
              <w:rPr>
                <w:b/>
                <w:bCs/>
                <w:sz w:val="18"/>
                <w:szCs w:val="18"/>
              </w:rPr>
              <w:t>F: Artículo 15 (Comité de Aplicación y Cumplimiento)</w:t>
            </w:r>
          </w:p>
        </w:tc>
        <w:tc>
          <w:tcPr>
            <w:tcW w:w="2403" w:type="dxa"/>
            <w:shd w:val="clear" w:color="auto" w:fill="B8CCE4" w:themeFill="accent1" w:themeFillTint="66"/>
          </w:tcPr>
          <w:p w14:paraId="22AD4C98" w14:textId="2C534DA8" w:rsidR="00B1107F" w:rsidRPr="007B20DF" w:rsidRDefault="00B1107F" w:rsidP="007B20DF">
            <w:pPr>
              <w:rPr>
                <w:rFonts w:eastAsia="Roboto"/>
                <w:b/>
                <w:bCs/>
                <w:sz w:val="18"/>
                <w:szCs w:val="18"/>
              </w:rPr>
            </w:pPr>
            <w:r w:rsidRPr="007B20DF">
              <w:rPr>
                <w:b/>
                <w:bCs/>
                <w:sz w:val="18"/>
                <w:szCs w:val="18"/>
              </w:rPr>
              <w:t>Fuente de información sobre el indica</w:t>
            </w:r>
            <w:r w:rsidR="00D11223" w:rsidRPr="007B20DF">
              <w:rPr>
                <w:b/>
                <w:bCs/>
                <w:sz w:val="18"/>
                <w:szCs w:val="18"/>
              </w:rPr>
              <w:t>dor</w:t>
            </w:r>
          </w:p>
        </w:tc>
        <w:tc>
          <w:tcPr>
            <w:tcW w:w="2404" w:type="dxa"/>
            <w:shd w:val="clear" w:color="auto" w:fill="B8CCE4" w:themeFill="accent1" w:themeFillTint="66"/>
          </w:tcPr>
          <w:p w14:paraId="6D602A79" w14:textId="1F60619E" w:rsidR="00B1107F" w:rsidRPr="007B20DF" w:rsidRDefault="00B1107F" w:rsidP="007B20DF">
            <w:pPr>
              <w:rPr>
                <w:rFonts w:eastAsia="Roboto"/>
                <w:b/>
                <w:bCs/>
                <w:sz w:val="18"/>
                <w:szCs w:val="18"/>
              </w:rPr>
            </w:pPr>
            <w:r w:rsidRPr="007B20DF">
              <w:rPr>
                <w:b/>
                <w:bCs/>
                <w:sz w:val="18"/>
                <w:szCs w:val="18"/>
              </w:rPr>
              <w:t>Parámetro de referencia del indic</w:t>
            </w:r>
            <w:r w:rsidR="00D11223" w:rsidRPr="007B20DF">
              <w:rPr>
                <w:b/>
                <w:bCs/>
                <w:sz w:val="18"/>
                <w:szCs w:val="18"/>
              </w:rPr>
              <w:t>ador</w:t>
            </w:r>
          </w:p>
        </w:tc>
      </w:tr>
      <w:tr w:rsidR="00B1107F" w:rsidRPr="008048DD" w14:paraId="09CA9704" w14:textId="77777777" w:rsidTr="00232941">
        <w:trPr>
          <w:trHeight w:val="624"/>
          <w:jc w:val="right"/>
        </w:trPr>
        <w:tc>
          <w:tcPr>
            <w:tcW w:w="2830" w:type="dxa"/>
          </w:tcPr>
          <w:p w14:paraId="4872FBEB" w14:textId="77777777" w:rsidR="00B1107F" w:rsidRPr="008048DD" w:rsidRDefault="00B1107F" w:rsidP="00EE7D24">
            <w:pPr>
              <w:rPr>
                <w:sz w:val="18"/>
                <w:szCs w:val="18"/>
              </w:rPr>
            </w:pPr>
            <w:r w:rsidRPr="008048DD">
              <w:rPr>
                <w:sz w:val="18"/>
                <w:szCs w:val="18"/>
              </w:rPr>
              <w:t>F1. Indicador de procesos</w:t>
            </w:r>
          </w:p>
        </w:tc>
        <w:tc>
          <w:tcPr>
            <w:tcW w:w="5313" w:type="dxa"/>
          </w:tcPr>
          <w:p w14:paraId="7E373258" w14:textId="77777777" w:rsidR="00B1107F" w:rsidRPr="008048DD" w:rsidRDefault="00B1107F" w:rsidP="00EE7D24">
            <w:pPr>
              <w:rPr>
                <w:sz w:val="18"/>
                <w:szCs w:val="18"/>
              </w:rPr>
            </w:pPr>
            <w:r w:rsidRPr="008048DD">
              <w:rPr>
                <w:sz w:val="18"/>
                <w:szCs w:val="18"/>
              </w:rPr>
              <w:t>Porcentaje de cuestiones que el Comité de Aplicación y Cumplimiento pudo resolver, en particular indicios de problemas sistémicos, de haberlos habido</w:t>
            </w:r>
          </w:p>
        </w:tc>
        <w:tc>
          <w:tcPr>
            <w:tcW w:w="2403" w:type="dxa"/>
          </w:tcPr>
          <w:p w14:paraId="26936137" w14:textId="77777777" w:rsidR="00B1107F" w:rsidRPr="008048DD" w:rsidRDefault="00B1107F" w:rsidP="00EE7D24">
            <w:pPr>
              <w:rPr>
                <w:sz w:val="18"/>
                <w:szCs w:val="18"/>
              </w:rPr>
            </w:pPr>
            <w:r w:rsidRPr="008048DD">
              <w:rPr>
                <w:sz w:val="18"/>
                <w:szCs w:val="18"/>
              </w:rPr>
              <w:t>- Informe del Comité de Aplicación y Cumplimiento, a que se hace referencia en el artículo 21</w:t>
            </w:r>
          </w:p>
        </w:tc>
        <w:tc>
          <w:tcPr>
            <w:tcW w:w="2404" w:type="dxa"/>
          </w:tcPr>
          <w:p w14:paraId="7F054F92" w14:textId="77777777" w:rsidR="00B1107F" w:rsidRPr="008048DD" w:rsidRDefault="006C5116" w:rsidP="00EE7D24">
            <w:pPr>
              <w:rPr>
                <w:sz w:val="18"/>
                <w:szCs w:val="18"/>
              </w:rPr>
            </w:pPr>
            <w:r w:rsidRPr="008048DD">
              <w:rPr>
                <w:sz w:val="18"/>
                <w:szCs w:val="18"/>
              </w:rPr>
              <w:t>Número en la primera evaluación</w:t>
            </w:r>
          </w:p>
        </w:tc>
      </w:tr>
      <w:tr w:rsidR="00B1107F" w:rsidRPr="008048DD" w14:paraId="5C142850" w14:textId="77777777" w:rsidTr="00902F3B">
        <w:trPr>
          <w:trHeight w:val="227"/>
          <w:jc w:val="right"/>
        </w:trPr>
        <w:tc>
          <w:tcPr>
            <w:tcW w:w="2830" w:type="dxa"/>
            <w:shd w:val="clear" w:color="auto" w:fill="B8CCE4" w:themeFill="accent1" w:themeFillTint="66"/>
          </w:tcPr>
          <w:p w14:paraId="3C103B69" w14:textId="77777777" w:rsidR="00B1107F" w:rsidRPr="008048DD" w:rsidRDefault="00B1107F" w:rsidP="00EE7D24">
            <w:pPr>
              <w:rPr>
                <w:b/>
                <w:bCs/>
                <w:sz w:val="18"/>
                <w:szCs w:val="18"/>
              </w:rPr>
            </w:pPr>
            <w:r w:rsidRPr="008048DD">
              <w:rPr>
                <w:b/>
                <w:bCs/>
                <w:sz w:val="18"/>
                <w:szCs w:val="18"/>
              </w:rPr>
              <w:t>Notas</w:t>
            </w:r>
          </w:p>
        </w:tc>
        <w:tc>
          <w:tcPr>
            <w:tcW w:w="10120" w:type="dxa"/>
            <w:gridSpan w:val="3"/>
          </w:tcPr>
          <w:p w14:paraId="55C40582" w14:textId="77777777" w:rsidR="00B1107F" w:rsidRPr="008048DD" w:rsidRDefault="00772D69" w:rsidP="00A00B9F">
            <w:pPr>
              <w:pStyle w:val="ListParagraph"/>
              <w:numPr>
                <w:ilvl w:val="0"/>
                <w:numId w:val="20"/>
              </w:numPr>
              <w:pBdr>
                <w:top w:val="nil"/>
                <w:left w:val="nil"/>
                <w:bottom w:val="nil"/>
                <w:right w:val="nil"/>
                <w:between w:val="nil"/>
                <w:bar w:val="nil"/>
              </w:pBdr>
              <w:tabs>
                <w:tab w:val="left" w:pos="1872"/>
              </w:tabs>
              <w:rPr>
                <w:spacing w:val="-2"/>
                <w:sz w:val="18"/>
                <w:szCs w:val="18"/>
              </w:rPr>
            </w:pPr>
            <w:r w:rsidRPr="008048DD">
              <w:rPr>
                <w:sz w:val="18"/>
                <w:szCs w:val="18"/>
              </w:rPr>
              <w:t>La Conferencia de las Partes deberá examinar el mandato del Comité de Aplicación y Cumplimiento en su tercera reunión.</w:t>
            </w:r>
          </w:p>
        </w:tc>
      </w:tr>
    </w:tbl>
    <w:p w14:paraId="0C5B67F9" w14:textId="77777777" w:rsidR="00B1107F" w:rsidRPr="008048DD" w:rsidRDefault="00B1107F" w:rsidP="00B1107F">
      <w:pPr>
        <w:rPr>
          <w:sz w:val="18"/>
          <w:szCs w:val="18"/>
        </w:rPr>
      </w:pPr>
    </w:p>
    <w:tbl>
      <w:tblPr>
        <w:tblStyle w:val="TableGrid"/>
        <w:tblW w:w="5000" w:type="pct"/>
        <w:jc w:val="right"/>
        <w:tblLayout w:type="fixed"/>
        <w:tblLook w:val="04A0" w:firstRow="1" w:lastRow="0" w:firstColumn="1" w:lastColumn="0" w:noHBand="0" w:noVBand="1"/>
      </w:tblPr>
      <w:tblGrid>
        <w:gridCol w:w="3152"/>
        <w:gridCol w:w="5840"/>
        <w:gridCol w:w="2785"/>
        <w:gridCol w:w="2643"/>
      </w:tblGrid>
      <w:tr w:rsidR="00B1107F" w:rsidRPr="008048DD" w14:paraId="47FEF469" w14:textId="77777777" w:rsidTr="00232941">
        <w:trPr>
          <w:trHeight w:val="454"/>
          <w:jc w:val="right"/>
        </w:trPr>
        <w:tc>
          <w:tcPr>
            <w:tcW w:w="8075" w:type="dxa"/>
            <w:gridSpan w:val="2"/>
            <w:shd w:val="clear" w:color="auto" w:fill="B8CCE4" w:themeFill="accent1" w:themeFillTint="66"/>
          </w:tcPr>
          <w:p w14:paraId="29B065F1" w14:textId="77777777" w:rsidR="004D78F9" w:rsidRPr="008048DD" w:rsidRDefault="00B1107F" w:rsidP="000036E7">
            <w:pPr>
              <w:rPr>
                <w:rStyle w:val="dn"/>
                <w:rFonts w:eastAsia="Roboto"/>
                <w:b/>
                <w:sz w:val="18"/>
                <w:szCs w:val="18"/>
              </w:rPr>
            </w:pPr>
            <w:r w:rsidRPr="008048DD">
              <w:rPr>
                <w:b/>
                <w:bCs/>
                <w:sz w:val="18"/>
                <w:szCs w:val="18"/>
              </w:rPr>
              <w:t>G: Artículo 16 (aspectos relacionados con la salud)</w:t>
            </w:r>
            <w:r w:rsidRPr="008048DD">
              <w:rPr>
                <w:sz w:val="18"/>
                <w:szCs w:val="18"/>
              </w:rPr>
              <w:t xml:space="preserve"> </w:t>
            </w:r>
          </w:p>
          <w:p w14:paraId="6F43A803" w14:textId="5C54ABCE" w:rsidR="00B1107F" w:rsidRPr="008048DD" w:rsidRDefault="00B1107F" w:rsidP="000036E7">
            <w:pPr>
              <w:rPr>
                <w:rFonts w:eastAsia="Roboto"/>
                <w:b/>
                <w:sz w:val="18"/>
                <w:szCs w:val="18"/>
              </w:rPr>
            </w:pPr>
            <w:r w:rsidRPr="008048DD">
              <w:rPr>
                <w:sz w:val="18"/>
                <w:szCs w:val="18"/>
              </w:rPr>
              <w:t>(El indicador relacionado con el artículo 1</w:t>
            </w:r>
            <w:r w:rsidR="00910D82" w:rsidRPr="008048DD">
              <w:rPr>
                <w:sz w:val="18"/>
                <w:szCs w:val="18"/>
              </w:rPr>
              <w:t>6</w:t>
            </w:r>
            <w:r w:rsidRPr="008048DD">
              <w:rPr>
                <w:sz w:val="18"/>
                <w:szCs w:val="18"/>
              </w:rPr>
              <w:t xml:space="preserve"> debe leerse junto con el indicador de vigilancia correspondiente señalado en el cuadro 4).</w:t>
            </w:r>
          </w:p>
        </w:tc>
        <w:tc>
          <w:tcPr>
            <w:tcW w:w="2501" w:type="dxa"/>
            <w:shd w:val="clear" w:color="auto" w:fill="B8CCE4" w:themeFill="accent1" w:themeFillTint="66"/>
          </w:tcPr>
          <w:p w14:paraId="119176A6" w14:textId="77777777" w:rsidR="00B1107F" w:rsidRPr="008048DD" w:rsidRDefault="00B1107F" w:rsidP="000036E7">
            <w:pPr>
              <w:rPr>
                <w:rStyle w:val="dn"/>
                <w:rFonts w:eastAsia="Roboto"/>
                <w:b/>
                <w:sz w:val="18"/>
                <w:szCs w:val="18"/>
              </w:rPr>
            </w:pPr>
            <w:r w:rsidRPr="008048DD">
              <w:rPr>
                <w:b/>
                <w:bCs/>
                <w:sz w:val="18"/>
                <w:szCs w:val="18"/>
              </w:rPr>
              <w:t>Fuente de información sobre el indicador</w:t>
            </w:r>
          </w:p>
        </w:tc>
        <w:tc>
          <w:tcPr>
            <w:tcW w:w="2374" w:type="dxa"/>
            <w:shd w:val="clear" w:color="auto" w:fill="B8CCE4" w:themeFill="accent1" w:themeFillTint="66"/>
          </w:tcPr>
          <w:p w14:paraId="14818604" w14:textId="77777777" w:rsidR="00B1107F" w:rsidRPr="008048DD" w:rsidRDefault="00B1107F" w:rsidP="000036E7">
            <w:pPr>
              <w:rPr>
                <w:rStyle w:val="dn"/>
                <w:rFonts w:eastAsia="Roboto"/>
                <w:b/>
                <w:sz w:val="18"/>
                <w:szCs w:val="18"/>
              </w:rPr>
            </w:pPr>
            <w:r w:rsidRPr="008048DD">
              <w:rPr>
                <w:b/>
                <w:bCs/>
                <w:sz w:val="18"/>
                <w:szCs w:val="18"/>
              </w:rPr>
              <w:t>Parámetro de referencia del indicador</w:t>
            </w:r>
          </w:p>
        </w:tc>
      </w:tr>
      <w:tr w:rsidR="00B1107F" w:rsidRPr="008048DD" w14:paraId="25B72E5A" w14:textId="77777777" w:rsidTr="00232941">
        <w:trPr>
          <w:trHeight w:val="454"/>
          <w:jc w:val="right"/>
        </w:trPr>
        <w:tc>
          <w:tcPr>
            <w:tcW w:w="2830" w:type="dxa"/>
          </w:tcPr>
          <w:p w14:paraId="1AF33963" w14:textId="77777777" w:rsidR="00B1107F" w:rsidRPr="008048DD" w:rsidRDefault="00B1107F" w:rsidP="00EE7D24">
            <w:pPr>
              <w:rPr>
                <w:sz w:val="18"/>
                <w:szCs w:val="18"/>
              </w:rPr>
            </w:pPr>
            <w:r w:rsidRPr="008048DD">
              <w:rPr>
                <w:sz w:val="18"/>
                <w:szCs w:val="18"/>
              </w:rPr>
              <w:t>G1. Indicador de vigilancia</w:t>
            </w:r>
          </w:p>
        </w:tc>
        <w:tc>
          <w:tcPr>
            <w:tcW w:w="5245" w:type="dxa"/>
          </w:tcPr>
          <w:p w14:paraId="7FED4B40" w14:textId="77777777" w:rsidR="00B1107F" w:rsidRPr="008048DD" w:rsidRDefault="00B1107F" w:rsidP="00EE7D24">
            <w:pPr>
              <w:rPr>
                <w:sz w:val="18"/>
                <w:szCs w:val="18"/>
              </w:rPr>
            </w:pPr>
            <w:r w:rsidRPr="008048DD">
              <w:rPr>
                <w:sz w:val="18"/>
                <w:szCs w:val="18"/>
              </w:rPr>
              <w:t xml:space="preserve">Niveles de mercurio en determinadas poblaciones humanas (tal como se definen en los </w:t>
            </w:r>
            <w:r w:rsidR="00891F8B" w:rsidRPr="008048DD">
              <w:rPr>
                <w:sz w:val="18"/>
                <w:szCs w:val="18"/>
              </w:rPr>
              <w:t>arreglos de vigilancia</w:t>
            </w:r>
            <w:r w:rsidRPr="008048DD">
              <w:rPr>
                <w:sz w:val="18"/>
                <w:szCs w:val="18"/>
              </w:rPr>
              <w:t>)</w:t>
            </w:r>
          </w:p>
        </w:tc>
        <w:tc>
          <w:tcPr>
            <w:tcW w:w="2501" w:type="dxa"/>
          </w:tcPr>
          <w:p w14:paraId="4D6CD09B" w14:textId="77777777" w:rsidR="00B1107F" w:rsidRPr="008048DD" w:rsidRDefault="00B1107F" w:rsidP="00EE7D24">
            <w:pPr>
              <w:rPr>
                <w:sz w:val="18"/>
                <w:szCs w:val="18"/>
              </w:rPr>
            </w:pPr>
            <w:r w:rsidRPr="008048DD">
              <w:rPr>
                <w:sz w:val="18"/>
                <w:szCs w:val="18"/>
              </w:rPr>
              <w:t>- Datos y las actividades de vigilancia existentes</w:t>
            </w:r>
          </w:p>
        </w:tc>
        <w:tc>
          <w:tcPr>
            <w:tcW w:w="2374" w:type="dxa"/>
          </w:tcPr>
          <w:p w14:paraId="628BBBF9" w14:textId="77777777" w:rsidR="00B1107F" w:rsidRPr="008048DD" w:rsidRDefault="006C5116" w:rsidP="00EE7D24">
            <w:pPr>
              <w:rPr>
                <w:sz w:val="18"/>
                <w:szCs w:val="18"/>
              </w:rPr>
            </w:pPr>
            <w:r w:rsidRPr="008048DD">
              <w:rPr>
                <w:sz w:val="18"/>
                <w:szCs w:val="18"/>
              </w:rPr>
              <w:t>Número en la primera evaluación</w:t>
            </w:r>
          </w:p>
        </w:tc>
      </w:tr>
      <w:tr w:rsidR="00B1107F" w:rsidRPr="008048DD" w14:paraId="10E674DC" w14:textId="77777777" w:rsidTr="00232941">
        <w:trPr>
          <w:trHeight w:val="624"/>
          <w:jc w:val="right"/>
        </w:trPr>
        <w:tc>
          <w:tcPr>
            <w:tcW w:w="2830" w:type="dxa"/>
          </w:tcPr>
          <w:p w14:paraId="7F7A05F0" w14:textId="77777777" w:rsidR="00B1107F" w:rsidRPr="008048DD" w:rsidRDefault="00B1107F" w:rsidP="00EE7D24">
            <w:pPr>
              <w:rPr>
                <w:sz w:val="18"/>
                <w:szCs w:val="18"/>
              </w:rPr>
            </w:pPr>
            <w:r w:rsidRPr="008048DD">
              <w:rPr>
                <w:sz w:val="18"/>
                <w:szCs w:val="18"/>
              </w:rPr>
              <w:t>G2. Indicador de procesos</w:t>
            </w:r>
          </w:p>
        </w:tc>
        <w:tc>
          <w:tcPr>
            <w:tcW w:w="5245" w:type="dxa"/>
          </w:tcPr>
          <w:p w14:paraId="0742C0D3" w14:textId="77777777" w:rsidR="00B1107F" w:rsidRPr="008048DD" w:rsidRDefault="00B1107F" w:rsidP="00EE7D24">
            <w:pPr>
              <w:rPr>
                <w:sz w:val="18"/>
                <w:szCs w:val="18"/>
              </w:rPr>
            </w:pPr>
            <w:r w:rsidRPr="008048DD">
              <w:rPr>
                <w:sz w:val="18"/>
                <w:szCs w:val="18"/>
              </w:rPr>
              <w:t>Número de Partes que han adoptado medidas, como servicios de asesoramiento sobre pesca, para informar al público sobre la exposición al mercurio, de conformidad con el párrafo 1 del artículo 16</w:t>
            </w:r>
          </w:p>
        </w:tc>
        <w:tc>
          <w:tcPr>
            <w:tcW w:w="2501" w:type="dxa"/>
          </w:tcPr>
          <w:p w14:paraId="26EC2337" w14:textId="77777777" w:rsidR="00B1107F" w:rsidRPr="008048DD" w:rsidRDefault="005410EC" w:rsidP="00EE7D24">
            <w:pPr>
              <w:rPr>
                <w:sz w:val="18"/>
                <w:szCs w:val="18"/>
              </w:rPr>
            </w:pPr>
            <w:r w:rsidRPr="008048DD">
              <w:rPr>
                <w:iCs/>
                <w:sz w:val="18"/>
                <w:szCs w:val="18"/>
              </w:rPr>
              <w:t xml:space="preserve">- </w:t>
            </w:r>
            <w:r w:rsidRPr="008048DD">
              <w:rPr>
                <w:sz w:val="18"/>
                <w:szCs w:val="18"/>
              </w:rPr>
              <w:t>Presentación de informes con arreglo al artículo 21</w:t>
            </w:r>
          </w:p>
        </w:tc>
        <w:tc>
          <w:tcPr>
            <w:tcW w:w="2374" w:type="dxa"/>
          </w:tcPr>
          <w:p w14:paraId="4C0FB02C" w14:textId="77777777" w:rsidR="00B1107F" w:rsidRPr="008048DD" w:rsidRDefault="005410EC" w:rsidP="00EE7D24">
            <w:pPr>
              <w:rPr>
                <w:sz w:val="18"/>
                <w:szCs w:val="18"/>
              </w:rPr>
            </w:pPr>
            <w:r w:rsidRPr="008048DD">
              <w:rPr>
                <w:sz w:val="18"/>
                <w:szCs w:val="18"/>
              </w:rPr>
              <w:t>Número en la primera evaluación</w:t>
            </w:r>
          </w:p>
        </w:tc>
      </w:tr>
      <w:tr w:rsidR="00B1107F" w:rsidRPr="008048DD" w14:paraId="1A55BD08" w14:textId="77777777" w:rsidTr="00232941">
        <w:trPr>
          <w:trHeight w:val="454"/>
          <w:jc w:val="right"/>
        </w:trPr>
        <w:tc>
          <w:tcPr>
            <w:tcW w:w="2830" w:type="dxa"/>
          </w:tcPr>
          <w:p w14:paraId="741DCC79" w14:textId="77777777" w:rsidR="00B1107F" w:rsidRPr="008048DD" w:rsidRDefault="00B1107F" w:rsidP="005410EC">
            <w:pPr>
              <w:rPr>
                <w:sz w:val="18"/>
                <w:szCs w:val="18"/>
              </w:rPr>
            </w:pPr>
            <w:r w:rsidRPr="008048DD">
              <w:rPr>
                <w:sz w:val="18"/>
                <w:szCs w:val="18"/>
              </w:rPr>
              <w:t xml:space="preserve">G3. </w:t>
            </w:r>
            <w:r w:rsidR="005410EC" w:rsidRPr="008048DD">
              <w:rPr>
                <w:sz w:val="18"/>
                <w:szCs w:val="18"/>
              </w:rPr>
              <w:t>Indicador de procesos</w:t>
            </w:r>
          </w:p>
        </w:tc>
        <w:tc>
          <w:tcPr>
            <w:tcW w:w="5245" w:type="dxa"/>
          </w:tcPr>
          <w:p w14:paraId="363A32C5" w14:textId="77777777" w:rsidR="00B1107F" w:rsidRPr="008048DD" w:rsidRDefault="00B1107F" w:rsidP="005410EC">
            <w:pPr>
              <w:rPr>
                <w:sz w:val="18"/>
                <w:szCs w:val="18"/>
              </w:rPr>
            </w:pPr>
            <w:r w:rsidRPr="008048DD">
              <w:rPr>
                <w:sz w:val="18"/>
                <w:szCs w:val="18"/>
              </w:rPr>
              <w:t>N</w:t>
            </w:r>
            <w:r w:rsidR="005410EC" w:rsidRPr="008048DD">
              <w:rPr>
                <w:sz w:val="18"/>
                <w:szCs w:val="18"/>
              </w:rPr>
              <w:t>úmero de Partes que han adoptado medidas para proteger la salud humana, de conformidad con el artículo</w:t>
            </w:r>
            <w:r w:rsidRPr="008048DD">
              <w:rPr>
                <w:sz w:val="18"/>
                <w:szCs w:val="18"/>
              </w:rPr>
              <w:t xml:space="preserve"> 16</w:t>
            </w:r>
          </w:p>
        </w:tc>
        <w:tc>
          <w:tcPr>
            <w:tcW w:w="2501" w:type="dxa"/>
          </w:tcPr>
          <w:p w14:paraId="71BA904C" w14:textId="77777777" w:rsidR="00B1107F" w:rsidRPr="008048DD" w:rsidRDefault="00B1107F" w:rsidP="00EE7D24">
            <w:pPr>
              <w:rPr>
                <w:iCs/>
                <w:sz w:val="18"/>
                <w:szCs w:val="18"/>
              </w:rPr>
            </w:pPr>
            <w:r w:rsidRPr="008048DD">
              <w:rPr>
                <w:iCs/>
                <w:sz w:val="18"/>
                <w:szCs w:val="18"/>
              </w:rPr>
              <w:t xml:space="preserve">- </w:t>
            </w:r>
            <w:r w:rsidR="005410EC" w:rsidRPr="008048DD">
              <w:rPr>
                <w:sz w:val="18"/>
                <w:szCs w:val="18"/>
              </w:rPr>
              <w:t>Presentación de informes con arreglo al artículo 21</w:t>
            </w:r>
          </w:p>
          <w:p w14:paraId="1D3EA08F" w14:textId="77777777" w:rsidR="00B1107F" w:rsidRPr="008048DD" w:rsidRDefault="00B1107F" w:rsidP="009666CD">
            <w:pPr>
              <w:rPr>
                <w:sz w:val="18"/>
                <w:szCs w:val="18"/>
              </w:rPr>
            </w:pPr>
            <w:r w:rsidRPr="008048DD">
              <w:rPr>
                <w:iCs/>
                <w:sz w:val="18"/>
                <w:szCs w:val="18"/>
              </w:rPr>
              <w:t xml:space="preserve">- </w:t>
            </w:r>
            <w:r w:rsidR="009666CD" w:rsidRPr="008048DD">
              <w:rPr>
                <w:iCs/>
                <w:sz w:val="18"/>
                <w:szCs w:val="18"/>
              </w:rPr>
              <w:t>Entrega a la Secretaría</w:t>
            </w:r>
          </w:p>
        </w:tc>
        <w:tc>
          <w:tcPr>
            <w:tcW w:w="2374" w:type="dxa"/>
          </w:tcPr>
          <w:p w14:paraId="06A245A0" w14:textId="77777777" w:rsidR="00B1107F" w:rsidRPr="008048DD" w:rsidRDefault="005410EC" w:rsidP="00EE7D24">
            <w:pPr>
              <w:rPr>
                <w:sz w:val="18"/>
                <w:szCs w:val="18"/>
              </w:rPr>
            </w:pPr>
            <w:r w:rsidRPr="008048DD">
              <w:rPr>
                <w:sz w:val="18"/>
                <w:szCs w:val="18"/>
              </w:rPr>
              <w:t>Número en la primera evaluación</w:t>
            </w:r>
          </w:p>
        </w:tc>
      </w:tr>
      <w:tr w:rsidR="00B1107F" w:rsidRPr="008048DD" w14:paraId="626DB059" w14:textId="77777777" w:rsidTr="00232941">
        <w:trPr>
          <w:trHeight w:val="227"/>
          <w:jc w:val="right"/>
        </w:trPr>
        <w:tc>
          <w:tcPr>
            <w:tcW w:w="2830" w:type="dxa"/>
            <w:shd w:val="clear" w:color="auto" w:fill="B8CCE4" w:themeFill="accent1" w:themeFillTint="66"/>
          </w:tcPr>
          <w:p w14:paraId="66418E55" w14:textId="77777777" w:rsidR="00B1107F" w:rsidRPr="008048DD" w:rsidRDefault="00B1107F" w:rsidP="00EE7D24">
            <w:pPr>
              <w:rPr>
                <w:b/>
                <w:bCs/>
                <w:sz w:val="18"/>
                <w:szCs w:val="18"/>
              </w:rPr>
            </w:pPr>
            <w:r w:rsidRPr="008048DD">
              <w:rPr>
                <w:b/>
                <w:bCs/>
                <w:sz w:val="18"/>
                <w:szCs w:val="18"/>
              </w:rPr>
              <w:t>Notas</w:t>
            </w:r>
          </w:p>
        </w:tc>
        <w:tc>
          <w:tcPr>
            <w:tcW w:w="10120" w:type="dxa"/>
            <w:gridSpan w:val="3"/>
          </w:tcPr>
          <w:p w14:paraId="7BFE3615" w14:textId="77777777" w:rsidR="00B1107F" w:rsidRPr="008048DD" w:rsidRDefault="009666CD" w:rsidP="009666CD">
            <w:pPr>
              <w:pStyle w:val="ListParagraph"/>
              <w:numPr>
                <w:ilvl w:val="0"/>
                <w:numId w:val="20"/>
              </w:numPr>
              <w:pBdr>
                <w:top w:val="nil"/>
                <w:left w:val="nil"/>
                <w:bottom w:val="nil"/>
                <w:right w:val="nil"/>
                <w:between w:val="nil"/>
                <w:bar w:val="nil"/>
              </w:pBdr>
              <w:tabs>
                <w:tab w:val="left" w:pos="1872"/>
              </w:tabs>
              <w:rPr>
                <w:sz w:val="18"/>
                <w:szCs w:val="18"/>
              </w:rPr>
            </w:pPr>
            <w:r w:rsidRPr="008048DD">
              <w:rPr>
                <w:sz w:val="18"/>
                <w:szCs w:val="18"/>
              </w:rPr>
              <w:t xml:space="preserve">También se han de considerar los niveles de mercurio en la </w:t>
            </w:r>
            <w:r w:rsidR="00B1107F" w:rsidRPr="008048DD">
              <w:rPr>
                <w:sz w:val="18"/>
                <w:szCs w:val="18"/>
              </w:rPr>
              <w:t xml:space="preserve">biota. </w:t>
            </w:r>
          </w:p>
        </w:tc>
      </w:tr>
    </w:tbl>
    <w:p w14:paraId="251335C1" w14:textId="3D149C25" w:rsidR="007B20DF" w:rsidRDefault="007B20DF" w:rsidP="00B1107F">
      <w:pPr>
        <w:rPr>
          <w:sz w:val="18"/>
          <w:szCs w:val="18"/>
        </w:rPr>
      </w:pPr>
    </w:p>
    <w:tbl>
      <w:tblPr>
        <w:tblStyle w:val="TableGrid"/>
        <w:tblW w:w="5000" w:type="pct"/>
        <w:jc w:val="right"/>
        <w:tblLayout w:type="fixed"/>
        <w:tblLook w:val="04A0" w:firstRow="1" w:lastRow="0" w:firstColumn="1" w:lastColumn="0" w:noHBand="0" w:noVBand="1"/>
      </w:tblPr>
      <w:tblGrid>
        <w:gridCol w:w="3140"/>
        <w:gridCol w:w="12"/>
        <w:gridCol w:w="5712"/>
        <w:gridCol w:w="127"/>
        <w:gridCol w:w="2808"/>
        <w:gridCol w:w="84"/>
        <w:gridCol w:w="2537"/>
      </w:tblGrid>
      <w:tr w:rsidR="00B1107F" w:rsidRPr="008048DD" w14:paraId="26ED9C8F" w14:textId="77777777" w:rsidTr="00454F1C">
        <w:trPr>
          <w:trHeight w:val="454"/>
          <w:jc w:val="right"/>
        </w:trPr>
        <w:tc>
          <w:tcPr>
            <w:tcW w:w="8991" w:type="dxa"/>
            <w:gridSpan w:val="4"/>
            <w:shd w:val="clear" w:color="auto" w:fill="B8CCE4" w:themeFill="accent1" w:themeFillTint="66"/>
          </w:tcPr>
          <w:p w14:paraId="6D01E468" w14:textId="77777777" w:rsidR="004D78F9" w:rsidRPr="007B20DF" w:rsidRDefault="00B1107F" w:rsidP="003A6617">
            <w:pPr>
              <w:rPr>
                <w:b/>
                <w:bCs/>
                <w:sz w:val="18"/>
                <w:szCs w:val="18"/>
              </w:rPr>
            </w:pPr>
            <w:r w:rsidRPr="007B20DF">
              <w:rPr>
                <w:b/>
                <w:bCs/>
                <w:sz w:val="18"/>
                <w:szCs w:val="18"/>
              </w:rPr>
              <w:t xml:space="preserve">H: </w:t>
            </w:r>
            <w:r w:rsidR="00467D4C" w:rsidRPr="007B20DF">
              <w:rPr>
                <w:b/>
                <w:bCs/>
                <w:sz w:val="18"/>
                <w:szCs w:val="18"/>
              </w:rPr>
              <w:t>Grupo sobre información e investigación</w:t>
            </w:r>
            <w:r w:rsidRPr="007B20DF">
              <w:rPr>
                <w:b/>
                <w:bCs/>
                <w:sz w:val="18"/>
                <w:szCs w:val="18"/>
              </w:rPr>
              <w:t xml:space="preserve"> </w:t>
            </w:r>
          </w:p>
          <w:p w14:paraId="7CA46BEE" w14:textId="187B05F6" w:rsidR="00B1107F" w:rsidRPr="007B20DF" w:rsidRDefault="00467D4C" w:rsidP="003A6617">
            <w:pPr>
              <w:rPr>
                <w:b/>
                <w:bCs/>
                <w:sz w:val="18"/>
                <w:szCs w:val="18"/>
              </w:rPr>
            </w:pPr>
            <w:r w:rsidRPr="007B20DF">
              <w:rPr>
                <w:b/>
                <w:bCs/>
                <w:sz w:val="18"/>
                <w:szCs w:val="18"/>
              </w:rPr>
              <w:t>Artículo</w:t>
            </w:r>
            <w:r w:rsidR="006A08EA" w:rsidRPr="007B20DF">
              <w:rPr>
                <w:b/>
                <w:bCs/>
                <w:sz w:val="18"/>
                <w:szCs w:val="18"/>
              </w:rPr>
              <w:t xml:space="preserve"> 17 </w:t>
            </w:r>
            <w:r w:rsidR="004D78F9" w:rsidRPr="007B20DF">
              <w:rPr>
                <w:b/>
                <w:bCs/>
                <w:sz w:val="18"/>
                <w:szCs w:val="18"/>
              </w:rPr>
              <w:t>(</w:t>
            </w:r>
            <w:r w:rsidR="006A08EA" w:rsidRPr="007B20DF">
              <w:rPr>
                <w:b/>
                <w:bCs/>
                <w:sz w:val="18"/>
                <w:szCs w:val="18"/>
              </w:rPr>
              <w:t>i</w:t>
            </w:r>
            <w:r w:rsidR="00B1107F" w:rsidRPr="007B20DF">
              <w:rPr>
                <w:b/>
                <w:bCs/>
                <w:sz w:val="18"/>
                <w:szCs w:val="18"/>
              </w:rPr>
              <w:t>n</w:t>
            </w:r>
            <w:r w:rsidR="00BE4190" w:rsidRPr="007B20DF">
              <w:rPr>
                <w:b/>
                <w:bCs/>
                <w:sz w:val="18"/>
                <w:szCs w:val="18"/>
              </w:rPr>
              <w:t>tercambio de información</w:t>
            </w:r>
            <w:r w:rsidR="004D78F9" w:rsidRPr="007B20DF">
              <w:rPr>
                <w:b/>
                <w:bCs/>
                <w:sz w:val="18"/>
                <w:szCs w:val="18"/>
              </w:rPr>
              <w:t>)</w:t>
            </w:r>
            <w:r w:rsidR="006A08EA" w:rsidRPr="007B20DF">
              <w:rPr>
                <w:b/>
                <w:bCs/>
                <w:sz w:val="18"/>
                <w:szCs w:val="18"/>
              </w:rPr>
              <w:t>;</w:t>
            </w:r>
            <w:r w:rsidR="00B1107F" w:rsidRPr="007B20DF">
              <w:rPr>
                <w:b/>
                <w:bCs/>
                <w:sz w:val="18"/>
                <w:szCs w:val="18"/>
              </w:rPr>
              <w:t xml:space="preserve"> </w:t>
            </w:r>
            <w:r w:rsidRPr="007B20DF">
              <w:rPr>
                <w:b/>
                <w:bCs/>
                <w:sz w:val="18"/>
                <w:szCs w:val="18"/>
              </w:rPr>
              <w:t>artículo</w:t>
            </w:r>
            <w:r w:rsidR="006A08EA" w:rsidRPr="007B20DF">
              <w:rPr>
                <w:b/>
                <w:bCs/>
                <w:sz w:val="18"/>
                <w:szCs w:val="18"/>
              </w:rPr>
              <w:t xml:space="preserve"> 18 </w:t>
            </w:r>
            <w:r w:rsidR="004D78F9" w:rsidRPr="007B20DF">
              <w:rPr>
                <w:b/>
                <w:bCs/>
                <w:sz w:val="18"/>
                <w:szCs w:val="18"/>
              </w:rPr>
              <w:t>(</w:t>
            </w:r>
            <w:r w:rsidR="00BE4190" w:rsidRPr="007B20DF">
              <w:rPr>
                <w:b/>
                <w:bCs/>
                <w:sz w:val="18"/>
                <w:szCs w:val="18"/>
              </w:rPr>
              <w:t xml:space="preserve">información </w:t>
            </w:r>
            <w:r w:rsidR="006A08EA" w:rsidRPr="007B20DF">
              <w:rPr>
                <w:b/>
                <w:bCs/>
                <w:sz w:val="18"/>
                <w:szCs w:val="18"/>
              </w:rPr>
              <w:t>p</w:t>
            </w:r>
            <w:r w:rsidR="00BE4190" w:rsidRPr="007B20DF">
              <w:rPr>
                <w:b/>
                <w:bCs/>
                <w:sz w:val="18"/>
                <w:szCs w:val="18"/>
              </w:rPr>
              <w:t>ú</w:t>
            </w:r>
            <w:r w:rsidR="00B1107F" w:rsidRPr="007B20DF">
              <w:rPr>
                <w:b/>
                <w:bCs/>
                <w:sz w:val="18"/>
                <w:szCs w:val="18"/>
              </w:rPr>
              <w:t>blic</w:t>
            </w:r>
            <w:r w:rsidR="00BE4190" w:rsidRPr="007B20DF">
              <w:rPr>
                <w:b/>
                <w:bCs/>
                <w:sz w:val="18"/>
                <w:szCs w:val="18"/>
              </w:rPr>
              <w:t>a</w:t>
            </w:r>
            <w:r w:rsidR="00B1107F" w:rsidRPr="007B20DF">
              <w:rPr>
                <w:b/>
                <w:bCs/>
                <w:sz w:val="18"/>
                <w:szCs w:val="18"/>
              </w:rPr>
              <w:t xml:space="preserve">, </w:t>
            </w:r>
            <w:r w:rsidR="00507230" w:rsidRPr="007B20DF">
              <w:rPr>
                <w:b/>
                <w:bCs/>
                <w:sz w:val="18"/>
                <w:szCs w:val="18"/>
              </w:rPr>
              <w:t xml:space="preserve">sensibilización </w:t>
            </w:r>
            <w:r w:rsidR="00BE4190" w:rsidRPr="007B20DF">
              <w:rPr>
                <w:b/>
                <w:bCs/>
                <w:sz w:val="18"/>
                <w:szCs w:val="18"/>
              </w:rPr>
              <w:t xml:space="preserve">y </w:t>
            </w:r>
            <w:r w:rsidR="00507230" w:rsidRPr="007B20DF">
              <w:rPr>
                <w:b/>
                <w:bCs/>
                <w:sz w:val="18"/>
                <w:szCs w:val="18"/>
              </w:rPr>
              <w:t>formación del público</w:t>
            </w:r>
            <w:r w:rsidR="004D78F9" w:rsidRPr="007B20DF">
              <w:rPr>
                <w:b/>
                <w:bCs/>
                <w:sz w:val="18"/>
                <w:szCs w:val="18"/>
              </w:rPr>
              <w:t>)</w:t>
            </w:r>
            <w:r w:rsidR="006A08EA" w:rsidRPr="007B20DF">
              <w:rPr>
                <w:b/>
                <w:bCs/>
                <w:sz w:val="18"/>
                <w:szCs w:val="18"/>
              </w:rPr>
              <w:t>;</w:t>
            </w:r>
            <w:r w:rsidR="00B1107F" w:rsidRPr="007B20DF">
              <w:rPr>
                <w:b/>
                <w:bCs/>
                <w:sz w:val="18"/>
                <w:szCs w:val="18"/>
              </w:rPr>
              <w:t xml:space="preserve"> </w:t>
            </w:r>
            <w:r w:rsidRPr="007B20DF">
              <w:rPr>
                <w:b/>
                <w:bCs/>
                <w:sz w:val="18"/>
                <w:szCs w:val="18"/>
              </w:rPr>
              <w:t>artículo</w:t>
            </w:r>
            <w:r w:rsidR="006A08EA" w:rsidRPr="007B20DF">
              <w:rPr>
                <w:b/>
                <w:bCs/>
                <w:sz w:val="18"/>
                <w:szCs w:val="18"/>
              </w:rPr>
              <w:t xml:space="preserve"> 19 </w:t>
            </w:r>
            <w:r w:rsidR="004D78F9" w:rsidRPr="007B20DF">
              <w:rPr>
                <w:b/>
                <w:bCs/>
                <w:sz w:val="18"/>
                <w:szCs w:val="18"/>
              </w:rPr>
              <w:t>(</w:t>
            </w:r>
            <w:r w:rsidR="00BE4190" w:rsidRPr="007B20DF">
              <w:rPr>
                <w:b/>
                <w:bCs/>
                <w:sz w:val="18"/>
                <w:szCs w:val="18"/>
              </w:rPr>
              <w:t>investigaci</w:t>
            </w:r>
            <w:r w:rsidR="00507230" w:rsidRPr="007B20DF">
              <w:rPr>
                <w:b/>
                <w:bCs/>
                <w:sz w:val="18"/>
                <w:szCs w:val="18"/>
              </w:rPr>
              <w:t>ón, desarr</w:t>
            </w:r>
            <w:r w:rsidR="00BE4190" w:rsidRPr="007B20DF">
              <w:rPr>
                <w:b/>
                <w:bCs/>
                <w:sz w:val="18"/>
                <w:szCs w:val="18"/>
              </w:rPr>
              <w:t>ollo y vigilancia</w:t>
            </w:r>
            <w:r w:rsidR="004D78F9" w:rsidRPr="007B20DF">
              <w:rPr>
                <w:b/>
                <w:bCs/>
                <w:sz w:val="18"/>
                <w:szCs w:val="18"/>
              </w:rPr>
              <w:t>)</w:t>
            </w:r>
            <w:r w:rsidR="00B3310A" w:rsidRPr="007B20DF">
              <w:rPr>
                <w:b/>
                <w:bCs/>
                <w:sz w:val="18"/>
                <w:szCs w:val="18"/>
              </w:rPr>
              <w:t xml:space="preserve"> </w:t>
            </w:r>
          </w:p>
        </w:tc>
        <w:tc>
          <w:tcPr>
            <w:tcW w:w="2808" w:type="dxa"/>
            <w:shd w:val="clear" w:color="auto" w:fill="B8CCE4" w:themeFill="accent1" w:themeFillTint="66"/>
          </w:tcPr>
          <w:p w14:paraId="4ACD76EE" w14:textId="21FD51B9" w:rsidR="00B1107F" w:rsidRPr="007B20DF" w:rsidRDefault="00BE4190" w:rsidP="003A6617">
            <w:pPr>
              <w:rPr>
                <w:b/>
                <w:bCs/>
                <w:sz w:val="18"/>
                <w:szCs w:val="18"/>
              </w:rPr>
            </w:pPr>
            <w:r w:rsidRPr="007B20DF">
              <w:rPr>
                <w:b/>
                <w:bCs/>
                <w:sz w:val="18"/>
                <w:szCs w:val="18"/>
              </w:rPr>
              <w:t>Fuente de información sobre el indic</w:t>
            </w:r>
            <w:r w:rsidR="00AA5799" w:rsidRPr="007B20DF">
              <w:rPr>
                <w:b/>
                <w:bCs/>
                <w:sz w:val="18"/>
                <w:szCs w:val="18"/>
              </w:rPr>
              <w:t>ador</w:t>
            </w:r>
          </w:p>
        </w:tc>
        <w:tc>
          <w:tcPr>
            <w:tcW w:w="2621" w:type="dxa"/>
            <w:gridSpan w:val="2"/>
            <w:shd w:val="clear" w:color="auto" w:fill="B8CCE4" w:themeFill="accent1" w:themeFillTint="66"/>
          </w:tcPr>
          <w:p w14:paraId="475870D6" w14:textId="2BBA3CB1" w:rsidR="00B1107F" w:rsidRPr="007B20DF" w:rsidRDefault="00507230" w:rsidP="003A6617">
            <w:pPr>
              <w:rPr>
                <w:b/>
                <w:bCs/>
                <w:sz w:val="18"/>
                <w:szCs w:val="18"/>
              </w:rPr>
            </w:pPr>
            <w:r w:rsidRPr="007B20DF">
              <w:rPr>
                <w:b/>
                <w:bCs/>
                <w:sz w:val="18"/>
                <w:szCs w:val="18"/>
              </w:rPr>
              <w:t>Parámetro de referencia del indica</w:t>
            </w:r>
            <w:r w:rsidR="00AA5799" w:rsidRPr="007B20DF">
              <w:rPr>
                <w:b/>
                <w:bCs/>
                <w:sz w:val="18"/>
                <w:szCs w:val="18"/>
              </w:rPr>
              <w:t>dor</w:t>
            </w:r>
          </w:p>
        </w:tc>
      </w:tr>
      <w:tr w:rsidR="00B1107F" w:rsidRPr="008048DD" w14:paraId="270DCFBB" w14:textId="77777777" w:rsidTr="00454F1C">
        <w:trPr>
          <w:trHeight w:val="227"/>
          <w:jc w:val="right"/>
        </w:trPr>
        <w:tc>
          <w:tcPr>
            <w:tcW w:w="3152" w:type="dxa"/>
            <w:gridSpan w:val="2"/>
            <w:shd w:val="clear" w:color="auto" w:fill="B8CCE4" w:themeFill="accent1" w:themeFillTint="66"/>
          </w:tcPr>
          <w:p w14:paraId="049BD320" w14:textId="77777777" w:rsidR="00B1107F" w:rsidRPr="008048DD" w:rsidRDefault="00467D4C" w:rsidP="003A6617">
            <w:pPr>
              <w:rPr>
                <w:b/>
                <w:sz w:val="18"/>
                <w:szCs w:val="18"/>
              </w:rPr>
            </w:pPr>
            <w:r w:rsidRPr="008048DD">
              <w:rPr>
                <w:b/>
                <w:sz w:val="18"/>
                <w:szCs w:val="18"/>
              </w:rPr>
              <w:t>Artículo</w:t>
            </w:r>
            <w:r w:rsidR="00B1107F" w:rsidRPr="008048DD">
              <w:rPr>
                <w:b/>
                <w:sz w:val="18"/>
                <w:szCs w:val="18"/>
              </w:rPr>
              <w:t xml:space="preserve"> 17</w:t>
            </w:r>
          </w:p>
        </w:tc>
        <w:tc>
          <w:tcPr>
            <w:tcW w:w="5839" w:type="dxa"/>
            <w:gridSpan w:val="2"/>
            <w:shd w:val="clear" w:color="auto" w:fill="B8CCE4" w:themeFill="accent1" w:themeFillTint="66"/>
          </w:tcPr>
          <w:p w14:paraId="68FF1670" w14:textId="77777777" w:rsidR="00B1107F" w:rsidRPr="008048DD" w:rsidRDefault="00B1107F" w:rsidP="003A6617">
            <w:pPr>
              <w:rPr>
                <w:sz w:val="18"/>
                <w:szCs w:val="18"/>
              </w:rPr>
            </w:pPr>
          </w:p>
        </w:tc>
        <w:tc>
          <w:tcPr>
            <w:tcW w:w="2808" w:type="dxa"/>
            <w:shd w:val="clear" w:color="auto" w:fill="B8CCE4" w:themeFill="accent1" w:themeFillTint="66"/>
          </w:tcPr>
          <w:p w14:paraId="1D0CC026" w14:textId="77777777" w:rsidR="00B1107F" w:rsidRPr="008048DD" w:rsidRDefault="00B1107F" w:rsidP="003A6617">
            <w:pPr>
              <w:rPr>
                <w:sz w:val="18"/>
                <w:szCs w:val="18"/>
              </w:rPr>
            </w:pPr>
          </w:p>
        </w:tc>
        <w:tc>
          <w:tcPr>
            <w:tcW w:w="2621" w:type="dxa"/>
            <w:gridSpan w:val="2"/>
            <w:shd w:val="clear" w:color="auto" w:fill="B8CCE4" w:themeFill="accent1" w:themeFillTint="66"/>
          </w:tcPr>
          <w:p w14:paraId="0D343625" w14:textId="77777777" w:rsidR="00B1107F" w:rsidRPr="008048DD" w:rsidRDefault="00B1107F" w:rsidP="003A6617">
            <w:pPr>
              <w:rPr>
                <w:sz w:val="18"/>
                <w:szCs w:val="18"/>
              </w:rPr>
            </w:pPr>
          </w:p>
        </w:tc>
      </w:tr>
      <w:tr w:rsidR="00B1107F" w:rsidRPr="008048DD" w14:paraId="3FDA0F08" w14:textId="77777777" w:rsidTr="00454F1C">
        <w:trPr>
          <w:trHeight w:val="255"/>
          <w:jc w:val="right"/>
        </w:trPr>
        <w:tc>
          <w:tcPr>
            <w:tcW w:w="3152" w:type="dxa"/>
            <w:gridSpan w:val="2"/>
          </w:tcPr>
          <w:p w14:paraId="57E70BCE" w14:textId="77777777" w:rsidR="00B1107F" w:rsidRPr="008048DD" w:rsidRDefault="00B1107F" w:rsidP="003A6617">
            <w:pPr>
              <w:rPr>
                <w:sz w:val="18"/>
                <w:szCs w:val="18"/>
              </w:rPr>
            </w:pPr>
            <w:r w:rsidRPr="008048DD">
              <w:rPr>
                <w:sz w:val="18"/>
                <w:szCs w:val="18"/>
              </w:rPr>
              <w:t xml:space="preserve">H1. </w:t>
            </w:r>
            <w:r w:rsidR="00354E33" w:rsidRPr="008048DD">
              <w:rPr>
                <w:rStyle w:val="dn"/>
                <w:rFonts w:eastAsia="Roboto"/>
                <w:sz w:val="18"/>
                <w:szCs w:val="18"/>
              </w:rPr>
              <w:t xml:space="preserve">Indicador de procesos para el </w:t>
            </w:r>
            <w:r w:rsidR="00467D4C" w:rsidRPr="008048DD">
              <w:rPr>
                <w:rStyle w:val="dn"/>
                <w:rFonts w:eastAsia="Roboto"/>
                <w:sz w:val="18"/>
                <w:szCs w:val="18"/>
              </w:rPr>
              <w:t>artículo</w:t>
            </w:r>
            <w:r w:rsidRPr="008048DD">
              <w:rPr>
                <w:rStyle w:val="dn"/>
                <w:rFonts w:eastAsia="Roboto"/>
                <w:sz w:val="18"/>
                <w:szCs w:val="18"/>
              </w:rPr>
              <w:t xml:space="preserve"> 17</w:t>
            </w:r>
          </w:p>
        </w:tc>
        <w:tc>
          <w:tcPr>
            <w:tcW w:w="5839" w:type="dxa"/>
            <w:gridSpan w:val="2"/>
          </w:tcPr>
          <w:p w14:paraId="55BCB3A1" w14:textId="77777777" w:rsidR="00B1107F" w:rsidRPr="008048DD" w:rsidRDefault="00B1107F" w:rsidP="003A6617">
            <w:pPr>
              <w:pBdr>
                <w:top w:val="nil"/>
                <w:left w:val="nil"/>
                <w:bottom w:val="nil"/>
                <w:right w:val="nil"/>
                <w:between w:val="nil"/>
                <w:bar w:val="nil"/>
              </w:pBdr>
              <w:rPr>
                <w:sz w:val="18"/>
                <w:szCs w:val="18"/>
              </w:rPr>
            </w:pPr>
            <w:r w:rsidRPr="008048DD">
              <w:rPr>
                <w:rStyle w:val="dn"/>
                <w:rFonts w:eastAsia="Roboto"/>
                <w:sz w:val="18"/>
                <w:szCs w:val="18"/>
              </w:rPr>
              <w:t>N</w:t>
            </w:r>
            <w:r w:rsidR="003E2415" w:rsidRPr="008048DD">
              <w:rPr>
                <w:rStyle w:val="dn"/>
                <w:rFonts w:eastAsia="Roboto"/>
                <w:sz w:val="18"/>
                <w:szCs w:val="18"/>
              </w:rPr>
              <w:t xml:space="preserve">úmero de Partes que han designado </w:t>
            </w:r>
            <w:r w:rsidR="00742106" w:rsidRPr="008048DD">
              <w:rPr>
                <w:rStyle w:val="dn"/>
                <w:rFonts w:eastAsia="Roboto"/>
                <w:sz w:val="18"/>
                <w:szCs w:val="18"/>
              </w:rPr>
              <w:t>coordinadores nacionales</w:t>
            </w:r>
          </w:p>
        </w:tc>
        <w:tc>
          <w:tcPr>
            <w:tcW w:w="2808" w:type="dxa"/>
          </w:tcPr>
          <w:p w14:paraId="43440081"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w:t>
            </w:r>
            <w:r w:rsidR="00467D4C" w:rsidRPr="008048DD">
              <w:rPr>
                <w:iCs/>
                <w:sz w:val="18"/>
                <w:szCs w:val="18"/>
              </w:rPr>
              <w:t>rtículo</w:t>
            </w:r>
            <w:r w:rsidRPr="008048DD">
              <w:rPr>
                <w:iCs/>
                <w:sz w:val="18"/>
                <w:szCs w:val="18"/>
              </w:rPr>
              <w:t xml:space="preserve"> 21</w:t>
            </w:r>
          </w:p>
        </w:tc>
        <w:tc>
          <w:tcPr>
            <w:tcW w:w="2621" w:type="dxa"/>
            <w:gridSpan w:val="2"/>
          </w:tcPr>
          <w:p w14:paraId="22D4269D"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3F40C725" w14:textId="77777777" w:rsidTr="00454F1C">
        <w:trPr>
          <w:trHeight w:val="454"/>
          <w:jc w:val="right"/>
        </w:trPr>
        <w:tc>
          <w:tcPr>
            <w:tcW w:w="3152" w:type="dxa"/>
            <w:gridSpan w:val="2"/>
          </w:tcPr>
          <w:p w14:paraId="2B7F7003" w14:textId="77777777" w:rsidR="00B1107F" w:rsidRPr="008048DD" w:rsidRDefault="00B1107F" w:rsidP="003A6617">
            <w:pPr>
              <w:rPr>
                <w:sz w:val="18"/>
                <w:szCs w:val="18"/>
              </w:rPr>
            </w:pPr>
            <w:r w:rsidRPr="008048DD">
              <w:rPr>
                <w:sz w:val="18"/>
                <w:szCs w:val="18"/>
              </w:rPr>
              <w:t xml:space="preserve">H2. </w:t>
            </w:r>
            <w:r w:rsidR="00354E33" w:rsidRPr="008048DD">
              <w:rPr>
                <w:rStyle w:val="dn"/>
                <w:rFonts w:eastAsia="Roboto"/>
                <w:sz w:val="18"/>
                <w:szCs w:val="18"/>
              </w:rPr>
              <w:t xml:space="preserve">Indicador de procesos para el </w:t>
            </w:r>
            <w:r w:rsidR="00467D4C" w:rsidRPr="008048DD">
              <w:rPr>
                <w:rStyle w:val="dn"/>
                <w:rFonts w:eastAsia="Roboto"/>
                <w:sz w:val="18"/>
                <w:szCs w:val="18"/>
              </w:rPr>
              <w:t>artículo</w:t>
            </w:r>
            <w:r w:rsidRPr="008048DD">
              <w:rPr>
                <w:rStyle w:val="dn"/>
                <w:rFonts w:eastAsia="Roboto"/>
                <w:sz w:val="18"/>
                <w:szCs w:val="18"/>
              </w:rPr>
              <w:t xml:space="preserve"> 17</w:t>
            </w:r>
          </w:p>
        </w:tc>
        <w:tc>
          <w:tcPr>
            <w:tcW w:w="5839" w:type="dxa"/>
            <w:gridSpan w:val="2"/>
          </w:tcPr>
          <w:p w14:paraId="52F8EF37" w14:textId="77777777" w:rsidR="00B1107F" w:rsidRPr="008048DD" w:rsidRDefault="00B1107F" w:rsidP="003A6617">
            <w:pPr>
              <w:pBdr>
                <w:top w:val="nil"/>
                <w:left w:val="nil"/>
                <w:bottom w:val="nil"/>
                <w:right w:val="nil"/>
                <w:between w:val="nil"/>
                <w:bar w:val="nil"/>
              </w:pBdr>
              <w:rPr>
                <w:rFonts w:eastAsia="Roboto"/>
                <w:sz w:val="18"/>
                <w:szCs w:val="18"/>
              </w:rPr>
            </w:pPr>
            <w:r w:rsidRPr="008048DD">
              <w:rPr>
                <w:rStyle w:val="dn"/>
                <w:rFonts w:eastAsia="Roboto"/>
                <w:sz w:val="18"/>
                <w:szCs w:val="18"/>
              </w:rPr>
              <w:t>N</w:t>
            </w:r>
            <w:r w:rsidR="00742106" w:rsidRPr="008048DD">
              <w:rPr>
                <w:rStyle w:val="dn"/>
                <w:rFonts w:eastAsia="Roboto"/>
                <w:sz w:val="18"/>
                <w:szCs w:val="18"/>
              </w:rPr>
              <w:t>úmero de Partes que han facilitado el intercambio de información relacionada con el mercurio</w:t>
            </w:r>
            <w:r w:rsidRPr="008048DD">
              <w:rPr>
                <w:rStyle w:val="dn"/>
                <w:rFonts w:eastAsia="Roboto"/>
                <w:sz w:val="18"/>
                <w:szCs w:val="18"/>
              </w:rPr>
              <w:t xml:space="preserve"> </w:t>
            </w:r>
          </w:p>
        </w:tc>
        <w:tc>
          <w:tcPr>
            <w:tcW w:w="2808" w:type="dxa"/>
          </w:tcPr>
          <w:p w14:paraId="32FDFFCD"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artículo 21</w:t>
            </w:r>
          </w:p>
        </w:tc>
        <w:tc>
          <w:tcPr>
            <w:tcW w:w="2621" w:type="dxa"/>
            <w:gridSpan w:val="2"/>
          </w:tcPr>
          <w:p w14:paraId="554B27C0"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0860611B" w14:textId="77777777" w:rsidTr="00454F1C">
        <w:trPr>
          <w:trHeight w:val="227"/>
          <w:jc w:val="right"/>
        </w:trPr>
        <w:tc>
          <w:tcPr>
            <w:tcW w:w="3152" w:type="dxa"/>
            <w:gridSpan w:val="2"/>
            <w:shd w:val="clear" w:color="auto" w:fill="B8CCE4" w:themeFill="accent1" w:themeFillTint="66"/>
          </w:tcPr>
          <w:p w14:paraId="33249A7A" w14:textId="77777777" w:rsidR="00B1107F" w:rsidRPr="008048DD" w:rsidRDefault="00467D4C" w:rsidP="003A6617">
            <w:pPr>
              <w:pBdr>
                <w:top w:val="nil"/>
                <w:left w:val="nil"/>
                <w:bottom w:val="nil"/>
                <w:right w:val="nil"/>
                <w:between w:val="nil"/>
                <w:bar w:val="nil"/>
              </w:pBdr>
              <w:tabs>
                <w:tab w:val="left" w:pos="1163"/>
              </w:tabs>
              <w:rPr>
                <w:b/>
                <w:sz w:val="18"/>
                <w:szCs w:val="18"/>
              </w:rPr>
            </w:pPr>
            <w:r w:rsidRPr="008048DD">
              <w:rPr>
                <w:b/>
                <w:sz w:val="18"/>
                <w:szCs w:val="18"/>
              </w:rPr>
              <w:t>Artículo</w:t>
            </w:r>
            <w:r w:rsidR="00B1107F" w:rsidRPr="008048DD">
              <w:rPr>
                <w:b/>
                <w:sz w:val="18"/>
                <w:szCs w:val="18"/>
              </w:rPr>
              <w:t xml:space="preserve"> 18</w:t>
            </w:r>
          </w:p>
        </w:tc>
        <w:tc>
          <w:tcPr>
            <w:tcW w:w="5839" w:type="dxa"/>
            <w:gridSpan w:val="2"/>
            <w:shd w:val="clear" w:color="auto" w:fill="B8CCE4" w:themeFill="accent1" w:themeFillTint="66"/>
          </w:tcPr>
          <w:p w14:paraId="1E471177"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c>
          <w:tcPr>
            <w:tcW w:w="2808" w:type="dxa"/>
            <w:shd w:val="clear" w:color="auto" w:fill="B8CCE4" w:themeFill="accent1" w:themeFillTint="66"/>
          </w:tcPr>
          <w:p w14:paraId="2775BF39"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c>
          <w:tcPr>
            <w:tcW w:w="2621" w:type="dxa"/>
            <w:gridSpan w:val="2"/>
            <w:shd w:val="clear" w:color="auto" w:fill="B8CCE4" w:themeFill="accent1" w:themeFillTint="66"/>
          </w:tcPr>
          <w:p w14:paraId="6B35C200"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r>
      <w:tr w:rsidR="00B1107F" w:rsidRPr="008048DD" w14:paraId="5A7E8D45" w14:textId="77777777" w:rsidTr="00454F1C">
        <w:trPr>
          <w:trHeight w:val="255"/>
          <w:jc w:val="right"/>
        </w:trPr>
        <w:tc>
          <w:tcPr>
            <w:tcW w:w="3152" w:type="dxa"/>
            <w:gridSpan w:val="2"/>
          </w:tcPr>
          <w:p w14:paraId="7479F9E2"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H3.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18</w:t>
            </w:r>
          </w:p>
        </w:tc>
        <w:tc>
          <w:tcPr>
            <w:tcW w:w="5839" w:type="dxa"/>
            <w:gridSpan w:val="2"/>
          </w:tcPr>
          <w:p w14:paraId="06745255"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N</w:t>
            </w:r>
            <w:r w:rsidR="00BE4190" w:rsidRPr="008048DD">
              <w:rPr>
                <w:rStyle w:val="dn"/>
                <w:rFonts w:eastAsia="Roboto"/>
                <w:sz w:val="18"/>
                <w:szCs w:val="18"/>
              </w:rPr>
              <w:t xml:space="preserve">úmero de Partes que han adoptado medidas para aplicar el </w:t>
            </w:r>
            <w:r w:rsidR="00467D4C" w:rsidRPr="008048DD">
              <w:rPr>
                <w:rStyle w:val="dn"/>
                <w:rFonts w:eastAsia="Roboto"/>
                <w:sz w:val="18"/>
                <w:szCs w:val="18"/>
              </w:rPr>
              <w:t>artículo</w:t>
            </w:r>
            <w:r w:rsidRPr="008048DD">
              <w:rPr>
                <w:rStyle w:val="dn"/>
                <w:rFonts w:eastAsia="Roboto"/>
                <w:sz w:val="18"/>
                <w:szCs w:val="18"/>
              </w:rPr>
              <w:t xml:space="preserve"> 18</w:t>
            </w:r>
          </w:p>
        </w:tc>
        <w:tc>
          <w:tcPr>
            <w:tcW w:w="2808" w:type="dxa"/>
          </w:tcPr>
          <w:p w14:paraId="37874AD7"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artículo 21</w:t>
            </w:r>
          </w:p>
        </w:tc>
        <w:tc>
          <w:tcPr>
            <w:tcW w:w="2621" w:type="dxa"/>
            <w:gridSpan w:val="2"/>
          </w:tcPr>
          <w:p w14:paraId="5C4EEA47"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6502A6F4" w14:textId="77777777" w:rsidTr="00454F1C">
        <w:trPr>
          <w:trHeight w:val="454"/>
          <w:jc w:val="right"/>
        </w:trPr>
        <w:tc>
          <w:tcPr>
            <w:tcW w:w="3152" w:type="dxa"/>
            <w:gridSpan w:val="2"/>
          </w:tcPr>
          <w:p w14:paraId="43FE63FC"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H4.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18</w:t>
            </w:r>
          </w:p>
        </w:tc>
        <w:tc>
          <w:tcPr>
            <w:tcW w:w="5839" w:type="dxa"/>
            <w:gridSpan w:val="2"/>
          </w:tcPr>
          <w:p w14:paraId="114EA52C" w14:textId="77777777" w:rsidR="00B1107F" w:rsidRPr="008048DD" w:rsidRDefault="00354E33"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 xml:space="preserve">Promedio de medidas previstas en el párrafo 1 del </w:t>
            </w:r>
            <w:r w:rsidR="00467D4C" w:rsidRPr="008048DD">
              <w:rPr>
                <w:rStyle w:val="dn"/>
                <w:rFonts w:eastAsia="Roboto"/>
                <w:sz w:val="18"/>
                <w:szCs w:val="18"/>
              </w:rPr>
              <w:t>artículo</w:t>
            </w:r>
            <w:r w:rsidR="00B1107F" w:rsidRPr="008048DD">
              <w:rPr>
                <w:rStyle w:val="dn"/>
                <w:rFonts w:eastAsia="Roboto"/>
                <w:sz w:val="18"/>
                <w:szCs w:val="18"/>
              </w:rPr>
              <w:t xml:space="preserve"> 18 </w:t>
            </w:r>
            <w:r w:rsidRPr="008048DD">
              <w:rPr>
                <w:rStyle w:val="dn"/>
                <w:rFonts w:eastAsia="Roboto"/>
                <w:sz w:val="18"/>
                <w:szCs w:val="18"/>
              </w:rPr>
              <w:t>que están aplicando las Partes</w:t>
            </w:r>
          </w:p>
        </w:tc>
        <w:tc>
          <w:tcPr>
            <w:tcW w:w="2808" w:type="dxa"/>
          </w:tcPr>
          <w:p w14:paraId="11234EAC" w14:textId="0CDF7BBD"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 Deriv</w:t>
            </w:r>
            <w:r w:rsidR="00742106" w:rsidRPr="008048DD">
              <w:rPr>
                <w:rStyle w:val="dn"/>
                <w:rFonts w:eastAsia="Roboto"/>
                <w:sz w:val="18"/>
                <w:szCs w:val="18"/>
              </w:rPr>
              <w:t>ada de la presentación de</w:t>
            </w:r>
            <w:r w:rsidR="009342CB" w:rsidRPr="008048DD">
              <w:rPr>
                <w:rStyle w:val="dn"/>
                <w:rFonts w:eastAsia="Roboto"/>
                <w:sz w:val="18"/>
                <w:szCs w:val="18"/>
              </w:rPr>
              <w:t> </w:t>
            </w:r>
            <w:r w:rsidR="00742106" w:rsidRPr="008048DD">
              <w:rPr>
                <w:rStyle w:val="dn"/>
                <w:rFonts w:eastAsia="Roboto"/>
                <w:sz w:val="18"/>
                <w:szCs w:val="18"/>
              </w:rPr>
              <w:t xml:space="preserve">informes con arreglo al </w:t>
            </w:r>
            <w:r w:rsidR="00467D4C" w:rsidRPr="008048DD">
              <w:rPr>
                <w:rStyle w:val="dn"/>
                <w:rFonts w:eastAsia="Roboto"/>
                <w:sz w:val="18"/>
                <w:szCs w:val="18"/>
              </w:rPr>
              <w:t>artículo</w:t>
            </w:r>
            <w:r w:rsidR="00C17FED">
              <w:rPr>
                <w:rStyle w:val="dn"/>
                <w:rFonts w:eastAsia="Roboto"/>
                <w:sz w:val="18"/>
                <w:szCs w:val="18"/>
              </w:rPr>
              <w:t> </w:t>
            </w:r>
            <w:r w:rsidRPr="008048DD">
              <w:rPr>
                <w:rStyle w:val="dn"/>
                <w:rFonts w:eastAsia="Roboto"/>
                <w:sz w:val="18"/>
                <w:szCs w:val="18"/>
              </w:rPr>
              <w:t xml:space="preserve">21 </w:t>
            </w:r>
          </w:p>
        </w:tc>
        <w:tc>
          <w:tcPr>
            <w:tcW w:w="2621" w:type="dxa"/>
            <w:gridSpan w:val="2"/>
          </w:tcPr>
          <w:p w14:paraId="128DCD1E"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02609146" w14:textId="77777777" w:rsidTr="00454F1C">
        <w:trPr>
          <w:trHeight w:val="454"/>
          <w:jc w:val="right"/>
        </w:trPr>
        <w:tc>
          <w:tcPr>
            <w:tcW w:w="3152" w:type="dxa"/>
            <w:gridSpan w:val="2"/>
          </w:tcPr>
          <w:p w14:paraId="31CBBB2E"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H5.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18</w:t>
            </w:r>
          </w:p>
        </w:tc>
        <w:tc>
          <w:tcPr>
            <w:tcW w:w="5839" w:type="dxa"/>
            <w:gridSpan w:val="2"/>
          </w:tcPr>
          <w:p w14:paraId="6FD893B2"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N</w:t>
            </w:r>
            <w:r w:rsidR="00354E33" w:rsidRPr="008048DD">
              <w:rPr>
                <w:rStyle w:val="dn"/>
                <w:rFonts w:eastAsia="Roboto"/>
                <w:sz w:val="18"/>
                <w:szCs w:val="18"/>
              </w:rPr>
              <w:t>úmero de Partes que cuentan con información sobre los niveles de mercurio en el aire, los seres humanos y la biota dentro de su territorio</w:t>
            </w:r>
          </w:p>
        </w:tc>
        <w:tc>
          <w:tcPr>
            <w:tcW w:w="2808" w:type="dxa"/>
          </w:tcPr>
          <w:p w14:paraId="62A71883"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artículo 21</w:t>
            </w:r>
          </w:p>
        </w:tc>
        <w:tc>
          <w:tcPr>
            <w:tcW w:w="2621" w:type="dxa"/>
            <w:gridSpan w:val="2"/>
          </w:tcPr>
          <w:p w14:paraId="3F643561"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6517EE6F" w14:textId="77777777" w:rsidTr="00454F1C">
        <w:trPr>
          <w:trHeight w:val="454"/>
          <w:jc w:val="right"/>
        </w:trPr>
        <w:tc>
          <w:tcPr>
            <w:tcW w:w="3152" w:type="dxa"/>
            <w:gridSpan w:val="2"/>
          </w:tcPr>
          <w:p w14:paraId="4DB1E566"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H6.</w:t>
            </w:r>
            <w:r w:rsidR="00B3310A" w:rsidRPr="008048DD">
              <w:rPr>
                <w:sz w:val="18"/>
                <w:szCs w:val="18"/>
              </w:rPr>
              <w:t xml:space="preserve">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18</w:t>
            </w:r>
          </w:p>
        </w:tc>
        <w:tc>
          <w:tcPr>
            <w:tcW w:w="5839" w:type="dxa"/>
            <w:gridSpan w:val="2"/>
          </w:tcPr>
          <w:p w14:paraId="3CBA5206" w14:textId="3DA6F75B"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r w:rsidRPr="008048DD">
              <w:rPr>
                <w:rStyle w:val="dn"/>
                <w:rFonts w:eastAsia="Roboto"/>
                <w:sz w:val="18"/>
                <w:szCs w:val="18"/>
              </w:rPr>
              <w:t>N</w:t>
            </w:r>
            <w:r w:rsidR="00354E33" w:rsidRPr="008048DD">
              <w:rPr>
                <w:rStyle w:val="dn"/>
                <w:rFonts w:eastAsia="Roboto"/>
                <w:sz w:val="18"/>
                <w:szCs w:val="18"/>
              </w:rPr>
              <w:t xml:space="preserve">úmero de Partes que </w:t>
            </w:r>
            <w:r w:rsidR="00081EE1">
              <w:rPr>
                <w:rStyle w:val="dn"/>
                <w:rFonts w:eastAsia="Roboto"/>
                <w:sz w:val="18"/>
                <w:szCs w:val="18"/>
              </w:rPr>
              <w:t xml:space="preserve">comunican </w:t>
            </w:r>
            <w:r w:rsidR="00742106" w:rsidRPr="008048DD">
              <w:rPr>
                <w:rStyle w:val="dn"/>
                <w:rFonts w:eastAsia="Roboto"/>
                <w:sz w:val="18"/>
                <w:szCs w:val="18"/>
              </w:rPr>
              <w:t>situaciones de riesgo relacionadas con la ingesta de mercurio mediante el consumo de alimentos y agua en su territorio</w:t>
            </w:r>
          </w:p>
        </w:tc>
        <w:tc>
          <w:tcPr>
            <w:tcW w:w="2808" w:type="dxa"/>
          </w:tcPr>
          <w:p w14:paraId="52E98419"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artículo 21</w:t>
            </w:r>
          </w:p>
        </w:tc>
        <w:tc>
          <w:tcPr>
            <w:tcW w:w="2621" w:type="dxa"/>
            <w:gridSpan w:val="2"/>
          </w:tcPr>
          <w:p w14:paraId="637D9DB4" w14:textId="77777777" w:rsidR="00B1107F" w:rsidRPr="008048DD" w:rsidRDefault="00507230" w:rsidP="003A6617">
            <w:pPr>
              <w:pBdr>
                <w:top w:val="nil"/>
                <w:left w:val="nil"/>
                <w:bottom w:val="nil"/>
                <w:right w:val="nil"/>
                <w:between w:val="nil"/>
                <w:bar w:val="nil"/>
              </w:pBdr>
              <w:tabs>
                <w:tab w:val="left" w:pos="1163"/>
              </w:tabs>
              <w:rPr>
                <w:rStyle w:val="dn"/>
                <w:rFonts w:eastAsia="Roboto"/>
                <w:sz w:val="18"/>
                <w:szCs w:val="18"/>
              </w:rPr>
            </w:pPr>
            <w:r w:rsidRPr="008048DD">
              <w:rPr>
                <w:sz w:val="18"/>
                <w:szCs w:val="18"/>
              </w:rPr>
              <w:t>Número en la primera evaluación</w:t>
            </w:r>
          </w:p>
        </w:tc>
      </w:tr>
      <w:tr w:rsidR="00B1107F" w:rsidRPr="008048DD" w14:paraId="5E5C8DC3" w14:textId="77777777" w:rsidTr="00454F1C">
        <w:trPr>
          <w:trHeight w:val="227"/>
          <w:jc w:val="right"/>
        </w:trPr>
        <w:tc>
          <w:tcPr>
            <w:tcW w:w="3152" w:type="dxa"/>
            <w:gridSpan w:val="2"/>
            <w:shd w:val="clear" w:color="auto" w:fill="B8CCE4" w:themeFill="accent1" w:themeFillTint="66"/>
          </w:tcPr>
          <w:p w14:paraId="622315AD" w14:textId="77777777" w:rsidR="00B1107F" w:rsidRPr="008048DD" w:rsidRDefault="00467D4C" w:rsidP="003A6617">
            <w:pPr>
              <w:pBdr>
                <w:top w:val="nil"/>
                <w:left w:val="nil"/>
                <w:bottom w:val="nil"/>
                <w:right w:val="nil"/>
                <w:between w:val="nil"/>
                <w:bar w:val="nil"/>
              </w:pBdr>
              <w:tabs>
                <w:tab w:val="left" w:pos="1163"/>
              </w:tabs>
              <w:rPr>
                <w:b/>
                <w:bCs/>
                <w:sz w:val="18"/>
                <w:szCs w:val="18"/>
              </w:rPr>
            </w:pPr>
            <w:r w:rsidRPr="008048DD">
              <w:rPr>
                <w:b/>
                <w:bCs/>
                <w:sz w:val="18"/>
                <w:szCs w:val="18"/>
              </w:rPr>
              <w:t>Artículo</w:t>
            </w:r>
            <w:r w:rsidR="00B1107F" w:rsidRPr="008048DD">
              <w:rPr>
                <w:b/>
                <w:bCs/>
                <w:sz w:val="18"/>
                <w:szCs w:val="18"/>
              </w:rPr>
              <w:t xml:space="preserve"> 19</w:t>
            </w:r>
          </w:p>
        </w:tc>
        <w:tc>
          <w:tcPr>
            <w:tcW w:w="5839" w:type="dxa"/>
            <w:gridSpan w:val="2"/>
            <w:shd w:val="clear" w:color="auto" w:fill="B8CCE4" w:themeFill="accent1" w:themeFillTint="66"/>
          </w:tcPr>
          <w:p w14:paraId="770389A0"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c>
          <w:tcPr>
            <w:tcW w:w="2808" w:type="dxa"/>
            <w:shd w:val="clear" w:color="auto" w:fill="B8CCE4" w:themeFill="accent1" w:themeFillTint="66"/>
          </w:tcPr>
          <w:p w14:paraId="5DC3C206"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c>
          <w:tcPr>
            <w:tcW w:w="2621" w:type="dxa"/>
            <w:gridSpan w:val="2"/>
            <w:shd w:val="clear" w:color="auto" w:fill="B8CCE4" w:themeFill="accent1" w:themeFillTint="66"/>
          </w:tcPr>
          <w:p w14:paraId="39F7469B" w14:textId="77777777" w:rsidR="00B1107F" w:rsidRPr="008048DD" w:rsidRDefault="00B1107F" w:rsidP="003A6617">
            <w:pPr>
              <w:pBdr>
                <w:top w:val="nil"/>
                <w:left w:val="nil"/>
                <w:bottom w:val="nil"/>
                <w:right w:val="nil"/>
                <w:between w:val="nil"/>
                <w:bar w:val="nil"/>
              </w:pBdr>
              <w:tabs>
                <w:tab w:val="left" w:pos="1163"/>
              </w:tabs>
              <w:rPr>
                <w:rStyle w:val="dn"/>
                <w:rFonts w:eastAsia="Roboto"/>
                <w:sz w:val="18"/>
                <w:szCs w:val="18"/>
              </w:rPr>
            </w:pPr>
          </w:p>
        </w:tc>
      </w:tr>
      <w:tr w:rsidR="00B1107F" w:rsidRPr="008048DD" w14:paraId="1A52DCB0" w14:textId="77777777" w:rsidTr="00454F1C">
        <w:trPr>
          <w:trHeight w:val="454"/>
          <w:jc w:val="right"/>
        </w:trPr>
        <w:tc>
          <w:tcPr>
            <w:tcW w:w="3152" w:type="dxa"/>
            <w:gridSpan w:val="2"/>
          </w:tcPr>
          <w:p w14:paraId="1FB7496F"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H7.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19</w:t>
            </w:r>
          </w:p>
        </w:tc>
        <w:tc>
          <w:tcPr>
            <w:tcW w:w="5839" w:type="dxa"/>
            <w:gridSpan w:val="2"/>
          </w:tcPr>
          <w:p w14:paraId="5588E7C3"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N</w:t>
            </w:r>
            <w:r w:rsidR="003E2415" w:rsidRPr="008048DD">
              <w:rPr>
                <w:rStyle w:val="dn"/>
                <w:rFonts w:eastAsia="Roboto"/>
                <w:sz w:val="18"/>
                <w:szCs w:val="18"/>
              </w:rPr>
              <w:t xml:space="preserve">úmero de Partes que han emprendido la labor de investigación, desarrollo y vigilancia, de conformidad con el párrafo </w:t>
            </w:r>
            <w:r w:rsidRPr="008048DD">
              <w:rPr>
                <w:rStyle w:val="dn"/>
                <w:rFonts w:eastAsia="Roboto"/>
                <w:sz w:val="18"/>
                <w:szCs w:val="18"/>
              </w:rPr>
              <w:t xml:space="preserve">1 </w:t>
            </w:r>
            <w:r w:rsidR="003E2415" w:rsidRPr="008048DD">
              <w:rPr>
                <w:rStyle w:val="dn"/>
                <w:rFonts w:eastAsia="Roboto"/>
                <w:sz w:val="18"/>
                <w:szCs w:val="18"/>
              </w:rPr>
              <w:t>del</w:t>
            </w:r>
            <w:r w:rsidRPr="008048DD">
              <w:rPr>
                <w:rStyle w:val="dn"/>
                <w:rFonts w:eastAsia="Roboto"/>
                <w:sz w:val="18"/>
                <w:szCs w:val="18"/>
              </w:rPr>
              <w:t xml:space="preserve"> </w:t>
            </w:r>
            <w:r w:rsidR="00467D4C" w:rsidRPr="008048DD">
              <w:rPr>
                <w:rStyle w:val="dn"/>
                <w:rFonts w:eastAsia="Roboto"/>
                <w:sz w:val="18"/>
                <w:szCs w:val="18"/>
              </w:rPr>
              <w:t>artículo</w:t>
            </w:r>
            <w:r w:rsidRPr="008048DD">
              <w:rPr>
                <w:rStyle w:val="dn"/>
                <w:rFonts w:eastAsia="Roboto"/>
                <w:sz w:val="18"/>
                <w:szCs w:val="18"/>
              </w:rPr>
              <w:t xml:space="preserve"> 19 </w:t>
            </w:r>
          </w:p>
        </w:tc>
        <w:tc>
          <w:tcPr>
            <w:tcW w:w="2808" w:type="dxa"/>
          </w:tcPr>
          <w:p w14:paraId="003005C6"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iCs/>
                <w:sz w:val="18"/>
                <w:szCs w:val="18"/>
              </w:rPr>
              <w:t xml:space="preserve">- </w:t>
            </w:r>
            <w:r w:rsidR="00507230" w:rsidRPr="008048DD">
              <w:rPr>
                <w:iCs/>
                <w:sz w:val="18"/>
                <w:szCs w:val="18"/>
              </w:rPr>
              <w:t>Presentación de informes con arreglo al artículo 21</w:t>
            </w:r>
          </w:p>
        </w:tc>
        <w:tc>
          <w:tcPr>
            <w:tcW w:w="2621" w:type="dxa"/>
            <w:gridSpan w:val="2"/>
          </w:tcPr>
          <w:p w14:paraId="4D5A3FEA" w14:textId="77777777" w:rsidR="00B1107F" w:rsidRPr="008048DD" w:rsidRDefault="00507230" w:rsidP="003A6617">
            <w:pPr>
              <w:pBdr>
                <w:top w:val="nil"/>
                <w:left w:val="nil"/>
                <w:bottom w:val="nil"/>
                <w:right w:val="nil"/>
                <w:between w:val="nil"/>
                <w:bar w:val="nil"/>
              </w:pBdr>
              <w:rPr>
                <w:rStyle w:val="dn"/>
                <w:rFonts w:eastAsia="Roboto"/>
                <w:sz w:val="18"/>
                <w:szCs w:val="18"/>
              </w:rPr>
            </w:pPr>
            <w:r w:rsidRPr="008048DD">
              <w:rPr>
                <w:sz w:val="18"/>
                <w:szCs w:val="18"/>
              </w:rPr>
              <w:t>Número en la primera evaluación</w:t>
            </w:r>
          </w:p>
        </w:tc>
      </w:tr>
      <w:tr w:rsidR="00B1107F" w:rsidRPr="008048DD" w14:paraId="73AD931C" w14:textId="77777777" w:rsidTr="00454F1C">
        <w:trPr>
          <w:trHeight w:val="624"/>
          <w:jc w:val="right"/>
        </w:trPr>
        <w:tc>
          <w:tcPr>
            <w:tcW w:w="3152" w:type="dxa"/>
            <w:gridSpan w:val="2"/>
          </w:tcPr>
          <w:p w14:paraId="77E90448"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H8. </w:t>
            </w:r>
            <w:r w:rsidR="00354E33" w:rsidRPr="008048DD">
              <w:rPr>
                <w:sz w:val="18"/>
                <w:szCs w:val="18"/>
              </w:rPr>
              <w:t xml:space="preserve">Indicador de procesos para el </w:t>
            </w:r>
            <w:r w:rsidR="00467D4C" w:rsidRPr="008048DD">
              <w:rPr>
                <w:sz w:val="18"/>
                <w:szCs w:val="18"/>
              </w:rPr>
              <w:t>artículo</w:t>
            </w:r>
            <w:r w:rsidRPr="008048DD">
              <w:rPr>
                <w:sz w:val="18"/>
                <w:szCs w:val="18"/>
              </w:rPr>
              <w:t xml:space="preserve"> 19</w:t>
            </w:r>
          </w:p>
        </w:tc>
        <w:tc>
          <w:tcPr>
            <w:tcW w:w="5839" w:type="dxa"/>
            <w:gridSpan w:val="2"/>
          </w:tcPr>
          <w:p w14:paraId="41562EC6" w14:textId="77777777"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N</w:t>
            </w:r>
            <w:r w:rsidR="003E2415" w:rsidRPr="008048DD">
              <w:rPr>
                <w:rStyle w:val="dn"/>
                <w:rFonts w:eastAsia="Roboto"/>
                <w:sz w:val="18"/>
                <w:szCs w:val="18"/>
              </w:rPr>
              <w:t>úmero de Partes que aportan datos y conocimientos a las evaluaciones integradas</w:t>
            </w:r>
          </w:p>
        </w:tc>
        <w:tc>
          <w:tcPr>
            <w:tcW w:w="2808" w:type="dxa"/>
          </w:tcPr>
          <w:p w14:paraId="224D3C12" w14:textId="77777777" w:rsidR="00B1107F" w:rsidRPr="008048DD" w:rsidRDefault="00B1107F" w:rsidP="003A6617">
            <w:pPr>
              <w:pBdr>
                <w:top w:val="nil"/>
                <w:left w:val="nil"/>
                <w:bottom w:val="nil"/>
                <w:right w:val="nil"/>
                <w:between w:val="nil"/>
                <w:bar w:val="nil"/>
              </w:pBdr>
              <w:rPr>
                <w:iCs/>
                <w:sz w:val="18"/>
                <w:szCs w:val="18"/>
              </w:rPr>
            </w:pPr>
            <w:r w:rsidRPr="008048DD">
              <w:rPr>
                <w:iCs/>
                <w:sz w:val="18"/>
                <w:szCs w:val="18"/>
              </w:rPr>
              <w:t xml:space="preserve">- </w:t>
            </w:r>
            <w:r w:rsidR="00742106" w:rsidRPr="008048DD">
              <w:rPr>
                <w:iCs/>
                <w:sz w:val="18"/>
                <w:szCs w:val="18"/>
              </w:rPr>
              <w:t>Redes de vigilancia, bases de datos, datos y publicaciones científicas existentes</w:t>
            </w:r>
          </w:p>
        </w:tc>
        <w:tc>
          <w:tcPr>
            <w:tcW w:w="2621" w:type="dxa"/>
            <w:gridSpan w:val="2"/>
          </w:tcPr>
          <w:p w14:paraId="080645BA" w14:textId="77777777" w:rsidR="00B1107F" w:rsidRPr="008048DD" w:rsidRDefault="00507230" w:rsidP="003A6617">
            <w:pPr>
              <w:pBdr>
                <w:top w:val="nil"/>
                <w:left w:val="nil"/>
                <w:bottom w:val="nil"/>
                <w:right w:val="nil"/>
                <w:between w:val="nil"/>
                <w:bar w:val="nil"/>
              </w:pBdr>
              <w:rPr>
                <w:sz w:val="18"/>
                <w:szCs w:val="18"/>
              </w:rPr>
            </w:pPr>
            <w:r w:rsidRPr="008048DD">
              <w:rPr>
                <w:sz w:val="18"/>
                <w:szCs w:val="18"/>
              </w:rPr>
              <w:t>Número en la primera evaluación</w:t>
            </w:r>
          </w:p>
        </w:tc>
      </w:tr>
      <w:tr w:rsidR="00B1107F" w:rsidRPr="008048DD" w14:paraId="1B769343" w14:textId="77777777" w:rsidTr="00454F1C">
        <w:trPr>
          <w:trHeight w:val="624"/>
          <w:jc w:val="right"/>
        </w:trPr>
        <w:tc>
          <w:tcPr>
            <w:tcW w:w="3152" w:type="dxa"/>
            <w:gridSpan w:val="2"/>
          </w:tcPr>
          <w:p w14:paraId="64F18F42" w14:textId="77777777" w:rsidR="00B1107F" w:rsidRPr="008048DD" w:rsidRDefault="00B1107F" w:rsidP="003A6617">
            <w:pPr>
              <w:pBdr>
                <w:top w:val="nil"/>
                <w:left w:val="nil"/>
                <w:bottom w:val="nil"/>
                <w:right w:val="nil"/>
                <w:between w:val="nil"/>
                <w:bar w:val="nil"/>
              </w:pBdr>
              <w:tabs>
                <w:tab w:val="left" w:pos="1163"/>
              </w:tabs>
              <w:rPr>
                <w:sz w:val="18"/>
                <w:szCs w:val="18"/>
              </w:rPr>
            </w:pPr>
            <w:r w:rsidRPr="008048DD">
              <w:rPr>
                <w:sz w:val="18"/>
                <w:szCs w:val="18"/>
              </w:rPr>
              <w:t xml:space="preserve">H9. </w:t>
            </w:r>
            <w:r w:rsidR="00354E33" w:rsidRPr="008048DD">
              <w:rPr>
                <w:sz w:val="18"/>
                <w:szCs w:val="18"/>
              </w:rPr>
              <w:t>Otro indicador de procesos para el</w:t>
            </w:r>
            <w:r w:rsidRPr="008048DD">
              <w:rPr>
                <w:sz w:val="18"/>
                <w:szCs w:val="18"/>
              </w:rPr>
              <w:t xml:space="preserve"> </w:t>
            </w:r>
            <w:r w:rsidR="00467D4C" w:rsidRPr="008048DD">
              <w:rPr>
                <w:sz w:val="18"/>
                <w:szCs w:val="18"/>
              </w:rPr>
              <w:t>artículo</w:t>
            </w:r>
            <w:r w:rsidRPr="008048DD">
              <w:rPr>
                <w:sz w:val="18"/>
                <w:szCs w:val="18"/>
              </w:rPr>
              <w:t xml:space="preserve"> 19 </w:t>
            </w:r>
          </w:p>
        </w:tc>
        <w:tc>
          <w:tcPr>
            <w:tcW w:w="5839" w:type="dxa"/>
            <w:gridSpan w:val="2"/>
          </w:tcPr>
          <w:p w14:paraId="2211BB02" w14:textId="206B9885" w:rsidR="00B1107F" w:rsidRPr="008048DD" w:rsidRDefault="00B1107F" w:rsidP="003A6617">
            <w:pPr>
              <w:pBdr>
                <w:top w:val="nil"/>
                <w:left w:val="nil"/>
                <w:bottom w:val="nil"/>
                <w:right w:val="nil"/>
                <w:between w:val="nil"/>
                <w:bar w:val="nil"/>
              </w:pBdr>
              <w:rPr>
                <w:rStyle w:val="dn"/>
                <w:rFonts w:eastAsia="Roboto"/>
                <w:sz w:val="18"/>
                <w:szCs w:val="18"/>
              </w:rPr>
            </w:pPr>
            <w:r w:rsidRPr="008048DD">
              <w:rPr>
                <w:rStyle w:val="dn"/>
                <w:rFonts w:eastAsia="Roboto"/>
                <w:sz w:val="18"/>
                <w:szCs w:val="18"/>
              </w:rPr>
              <w:t>N</w:t>
            </w:r>
            <w:r w:rsidR="00742106" w:rsidRPr="008048DD">
              <w:rPr>
                <w:rStyle w:val="dn"/>
                <w:rFonts w:eastAsia="Roboto"/>
                <w:sz w:val="18"/>
                <w:szCs w:val="18"/>
              </w:rPr>
              <w:t>úmero de regiones que contribuyen al conjunto de datos regional</w:t>
            </w:r>
            <w:r w:rsidR="009342CB" w:rsidRPr="008048DD">
              <w:rPr>
                <w:rStyle w:val="dn"/>
                <w:rFonts w:eastAsia="Roboto"/>
                <w:sz w:val="18"/>
                <w:szCs w:val="18"/>
              </w:rPr>
              <w:t>es</w:t>
            </w:r>
          </w:p>
        </w:tc>
        <w:tc>
          <w:tcPr>
            <w:tcW w:w="2808" w:type="dxa"/>
          </w:tcPr>
          <w:p w14:paraId="1D400203" w14:textId="77777777" w:rsidR="00B1107F" w:rsidRPr="008048DD" w:rsidRDefault="00B1107F" w:rsidP="003A6617">
            <w:pPr>
              <w:pBdr>
                <w:top w:val="nil"/>
                <w:left w:val="nil"/>
                <w:bottom w:val="nil"/>
                <w:right w:val="nil"/>
                <w:between w:val="nil"/>
                <w:bar w:val="nil"/>
              </w:pBdr>
              <w:rPr>
                <w:iCs/>
                <w:sz w:val="18"/>
                <w:szCs w:val="18"/>
              </w:rPr>
            </w:pPr>
            <w:r w:rsidRPr="008048DD">
              <w:rPr>
                <w:iCs/>
                <w:sz w:val="18"/>
                <w:szCs w:val="18"/>
              </w:rPr>
              <w:t xml:space="preserve">- </w:t>
            </w:r>
            <w:r w:rsidR="00742106" w:rsidRPr="008048DD">
              <w:rPr>
                <w:iCs/>
                <w:sz w:val="18"/>
                <w:szCs w:val="18"/>
              </w:rPr>
              <w:t>Redes de vigilancia, bases de datos, datos y publicaciones científicas existentes</w:t>
            </w:r>
          </w:p>
        </w:tc>
        <w:tc>
          <w:tcPr>
            <w:tcW w:w="2621" w:type="dxa"/>
            <w:gridSpan w:val="2"/>
          </w:tcPr>
          <w:p w14:paraId="3B99EF1A" w14:textId="77777777" w:rsidR="00B1107F" w:rsidRPr="008048DD" w:rsidRDefault="00507230" w:rsidP="003A6617">
            <w:pPr>
              <w:pBdr>
                <w:top w:val="nil"/>
                <w:left w:val="nil"/>
                <w:bottom w:val="nil"/>
                <w:right w:val="nil"/>
                <w:between w:val="nil"/>
                <w:bar w:val="nil"/>
              </w:pBdr>
              <w:rPr>
                <w:sz w:val="18"/>
                <w:szCs w:val="18"/>
              </w:rPr>
            </w:pPr>
            <w:r w:rsidRPr="008048DD">
              <w:rPr>
                <w:sz w:val="18"/>
                <w:szCs w:val="18"/>
              </w:rPr>
              <w:t>Número en la primera evaluación</w:t>
            </w:r>
          </w:p>
        </w:tc>
      </w:tr>
      <w:tr w:rsidR="00B1107F" w:rsidRPr="008048DD" w14:paraId="2AD231AA" w14:textId="77777777" w:rsidTr="00454F1C">
        <w:trPr>
          <w:trHeight w:val="227"/>
          <w:jc w:val="right"/>
        </w:trPr>
        <w:tc>
          <w:tcPr>
            <w:tcW w:w="3152" w:type="dxa"/>
            <w:gridSpan w:val="2"/>
            <w:shd w:val="clear" w:color="auto" w:fill="B8CCE4" w:themeFill="accent1" w:themeFillTint="66"/>
          </w:tcPr>
          <w:p w14:paraId="2EFC2A83" w14:textId="77777777" w:rsidR="00B1107F" w:rsidRPr="008048DD" w:rsidRDefault="00B1107F" w:rsidP="003A6617">
            <w:pPr>
              <w:rPr>
                <w:b/>
                <w:bCs/>
                <w:sz w:val="18"/>
                <w:szCs w:val="18"/>
              </w:rPr>
            </w:pPr>
            <w:r w:rsidRPr="008048DD">
              <w:rPr>
                <w:b/>
                <w:bCs/>
                <w:sz w:val="18"/>
                <w:szCs w:val="18"/>
              </w:rPr>
              <w:t>Notas</w:t>
            </w:r>
          </w:p>
        </w:tc>
        <w:tc>
          <w:tcPr>
            <w:tcW w:w="11268" w:type="dxa"/>
            <w:gridSpan w:val="5"/>
          </w:tcPr>
          <w:p w14:paraId="1AF7ADC5" w14:textId="77777777" w:rsidR="00B1107F" w:rsidRPr="008048DD" w:rsidRDefault="00BE4190" w:rsidP="003A6617">
            <w:pPr>
              <w:pStyle w:val="ListParagraph"/>
              <w:numPr>
                <w:ilvl w:val="0"/>
                <w:numId w:val="22"/>
              </w:numPr>
              <w:pBdr>
                <w:top w:val="nil"/>
                <w:left w:val="nil"/>
                <w:bottom w:val="nil"/>
                <w:right w:val="nil"/>
                <w:between w:val="nil"/>
                <w:bar w:val="nil"/>
              </w:pBdr>
              <w:tabs>
                <w:tab w:val="clear" w:pos="1247"/>
              </w:tabs>
              <w:rPr>
                <w:sz w:val="18"/>
                <w:szCs w:val="18"/>
              </w:rPr>
            </w:pPr>
            <w:r w:rsidRPr="008048DD">
              <w:rPr>
                <w:sz w:val="18"/>
                <w:szCs w:val="18"/>
              </w:rPr>
              <w:t xml:space="preserve">Comunicaciones enviadas a la Secretaría que complementan la presentación de informes prevista en el </w:t>
            </w:r>
            <w:r w:rsidR="00467D4C" w:rsidRPr="008048DD">
              <w:rPr>
                <w:sz w:val="18"/>
                <w:szCs w:val="18"/>
              </w:rPr>
              <w:t>artículo</w:t>
            </w:r>
            <w:r w:rsidR="00B1107F" w:rsidRPr="008048DD">
              <w:rPr>
                <w:sz w:val="18"/>
                <w:szCs w:val="18"/>
              </w:rPr>
              <w:t xml:space="preserve"> 21 </w:t>
            </w:r>
          </w:p>
        </w:tc>
      </w:tr>
      <w:tr w:rsidR="00B1107F" w:rsidRPr="008048DD" w14:paraId="2E231336" w14:textId="77777777" w:rsidTr="00454F1C">
        <w:trPr>
          <w:trHeight w:val="454"/>
          <w:jc w:val="right"/>
        </w:trPr>
        <w:tc>
          <w:tcPr>
            <w:tcW w:w="8864" w:type="dxa"/>
            <w:gridSpan w:val="3"/>
            <w:shd w:val="clear" w:color="auto" w:fill="B8CCE4" w:themeFill="accent1" w:themeFillTint="66"/>
          </w:tcPr>
          <w:p w14:paraId="015E6460" w14:textId="77777777" w:rsidR="00B1107F" w:rsidRPr="007B20DF" w:rsidRDefault="00B1107F" w:rsidP="003A6617">
            <w:pPr>
              <w:rPr>
                <w:rFonts w:eastAsia="Roboto"/>
                <w:b/>
                <w:bCs/>
                <w:sz w:val="18"/>
                <w:szCs w:val="18"/>
              </w:rPr>
            </w:pPr>
            <w:r w:rsidRPr="007B20DF">
              <w:rPr>
                <w:rFonts w:eastAsia="Roboto"/>
                <w:b/>
                <w:bCs/>
                <w:sz w:val="18"/>
                <w:szCs w:val="18"/>
              </w:rPr>
              <w:t xml:space="preserve">I: </w:t>
            </w:r>
            <w:r w:rsidR="00467D4C" w:rsidRPr="007B20DF">
              <w:rPr>
                <w:rFonts w:eastAsia="Roboto"/>
                <w:b/>
                <w:bCs/>
                <w:sz w:val="18"/>
                <w:szCs w:val="18"/>
              </w:rPr>
              <w:t>Artículo</w:t>
            </w:r>
            <w:r w:rsidRPr="007B20DF">
              <w:rPr>
                <w:rFonts w:eastAsia="Roboto"/>
                <w:b/>
                <w:bCs/>
                <w:sz w:val="18"/>
                <w:szCs w:val="18"/>
              </w:rPr>
              <w:t xml:space="preserve"> 20 </w:t>
            </w:r>
            <w:r w:rsidR="001027D3" w:rsidRPr="007B20DF">
              <w:rPr>
                <w:rFonts w:eastAsia="Roboto"/>
                <w:b/>
                <w:bCs/>
                <w:sz w:val="18"/>
                <w:szCs w:val="18"/>
              </w:rPr>
              <w:t>(</w:t>
            </w:r>
            <w:r w:rsidR="008E2CA8" w:rsidRPr="007B20DF">
              <w:rPr>
                <w:rFonts w:eastAsia="Roboto"/>
                <w:b/>
                <w:bCs/>
                <w:sz w:val="18"/>
                <w:szCs w:val="18"/>
              </w:rPr>
              <w:t>planes de aplicación</w:t>
            </w:r>
            <w:r w:rsidR="001027D3" w:rsidRPr="007B20DF">
              <w:rPr>
                <w:rFonts w:eastAsia="Roboto"/>
                <w:b/>
                <w:bCs/>
                <w:sz w:val="18"/>
                <w:szCs w:val="18"/>
              </w:rPr>
              <w:t>)</w:t>
            </w:r>
          </w:p>
        </w:tc>
        <w:tc>
          <w:tcPr>
            <w:tcW w:w="3019" w:type="dxa"/>
            <w:gridSpan w:val="3"/>
            <w:shd w:val="clear" w:color="auto" w:fill="B8CCE4" w:themeFill="accent1" w:themeFillTint="66"/>
          </w:tcPr>
          <w:p w14:paraId="1D3D6363" w14:textId="411482A2" w:rsidR="00B1107F" w:rsidRPr="007B20DF" w:rsidRDefault="00BE4190" w:rsidP="003A6617">
            <w:pPr>
              <w:rPr>
                <w:b/>
                <w:bCs/>
                <w:sz w:val="18"/>
                <w:szCs w:val="18"/>
              </w:rPr>
            </w:pPr>
            <w:r w:rsidRPr="007B20DF">
              <w:rPr>
                <w:b/>
                <w:bCs/>
                <w:sz w:val="18"/>
                <w:szCs w:val="18"/>
              </w:rPr>
              <w:t>Fuente de información sobre el indic</w:t>
            </w:r>
            <w:r w:rsidR="00CB0739" w:rsidRPr="007B20DF">
              <w:rPr>
                <w:b/>
                <w:bCs/>
                <w:sz w:val="18"/>
                <w:szCs w:val="18"/>
              </w:rPr>
              <w:t>ador</w:t>
            </w:r>
          </w:p>
        </w:tc>
        <w:tc>
          <w:tcPr>
            <w:tcW w:w="2537" w:type="dxa"/>
            <w:shd w:val="clear" w:color="auto" w:fill="B8CCE4" w:themeFill="accent1" w:themeFillTint="66"/>
          </w:tcPr>
          <w:p w14:paraId="571A7C65" w14:textId="46DD64FD" w:rsidR="00B1107F" w:rsidRPr="007B20DF" w:rsidRDefault="00BE4190" w:rsidP="003A6617">
            <w:pPr>
              <w:rPr>
                <w:b/>
                <w:bCs/>
                <w:sz w:val="18"/>
                <w:szCs w:val="18"/>
              </w:rPr>
            </w:pPr>
            <w:r w:rsidRPr="007B20DF">
              <w:rPr>
                <w:b/>
                <w:bCs/>
                <w:sz w:val="18"/>
                <w:szCs w:val="18"/>
              </w:rPr>
              <w:t>Pa</w:t>
            </w:r>
            <w:r w:rsidR="00CB0739" w:rsidRPr="007B20DF">
              <w:rPr>
                <w:b/>
                <w:bCs/>
                <w:sz w:val="18"/>
                <w:szCs w:val="18"/>
              </w:rPr>
              <w:t>rámetro de referencia del indicador</w:t>
            </w:r>
          </w:p>
        </w:tc>
      </w:tr>
      <w:tr w:rsidR="00B1107F" w:rsidRPr="008048DD" w14:paraId="51AF3215" w14:textId="77777777" w:rsidTr="00454F1C">
        <w:trPr>
          <w:trHeight w:val="624"/>
          <w:jc w:val="right"/>
        </w:trPr>
        <w:tc>
          <w:tcPr>
            <w:tcW w:w="3140" w:type="dxa"/>
          </w:tcPr>
          <w:p w14:paraId="12A4B89D" w14:textId="77777777" w:rsidR="00B1107F" w:rsidRPr="008048DD" w:rsidRDefault="00B1107F" w:rsidP="003A6617">
            <w:pPr>
              <w:rPr>
                <w:sz w:val="18"/>
                <w:szCs w:val="18"/>
              </w:rPr>
            </w:pPr>
            <w:r w:rsidRPr="008048DD">
              <w:rPr>
                <w:sz w:val="18"/>
                <w:szCs w:val="18"/>
              </w:rPr>
              <w:t xml:space="preserve">I1. </w:t>
            </w:r>
            <w:r w:rsidR="00BE4190" w:rsidRPr="008048DD">
              <w:rPr>
                <w:sz w:val="18"/>
                <w:szCs w:val="18"/>
              </w:rPr>
              <w:t>Indicador de procesos</w:t>
            </w:r>
          </w:p>
        </w:tc>
        <w:tc>
          <w:tcPr>
            <w:tcW w:w="5724" w:type="dxa"/>
            <w:gridSpan w:val="2"/>
          </w:tcPr>
          <w:p w14:paraId="544B2923" w14:textId="77777777" w:rsidR="00B1107F" w:rsidRPr="008048DD" w:rsidRDefault="00BE4190" w:rsidP="003A6617">
            <w:pPr>
              <w:pBdr>
                <w:top w:val="nil"/>
                <w:left w:val="nil"/>
                <w:bottom w:val="nil"/>
                <w:right w:val="nil"/>
                <w:between w:val="nil"/>
                <w:bar w:val="nil"/>
              </w:pBdr>
              <w:rPr>
                <w:rFonts w:eastAsia="Roboto"/>
                <w:sz w:val="18"/>
                <w:szCs w:val="18"/>
              </w:rPr>
            </w:pPr>
            <w:r w:rsidRPr="008048DD">
              <w:rPr>
                <w:rStyle w:val="dn"/>
                <w:rFonts w:eastAsia="Roboto"/>
                <w:sz w:val="18"/>
                <w:szCs w:val="18"/>
              </w:rPr>
              <w:t>Número de Partes que han presentado planes de aplicación</w:t>
            </w:r>
          </w:p>
          <w:p w14:paraId="62761634" w14:textId="77777777" w:rsidR="00B1107F" w:rsidRPr="008048DD" w:rsidRDefault="00B1107F" w:rsidP="003A6617">
            <w:pPr>
              <w:rPr>
                <w:sz w:val="18"/>
                <w:szCs w:val="18"/>
              </w:rPr>
            </w:pPr>
          </w:p>
        </w:tc>
        <w:tc>
          <w:tcPr>
            <w:tcW w:w="3019" w:type="dxa"/>
            <w:gridSpan w:val="3"/>
          </w:tcPr>
          <w:p w14:paraId="673EB7B5" w14:textId="77777777" w:rsidR="00B1107F" w:rsidRPr="008048DD" w:rsidRDefault="00B1107F" w:rsidP="003A6617">
            <w:pPr>
              <w:tabs>
                <w:tab w:val="clear" w:pos="1247"/>
                <w:tab w:val="clear" w:pos="1814"/>
                <w:tab w:val="clear" w:pos="2381"/>
                <w:tab w:val="clear" w:pos="2948"/>
                <w:tab w:val="clear" w:pos="3515"/>
              </w:tabs>
              <w:ind w:right="-107"/>
              <w:rPr>
                <w:iCs/>
                <w:sz w:val="18"/>
                <w:szCs w:val="18"/>
              </w:rPr>
            </w:pPr>
            <w:r w:rsidRPr="008048DD">
              <w:rPr>
                <w:iCs/>
                <w:sz w:val="18"/>
                <w:szCs w:val="18"/>
              </w:rPr>
              <w:t xml:space="preserve">- </w:t>
            </w:r>
            <w:r w:rsidR="00BE4190" w:rsidRPr="008048DD">
              <w:rPr>
                <w:iCs/>
                <w:sz w:val="18"/>
                <w:szCs w:val="18"/>
              </w:rPr>
              <w:t xml:space="preserve">Informe de la </w:t>
            </w:r>
            <w:r w:rsidRPr="008048DD">
              <w:rPr>
                <w:iCs/>
                <w:sz w:val="18"/>
                <w:szCs w:val="18"/>
              </w:rPr>
              <w:t>Secretar</w:t>
            </w:r>
            <w:r w:rsidR="00BE4190" w:rsidRPr="008048DD">
              <w:rPr>
                <w:iCs/>
                <w:sz w:val="18"/>
                <w:szCs w:val="18"/>
              </w:rPr>
              <w:t xml:space="preserve">ía a la </w:t>
            </w:r>
            <w:r w:rsidR="00894E54" w:rsidRPr="008048DD">
              <w:rPr>
                <w:iCs/>
                <w:sz w:val="18"/>
                <w:szCs w:val="18"/>
              </w:rPr>
              <w:t>Conferencia de las Partes</w:t>
            </w:r>
            <w:r w:rsidR="00803B6C" w:rsidRPr="008048DD">
              <w:rPr>
                <w:iCs/>
                <w:sz w:val="18"/>
                <w:szCs w:val="18"/>
              </w:rPr>
              <w:t xml:space="preserve"> </w:t>
            </w:r>
            <w:r w:rsidR="00BE4190" w:rsidRPr="008048DD">
              <w:rPr>
                <w:iCs/>
                <w:sz w:val="18"/>
                <w:szCs w:val="18"/>
              </w:rPr>
              <w:t>sobre la presentación de planes de aplicación</w:t>
            </w:r>
          </w:p>
        </w:tc>
        <w:tc>
          <w:tcPr>
            <w:tcW w:w="2537" w:type="dxa"/>
          </w:tcPr>
          <w:p w14:paraId="6C1A8D64" w14:textId="09F82651" w:rsidR="00B1107F" w:rsidRPr="008048DD" w:rsidRDefault="009342CB" w:rsidP="003A6617">
            <w:pPr>
              <w:pBdr>
                <w:top w:val="nil"/>
                <w:left w:val="nil"/>
                <w:bottom w:val="nil"/>
                <w:right w:val="nil"/>
                <w:between w:val="nil"/>
                <w:bar w:val="nil"/>
              </w:pBdr>
              <w:rPr>
                <w:sz w:val="18"/>
                <w:szCs w:val="18"/>
              </w:rPr>
            </w:pPr>
            <w:r w:rsidRPr="008048DD">
              <w:rPr>
                <w:sz w:val="18"/>
                <w:szCs w:val="18"/>
              </w:rPr>
              <w:t>C</w:t>
            </w:r>
            <w:r w:rsidR="00B1107F" w:rsidRPr="008048DD">
              <w:rPr>
                <w:sz w:val="18"/>
                <w:szCs w:val="18"/>
              </w:rPr>
              <w:t>ero</w:t>
            </w:r>
          </w:p>
        </w:tc>
      </w:tr>
      <w:tr w:rsidR="00B1107F" w:rsidRPr="008048DD" w14:paraId="261387D2" w14:textId="77777777" w:rsidTr="00454F1C">
        <w:trPr>
          <w:trHeight w:val="454"/>
          <w:jc w:val="right"/>
        </w:trPr>
        <w:tc>
          <w:tcPr>
            <w:tcW w:w="3140" w:type="dxa"/>
            <w:shd w:val="clear" w:color="auto" w:fill="B8CCE4" w:themeFill="accent1" w:themeFillTint="66"/>
          </w:tcPr>
          <w:p w14:paraId="49213A1A" w14:textId="77777777" w:rsidR="00B1107F" w:rsidRPr="008048DD" w:rsidRDefault="00B1107F" w:rsidP="003A6617">
            <w:pPr>
              <w:rPr>
                <w:b/>
                <w:bCs/>
                <w:sz w:val="18"/>
                <w:szCs w:val="18"/>
              </w:rPr>
            </w:pPr>
            <w:r w:rsidRPr="008048DD">
              <w:rPr>
                <w:b/>
                <w:bCs/>
                <w:sz w:val="18"/>
                <w:szCs w:val="18"/>
              </w:rPr>
              <w:t>Notas</w:t>
            </w:r>
          </w:p>
        </w:tc>
        <w:tc>
          <w:tcPr>
            <w:tcW w:w="11280" w:type="dxa"/>
            <w:gridSpan w:val="6"/>
          </w:tcPr>
          <w:p w14:paraId="1ABED58F" w14:textId="77777777" w:rsidR="00B1107F" w:rsidRPr="008048DD" w:rsidRDefault="00BE4190" w:rsidP="003A6617">
            <w:pPr>
              <w:pStyle w:val="ListParagraph"/>
              <w:numPr>
                <w:ilvl w:val="0"/>
                <w:numId w:val="23"/>
              </w:numPr>
              <w:pBdr>
                <w:top w:val="nil"/>
                <w:left w:val="nil"/>
                <w:bottom w:val="nil"/>
                <w:right w:val="nil"/>
                <w:between w:val="nil"/>
                <w:bar w:val="nil"/>
              </w:pBdr>
              <w:tabs>
                <w:tab w:val="clear" w:pos="1247"/>
              </w:tabs>
              <w:jc w:val="both"/>
              <w:rPr>
                <w:rStyle w:val="dn"/>
                <w:rFonts w:eastAsia="Roboto"/>
                <w:sz w:val="18"/>
                <w:szCs w:val="18"/>
              </w:rPr>
            </w:pPr>
            <w:r w:rsidRPr="008048DD">
              <w:rPr>
                <w:rStyle w:val="dn"/>
                <w:rFonts w:eastAsia="Roboto"/>
                <w:sz w:val="18"/>
                <w:szCs w:val="18"/>
              </w:rPr>
              <w:t xml:space="preserve">Las </w:t>
            </w:r>
            <w:r w:rsidR="00B1107F" w:rsidRPr="008048DD">
              <w:rPr>
                <w:rStyle w:val="dn"/>
                <w:rFonts w:eastAsia="Roboto"/>
                <w:sz w:val="18"/>
                <w:szCs w:val="18"/>
              </w:rPr>
              <w:t xml:space="preserve">Partes </w:t>
            </w:r>
            <w:r w:rsidRPr="008048DD">
              <w:rPr>
                <w:rStyle w:val="dn"/>
                <w:rFonts w:eastAsia="Roboto"/>
                <w:sz w:val="18"/>
                <w:szCs w:val="18"/>
              </w:rPr>
              <w:t>no tienen obligación de preparar un plan de aplicación</w:t>
            </w:r>
            <w:r w:rsidR="00B1107F" w:rsidRPr="008048DD">
              <w:rPr>
                <w:rStyle w:val="dn"/>
                <w:rFonts w:eastAsia="Roboto"/>
                <w:sz w:val="18"/>
                <w:szCs w:val="18"/>
              </w:rPr>
              <w:t>. S</w:t>
            </w:r>
            <w:r w:rsidRPr="008048DD">
              <w:rPr>
                <w:rStyle w:val="dn"/>
                <w:rFonts w:eastAsia="Roboto"/>
                <w:sz w:val="18"/>
                <w:szCs w:val="18"/>
              </w:rPr>
              <w:t xml:space="preserve">in embargo, algunas Partes han considerado útil </w:t>
            </w:r>
            <w:r w:rsidR="00CB2540" w:rsidRPr="008048DD">
              <w:rPr>
                <w:rStyle w:val="dn"/>
                <w:rFonts w:eastAsia="Roboto"/>
                <w:sz w:val="18"/>
                <w:szCs w:val="18"/>
              </w:rPr>
              <w:t>preparar</w:t>
            </w:r>
            <w:r w:rsidRPr="008048DD">
              <w:rPr>
                <w:rStyle w:val="dn"/>
                <w:rFonts w:eastAsia="Roboto"/>
                <w:sz w:val="18"/>
                <w:szCs w:val="18"/>
              </w:rPr>
              <w:t xml:space="preserve"> ese</w:t>
            </w:r>
            <w:r w:rsidR="00B1107F" w:rsidRPr="008048DD">
              <w:rPr>
                <w:rStyle w:val="dn"/>
                <w:rFonts w:eastAsia="Roboto"/>
                <w:sz w:val="18"/>
                <w:szCs w:val="18"/>
              </w:rPr>
              <w:t xml:space="preserve"> plan </w:t>
            </w:r>
            <w:r w:rsidRPr="008048DD">
              <w:rPr>
                <w:rStyle w:val="dn"/>
                <w:rFonts w:eastAsia="Roboto"/>
                <w:sz w:val="18"/>
                <w:szCs w:val="18"/>
              </w:rPr>
              <w:t>y</w:t>
            </w:r>
            <w:r w:rsidR="00B1107F" w:rsidRPr="008048DD">
              <w:rPr>
                <w:rStyle w:val="dn"/>
                <w:rFonts w:eastAsia="Roboto"/>
                <w:sz w:val="18"/>
                <w:szCs w:val="18"/>
              </w:rPr>
              <w:t xml:space="preserve"> </w:t>
            </w:r>
            <w:r w:rsidRPr="008048DD">
              <w:rPr>
                <w:rStyle w:val="dn"/>
                <w:rFonts w:eastAsia="Roboto"/>
                <w:sz w:val="18"/>
                <w:szCs w:val="18"/>
              </w:rPr>
              <w:t>presentarlo a la Secretaría</w:t>
            </w:r>
            <w:r w:rsidR="00B1107F" w:rsidRPr="008048DD">
              <w:rPr>
                <w:rStyle w:val="dn"/>
                <w:rFonts w:eastAsia="Roboto"/>
                <w:sz w:val="18"/>
                <w:szCs w:val="18"/>
              </w:rPr>
              <w:t>.</w:t>
            </w:r>
          </w:p>
        </w:tc>
      </w:tr>
    </w:tbl>
    <w:p w14:paraId="564E57F5" w14:textId="3C77BA78" w:rsidR="007B20DF" w:rsidRDefault="007B20DF" w:rsidP="00B1107F">
      <w:pPr>
        <w:rPr>
          <w:sz w:val="18"/>
          <w:szCs w:val="18"/>
        </w:rPr>
      </w:pPr>
    </w:p>
    <w:tbl>
      <w:tblPr>
        <w:tblStyle w:val="TableGrid"/>
        <w:tblW w:w="5000" w:type="pct"/>
        <w:jc w:val="right"/>
        <w:tblLayout w:type="fixed"/>
        <w:tblLook w:val="04A0" w:firstRow="1" w:lastRow="0" w:firstColumn="1" w:lastColumn="0" w:noHBand="0" w:noVBand="1"/>
      </w:tblPr>
      <w:tblGrid>
        <w:gridCol w:w="3139"/>
        <w:gridCol w:w="5891"/>
        <w:gridCol w:w="2853"/>
        <w:gridCol w:w="2537"/>
      </w:tblGrid>
      <w:tr w:rsidR="00B1107F" w:rsidRPr="008048DD" w14:paraId="210C912E" w14:textId="77777777" w:rsidTr="003A6617">
        <w:trPr>
          <w:trHeight w:val="454"/>
          <w:jc w:val="right"/>
        </w:trPr>
        <w:tc>
          <w:tcPr>
            <w:tcW w:w="9030" w:type="dxa"/>
            <w:gridSpan w:val="2"/>
            <w:shd w:val="clear" w:color="auto" w:fill="B8CCE4" w:themeFill="accent1" w:themeFillTint="66"/>
          </w:tcPr>
          <w:p w14:paraId="16913596" w14:textId="77777777" w:rsidR="00B1107F" w:rsidRPr="007B20DF" w:rsidRDefault="00B1107F" w:rsidP="007B20DF">
            <w:pPr>
              <w:rPr>
                <w:rFonts w:eastAsia="Roboto"/>
                <w:b/>
                <w:bCs/>
                <w:sz w:val="18"/>
                <w:szCs w:val="18"/>
              </w:rPr>
            </w:pPr>
            <w:r w:rsidRPr="007B20DF">
              <w:rPr>
                <w:rFonts w:eastAsia="Roboto"/>
                <w:b/>
                <w:bCs/>
                <w:sz w:val="18"/>
                <w:szCs w:val="18"/>
              </w:rPr>
              <w:t xml:space="preserve">J: </w:t>
            </w:r>
            <w:r w:rsidR="008E2CA8" w:rsidRPr="007B20DF">
              <w:rPr>
                <w:rFonts w:eastAsia="Roboto"/>
                <w:b/>
                <w:bCs/>
                <w:sz w:val="18"/>
                <w:szCs w:val="18"/>
              </w:rPr>
              <w:t>Artículo</w:t>
            </w:r>
            <w:r w:rsidRPr="007B20DF">
              <w:rPr>
                <w:rFonts w:eastAsia="Roboto"/>
                <w:b/>
                <w:bCs/>
                <w:sz w:val="18"/>
                <w:szCs w:val="18"/>
              </w:rPr>
              <w:t xml:space="preserve"> 21 </w:t>
            </w:r>
            <w:r w:rsidR="001027D3" w:rsidRPr="007B20DF">
              <w:rPr>
                <w:rFonts w:eastAsia="Roboto"/>
                <w:b/>
                <w:bCs/>
                <w:sz w:val="18"/>
                <w:szCs w:val="18"/>
              </w:rPr>
              <w:t>(</w:t>
            </w:r>
            <w:r w:rsidR="00BE4190" w:rsidRPr="007B20DF">
              <w:rPr>
                <w:rFonts w:eastAsia="Roboto"/>
                <w:b/>
                <w:bCs/>
                <w:sz w:val="18"/>
                <w:szCs w:val="18"/>
              </w:rPr>
              <w:t>presentación de informes</w:t>
            </w:r>
            <w:r w:rsidR="001027D3" w:rsidRPr="007B20DF">
              <w:rPr>
                <w:rFonts w:eastAsia="Roboto"/>
                <w:b/>
                <w:bCs/>
                <w:sz w:val="18"/>
                <w:szCs w:val="18"/>
              </w:rPr>
              <w:t>)</w:t>
            </w:r>
          </w:p>
        </w:tc>
        <w:tc>
          <w:tcPr>
            <w:tcW w:w="2853" w:type="dxa"/>
            <w:shd w:val="clear" w:color="auto" w:fill="B8CCE4" w:themeFill="accent1" w:themeFillTint="66"/>
          </w:tcPr>
          <w:p w14:paraId="5BC17E54" w14:textId="2C991702" w:rsidR="00B1107F" w:rsidRPr="007B20DF" w:rsidRDefault="00BE4190" w:rsidP="007B20DF">
            <w:pPr>
              <w:rPr>
                <w:b/>
                <w:bCs/>
                <w:sz w:val="18"/>
                <w:szCs w:val="18"/>
              </w:rPr>
            </w:pPr>
            <w:r w:rsidRPr="007B20DF">
              <w:rPr>
                <w:b/>
                <w:bCs/>
                <w:sz w:val="18"/>
                <w:szCs w:val="18"/>
              </w:rPr>
              <w:t>Fuente de información sobre el indic</w:t>
            </w:r>
            <w:r w:rsidR="00CB0739" w:rsidRPr="007B20DF">
              <w:rPr>
                <w:b/>
                <w:bCs/>
                <w:sz w:val="18"/>
                <w:szCs w:val="18"/>
              </w:rPr>
              <w:t>ador</w:t>
            </w:r>
          </w:p>
        </w:tc>
        <w:tc>
          <w:tcPr>
            <w:tcW w:w="2537" w:type="dxa"/>
            <w:shd w:val="clear" w:color="auto" w:fill="B8CCE4" w:themeFill="accent1" w:themeFillTint="66"/>
          </w:tcPr>
          <w:p w14:paraId="29183741" w14:textId="4A8EDD70" w:rsidR="00B1107F" w:rsidRPr="007B20DF" w:rsidRDefault="00BE4190" w:rsidP="007B20DF">
            <w:pPr>
              <w:rPr>
                <w:b/>
                <w:bCs/>
                <w:sz w:val="18"/>
                <w:szCs w:val="18"/>
              </w:rPr>
            </w:pPr>
            <w:r w:rsidRPr="007B20DF">
              <w:rPr>
                <w:b/>
                <w:bCs/>
                <w:sz w:val="18"/>
                <w:szCs w:val="18"/>
              </w:rPr>
              <w:t>Parámetro de referencia del indi</w:t>
            </w:r>
            <w:r w:rsidR="00CB0739" w:rsidRPr="007B20DF">
              <w:rPr>
                <w:b/>
                <w:bCs/>
                <w:sz w:val="18"/>
                <w:szCs w:val="18"/>
              </w:rPr>
              <w:t>cador</w:t>
            </w:r>
          </w:p>
        </w:tc>
      </w:tr>
      <w:tr w:rsidR="00B1107F" w:rsidRPr="008048DD" w14:paraId="76EED2F2" w14:textId="77777777" w:rsidTr="003A6617">
        <w:trPr>
          <w:trHeight w:val="454"/>
          <w:jc w:val="right"/>
        </w:trPr>
        <w:tc>
          <w:tcPr>
            <w:tcW w:w="3139" w:type="dxa"/>
          </w:tcPr>
          <w:p w14:paraId="7A2A6002" w14:textId="77777777" w:rsidR="00B1107F" w:rsidRPr="008048DD" w:rsidRDefault="00B1107F" w:rsidP="00EE7D24">
            <w:pPr>
              <w:rPr>
                <w:sz w:val="18"/>
                <w:szCs w:val="18"/>
              </w:rPr>
            </w:pPr>
            <w:r w:rsidRPr="008048DD">
              <w:rPr>
                <w:sz w:val="18"/>
                <w:szCs w:val="18"/>
              </w:rPr>
              <w:t xml:space="preserve">J1. </w:t>
            </w:r>
            <w:r w:rsidR="00BE4190" w:rsidRPr="008048DD">
              <w:rPr>
                <w:sz w:val="18"/>
                <w:szCs w:val="18"/>
              </w:rPr>
              <w:t>Indicador de procesos</w:t>
            </w:r>
          </w:p>
        </w:tc>
        <w:tc>
          <w:tcPr>
            <w:tcW w:w="5891" w:type="dxa"/>
          </w:tcPr>
          <w:p w14:paraId="46B225D0" w14:textId="77777777" w:rsidR="00B1107F" w:rsidRPr="008048DD" w:rsidRDefault="00B1107F" w:rsidP="00EE7D24">
            <w:pPr>
              <w:pBdr>
                <w:top w:val="nil"/>
                <w:left w:val="nil"/>
                <w:bottom w:val="nil"/>
                <w:right w:val="nil"/>
                <w:between w:val="nil"/>
                <w:bar w:val="nil"/>
              </w:pBdr>
              <w:rPr>
                <w:rFonts w:eastAsia="Roboto"/>
                <w:sz w:val="18"/>
                <w:szCs w:val="18"/>
              </w:rPr>
            </w:pPr>
            <w:r w:rsidRPr="008048DD">
              <w:rPr>
                <w:rStyle w:val="dn"/>
                <w:rFonts w:eastAsia="Roboto"/>
                <w:sz w:val="18"/>
                <w:szCs w:val="18"/>
              </w:rPr>
              <w:t>Propor</w:t>
            </w:r>
            <w:r w:rsidR="00354E33" w:rsidRPr="008048DD">
              <w:rPr>
                <w:rStyle w:val="dn"/>
                <w:rFonts w:eastAsia="Roboto"/>
                <w:sz w:val="18"/>
                <w:szCs w:val="18"/>
              </w:rPr>
              <w:t>ción de Partes que presentan informes a tiempo</w:t>
            </w:r>
          </w:p>
          <w:p w14:paraId="3B61646B" w14:textId="77777777" w:rsidR="00B1107F" w:rsidRPr="008048DD" w:rsidRDefault="00B1107F" w:rsidP="00EE7D24">
            <w:pPr>
              <w:rPr>
                <w:sz w:val="18"/>
                <w:szCs w:val="18"/>
              </w:rPr>
            </w:pPr>
          </w:p>
        </w:tc>
        <w:tc>
          <w:tcPr>
            <w:tcW w:w="2853" w:type="dxa"/>
          </w:tcPr>
          <w:p w14:paraId="22563E21" w14:textId="77777777" w:rsidR="00B1107F" w:rsidRPr="008048DD" w:rsidRDefault="00B1107F" w:rsidP="00E80B4F">
            <w:pPr>
              <w:pBdr>
                <w:top w:val="nil"/>
                <w:left w:val="nil"/>
                <w:bottom w:val="nil"/>
                <w:right w:val="nil"/>
                <w:between w:val="nil"/>
                <w:bar w:val="nil"/>
              </w:pBdr>
              <w:tabs>
                <w:tab w:val="left" w:pos="1010"/>
              </w:tabs>
              <w:ind w:right="-1295"/>
              <w:rPr>
                <w:rStyle w:val="dn"/>
                <w:rFonts w:eastAsia="Roboto"/>
                <w:sz w:val="18"/>
                <w:szCs w:val="18"/>
              </w:rPr>
            </w:pPr>
            <w:r w:rsidRPr="008048DD">
              <w:rPr>
                <w:iCs/>
                <w:sz w:val="18"/>
                <w:szCs w:val="18"/>
              </w:rPr>
              <w:t xml:space="preserve">- </w:t>
            </w:r>
            <w:r w:rsidR="00E80B4F" w:rsidRPr="008048DD">
              <w:rPr>
                <w:iCs/>
                <w:sz w:val="18"/>
                <w:szCs w:val="18"/>
              </w:rPr>
              <w:t xml:space="preserve">Presentación de informes </w:t>
            </w:r>
            <w:r w:rsidR="00E80B4F" w:rsidRPr="008048DD">
              <w:rPr>
                <w:iCs/>
                <w:sz w:val="18"/>
                <w:szCs w:val="18"/>
              </w:rPr>
              <w:br/>
              <w:t>con arreglo al artículo 21</w:t>
            </w:r>
          </w:p>
        </w:tc>
        <w:tc>
          <w:tcPr>
            <w:tcW w:w="2537" w:type="dxa"/>
          </w:tcPr>
          <w:p w14:paraId="619A48FC" w14:textId="77777777" w:rsidR="00B1107F" w:rsidRPr="008048DD" w:rsidRDefault="006C5116" w:rsidP="00ED481B">
            <w:pPr>
              <w:pBdr>
                <w:top w:val="nil"/>
                <w:left w:val="nil"/>
                <w:bottom w:val="nil"/>
                <w:right w:val="nil"/>
                <w:between w:val="nil"/>
                <w:bar w:val="nil"/>
              </w:pBdr>
              <w:rPr>
                <w:sz w:val="18"/>
                <w:szCs w:val="18"/>
              </w:rPr>
            </w:pPr>
            <w:r w:rsidRPr="008048DD">
              <w:rPr>
                <w:sz w:val="18"/>
                <w:szCs w:val="18"/>
              </w:rPr>
              <w:t>P</w:t>
            </w:r>
            <w:r w:rsidR="00ED481B" w:rsidRPr="008048DD">
              <w:rPr>
                <w:sz w:val="18"/>
                <w:szCs w:val="18"/>
              </w:rPr>
              <w:t>orcentaje de la primera presentación a tiempo</w:t>
            </w:r>
          </w:p>
        </w:tc>
      </w:tr>
      <w:tr w:rsidR="00B1107F" w:rsidRPr="008048DD" w14:paraId="4640723D" w14:textId="77777777" w:rsidTr="003A6617">
        <w:trPr>
          <w:trHeight w:val="454"/>
          <w:jc w:val="right"/>
        </w:trPr>
        <w:tc>
          <w:tcPr>
            <w:tcW w:w="3139" w:type="dxa"/>
          </w:tcPr>
          <w:p w14:paraId="431F813B" w14:textId="77777777" w:rsidR="00B1107F" w:rsidRPr="008048DD" w:rsidRDefault="00B1107F" w:rsidP="00EE7D24">
            <w:pPr>
              <w:rPr>
                <w:sz w:val="18"/>
                <w:szCs w:val="18"/>
              </w:rPr>
            </w:pPr>
            <w:r w:rsidRPr="008048DD">
              <w:rPr>
                <w:sz w:val="18"/>
                <w:szCs w:val="18"/>
              </w:rPr>
              <w:t xml:space="preserve">J2. </w:t>
            </w:r>
            <w:r w:rsidR="00BE4190" w:rsidRPr="008048DD">
              <w:rPr>
                <w:sz w:val="18"/>
                <w:szCs w:val="18"/>
              </w:rPr>
              <w:t>Indicador de procesos</w:t>
            </w:r>
          </w:p>
        </w:tc>
        <w:tc>
          <w:tcPr>
            <w:tcW w:w="5891" w:type="dxa"/>
          </w:tcPr>
          <w:p w14:paraId="2AAD7CE4" w14:textId="77777777" w:rsidR="00354E33" w:rsidRPr="008048DD" w:rsidRDefault="00354E33" w:rsidP="00354E33">
            <w:pPr>
              <w:pBdr>
                <w:top w:val="nil"/>
                <w:left w:val="nil"/>
                <w:bottom w:val="nil"/>
                <w:right w:val="nil"/>
                <w:between w:val="nil"/>
                <w:bar w:val="nil"/>
              </w:pBdr>
              <w:rPr>
                <w:rFonts w:eastAsia="Roboto"/>
                <w:sz w:val="18"/>
                <w:szCs w:val="18"/>
              </w:rPr>
            </w:pPr>
            <w:r w:rsidRPr="008048DD">
              <w:rPr>
                <w:rStyle w:val="dn"/>
                <w:rFonts w:eastAsia="Roboto"/>
                <w:sz w:val="18"/>
                <w:szCs w:val="18"/>
              </w:rPr>
              <w:t>Proporción de Partes que presentan informes a tiempo</w:t>
            </w:r>
          </w:p>
          <w:p w14:paraId="5C9D031B" w14:textId="77777777" w:rsidR="00B1107F" w:rsidRPr="008048DD" w:rsidRDefault="00B1107F" w:rsidP="00EE7D24">
            <w:pPr>
              <w:pBdr>
                <w:top w:val="nil"/>
                <w:left w:val="nil"/>
                <w:bottom w:val="nil"/>
                <w:right w:val="nil"/>
                <w:between w:val="nil"/>
                <w:bar w:val="nil"/>
              </w:pBdr>
              <w:rPr>
                <w:rStyle w:val="dn"/>
                <w:rFonts w:eastAsia="Roboto"/>
                <w:sz w:val="18"/>
                <w:szCs w:val="18"/>
              </w:rPr>
            </w:pPr>
          </w:p>
        </w:tc>
        <w:tc>
          <w:tcPr>
            <w:tcW w:w="2853" w:type="dxa"/>
          </w:tcPr>
          <w:p w14:paraId="0E8CF934" w14:textId="77777777" w:rsidR="00B1107F" w:rsidRPr="008048DD" w:rsidRDefault="00B1107F" w:rsidP="00E80B4F">
            <w:pPr>
              <w:pBdr>
                <w:top w:val="nil"/>
                <w:left w:val="nil"/>
                <w:bottom w:val="nil"/>
                <w:right w:val="nil"/>
                <w:between w:val="nil"/>
                <w:bar w:val="nil"/>
              </w:pBdr>
              <w:ind w:right="-1295"/>
              <w:rPr>
                <w:iCs/>
                <w:sz w:val="18"/>
                <w:szCs w:val="18"/>
              </w:rPr>
            </w:pPr>
            <w:r w:rsidRPr="008048DD">
              <w:rPr>
                <w:iCs/>
                <w:sz w:val="18"/>
                <w:szCs w:val="18"/>
              </w:rPr>
              <w:t xml:space="preserve">- </w:t>
            </w:r>
            <w:r w:rsidR="00E80B4F" w:rsidRPr="008048DD">
              <w:rPr>
                <w:iCs/>
                <w:sz w:val="18"/>
                <w:szCs w:val="18"/>
              </w:rPr>
              <w:t xml:space="preserve">Presentación de informes </w:t>
            </w:r>
            <w:r w:rsidR="00E80B4F" w:rsidRPr="008048DD">
              <w:rPr>
                <w:iCs/>
                <w:sz w:val="18"/>
                <w:szCs w:val="18"/>
              </w:rPr>
              <w:br/>
              <w:t>con arreglo al artículo 21</w:t>
            </w:r>
          </w:p>
        </w:tc>
        <w:tc>
          <w:tcPr>
            <w:tcW w:w="2537" w:type="dxa"/>
          </w:tcPr>
          <w:p w14:paraId="514103ED" w14:textId="77777777" w:rsidR="00B1107F" w:rsidRPr="008048DD" w:rsidRDefault="006C5116" w:rsidP="00ED481B">
            <w:pPr>
              <w:pBdr>
                <w:top w:val="nil"/>
                <w:left w:val="nil"/>
                <w:bottom w:val="nil"/>
                <w:right w:val="nil"/>
                <w:between w:val="nil"/>
                <w:bar w:val="nil"/>
              </w:pBdr>
              <w:rPr>
                <w:sz w:val="18"/>
                <w:szCs w:val="18"/>
              </w:rPr>
            </w:pPr>
            <w:r w:rsidRPr="008048DD">
              <w:rPr>
                <w:sz w:val="18"/>
                <w:szCs w:val="18"/>
              </w:rPr>
              <w:t>P</w:t>
            </w:r>
            <w:r w:rsidR="00ED481B" w:rsidRPr="008048DD">
              <w:rPr>
                <w:sz w:val="18"/>
                <w:szCs w:val="18"/>
              </w:rPr>
              <w:t>o</w:t>
            </w:r>
            <w:r w:rsidR="004B5046" w:rsidRPr="008048DD">
              <w:rPr>
                <w:sz w:val="18"/>
                <w:szCs w:val="18"/>
              </w:rPr>
              <w:t>rcenta</w:t>
            </w:r>
            <w:r w:rsidR="00ED481B" w:rsidRPr="008048DD">
              <w:rPr>
                <w:sz w:val="18"/>
                <w:szCs w:val="18"/>
              </w:rPr>
              <w:t>j</w:t>
            </w:r>
            <w:r w:rsidR="004B5046" w:rsidRPr="008048DD">
              <w:rPr>
                <w:sz w:val="18"/>
                <w:szCs w:val="18"/>
              </w:rPr>
              <w:t>e</w:t>
            </w:r>
            <w:r w:rsidR="00B1107F" w:rsidRPr="008048DD">
              <w:rPr>
                <w:sz w:val="18"/>
                <w:szCs w:val="18"/>
              </w:rPr>
              <w:t xml:space="preserve"> no</w:t>
            </w:r>
            <w:r w:rsidR="00ED481B" w:rsidRPr="008048DD">
              <w:rPr>
                <w:sz w:val="18"/>
                <w:szCs w:val="18"/>
              </w:rPr>
              <w:t xml:space="preserve"> disponible en los primeros informes</w:t>
            </w:r>
          </w:p>
        </w:tc>
      </w:tr>
      <w:tr w:rsidR="00B1107F" w:rsidRPr="008048DD" w14:paraId="79A7258F" w14:textId="77777777" w:rsidTr="003A6617">
        <w:trPr>
          <w:trHeight w:val="454"/>
          <w:jc w:val="right"/>
        </w:trPr>
        <w:tc>
          <w:tcPr>
            <w:tcW w:w="3139" w:type="dxa"/>
          </w:tcPr>
          <w:p w14:paraId="316B7184" w14:textId="77777777" w:rsidR="00B1107F" w:rsidRPr="008048DD" w:rsidRDefault="00B1107F" w:rsidP="00EE7D24">
            <w:pPr>
              <w:rPr>
                <w:sz w:val="18"/>
                <w:szCs w:val="18"/>
              </w:rPr>
            </w:pPr>
            <w:r w:rsidRPr="008048DD">
              <w:rPr>
                <w:sz w:val="18"/>
                <w:szCs w:val="18"/>
              </w:rPr>
              <w:t xml:space="preserve">J3. </w:t>
            </w:r>
            <w:r w:rsidR="00BE4190" w:rsidRPr="008048DD">
              <w:rPr>
                <w:sz w:val="18"/>
                <w:szCs w:val="18"/>
              </w:rPr>
              <w:t>Indicador de procesos</w:t>
            </w:r>
          </w:p>
        </w:tc>
        <w:tc>
          <w:tcPr>
            <w:tcW w:w="5891" w:type="dxa"/>
          </w:tcPr>
          <w:p w14:paraId="01EEA940" w14:textId="77777777" w:rsidR="00B1107F" w:rsidRPr="008048DD" w:rsidRDefault="00B1107F" w:rsidP="00354E33">
            <w:pPr>
              <w:rPr>
                <w:sz w:val="18"/>
                <w:szCs w:val="18"/>
              </w:rPr>
            </w:pPr>
            <w:r w:rsidRPr="008048DD">
              <w:rPr>
                <w:rStyle w:val="dn"/>
                <w:rFonts w:eastAsia="Roboto"/>
                <w:sz w:val="18"/>
                <w:szCs w:val="18"/>
              </w:rPr>
              <w:t>Pro</w:t>
            </w:r>
            <w:r w:rsidR="00354E33" w:rsidRPr="008048DD">
              <w:rPr>
                <w:rStyle w:val="dn"/>
                <w:rFonts w:eastAsia="Roboto"/>
                <w:sz w:val="18"/>
                <w:szCs w:val="18"/>
              </w:rPr>
              <w:t>porción de Partes que indican que no disponen</w:t>
            </w:r>
            <w:r w:rsidR="009D3D1F" w:rsidRPr="008048DD">
              <w:rPr>
                <w:rStyle w:val="dn"/>
                <w:rFonts w:eastAsia="Roboto"/>
                <w:sz w:val="18"/>
                <w:szCs w:val="18"/>
              </w:rPr>
              <w:t xml:space="preserve"> de información en relación con</w:t>
            </w:r>
            <w:r w:rsidR="00354E33" w:rsidRPr="008048DD">
              <w:rPr>
                <w:rStyle w:val="dn"/>
                <w:rFonts w:eastAsia="Roboto"/>
                <w:sz w:val="18"/>
                <w:szCs w:val="18"/>
              </w:rPr>
              <w:t xml:space="preserve"> cuestiones específicas</w:t>
            </w:r>
          </w:p>
        </w:tc>
        <w:tc>
          <w:tcPr>
            <w:tcW w:w="2853" w:type="dxa"/>
          </w:tcPr>
          <w:p w14:paraId="3BDFBCFD" w14:textId="77777777" w:rsidR="00B1107F" w:rsidRPr="008048DD" w:rsidRDefault="00B1107F" w:rsidP="00E80B4F">
            <w:pPr>
              <w:ind w:right="-1295"/>
              <w:rPr>
                <w:rStyle w:val="dn"/>
                <w:rFonts w:eastAsia="Roboto"/>
                <w:sz w:val="18"/>
                <w:szCs w:val="18"/>
              </w:rPr>
            </w:pPr>
            <w:r w:rsidRPr="008048DD">
              <w:rPr>
                <w:iCs/>
                <w:sz w:val="18"/>
                <w:szCs w:val="18"/>
              </w:rPr>
              <w:t xml:space="preserve">- </w:t>
            </w:r>
            <w:r w:rsidR="00E80B4F" w:rsidRPr="008048DD">
              <w:rPr>
                <w:iCs/>
                <w:sz w:val="18"/>
                <w:szCs w:val="18"/>
              </w:rPr>
              <w:t>Presentación de informes</w:t>
            </w:r>
            <w:r w:rsidR="00E80B4F" w:rsidRPr="008048DD">
              <w:rPr>
                <w:iCs/>
                <w:sz w:val="18"/>
                <w:szCs w:val="18"/>
              </w:rPr>
              <w:br/>
              <w:t>con arreglo al artículo 21</w:t>
            </w:r>
          </w:p>
        </w:tc>
        <w:tc>
          <w:tcPr>
            <w:tcW w:w="2537" w:type="dxa"/>
          </w:tcPr>
          <w:p w14:paraId="11620D5B" w14:textId="77777777" w:rsidR="00B1107F" w:rsidRPr="008048DD" w:rsidRDefault="006C5116" w:rsidP="00ED481B">
            <w:pPr>
              <w:rPr>
                <w:sz w:val="18"/>
                <w:szCs w:val="18"/>
              </w:rPr>
            </w:pPr>
            <w:r w:rsidRPr="008048DD">
              <w:rPr>
                <w:sz w:val="18"/>
                <w:szCs w:val="18"/>
              </w:rPr>
              <w:t>P</w:t>
            </w:r>
            <w:r w:rsidR="00ED481B" w:rsidRPr="008048DD">
              <w:rPr>
                <w:sz w:val="18"/>
                <w:szCs w:val="18"/>
              </w:rPr>
              <w:t>orcentaje no disponible en los primeros informes</w:t>
            </w:r>
          </w:p>
        </w:tc>
      </w:tr>
      <w:tr w:rsidR="00B1107F" w:rsidRPr="008048DD" w14:paraId="3E22ACE4" w14:textId="77777777" w:rsidTr="003A6617">
        <w:trPr>
          <w:trHeight w:val="227"/>
          <w:jc w:val="right"/>
        </w:trPr>
        <w:tc>
          <w:tcPr>
            <w:tcW w:w="3139" w:type="dxa"/>
            <w:shd w:val="clear" w:color="auto" w:fill="B8CCE4" w:themeFill="accent1" w:themeFillTint="66"/>
          </w:tcPr>
          <w:p w14:paraId="1C58E66C" w14:textId="77777777" w:rsidR="00B1107F" w:rsidRPr="008048DD" w:rsidRDefault="00B1107F" w:rsidP="00EE7D24">
            <w:pPr>
              <w:rPr>
                <w:b/>
                <w:bCs/>
                <w:sz w:val="18"/>
                <w:szCs w:val="18"/>
              </w:rPr>
            </w:pPr>
            <w:r w:rsidRPr="008048DD">
              <w:rPr>
                <w:b/>
                <w:bCs/>
                <w:sz w:val="18"/>
                <w:szCs w:val="18"/>
              </w:rPr>
              <w:t>Notas</w:t>
            </w:r>
          </w:p>
        </w:tc>
        <w:tc>
          <w:tcPr>
            <w:tcW w:w="11281" w:type="dxa"/>
            <w:gridSpan w:val="3"/>
          </w:tcPr>
          <w:p w14:paraId="198C804C" w14:textId="77777777" w:rsidR="00B1107F" w:rsidRPr="008048DD" w:rsidRDefault="0059603E" w:rsidP="0059603E">
            <w:pPr>
              <w:pStyle w:val="ListParagraph"/>
              <w:numPr>
                <w:ilvl w:val="0"/>
                <w:numId w:val="23"/>
              </w:numPr>
              <w:pBdr>
                <w:top w:val="nil"/>
                <w:left w:val="nil"/>
                <w:bottom w:val="nil"/>
                <w:right w:val="nil"/>
                <w:between w:val="nil"/>
                <w:bar w:val="nil"/>
              </w:pBdr>
              <w:tabs>
                <w:tab w:val="clear" w:pos="1247"/>
              </w:tabs>
              <w:rPr>
                <w:sz w:val="18"/>
                <w:szCs w:val="18"/>
              </w:rPr>
            </w:pPr>
            <w:r w:rsidRPr="008048DD">
              <w:rPr>
                <w:sz w:val="18"/>
                <w:szCs w:val="18"/>
              </w:rPr>
              <w:t xml:space="preserve">Las </w:t>
            </w:r>
            <w:r w:rsidR="00B1107F" w:rsidRPr="008048DD">
              <w:rPr>
                <w:sz w:val="18"/>
                <w:szCs w:val="18"/>
              </w:rPr>
              <w:t xml:space="preserve">Partes </w:t>
            </w:r>
            <w:r w:rsidRPr="008048DD">
              <w:rPr>
                <w:sz w:val="18"/>
                <w:szCs w:val="18"/>
              </w:rPr>
              <w:t>presentarán informes cada dos años</w:t>
            </w:r>
            <w:r w:rsidR="00B1107F" w:rsidRPr="008048DD">
              <w:rPr>
                <w:sz w:val="18"/>
                <w:szCs w:val="18"/>
              </w:rPr>
              <w:t>.</w:t>
            </w:r>
          </w:p>
        </w:tc>
      </w:tr>
    </w:tbl>
    <w:p w14:paraId="534F7308" w14:textId="76A0D43B" w:rsidR="007B20DF" w:rsidRDefault="007B20DF" w:rsidP="00B1107F">
      <w:pPr>
        <w:rPr>
          <w:sz w:val="18"/>
          <w:szCs w:val="18"/>
        </w:rPr>
      </w:pPr>
    </w:p>
    <w:tbl>
      <w:tblPr>
        <w:tblStyle w:val="TableGrid"/>
        <w:tblW w:w="5000" w:type="pct"/>
        <w:jc w:val="right"/>
        <w:tblLayout w:type="fixed"/>
        <w:tblLook w:val="04A0" w:firstRow="1" w:lastRow="0" w:firstColumn="1" w:lastColumn="0" w:noHBand="0" w:noVBand="1"/>
      </w:tblPr>
      <w:tblGrid>
        <w:gridCol w:w="3095"/>
        <w:gridCol w:w="5898"/>
        <w:gridCol w:w="2713"/>
        <w:gridCol w:w="2714"/>
      </w:tblGrid>
      <w:tr w:rsidR="00B1107F" w:rsidRPr="008048DD" w14:paraId="5D880A25" w14:textId="77777777" w:rsidTr="007B20DF">
        <w:trPr>
          <w:trHeight w:val="454"/>
          <w:jc w:val="right"/>
        </w:trPr>
        <w:tc>
          <w:tcPr>
            <w:tcW w:w="8993" w:type="dxa"/>
            <w:gridSpan w:val="2"/>
            <w:shd w:val="clear" w:color="auto" w:fill="B8CCE4" w:themeFill="accent1" w:themeFillTint="66"/>
          </w:tcPr>
          <w:p w14:paraId="29FCC955" w14:textId="77777777" w:rsidR="00B1107F" w:rsidRPr="001246EE" w:rsidRDefault="00B1107F" w:rsidP="0059603E">
            <w:pPr>
              <w:rPr>
                <w:rFonts w:eastAsia="Roboto"/>
                <w:b/>
                <w:sz w:val="18"/>
                <w:szCs w:val="18"/>
              </w:rPr>
            </w:pPr>
            <w:r w:rsidRPr="001246EE">
              <w:rPr>
                <w:rFonts w:asciiTheme="majorBidi" w:eastAsia="Roboto" w:hAnsiTheme="majorBidi" w:cstheme="majorBidi"/>
                <w:b/>
                <w:sz w:val="18"/>
                <w:szCs w:val="18"/>
                <w:highlight w:val="lightGray"/>
              </w:rPr>
              <w:t xml:space="preserve">K: </w:t>
            </w:r>
            <w:r w:rsidR="008E2CA8" w:rsidRPr="001246EE">
              <w:rPr>
                <w:rFonts w:asciiTheme="majorBidi" w:eastAsia="Roboto" w:hAnsiTheme="majorBidi" w:cstheme="majorBidi"/>
                <w:b/>
                <w:sz w:val="18"/>
                <w:szCs w:val="18"/>
                <w:highlight w:val="lightGray"/>
              </w:rPr>
              <w:t>Artículo</w:t>
            </w:r>
            <w:r w:rsidRPr="001246EE">
              <w:rPr>
                <w:rFonts w:asciiTheme="majorBidi" w:eastAsia="Roboto" w:hAnsiTheme="majorBidi" w:cstheme="majorBidi"/>
                <w:b/>
                <w:sz w:val="18"/>
                <w:szCs w:val="18"/>
                <w:highlight w:val="lightGray"/>
              </w:rPr>
              <w:t xml:space="preserve"> 22 </w:t>
            </w:r>
            <w:r w:rsidR="001027D3" w:rsidRPr="001246EE">
              <w:rPr>
                <w:rFonts w:asciiTheme="majorBidi" w:eastAsia="Roboto" w:hAnsiTheme="majorBidi" w:cstheme="majorBidi"/>
                <w:b/>
                <w:sz w:val="18"/>
                <w:szCs w:val="18"/>
                <w:highlight w:val="lightGray"/>
              </w:rPr>
              <w:t>(</w:t>
            </w:r>
            <w:r w:rsidR="0059603E" w:rsidRPr="001246EE">
              <w:rPr>
                <w:rFonts w:asciiTheme="majorBidi" w:eastAsia="Roboto" w:hAnsiTheme="majorBidi" w:cstheme="majorBidi"/>
                <w:b/>
                <w:sz w:val="18"/>
                <w:szCs w:val="18"/>
                <w:highlight w:val="lightGray"/>
              </w:rPr>
              <w:t>evaluación de la eficacia)</w:t>
            </w:r>
          </w:p>
        </w:tc>
        <w:tc>
          <w:tcPr>
            <w:tcW w:w="2713" w:type="dxa"/>
            <w:shd w:val="clear" w:color="auto" w:fill="B8CCE4" w:themeFill="accent1" w:themeFillTint="66"/>
          </w:tcPr>
          <w:p w14:paraId="61C48A08" w14:textId="77777777" w:rsidR="00B1107F" w:rsidRPr="008048DD" w:rsidRDefault="0059603E" w:rsidP="0059603E">
            <w:pPr>
              <w:rPr>
                <w:rStyle w:val="dn"/>
                <w:rFonts w:eastAsia="Roboto"/>
                <w:b/>
                <w:sz w:val="18"/>
                <w:szCs w:val="18"/>
              </w:rPr>
            </w:pPr>
            <w:r w:rsidRPr="008048DD">
              <w:rPr>
                <w:b/>
                <w:bCs/>
                <w:sz w:val="18"/>
                <w:szCs w:val="18"/>
              </w:rPr>
              <w:t>Fuente de información sobre el indicador</w:t>
            </w:r>
          </w:p>
        </w:tc>
        <w:tc>
          <w:tcPr>
            <w:tcW w:w="2714" w:type="dxa"/>
            <w:shd w:val="clear" w:color="auto" w:fill="B8CCE4" w:themeFill="accent1" w:themeFillTint="66"/>
          </w:tcPr>
          <w:p w14:paraId="4BF05209" w14:textId="77777777" w:rsidR="00B1107F" w:rsidRPr="008048DD" w:rsidRDefault="0059603E" w:rsidP="0059603E">
            <w:pPr>
              <w:rPr>
                <w:rStyle w:val="dn"/>
                <w:rFonts w:eastAsia="Roboto"/>
                <w:b/>
                <w:sz w:val="18"/>
                <w:szCs w:val="18"/>
              </w:rPr>
            </w:pPr>
            <w:r w:rsidRPr="008048DD">
              <w:rPr>
                <w:b/>
                <w:bCs/>
                <w:sz w:val="18"/>
                <w:szCs w:val="18"/>
              </w:rPr>
              <w:t>Parámetro de referencia del indicador</w:t>
            </w:r>
          </w:p>
        </w:tc>
      </w:tr>
      <w:tr w:rsidR="00B1107F" w:rsidRPr="008048DD" w14:paraId="2CAB68A7" w14:textId="77777777" w:rsidTr="007B20DF">
        <w:trPr>
          <w:trHeight w:val="454"/>
          <w:jc w:val="right"/>
        </w:trPr>
        <w:tc>
          <w:tcPr>
            <w:tcW w:w="3095" w:type="dxa"/>
          </w:tcPr>
          <w:p w14:paraId="46FA1657" w14:textId="77777777" w:rsidR="00B1107F" w:rsidRPr="00922A40" w:rsidRDefault="00B1107F" w:rsidP="0059603E">
            <w:pPr>
              <w:rPr>
                <w:sz w:val="18"/>
                <w:szCs w:val="18"/>
              </w:rPr>
            </w:pPr>
            <w:r w:rsidRPr="00922A40">
              <w:rPr>
                <w:rFonts w:asciiTheme="majorBidi" w:eastAsia="Roboto" w:hAnsiTheme="majorBidi" w:cstheme="majorBidi"/>
                <w:sz w:val="18"/>
                <w:szCs w:val="18"/>
                <w:highlight w:val="lightGray"/>
              </w:rPr>
              <w:t xml:space="preserve">K1. </w:t>
            </w:r>
            <w:r w:rsidR="0059603E" w:rsidRPr="00922A40">
              <w:rPr>
                <w:rFonts w:asciiTheme="majorBidi" w:eastAsia="Roboto" w:hAnsiTheme="majorBidi" w:cstheme="majorBidi"/>
                <w:sz w:val="18"/>
                <w:szCs w:val="18"/>
                <w:highlight w:val="lightGray"/>
              </w:rPr>
              <w:t>Indicador de procesos</w:t>
            </w:r>
          </w:p>
        </w:tc>
        <w:tc>
          <w:tcPr>
            <w:tcW w:w="5898" w:type="dxa"/>
          </w:tcPr>
          <w:p w14:paraId="0337ECD6" w14:textId="77777777" w:rsidR="00B1107F" w:rsidRPr="008048DD" w:rsidRDefault="009D3D1F" w:rsidP="009D3D1F">
            <w:pPr>
              <w:rPr>
                <w:sz w:val="18"/>
                <w:szCs w:val="18"/>
              </w:rPr>
            </w:pPr>
            <w:r w:rsidRPr="008048DD">
              <w:rPr>
                <w:rFonts w:asciiTheme="majorBidi" w:eastAsia="Roboto" w:hAnsiTheme="majorBidi" w:cstheme="majorBidi"/>
                <w:sz w:val="18"/>
                <w:szCs w:val="18"/>
                <w:highlight w:val="lightGray"/>
              </w:rPr>
              <w:t>Prueba de que se están aplicando las recomendaciones de la evaluación de la eficacia por medio de decisiones y medidas de la</w:t>
            </w:r>
            <w:r w:rsidR="00B1107F" w:rsidRPr="008048DD">
              <w:rPr>
                <w:rFonts w:asciiTheme="majorBidi" w:eastAsia="Roboto" w:hAnsiTheme="majorBidi" w:cstheme="majorBidi"/>
                <w:sz w:val="18"/>
                <w:szCs w:val="18"/>
                <w:highlight w:val="lightGray"/>
              </w:rPr>
              <w:t xml:space="preserve"> </w:t>
            </w:r>
            <w:r w:rsidR="00894E54" w:rsidRPr="008048DD">
              <w:rPr>
                <w:rFonts w:asciiTheme="majorBidi" w:eastAsia="Roboto" w:hAnsiTheme="majorBidi" w:cstheme="majorBidi"/>
                <w:sz w:val="18"/>
                <w:szCs w:val="18"/>
                <w:highlight w:val="lightGray"/>
              </w:rPr>
              <w:t>Conferencia de las Partes</w:t>
            </w:r>
          </w:p>
        </w:tc>
        <w:tc>
          <w:tcPr>
            <w:tcW w:w="2713" w:type="dxa"/>
          </w:tcPr>
          <w:p w14:paraId="1385906E" w14:textId="77777777" w:rsidR="00B1107F" w:rsidRPr="008048DD" w:rsidRDefault="00B1107F" w:rsidP="00ED481B">
            <w:pPr>
              <w:rPr>
                <w:rStyle w:val="dn"/>
                <w:rFonts w:eastAsia="Roboto"/>
                <w:sz w:val="18"/>
                <w:szCs w:val="18"/>
              </w:rPr>
            </w:pPr>
            <w:r w:rsidRPr="008048DD">
              <w:rPr>
                <w:rStyle w:val="dn"/>
                <w:rFonts w:eastAsia="Roboto"/>
                <w:sz w:val="18"/>
                <w:szCs w:val="18"/>
              </w:rPr>
              <w:t xml:space="preserve">- </w:t>
            </w:r>
            <w:r w:rsidR="00ED481B" w:rsidRPr="008048DD">
              <w:rPr>
                <w:rStyle w:val="dn"/>
                <w:rFonts w:eastAsia="Roboto"/>
                <w:sz w:val="18"/>
                <w:szCs w:val="18"/>
              </w:rPr>
              <w:t>I</w:t>
            </w:r>
            <w:r w:rsidR="0059603E" w:rsidRPr="008048DD">
              <w:rPr>
                <w:rStyle w:val="dn"/>
                <w:rFonts w:eastAsia="Roboto"/>
                <w:sz w:val="18"/>
                <w:szCs w:val="18"/>
              </w:rPr>
              <w:t xml:space="preserve">nforme de la reunión de la </w:t>
            </w:r>
            <w:r w:rsidR="003C4FEC" w:rsidRPr="008048DD">
              <w:rPr>
                <w:rStyle w:val="dn"/>
                <w:rFonts w:eastAsia="Roboto"/>
                <w:sz w:val="18"/>
                <w:szCs w:val="18"/>
              </w:rPr>
              <w:t>Conferenc</w:t>
            </w:r>
            <w:r w:rsidR="0059603E" w:rsidRPr="008048DD">
              <w:rPr>
                <w:rStyle w:val="dn"/>
                <w:rFonts w:eastAsia="Roboto"/>
                <w:sz w:val="18"/>
                <w:szCs w:val="18"/>
              </w:rPr>
              <w:t xml:space="preserve">ia de las </w:t>
            </w:r>
            <w:r w:rsidR="003C4FEC" w:rsidRPr="008048DD">
              <w:rPr>
                <w:rStyle w:val="dn"/>
                <w:rFonts w:eastAsia="Roboto"/>
                <w:sz w:val="18"/>
                <w:szCs w:val="18"/>
              </w:rPr>
              <w:t>Partes</w:t>
            </w:r>
          </w:p>
        </w:tc>
        <w:tc>
          <w:tcPr>
            <w:tcW w:w="2714" w:type="dxa"/>
          </w:tcPr>
          <w:p w14:paraId="060298C5" w14:textId="77777777" w:rsidR="00B1107F" w:rsidRPr="008048DD" w:rsidRDefault="0059603E" w:rsidP="00EE7D24">
            <w:pPr>
              <w:rPr>
                <w:rStyle w:val="dn"/>
                <w:rFonts w:eastAsia="Roboto"/>
                <w:sz w:val="18"/>
                <w:szCs w:val="18"/>
              </w:rPr>
            </w:pPr>
            <w:r w:rsidRPr="008048DD">
              <w:rPr>
                <w:rStyle w:val="dn"/>
                <w:rFonts w:eastAsia="Roboto"/>
                <w:sz w:val="18"/>
                <w:szCs w:val="18"/>
              </w:rPr>
              <w:t>C</w:t>
            </w:r>
            <w:r w:rsidR="00B1107F" w:rsidRPr="008048DD">
              <w:rPr>
                <w:rStyle w:val="dn"/>
                <w:rFonts w:eastAsia="Roboto"/>
                <w:sz w:val="18"/>
                <w:szCs w:val="18"/>
              </w:rPr>
              <w:t>ero</w:t>
            </w:r>
          </w:p>
        </w:tc>
      </w:tr>
      <w:tr w:rsidR="00B1107F" w:rsidRPr="008048DD" w14:paraId="6484F21A" w14:textId="77777777" w:rsidTr="007B20DF">
        <w:trPr>
          <w:trHeight w:val="227"/>
          <w:jc w:val="right"/>
        </w:trPr>
        <w:tc>
          <w:tcPr>
            <w:tcW w:w="3095" w:type="dxa"/>
            <w:shd w:val="clear" w:color="auto" w:fill="B8CCE4" w:themeFill="accent1" w:themeFillTint="66"/>
          </w:tcPr>
          <w:p w14:paraId="46DA9327" w14:textId="77777777" w:rsidR="00B1107F" w:rsidRPr="008048DD" w:rsidRDefault="00B1107F" w:rsidP="00EE7D24">
            <w:pPr>
              <w:rPr>
                <w:bCs/>
                <w:sz w:val="18"/>
                <w:szCs w:val="18"/>
              </w:rPr>
            </w:pPr>
            <w:r w:rsidRPr="008048DD">
              <w:rPr>
                <w:sz w:val="18"/>
                <w:szCs w:val="18"/>
              </w:rPr>
              <w:t>Notas</w:t>
            </w:r>
          </w:p>
        </w:tc>
        <w:tc>
          <w:tcPr>
            <w:tcW w:w="11325" w:type="dxa"/>
            <w:gridSpan w:val="3"/>
          </w:tcPr>
          <w:p w14:paraId="4A4C19C2" w14:textId="77777777" w:rsidR="00B1107F" w:rsidRPr="008048DD" w:rsidRDefault="0059603E" w:rsidP="0059603E">
            <w:pPr>
              <w:pStyle w:val="ListParagraph"/>
              <w:numPr>
                <w:ilvl w:val="0"/>
                <w:numId w:val="23"/>
              </w:numPr>
              <w:pBdr>
                <w:top w:val="nil"/>
                <w:left w:val="nil"/>
                <w:bottom w:val="nil"/>
                <w:right w:val="nil"/>
                <w:between w:val="nil"/>
                <w:bar w:val="nil"/>
              </w:pBdr>
              <w:tabs>
                <w:tab w:val="clear" w:pos="1247"/>
              </w:tabs>
              <w:rPr>
                <w:sz w:val="18"/>
                <w:szCs w:val="18"/>
              </w:rPr>
            </w:pPr>
            <w:r w:rsidRPr="008048DD">
              <w:rPr>
                <w:sz w:val="18"/>
                <w:szCs w:val="18"/>
              </w:rPr>
              <w:t>Este artículo no será objeto de evaluación durante el primer ciclo</w:t>
            </w:r>
            <w:r w:rsidR="00B1107F" w:rsidRPr="008048DD">
              <w:rPr>
                <w:sz w:val="18"/>
                <w:szCs w:val="18"/>
              </w:rPr>
              <w:t>.</w:t>
            </w:r>
          </w:p>
        </w:tc>
      </w:tr>
    </w:tbl>
    <w:p w14:paraId="0522EBDE" w14:textId="0A09CCB7" w:rsidR="006E798D" w:rsidRDefault="00AA7A89" w:rsidP="006D5F3D">
      <w:pPr>
        <w:pStyle w:val="Normal-pool"/>
      </w:pPr>
      <w:r w:rsidRPr="001246EE">
        <w:t>Abreviat</w:t>
      </w:r>
      <w:r w:rsidR="0059603E" w:rsidRPr="001246EE">
        <w:t>ura</w:t>
      </w:r>
      <w:r w:rsidRPr="001246EE">
        <w:t xml:space="preserve">: </w:t>
      </w:r>
      <w:r w:rsidR="0059603E" w:rsidRPr="001246EE">
        <w:t>MTD</w:t>
      </w:r>
      <w:r w:rsidR="00C05B03" w:rsidRPr="001246EE">
        <w:t>/</w:t>
      </w:r>
      <w:r w:rsidR="0059603E" w:rsidRPr="001246EE">
        <w:t>MPA</w:t>
      </w:r>
      <w:r w:rsidR="00C05B03" w:rsidRPr="001246EE">
        <w:t xml:space="preserve">, </w:t>
      </w:r>
      <w:r w:rsidR="0059603E" w:rsidRPr="001246EE">
        <w:t xml:space="preserve">mejores técnicas disponibles </w:t>
      </w:r>
      <w:r w:rsidR="00C05B03" w:rsidRPr="001246EE">
        <w:t>/</w:t>
      </w:r>
      <w:r w:rsidR="0059603E" w:rsidRPr="001246EE">
        <w:t>mejores prácticas ambientales</w:t>
      </w:r>
      <w:r w:rsidR="004A6C92" w:rsidRPr="001246EE">
        <w:t>.</w:t>
      </w:r>
    </w:p>
    <w:p w14:paraId="453C02F8" w14:textId="77777777" w:rsidR="00923B8C" w:rsidRDefault="00923B8C" w:rsidP="006D5F3D">
      <w:pPr>
        <w:pStyle w:val="Normal-pool"/>
        <w:sectPr w:rsidR="00923B8C" w:rsidSect="00AA0417">
          <w:headerReference w:type="even" r:id="rId20"/>
          <w:headerReference w:type="default" r:id="rId21"/>
          <w:footerReference w:type="even" r:id="rId22"/>
          <w:footerReference w:type="default" r:id="rId23"/>
          <w:headerReference w:type="first" r:id="rId24"/>
          <w:footerReference w:type="first" r:id="rId25"/>
          <w:type w:val="nextColumn"/>
          <w:pgSz w:w="16840" w:h="11907" w:orient="landscape" w:code="9"/>
          <w:pgMar w:top="907" w:right="992" w:bottom="1559" w:left="1418" w:header="539" w:footer="975" w:gutter="0"/>
          <w:cols w:space="539"/>
          <w:titlePg/>
          <w:docGrid w:linePitch="360"/>
        </w:sectPr>
      </w:pPr>
    </w:p>
    <w:p w14:paraId="266C9AFD" w14:textId="2A0467FA" w:rsidR="00B1107F" w:rsidRPr="008048DD" w:rsidRDefault="0059603E" w:rsidP="006E798D">
      <w:pPr>
        <w:pStyle w:val="CH2"/>
        <w:rPr>
          <w:lang w:val="es-ES_tradnl"/>
        </w:rPr>
      </w:pPr>
      <w:r w:rsidRPr="008048DD">
        <w:rPr>
          <w:lang w:val="es-ES_tradnl"/>
        </w:rPr>
        <w:tab/>
      </w:r>
      <w:r w:rsidR="00B66A03" w:rsidRPr="008048DD">
        <w:rPr>
          <w:lang w:val="es-ES_tradnl"/>
        </w:rPr>
        <w:t>C.</w:t>
      </w:r>
      <w:r w:rsidR="00B66A03" w:rsidRPr="008048DD">
        <w:rPr>
          <w:lang w:val="es-ES_tradnl"/>
        </w:rPr>
        <w:tab/>
      </w:r>
      <w:r w:rsidRPr="008048DD">
        <w:rPr>
          <w:lang w:val="es-ES_tradnl"/>
        </w:rPr>
        <w:t xml:space="preserve">Fuentes </w:t>
      </w:r>
      <w:r w:rsidRPr="006E798D">
        <w:rPr>
          <w:bCs/>
          <w:lang w:val="es-ES_tradnl"/>
        </w:rPr>
        <w:t>de</w:t>
      </w:r>
      <w:r w:rsidRPr="008048DD">
        <w:rPr>
          <w:lang w:val="es-ES_tradnl"/>
        </w:rPr>
        <w:t xml:space="preserve"> </w:t>
      </w:r>
      <w:r w:rsidRPr="006E798D">
        <w:rPr>
          <w:bCs/>
          <w:lang w:val="es-ES_tradnl"/>
        </w:rPr>
        <w:t>datos</w:t>
      </w:r>
    </w:p>
    <w:p w14:paraId="2F8299CD" w14:textId="77777777" w:rsidR="00B1107F" w:rsidRPr="008048DD" w:rsidRDefault="00A10424" w:rsidP="00362646">
      <w:pPr>
        <w:pStyle w:val="Normalnumber"/>
        <w:numPr>
          <w:ilvl w:val="0"/>
          <w:numId w:val="40"/>
        </w:numPr>
        <w:tabs>
          <w:tab w:val="clear" w:pos="1057"/>
        </w:tabs>
        <w:ind w:left="1247"/>
        <w:rPr>
          <w:lang w:val="es-ES_tradnl"/>
        </w:rPr>
      </w:pPr>
      <w:r w:rsidRPr="008048DD">
        <w:rPr>
          <w:lang w:val="es-ES_tradnl"/>
        </w:rPr>
        <w:t>La disponibilidad de fuentes de información para los indicadores, así como de información científica, ambiental, técnica, financiera y económica complementaria, pertinente y comparable con la cual fundamentar la evaluación de la eficacia es el resultado de diversos factores</w:t>
      </w:r>
      <w:r w:rsidR="00B1107F" w:rsidRPr="008048DD">
        <w:rPr>
          <w:lang w:val="es-ES_tradnl"/>
        </w:rPr>
        <w:t xml:space="preserve">. </w:t>
      </w:r>
    </w:p>
    <w:p w14:paraId="405328A9" w14:textId="77777777" w:rsidR="00B1107F" w:rsidRPr="008048DD" w:rsidRDefault="00CB2540" w:rsidP="00362646">
      <w:pPr>
        <w:pStyle w:val="Normalnumber"/>
        <w:numPr>
          <w:ilvl w:val="0"/>
          <w:numId w:val="40"/>
        </w:numPr>
        <w:tabs>
          <w:tab w:val="clear" w:pos="1057"/>
        </w:tabs>
        <w:ind w:left="1247"/>
        <w:rPr>
          <w:lang w:val="es-ES_tradnl"/>
        </w:rPr>
      </w:pPr>
      <w:r w:rsidRPr="008048DD">
        <w:rPr>
          <w:lang w:val="es-ES_tradnl"/>
        </w:rPr>
        <w:t>En primer lugar</w:t>
      </w:r>
      <w:r w:rsidR="00B1107F" w:rsidRPr="008048DD">
        <w:rPr>
          <w:lang w:val="es-ES_tradnl"/>
        </w:rPr>
        <w:t xml:space="preserve">, </w:t>
      </w:r>
      <w:r w:rsidRPr="008048DD">
        <w:rPr>
          <w:lang w:val="es-ES_tradnl"/>
        </w:rPr>
        <w:t>en diferentes ar</w:t>
      </w:r>
      <w:r w:rsidR="00467D4C" w:rsidRPr="008048DD">
        <w:rPr>
          <w:lang w:val="es-ES_tradnl"/>
        </w:rPr>
        <w:t>tículos</w:t>
      </w:r>
      <w:r w:rsidR="00B1107F" w:rsidRPr="008048DD">
        <w:rPr>
          <w:lang w:val="es-ES_tradnl"/>
        </w:rPr>
        <w:t xml:space="preserve"> </w:t>
      </w:r>
      <w:r w:rsidRPr="008048DD">
        <w:rPr>
          <w:lang w:val="es-ES_tradnl"/>
        </w:rPr>
        <w:t xml:space="preserve">del Convenio </w:t>
      </w:r>
      <w:r w:rsidR="00A10424" w:rsidRPr="008048DD">
        <w:rPr>
          <w:lang w:val="es-ES_tradnl"/>
        </w:rPr>
        <w:t>figuran di</w:t>
      </w:r>
      <w:r w:rsidR="0005484A" w:rsidRPr="008048DD">
        <w:rPr>
          <w:lang w:val="es-ES_tradnl"/>
        </w:rPr>
        <w:t>stintos</w:t>
      </w:r>
      <w:r w:rsidR="00A10424" w:rsidRPr="008048DD">
        <w:rPr>
          <w:lang w:val="es-ES_tradnl"/>
        </w:rPr>
        <w:t xml:space="preserve"> marcos cronológicos para la aplicación</w:t>
      </w:r>
      <w:r w:rsidR="00B1107F" w:rsidRPr="008048DD">
        <w:rPr>
          <w:lang w:val="es-ES_tradnl"/>
        </w:rPr>
        <w:t xml:space="preserve">. </w:t>
      </w:r>
      <w:r w:rsidR="00A10424" w:rsidRPr="008048DD">
        <w:rPr>
          <w:lang w:val="es-ES_tradnl"/>
        </w:rPr>
        <w:t>Algunos plazos se enmarcan en el primer ciclo de evaluación de la eficacia</w:t>
      </w:r>
      <w:r w:rsidR="00B1107F" w:rsidRPr="008048DD">
        <w:rPr>
          <w:lang w:val="es-ES_tradnl"/>
        </w:rPr>
        <w:t xml:space="preserve"> (2017</w:t>
      </w:r>
      <w:r w:rsidR="009A759A" w:rsidRPr="008048DD">
        <w:rPr>
          <w:lang w:val="es-ES_tradnl"/>
        </w:rPr>
        <w:noBreakHyphen/>
      </w:r>
      <w:r w:rsidR="00B1107F" w:rsidRPr="008048DD">
        <w:rPr>
          <w:lang w:val="es-ES_tradnl"/>
        </w:rPr>
        <w:t xml:space="preserve">2023), </w:t>
      </w:r>
      <w:r w:rsidR="00A10424" w:rsidRPr="008048DD">
        <w:rPr>
          <w:lang w:val="es-ES_tradnl"/>
        </w:rPr>
        <w:t>pero otros, n</w:t>
      </w:r>
      <w:r w:rsidR="00B1107F" w:rsidRPr="008048DD">
        <w:rPr>
          <w:lang w:val="es-ES_tradnl"/>
        </w:rPr>
        <w:t xml:space="preserve">o. </w:t>
      </w:r>
      <w:r w:rsidR="00A10424" w:rsidRPr="008048DD">
        <w:rPr>
          <w:lang w:val="es-ES_tradnl"/>
        </w:rPr>
        <w:t>Es más, aun cuando una medida se aplicara dentro del plazo establecido, la demostración de sus efectos y, por ende, su eficacia tal vez no se conozca durante algún tiempo</w:t>
      </w:r>
      <w:r w:rsidR="00B3310A" w:rsidRPr="008048DD">
        <w:rPr>
          <w:lang w:val="es-ES_tradnl"/>
        </w:rPr>
        <w:t xml:space="preserve"> </w:t>
      </w:r>
      <w:r w:rsidR="00A10424" w:rsidRPr="008048DD">
        <w:rPr>
          <w:lang w:val="es-ES_tradnl"/>
        </w:rPr>
        <w:t>ni se pueda medir directamente, lo que plantea problemas a la hora de atribuir los efectos</w:t>
      </w:r>
      <w:r w:rsidR="00B1107F" w:rsidRPr="008048DD">
        <w:rPr>
          <w:lang w:val="es-ES_tradnl"/>
        </w:rPr>
        <w:t xml:space="preserve">. </w:t>
      </w:r>
      <w:r w:rsidR="00A10424" w:rsidRPr="008048DD">
        <w:rPr>
          <w:lang w:val="es-ES_tradnl"/>
        </w:rPr>
        <w:t>En el cuadro</w:t>
      </w:r>
      <w:r w:rsidR="00B1107F" w:rsidRPr="008048DD">
        <w:rPr>
          <w:lang w:val="es-ES_tradnl"/>
        </w:rPr>
        <w:t xml:space="preserve"> 3 </w:t>
      </w:r>
      <w:r w:rsidR="00DA5402" w:rsidRPr="008048DD">
        <w:rPr>
          <w:lang w:val="es-ES_tradnl"/>
        </w:rPr>
        <w:t xml:space="preserve">que figura a continuación se ofrece una sinopsis de los </w:t>
      </w:r>
      <w:r w:rsidR="00467D4C" w:rsidRPr="008048DD">
        <w:rPr>
          <w:lang w:val="es-ES_tradnl"/>
        </w:rPr>
        <w:t>artículos</w:t>
      </w:r>
      <w:r w:rsidR="00B1107F" w:rsidRPr="008048DD">
        <w:rPr>
          <w:lang w:val="es-ES_tradnl"/>
        </w:rPr>
        <w:t xml:space="preserve"> </w:t>
      </w:r>
      <w:r w:rsidR="00DA5402" w:rsidRPr="008048DD">
        <w:rPr>
          <w:lang w:val="es-ES_tradnl"/>
        </w:rPr>
        <w:t xml:space="preserve">del Convenio de </w:t>
      </w:r>
      <w:r w:rsidR="00B1107F" w:rsidRPr="008048DD">
        <w:rPr>
          <w:lang w:val="es-ES_tradnl"/>
        </w:rPr>
        <w:t>Minamata</w:t>
      </w:r>
      <w:r w:rsidR="00DA5402" w:rsidRPr="008048DD">
        <w:rPr>
          <w:lang w:val="es-ES_tradnl"/>
        </w:rPr>
        <w:t xml:space="preserve"> en los que se proponen fechas,</w:t>
      </w:r>
      <w:r w:rsidR="00B3310A" w:rsidRPr="008048DD">
        <w:rPr>
          <w:lang w:val="es-ES_tradnl"/>
        </w:rPr>
        <w:t xml:space="preserve"> </w:t>
      </w:r>
      <w:r w:rsidR="00DA5402" w:rsidRPr="008048DD">
        <w:rPr>
          <w:lang w:val="es-ES_tradnl"/>
        </w:rPr>
        <w:t>y sus cronogramas</w:t>
      </w:r>
      <w:r w:rsidR="00B1107F" w:rsidRPr="008048DD">
        <w:rPr>
          <w:lang w:val="es-ES_tradnl"/>
        </w:rPr>
        <w:t>.</w:t>
      </w:r>
    </w:p>
    <w:p w14:paraId="514BB768" w14:textId="77777777" w:rsidR="00883B5B" w:rsidRPr="008048DD" w:rsidRDefault="0059603E" w:rsidP="00C6007C">
      <w:pPr>
        <w:pStyle w:val="Caption"/>
        <w:tabs>
          <w:tab w:val="clear" w:pos="1247"/>
          <w:tab w:val="left" w:pos="567"/>
        </w:tabs>
        <w:spacing w:after="60"/>
        <w:ind w:left="1247"/>
        <w:rPr>
          <w:b/>
          <w:bCs/>
          <w:i w:val="0"/>
          <w:iCs w:val="0"/>
          <w:color w:val="auto"/>
          <w:sz w:val="20"/>
          <w:szCs w:val="20"/>
        </w:rPr>
      </w:pPr>
      <w:r w:rsidRPr="008048DD">
        <w:rPr>
          <w:i w:val="0"/>
          <w:iCs w:val="0"/>
          <w:color w:val="auto"/>
          <w:sz w:val="20"/>
          <w:szCs w:val="20"/>
        </w:rPr>
        <w:t>Cuadro</w:t>
      </w:r>
      <w:r w:rsidR="00883B5B" w:rsidRPr="008048DD">
        <w:rPr>
          <w:i w:val="0"/>
          <w:iCs w:val="0"/>
          <w:color w:val="auto"/>
          <w:sz w:val="20"/>
          <w:szCs w:val="20"/>
        </w:rPr>
        <w:t xml:space="preserve"> </w:t>
      </w:r>
      <w:r w:rsidR="006F66A2" w:rsidRPr="008048DD">
        <w:rPr>
          <w:i w:val="0"/>
          <w:iCs w:val="0"/>
          <w:color w:val="auto"/>
          <w:sz w:val="20"/>
          <w:szCs w:val="20"/>
        </w:rPr>
        <w:t>3</w:t>
      </w:r>
      <w:r w:rsidR="00883B5B" w:rsidRPr="008048DD">
        <w:rPr>
          <w:i w:val="0"/>
          <w:iCs w:val="0"/>
          <w:color w:val="auto"/>
          <w:sz w:val="20"/>
          <w:szCs w:val="20"/>
        </w:rPr>
        <w:t xml:space="preserve"> </w:t>
      </w:r>
      <w:r w:rsidR="009A759A" w:rsidRPr="008048DD">
        <w:rPr>
          <w:i w:val="0"/>
          <w:iCs w:val="0"/>
          <w:color w:val="auto"/>
          <w:sz w:val="20"/>
          <w:szCs w:val="20"/>
        </w:rPr>
        <w:br/>
      </w:r>
      <w:r w:rsidR="00DA5402" w:rsidRPr="008048DD">
        <w:rPr>
          <w:b/>
          <w:bCs/>
          <w:i w:val="0"/>
          <w:iCs w:val="0"/>
          <w:color w:val="auto"/>
          <w:sz w:val="20"/>
          <w:szCs w:val="20"/>
        </w:rPr>
        <w:t xml:space="preserve">Cronogramas establecidos en el </w:t>
      </w:r>
      <w:r w:rsidR="00ED481B" w:rsidRPr="008048DD">
        <w:rPr>
          <w:b/>
          <w:bCs/>
          <w:i w:val="0"/>
          <w:iCs w:val="0"/>
          <w:color w:val="auto"/>
          <w:sz w:val="20"/>
          <w:szCs w:val="20"/>
        </w:rPr>
        <w:t>Convenio de Minamata</w:t>
      </w:r>
    </w:p>
    <w:tbl>
      <w:tblPr>
        <w:tblStyle w:val="TableGrid"/>
        <w:tblW w:w="8243" w:type="dxa"/>
        <w:jc w:val="right"/>
        <w:tblLayout w:type="fixed"/>
        <w:tblLook w:val="04A0" w:firstRow="1" w:lastRow="0" w:firstColumn="1" w:lastColumn="0" w:noHBand="0" w:noVBand="1"/>
      </w:tblPr>
      <w:tblGrid>
        <w:gridCol w:w="750"/>
        <w:gridCol w:w="1474"/>
        <w:gridCol w:w="6019"/>
      </w:tblGrid>
      <w:tr w:rsidR="00B1107F" w:rsidRPr="008048DD" w14:paraId="1AC6CE76" w14:textId="77777777" w:rsidTr="003F33D5">
        <w:trPr>
          <w:trHeight w:val="57"/>
          <w:jc w:val="right"/>
        </w:trPr>
        <w:tc>
          <w:tcPr>
            <w:tcW w:w="750" w:type="dxa"/>
            <w:shd w:val="clear" w:color="auto" w:fill="B8CCE4" w:themeFill="accent1" w:themeFillTint="66"/>
          </w:tcPr>
          <w:p w14:paraId="60C7ECB7" w14:textId="77777777" w:rsidR="00B1107F" w:rsidRPr="008048DD" w:rsidRDefault="0059603E"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rPr>
                <w:b/>
                <w:sz w:val="18"/>
                <w:szCs w:val="18"/>
                <w:lang w:val="es-ES_tradnl"/>
              </w:rPr>
            </w:pPr>
            <w:r w:rsidRPr="008048DD">
              <w:rPr>
                <w:b/>
                <w:sz w:val="18"/>
                <w:szCs w:val="18"/>
                <w:lang w:val="es-ES_tradnl"/>
              </w:rPr>
              <w:t>Año</w:t>
            </w:r>
          </w:p>
        </w:tc>
        <w:tc>
          <w:tcPr>
            <w:tcW w:w="1474" w:type="dxa"/>
            <w:shd w:val="clear" w:color="auto" w:fill="B8CCE4" w:themeFill="accent1" w:themeFillTint="66"/>
          </w:tcPr>
          <w:p w14:paraId="70D123CF"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ind w:right="-11"/>
              <w:rPr>
                <w:b/>
                <w:sz w:val="18"/>
                <w:szCs w:val="18"/>
                <w:lang w:val="es-ES_tradnl"/>
              </w:rPr>
            </w:pPr>
            <w:r w:rsidRPr="008048DD">
              <w:rPr>
                <w:b/>
                <w:sz w:val="18"/>
                <w:szCs w:val="18"/>
                <w:lang w:val="es-ES_tradnl"/>
              </w:rPr>
              <w:t>Art</w:t>
            </w:r>
            <w:r w:rsidR="0059603E" w:rsidRPr="008048DD">
              <w:rPr>
                <w:b/>
                <w:sz w:val="18"/>
                <w:szCs w:val="18"/>
                <w:lang w:val="es-ES_tradnl"/>
              </w:rPr>
              <w:t>í</w:t>
            </w:r>
            <w:r w:rsidRPr="008048DD">
              <w:rPr>
                <w:b/>
                <w:sz w:val="18"/>
                <w:szCs w:val="18"/>
                <w:lang w:val="es-ES_tradnl"/>
              </w:rPr>
              <w:t>c</w:t>
            </w:r>
            <w:r w:rsidR="0059603E" w:rsidRPr="008048DD">
              <w:rPr>
                <w:b/>
                <w:sz w:val="18"/>
                <w:szCs w:val="18"/>
                <w:lang w:val="es-ES_tradnl"/>
              </w:rPr>
              <w:t>ulo</w:t>
            </w:r>
          </w:p>
        </w:tc>
        <w:tc>
          <w:tcPr>
            <w:tcW w:w="6019" w:type="dxa"/>
            <w:shd w:val="clear" w:color="auto" w:fill="B8CCE4" w:themeFill="accent1" w:themeFillTint="66"/>
          </w:tcPr>
          <w:p w14:paraId="2257BBA8"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rPr>
                <w:b/>
                <w:sz w:val="18"/>
                <w:szCs w:val="18"/>
                <w:lang w:val="es-ES_tradnl"/>
              </w:rPr>
            </w:pPr>
            <w:r w:rsidRPr="008048DD">
              <w:rPr>
                <w:b/>
                <w:sz w:val="18"/>
                <w:szCs w:val="18"/>
                <w:lang w:val="es-ES_tradnl"/>
              </w:rPr>
              <w:t>Descrip</w:t>
            </w:r>
            <w:r w:rsidR="0059603E" w:rsidRPr="008048DD">
              <w:rPr>
                <w:b/>
                <w:sz w:val="18"/>
                <w:szCs w:val="18"/>
                <w:lang w:val="es-ES_tradnl"/>
              </w:rPr>
              <w:t>ción</w:t>
            </w:r>
          </w:p>
        </w:tc>
      </w:tr>
      <w:tr w:rsidR="00B1107F" w:rsidRPr="008048DD" w14:paraId="7E953ED0" w14:textId="77777777" w:rsidTr="003F33D5">
        <w:trPr>
          <w:trHeight w:val="57"/>
          <w:jc w:val="right"/>
        </w:trPr>
        <w:tc>
          <w:tcPr>
            <w:tcW w:w="750" w:type="dxa"/>
          </w:tcPr>
          <w:p w14:paraId="57EB41B5"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2018</w:t>
            </w:r>
          </w:p>
        </w:tc>
        <w:tc>
          <w:tcPr>
            <w:tcW w:w="1474" w:type="dxa"/>
          </w:tcPr>
          <w:p w14:paraId="7744A979"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5, </w:t>
            </w:r>
            <w:r w:rsidR="00DA5402" w:rsidRPr="008048DD">
              <w:rPr>
                <w:sz w:val="18"/>
                <w:szCs w:val="18"/>
                <w:lang w:val="es-ES_tradnl"/>
              </w:rPr>
              <w:t>párr.</w:t>
            </w:r>
            <w:r w:rsidRPr="008048DD">
              <w:rPr>
                <w:sz w:val="18"/>
                <w:szCs w:val="18"/>
                <w:lang w:val="es-ES_tradnl"/>
              </w:rPr>
              <w:t xml:space="preserve"> 2</w:t>
            </w:r>
            <w:r w:rsidR="007E1E66" w:rsidRPr="008048DD">
              <w:rPr>
                <w:sz w:val="18"/>
                <w:szCs w:val="18"/>
                <w:lang w:val="es-ES_tradnl"/>
              </w:rPr>
              <w:t>,</w:t>
            </w:r>
            <w:r w:rsidR="00AD7257" w:rsidRPr="008048DD">
              <w:rPr>
                <w:sz w:val="18"/>
                <w:szCs w:val="18"/>
                <w:lang w:val="es-ES_tradnl"/>
              </w:rPr>
              <w:t xml:space="preserve"> </w:t>
            </w:r>
            <w:r w:rsidR="00DA5402" w:rsidRPr="008048DD">
              <w:rPr>
                <w:sz w:val="18"/>
                <w:szCs w:val="18"/>
                <w:lang w:val="es-ES_tradnl"/>
              </w:rPr>
              <w:t>y anexo</w:t>
            </w:r>
            <w:r w:rsidRPr="008048DD">
              <w:rPr>
                <w:sz w:val="18"/>
                <w:szCs w:val="18"/>
                <w:lang w:val="es-ES_tradnl"/>
              </w:rPr>
              <w:t xml:space="preserve"> B</w:t>
            </w:r>
          </w:p>
        </w:tc>
        <w:tc>
          <w:tcPr>
            <w:tcW w:w="6019" w:type="dxa"/>
          </w:tcPr>
          <w:p w14:paraId="2026764E" w14:textId="77777777" w:rsidR="00B1107F" w:rsidRPr="008048DD" w:rsidRDefault="002E4109"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Se ha de eliminar la producción de acetaldehido en la que se usa como catalizador el mercurio o compuestos de mercurio</w:t>
            </w:r>
            <w:r w:rsidR="00490F85" w:rsidRPr="008048DD">
              <w:rPr>
                <w:sz w:val="18"/>
                <w:szCs w:val="18"/>
                <w:lang w:val="es-ES_tradnl"/>
              </w:rPr>
              <w:t>.</w:t>
            </w:r>
          </w:p>
        </w:tc>
      </w:tr>
      <w:tr w:rsidR="00B1107F" w:rsidRPr="008048DD" w14:paraId="6BDCCEB6" w14:textId="77777777" w:rsidTr="003F33D5">
        <w:trPr>
          <w:trHeight w:val="57"/>
          <w:jc w:val="right"/>
        </w:trPr>
        <w:tc>
          <w:tcPr>
            <w:tcW w:w="750" w:type="dxa"/>
            <w:vMerge w:val="restart"/>
          </w:tcPr>
          <w:p w14:paraId="3E979F68"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2020</w:t>
            </w:r>
          </w:p>
          <w:p w14:paraId="59CB3DB5" w14:textId="77777777" w:rsidR="00B1107F" w:rsidRPr="008048DD" w:rsidRDefault="00B1107F" w:rsidP="003F33D5">
            <w:pPr>
              <w:pStyle w:val="Brdtext"/>
              <w:tabs>
                <w:tab w:val="left" w:pos="624"/>
                <w:tab w:val="left" w:pos="1134"/>
                <w:tab w:val="left" w:pos="3119"/>
              </w:tabs>
              <w:spacing w:after="20"/>
              <w:rPr>
                <w:sz w:val="18"/>
                <w:szCs w:val="18"/>
                <w:lang w:val="es-ES_tradnl"/>
              </w:rPr>
            </w:pPr>
          </w:p>
        </w:tc>
        <w:tc>
          <w:tcPr>
            <w:tcW w:w="1474" w:type="dxa"/>
          </w:tcPr>
          <w:p w14:paraId="650B3C4B"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4, </w:t>
            </w:r>
            <w:r w:rsidR="00DA5402" w:rsidRPr="008048DD">
              <w:rPr>
                <w:sz w:val="18"/>
                <w:szCs w:val="18"/>
                <w:lang w:val="es-ES_tradnl"/>
              </w:rPr>
              <w:t>párr.</w:t>
            </w:r>
            <w:r w:rsidRPr="008048DD">
              <w:rPr>
                <w:sz w:val="18"/>
                <w:szCs w:val="18"/>
                <w:lang w:val="es-ES_tradnl"/>
              </w:rPr>
              <w:t xml:space="preserve"> 1</w:t>
            </w:r>
            <w:r w:rsidR="007E1E66" w:rsidRPr="008048DD">
              <w:rPr>
                <w:sz w:val="18"/>
                <w:szCs w:val="18"/>
                <w:lang w:val="es-ES_tradnl"/>
              </w:rPr>
              <w:t>,</w:t>
            </w:r>
            <w:r w:rsidR="00AD7257" w:rsidRPr="008048DD">
              <w:rPr>
                <w:sz w:val="18"/>
                <w:szCs w:val="18"/>
                <w:lang w:val="es-ES_tradnl"/>
              </w:rPr>
              <w:t xml:space="preserve"> </w:t>
            </w:r>
            <w:r w:rsidR="00DA5402" w:rsidRPr="008048DD">
              <w:rPr>
                <w:sz w:val="18"/>
                <w:szCs w:val="18"/>
                <w:lang w:val="es-ES_tradnl"/>
              </w:rPr>
              <w:t>y anexo</w:t>
            </w:r>
            <w:r w:rsidRPr="008048DD">
              <w:rPr>
                <w:sz w:val="18"/>
                <w:szCs w:val="18"/>
                <w:lang w:val="es-ES_tradnl"/>
              </w:rPr>
              <w:t xml:space="preserve"> A</w:t>
            </w:r>
          </w:p>
        </w:tc>
        <w:tc>
          <w:tcPr>
            <w:tcW w:w="6019" w:type="dxa"/>
          </w:tcPr>
          <w:p w14:paraId="7B14E687" w14:textId="77777777" w:rsidR="00B1107F" w:rsidRPr="008048DD" w:rsidRDefault="002E4109"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Ya no se permite la fabricación, importación o exportación de diversos productos con mercurio añadido</w:t>
            </w:r>
            <w:r w:rsidR="00B1107F" w:rsidRPr="008048DD">
              <w:rPr>
                <w:sz w:val="18"/>
                <w:szCs w:val="18"/>
                <w:lang w:val="es-ES_tradnl"/>
              </w:rPr>
              <w:t xml:space="preserve"> (</w:t>
            </w:r>
            <w:r w:rsidRPr="008048DD">
              <w:rPr>
                <w:sz w:val="18"/>
                <w:szCs w:val="18"/>
                <w:lang w:val="es-ES_tradnl"/>
              </w:rPr>
              <w:t>entre otros, baterías, conmutadores y relés</w:t>
            </w:r>
            <w:r w:rsidR="00B1107F" w:rsidRPr="008048DD">
              <w:rPr>
                <w:sz w:val="18"/>
                <w:szCs w:val="18"/>
                <w:lang w:val="es-ES_tradnl"/>
              </w:rPr>
              <w:t xml:space="preserve">, </w:t>
            </w:r>
            <w:r w:rsidRPr="008048DD">
              <w:rPr>
                <w:sz w:val="18"/>
                <w:szCs w:val="18"/>
                <w:lang w:val="es-ES_tradnl"/>
              </w:rPr>
              <w:t xml:space="preserve">lámparas fluorescentes </w:t>
            </w:r>
            <w:r w:rsidR="00B1107F" w:rsidRPr="008048DD">
              <w:rPr>
                <w:sz w:val="18"/>
                <w:szCs w:val="18"/>
                <w:lang w:val="es-ES_tradnl"/>
              </w:rPr>
              <w:t>compact</w:t>
            </w:r>
            <w:r w:rsidRPr="008048DD">
              <w:rPr>
                <w:sz w:val="18"/>
                <w:szCs w:val="18"/>
                <w:lang w:val="es-ES_tradnl"/>
              </w:rPr>
              <w:t>as</w:t>
            </w:r>
            <w:r w:rsidR="00B1107F" w:rsidRPr="008048DD">
              <w:rPr>
                <w:sz w:val="18"/>
                <w:szCs w:val="18"/>
                <w:lang w:val="es-ES_tradnl"/>
              </w:rPr>
              <w:t xml:space="preserve"> </w:t>
            </w:r>
            <w:r w:rsidRPr="008048DD">
              <w:rPr>
                <w:sz w:val="18"/>
                <w:szCs w:val="18"/>
                <w:lang w:val="es-ES_tradnl"/>
              </w:rPr>
              <w:t>y lineales</w:t>
            </w:r>
            <w:r w:rsidR="00B1107F" w:rsidRPr="008048DD">
              <w:rPr>
                <w:sz w:val="18"/>
                <w:szCs w:val="18"/>
                <w:lang w:val="es-ES_tradnl"/>
              </w:rPr>
              <w:t xml:space="preserve">, </w:t>
            </w:r>
            <w:r w:rsidRPr="008048DD">
              <w:rPr>
                <w:sz w:val="18"/>
                <w:szCs w:val="18"/>
                <w:lang w:val="es-ES_tradnl"/>
              </w:rPr>
              <w:t>lámparas de vapor de mercurio de alta presión</w:t>
            </w:r>
            <w:r w:rsidR="00B1107F" w:rsidRPr="008048DD">
              <w:rPr>
                <w:sz w:val="18"/>
                <w:szCs w:val="18"/>
                <w:lang w:val="es-ES_tradnl"/>
              </w:rPr>
              <w:t xml:space="preserve">, </w:t>
            </w:r>
            <w:r w:rsidRPr="008048DD">
              <w:rPr>
                <w:sz w:val="18"/>
                <w:szCs w:val="18"/>
                <w:lang w:val="es-ES_tradnl"/>
              </w:rPr>
              <w:t xml:space="preserve">lámparas </w:t>
            </w:r>
            <w:r w:rsidR="00B1107F" w:rsidRPr="008048DD">
              <w:rPr>
                <w:sz w:val="18"/>
                <w:szCs w:val="18"/>
                <w:lang w:val="es-ES_tradnl"/>
              </w:rPr>
              <w:t>fluorescent</w:t>
            </w:r>
            <w:r w:rsidRPr="008048DD">
              <w:rPr>
                <w:sz w:val="18"/>
                <w:szCs w:val="18"/>
                <w:lang w:val="es-ES_tradnl"/>
              </w:rPr>
              <w:t>es de cátodo frío y</w:t>
            </w:r>
            <w:r w:rsidR="00B1107F" w:rsidRPr="008048DD">
              <w:rPr>
                <w:sz w:val="18"/>
                <w:szCs w:val="18"/>
                <w:lang w:val="es-ES_tradnl"/>
              </w:rPr>
              <w:t xml:space="preserve"> </w:t>
            </w:r>
            <w:r w:rsidRPr="008048DD">
              <w:rPr>
                <w:sz w:val="18"/>
                <w:szCs w:val="18"/>
                <w:lang w:val="es-ES_tradnl"/>
              </w:rPr>
              <w:t xml:space="preserve">lámparas </w:t>
            </w:r>
            <w:r w:rsidR="00B1107F" w:rsidRPr="008048DD">
              <w:rPr>
                <w:sz w:val="18"/>
                <w:szCs w:val="18"/>
                <w:lang w:val="es-ES_tradnl"/>
              </w:rPr>
              <w:t>fluorescent</w:t>
            </w:r>
            <w:r w:rsidRPr="008048DD">
              <w:rPr>
                <w:sz w:val="18"/>
                <w:szCs w:val="18"/>
                <w:lang w:val="es-ES_tradnl"/>
              </w:rPr>
              <w:t>es de electrodo externo para</w:t>
            </w:r>
            <w:r w:rsidR="00B1107F" w:rsidRPr="008048DD">
              <w:rPr>
                <w:sz w:val="18"/>
                <w:szCs w:val="18"/>
                <w:lang w:val="es-ES_tradnl"/>
              </w:rPr>
              <w:t xml:space="preserve"> </w:t>
            </w:r>
            <w:r w:rsidRPr="008048DD">
              <w:rPr>
                <w:sz w:val="18"/>
                <w:szCs w:val="18"/>
                <w:lang w:val="es-ES_tradnl"/>
              </w:rPr>
              <w:t>pantallas e</w:t>
            </w:r>
            <w:r w:rsidR="00B1107F" w:rsidRPr="008048DD">
              <w:rPr>
                <w:sz w:val="18"/>
                <w:szCs w:val="18"/>
                <w:lang w:val="es-ES_tradnl"/>
              </w:rPr>
              <w:t>lectr</w:t>
            </w:r>
            <w:r w:rsidRPr="008048DD">
              <w:rPr>
                <w:sz w:val="18"/>
                <w:szCs w:val="18"/>
                <w:lang w:val="es-ES_tradnl"/>
              </w:rPr>
              <w:t>ó</w:t>
            </w:r>
            <w:r w:rsidR="00B1107F" w:rsidRPr="008048DD">
              <w:rPr>
                <w:sz w:val="18"/>
                <w:szCs w:val="18"/>
                <w:lang w:val="es-ES_tradnl"/>
              </w:rPr>
              <w:t>nic</w:t>
            </w:r>
            <w:r w:rsidRPr="008048DD">
              <w:rPr>
                <w:sz w:val="18"/>
                <w:szCs w:val="18"/>
                <w:lang w:val="es-ES_tradnl"/>
              </w:rPr>
              <w:t>as</w:t>
            </w:r>
            <w:r w:rsidR="00B1107F" w:rsidRPr="008048DD">
              <w:rPr>
                <w:sz w:val="18"/>
                <w:szCs w:val="18"/>
                <w:lang w:val="es-ES_tradnl"/>
              </w:rPr>
              <w:t>, cosm</w:t>
            </w:r>
            <w:r w:rsidRPr="008048DD">
              <w:rPr>
                <w:sz w:val="18"/>
                <w:szCs w:val="18"/>
                <w:lang w:val="es-ES_tradnl"/>
              </w:rPr>
              <w:t>é</w:t>
            </w:r>
            <w:r w:rsidR="00B1107F" w:rsidRPr="008048DD">
              <w:rPr>
                <w:sz w:val="18"/>
                <w:szCs w:val="18"/>
                <w:lang w:val="es-ES_tradnl"/>
              </w:rPr>
              <w:t>tic</w:t>
            </w:r>
            <w:r w:rsidRPr="008048DD">
              <w:rPr>
                <w:sz w:val="18"/>
                <w:szCs w:val="18"/>
                <w:lang w:val="es-ES_tradnl"/>
              </w:rPr>
              <w:t>o</w:t>
            </w:r>
            <w:r w:rsidR="00B1107F" w:rsidRPr="008048DD">
              <w:rPr>
                <w:sz w:val="18"/>
                <w:szCs w:val="18"/>
                <w:lang w:val="es-ES_tradnl"/>
              </w:rPr>
              <w:t xml:space="preserve">s, </w:t>
            </w:r>
            <w:r w:rsidRPr="008048DD">
              <w:rPr>
                <w:sz w:val="18"/>
                <w:szCs w:val="18"/>
                <w:lang w:val="es-ES_tradnl"/>
              </w:rPr>
              <w:t>y plaguicidas, biocidas y antisépticos tópicos</w:t>
            </w:r>
            <w:r w:rsidR="00B1107F" w:rsidRPr="008048DD">
              <w:rPr>
                <w:sz w:val="18"/>
                <w:szCs w:val="18"/>
                <w:lang w:val="es-ES_tradnl"/>
              </w:rPr>
              <w:t>, as</w:t>
            </w:r>
            <w:r w:rsidRPr="008048DD">
              <w:rPr>
                <w:sz w:val="18"/>
                <w:szCs w:val="18"/>
                <w:lang w:val="es-ES_tradnl"/>
              </w:rPr>
              <w:t xml:space="preserve">í como </w:t>
            </w:r>
            <w:r w:rsidR="00B1107F" w:rsidRPr="008048DD">
              <w:rPr>
                <w:sz w:val="18"/>
                <w:szCs w:val="18"/>
                <w:lang w:val="es-ES_tradnl"/>
              </w:rPr>
              <w:t>bar</w:t>
            </w:r>
            <w:r w:rsidRPr="008048DD">
              <w:rPr>
                <w:sz w:val="18"/>
                <w:szCs w:val="18"/>
                <w:lang w:val="es-ES_tradnl"/>
              </w:rPr>
              <w:t>ómet</w:t>
            </w:r>
            <w:r w:rsidR="00B1107F" w:rsidRPr="008048DD">
              <w:rPr>
                <w:sz w:val="18"/>
                <w:szCs w:val="18"/>
                <w:lang w:val="es-ES_tradnl"/>
              </w:rPr>
              <w:t>r</w:t>
            </w:r>
            <w:r w:rsidRPr="008048DD">
              <w:rPr>
                <w:sz w:val="18"/>
                <w:szCs w:val="18"/>
                <w:lang w:val="es-ES_tradnl"/>
              </w:rPr>
              <w:t>o</w:t>
            </w:r>
            <w:r w:rsidR="00B1107F" w:rsidRPr="008048DD">
              <w:rPr>
                <w:sz w:val="18"/>
                <w:szCs w:val="18"/>
                <w:lang w:val="es-ES_tradnl"/>
              </w:rPr>
              <w:t>s, h</w:t>
            </w:r>
            <w:r w:rsidRPr="008048DD">
              <w:rPr>
                <w:sz w:val="18"/>
                <w:szCs w:val="18"/>
                <w:lang w:val="es-ES_tradnl"/>
              </w:rPr>
              <w:t>i</w:t>
            </w:r>
            <w:r w:rsidR="00B1107F" w:rsidRPr="008048DD">
              <w:rPr>
                <w:sz w:val="18"/>
                <w:szCs w:val="18"/>
                <w:lang w:val="es-ES_tradnl"/>
              </w:rPr>
              <w:t>gr</w:t>
            </w:r>
            <w:r w:rsidRPr="008048DD">
              <w:rPr>
                <w:sz w:val="18"/>
                <w:szCs w:val="18"/>
                <w:lang w:val="es-ES_tradnl"/>
              </w:rPr>
              <w:t>ómet</w:t>
            </w:r>
            <w:r w:rsidR="00B1107F" w:rsidRPr="008048DD">
              <w:rPr>
                <w:sz w:val="18"/>
                <w:szCs w:val="18"/>
                <w:lang w:val="es-ES_tradnl"/>
              </w:rPr>
              <w:t>r</w:t>
            </w:r>
            <w:r w:rsidRPr="008048DD">
              <w:rPr>
                <w:sz w:val="18"/>
                <w:szCs w:val="18"/>
                <w:lang w:val="es-ES_tradnl"/>
              </w:rPr>
              <w:t>o</w:t>
            </w:r>
            <w:r w:rsidR="00B1107F" w:rsidRPr="008048DD">
              <w:rPr>
                <w:sz w:val="18"/>
                <w:szCs w:val="18"/>
                <w:lang w:val="es-ES_tradnl"/>
              </w:rPr>
              <w:t>s, man</w:t>
            </w:r>
            <w:r w:rsidRPr="008048DD">
              <w:rPr>
                <w:sz w:val="18"/>
                <w:szCs w:val="18"/>
                <w:lang w:val="es-ES_tradnl"/>
              </w:rPr>
              <w:t>ó</w:t>
            </w:r>
            <w:r w:rsidR="00B1107F" w:rsidRPr="008048DD">
              <w:rPr>
                <w:sz w:val="18"/>
                <w:szCs w:val="18"/>
                <w:lang w:val="es-ES_tradnl"/>
              </w:rPr>
              <w:t>metr</w:t>
            </w:r>
            <w:r w:rsidRPr="008048DD">
              <w:rPr>
                <w:sz w:val="18"/>
                <w:szCs w:val="18"/>
                <w:lang w:val="es-ES_tradnl"/>
              </w:rPr>
              <w:t>o</w:t>
            </w:r>
            <w:r w:rsidR="00B1107F" w:rsidRPr="008048DD">
              <w:rPr>
                <w:sz w:val="18"/>
                <w:szCs w:val="18"/>
                <w:lang w:val="es-ES_tradnl"/>
              </w:rPr>
              <w:t>s, term</w:t>
            </w:r>
            <w:r w:rsidRPr="008048DD">
              <w:rPr>
                <w:sz w:val="18"/>
                <w:szCs w:val="18"/>
                <w:lang w:val="es-ES_tradnl"/>
              </w:rPr>
              <w:t>ómet</w:t>
            </w:r>
            <w:r w:rsidR="00B1107F" w:rsidRPr="008048DD">
              <w:rPr>
                <w:sz w:val="18"/>
                <w:szCs w:val="18"/>
                <w:lang w:val="es-ES_tradnl"/>
              </w:rPr>
              <w:t>r</w:t>
            </w:r>
            <w:r w:rsidRPr="008048DD">
              <w:rPr>
                <w:sz w:val="18"/>
                <w:szCs w:val="18"/>
                <w:lang w:val="es-ES_tradnl"/>
              </w:rPr>
              <w:t>o</w:t>
            </w:r>
            <w:r w:rsidR="00B1107F" w:rsidRPr="008048DD">
              <w:rPr>
                <w:sz w:val="18"/>
                <w:szCs w:val="18"/>
                <w:lang w:val="es-ES_tradnl"/>
              </w:rPr>
              <w:t xml:space="preserve">s </w:t>
            </w:r>
            <w:r w:rsidRPr="008048DD">
              <w:rPr>
                <w:sz w:val="18"/>
                <w:szCs w:val="18"/>
                <w:lang w:val="es-ES_tradnl"/>
              </w:rPr>
              <w:t>y esfigmomanómetros</w:t>
            </w:r>
            <w:r w:rsidR="00B1107F" w:rsidRPr="008048DD">
              <w:rPr>
                <w:sz w:val="18"/>
                <w:szCs w:val="18"/>
                <w:lang w:val="es-ES_tradnl"/>
              </w:rPr>
              <w:t>)</w:t>
            </w:r>
            <w:r w:rsidR="006765E2" w:rsidRPr="008048DD">
              <w:rPr>
                <w:sz w:val="18"/>
                <w:szCs w:val="18"/>
                <w:lang w:val="es-ES_tradnl"/>
              </w:rPr>
              <w:t>.</w:t>
            </w:r>
            <w:r w:rsidR="00B1107F" w:rsidRPr="008048DD">
              <w:rPr>
                <w:sz w:val="18"/>
                <w:szCs w:val="18"/>
                <w:lang w:val="es-ES_tradnl"/>
              </w:rPr>
              <w:t xml:space="preserve"> </w:t>
            </w:r>
          </w:p>
        </w:tc>
      </w:tr>
      <w:tr w:rsidR="00B1107F" w:rsidRPr="008048DD" w14:paraId="0610C7F6" w14:textId="77777777" w:rsidTr="003F33D5">
        <w:trPr>
          <w:trHeight w:val="57"/>
          <w:jc w:val="right"/>
        </w:trPr>
        <w:tc>
          <w:tcPr>
            <w:tcW w:w="750" w:type="dxa"/>
            <w:vMerge/>
          </w:tcPr>
          <w:p w14:paraId="10F31E1F"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p>
        </w:tc>
        <w:tc>
          <w:tcPr>
            <w:tcW w:w="1474" w:type="dxa"/>
            <w:vMerge w:val="restart"/>
          </w:tcPr>
          <w:p w14:paraId="59D7446E"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5, </w:t>
            </w:r>
            <w:r w:rsidR="00DA5402" w:rsidRPr="008048DD">
              <w:rPr>
                <w:sz w:val="18"/>
                <w:szCs w:val="18"/>
                <w:lang w:val="es-ES_tradnl"/>
              </w:rPr>
              <w:t>párr.</w:t>
            </w:r>
            <w:r w:rsidRPr="008048DD">
              <w:rPr>
                <w:sz w:val="18"/>
                <w:szCs w:val="18"/>
                <w:lang w:val="es-ES_tradnl"/>
              </w:rPr>
              <w:t xml:space="preserve"> 3</w:t>
            </w:r>
            <w:r w:rsidR="007E1E66" w:rsidRPr="008048DD">
              <w:rPr>
                <w:sz w:val="18"/>
                <w:szCs w:val="18"/>
                <w:lang w:val="es-ES_tradnl"/>
              </w:rPr>
              <w:t>,</w:t>
            </w:r>
            <w:r w:rsidR="006765E2" w:rsidRPr="008048DD">
              <w:rPr>
                <w:sz w:val="18"/>
                <w:szCs w:val="18"/>
                <w:lang w:val="es-ES_tradnl"/>
              </w:rPr>
              <w:t xml:space="preserve"> </w:t>
            </w:r>
            <w:r w:rsidR="00DA5402" w:rsidRPr="008048DD">
              <w:rPr>
                <w:sz w:val="18"/>
                <w:szCs w:val="18"/>
                <w:lang w:val="es-ES_tradnl"/>
              </w:rPr>
              <w:t>y anexo</w:t>
            </w:r>
            <w:r w:rsidRPr="008048DD">
              <w:rPr>
                <w:sz w:val="18"/>
                <w:szCs w:val="18"/>
                <w:lang w:val="es-ES_tradnl"/>
              </w:rPr>
              <w:t xml:space="preserve"> B</w:t>
            </w:r>
          </w:p>
        </w:tc>
        <w:tc>
          <w:tcPr>
            <w:tcW w:w="6019" w:type="dxa"/>
          </w:tcPr>
          <w:p w14:paraId="32692081" w14:textId="0ED1EABB" w:rsidR="00B1107F" w:rsidRPr="008048DD" w:rsidRDefault="002E4109"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En la producción de monómeros de cloruro de vinilo, reducir </w:t>
            </w:r>
            <w:r w:rsidR="007B3B25" w:rsidRPr="008048DD">
              <w:rPr>
                <w:sz w:val="18"/>
                <w:szCs w:val="18"/>
                <w:lang w:val="es-ES_tradnl"/>
              </w:rPr>
              <w:t>en un 50</w:t>
            </w:r>
            <w:r w:rsidR="00C6007C" w:rsidRPr="008048DD">
              <w:rPr>
                <w:sz w:val="18"/>
                <w:szCs w:val="18"/>
                <w:lang w:val="es-ES_tradnl"/>
              </w:rPr>
              <w:t> </w:t>
            </w:r>
            <w:r w:rsidR="007B3B25" w:rsidRPr="008048DD">
              <w:rPr>
                <w:sz w:val="18"/>
                <w:szCs w:val="18"/>
                <w:lang w:val="es-ES_tradnl"/>
              </w:rPr>
              <w:t xml:space="preserve">% </w:t>
            </w:r>
            <w:r w:rsidRPr="008048DD">
              <w:rPr>
                <w:sz w:val="18"/>
                <w:szCs w:val="18"/>
                <w:lang w:val="es-ES_tradnl"/>
              </w:rPr>
              <w:t xml:space="preserve">el uso de mercurio </w:t>
            </w:r>
            <w:r w:rsidR="007B3B25" w:rsidRPr="008048DD">
              <w:rPr>
                <w:sz w:val="18"/>
                <w:szCs w:val="18"/>
                <w:lang w:val="es-ES_tradnl"/>
              </w:rPr>
              <w:t>en la producción por unidad para el año</w:t>
            </w:r>
            <w:r w:rsidR="008B09D4" w:rsidRPr="008048DD">
              <w:rPr>
                <w:sz w:val="18"/>
                <w:szCs w:val="18"/>
                <w:lang w:val="es-ES_tradnl"/>
              </w:rPr>
              <w:t xml:space="preserve"> </w:t>
            </w:r>
            <w:r w:rsidR="00B1107F" w:rsidRPr="008048DD">
              <w:rPr>
                <w:sz w:val="18"/>
                <w:szCs w:val="18"/>
                <w:lang w:val="es-ES_tradnl"/>
              </w:rPr>
              <w:t xml:space="preserve">2020 </w:t>
            </w:r>
            <w:r w:rsidR="007B3B25" w:rsidRPr="008048DD">
              <w:rPr>
                <w:sz w:val="18"/>
                <w:szCs w:val="18"/>
                <w:lang w:val="es-ES_tradnl"/>
              </w:rPr>
              <w:t xml:space="preserve">respecto del uso registrado en </w:t>
            </w:r>
            <w:r w:rsidR="00B1107F" w:rsidRPr="008048DD">
              <w:rPr>
                <w:sz w:val="18"/>
                <w:szCs w:val="18"/>
                <w:lang w:val="es-ES_tradnl"/>
              </w:rPr>
              <w:t>2010.</w:t>
            </w:r>
          </w:p>
        </w:tc>
      </w:tr>
      <w:tr w:rsidR="00B1107F" w:rsidRPr="008048DD" w14:paraId="132BC498" w14:textId="77777777" w:rsidTr="003F33D5">
        <w:trPr>
          <w:trHeight w:val="57"/>
          <w:jc w:val="right"/>
        </w:trPr>
        <w:tc>
          <w:tcPr>
            <w:tcW w:w="750" w:type="dxa"/>
            <w:vMerge/>
          </w:tcPr>
          <w:p w14:paraId="4CD3ECB4"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p>
        </w:tc>
        <w:tc>
          <w:tcPr>
            <w:tcW w:w="1474" w:type="dxa"/>
            <w:vMerge/>
          </w:tcPr>
          <w:p w14:paraId="792C820A"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p>
        </w:tc>
        <w:tc>
          <w:tcPr>
            <w:tcW w:w="6019" w:type="dxa"/>
          </w:tcPr>
          <w:p w14:paraId="3B85B2DE" w14:textId="7A80D877" w:rsidR="00B1107F" w:rsidRPr="008048DD" w:rsidRDefault="007B3B25"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En el caso del metilato o etilato de sodio o de potasio</w:t>
            </w:r>
            <w:r w:rsidR="00490F85" w:rsidRPr="008048DD">
              <w:rPr>
                <w:sz w:val="18"/>
                <w:szCs w:val="18"/>
                <w:lang w:val="es-ES_tradnl"/>
              </w:rPr>
              <w:t>,</w:t>
            </w:r>
            <w:r w:rsidR="00B1107F" w:rsidRPr="008048DD">
              <w:rPr>
                <w:sz w:val="18"/>
                <w:szCs w:val="18"/>
                <w:lang w:val="es-ES_tradnl"/>
              </w:rPr>
              <w:t xml:space="preserve"> reduc</w:t>
            </w:r>
            <w:r w:rsidRPr="008048DD">
              <w:rPr>
                <w:sz w:val="18"/>
                <w:szCs w:val="18"/>
                <w:lang w:val="es-ES_tradnl"/>
              </w:rPr>
              <w:t>ir las emisiones y liberaciones en la producción por unidad en un</w:t>
            </w:r>
            <w:r w:rsidR="00B1107F" w:rsidRPr="008048DD">
              <w:rPr>
                <w:sz w:val="18"/>
                <w:szCs w:val="18"/>
                <w:lang w:val="es-ES_tradnl"/>
              </w:rPr>
              <w:t xml:space="preserve"> 50</w:t>
            </w:r>
            <w:r w:rsidR="00C6007C" w:rsidRPr="008048DD">
              <w:rPr>
                <w:sz w:val="18"/>
                <w:szCs w:val="18"/>
                <w:lang w:val="es-ES_tradnl"/>
              </w:rPr>
              <w:t> </w:t>
            </w:r>
            <w:r w:rsidRPr="008048DD">
              <w:rPr>
                <w:sz w:val="18"/>
                <w:szCs w:val="18"/>
                <w:lang w:val="es-ES_tradnl"/>
              </w:rPr>
              <w:t>% para</w:t>
            </w:r>
            <w:r w:rsidR="00B1107F" w:rsidRPr="008048DD">
              <w:rPr>
                <w:sz w:val="18"/>
                <w:szCs w:val="18"/>
                <w:lang w:val="es-ES_tradnl"/>
              </w:rPr>
              <w:t xml:space="preserve"> 2020 </w:t>
            </w:r>
            <w:r w:rsidRPr="008048DD">
              <w:rPr>
                <w:sz w:val="18"/>
                <w:szCs w:val="18"/>
                <w:lang w:val="es-ES_tradnl"/>
              </w:rPr>
              <w:t>en c</w:t>
            </w:r>
            <w:r w:rsidR="00B1107F" w:rsidRPr="008048DD">
              <w:rPr>
                <w:sz w:val="18"/>
                <w:szCs w:val="18"/>
                <w:lang w:val="es-ES_tradnl"/>
              </w:rPr>
              <w:t>ompar</w:t>
            </w:r>
            <w:r w:rsidRPr="008048DD">
              <w:rPr>
                <w:sz w:val="18"/>
                <w:szCs w:val="18"/>
                <w:lang w:val="es-ES_tradnl"/>
              </w:rPr>
              <w:t xml:space="preserve">ación con </w:t>
            </w:r>
            <w:r w:rsidR="00B1107F" w:rsidRPr="008048DD">
              <w:rPr>
                <w:sz w:val="18"/>
                <w:szCs w:val="18"/>
                <w:lang w:val="es-ES_tradnl"/>
              </w:rPr>
              <w:t>2010</w:t>
            </w:r>
            <w:r w:rsidR="00490F85" w:rsidRPr="008048DD">
              <w:rPr>
                <w:sz w:val="18"/>
                <w:szCs w:val="18"/>
                <w:lang w:val="es-ES_tradnl"/>
              </w:rPr>
              <w:t>.</w:t>
            </w:r>
          </w:p>
        </w:tc>
      </w:tr>
      <w:tr w:rsidR="00B1107F" w:rsidRPr="008048DD" w14:paraId="12318890" w14:textId="77777777" w:rsidTr="003F33D5">
        <w:trPr>
          <w:trHeight w:val="57"/>
          <w:jc w:val="right"/>
        </w:trPr>
        <w:tc>
          <w:tcPr>
            <w:tcW w:w="750" w:type="dxa"/>
          </w:tcPr>
          <w:p w14:paraId="1121BBCF"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2025</w:t>
            </w:r>
          </w:p>
        </w:tc>
        <w:tc>
          <w:tcPr>
            <w:tcW w:w="1474" w:type="dxa"/>
          </w:tcPr>
          <w:p w14:paraId="562EBDB4"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5, </w:t>
            </w:r>
            <w:r w:rsidR="00DA5402" w:rsidRPr="008048DD">
              <w:rPr>
                <w:sz w:val="18"/>
                <w:szCs w:val="18"/>
                <w:lang w:val="es-ES_tradnl"/>
              </w:rPr>
              <w:t>párr.</w:t>
            </w:r>
            <w:r w:rsidRPr="008048DD">
              <w:rPr>
                <w:sz w:val="18"/>
                <w:szCs w:val="18"/>
                <w:lang w:val="es-ES_tradnl"/>
              </w:rPr>
              <w:t xml:space="preserve"> 2</w:t>
            </w:r>
            <w:r w:rsidR="007E1E66" w:rsidRPr="008048DD">
              <w:rPr>
                <w:sz w:val="18"/>
                <w:szCs w:val="18"/>
                <w:lang w:val="es-ES_tradnl"/>
              </w:rPr>
              <w:t>,</w:t>
            </w:r>
            <w:r w:rsidR="006765E2" w:rsidRPr="008048DD">
              <w:rPr>
                <w:sz w:val="18"/>
                <w:szCs w:val="18"/>
                <w:lang w:val="es-ES_tradnl"/>
              </w:rPr>
              <w:t xml:space="preserve"> </w:t>
            </w:r>
            <w:r w:rsidR="00DA5402" w:rsidRPr="008048DD">
              <w:rPr>
                <w:sz w:val="18"/>
                <w:szCs w:val="18"/>
                <w:lang w:val="es-ES_tradnl"/>
              </w:rPr>
              <w:t>y anexo</w:t>
            </w:r>
            <w:r w:rsidRPr="008048DD">
              <w:rPr>
                <w:sz w:val="18"/>
                <w:szCs w:val="18"/>
                <w:lang w:val="es-ES_tradnl"/>
              </w:rPr>
              <w:t xml:space="preserve"> B</w:t>
            </w:r>
          </w:p>
        </w:tc>
        <w:tc>
          <w:tcPr>
            <w:tcW w:w="6019" w:type="dxa"/>
          </w:tcPr>
          <w:p w14:paraId="5A30837F" w14:textId="781E5DE6" w:rsidR="00B1107F" w:rsidRPr="008048DD" w:rsidRDefault="007B3B25"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Se deberá eliminar la producción de cloro</w:t>
            </w:r>
            <w:r w:rsidR="00C6007C" w:rsidRPr="008048DD">
              <w:rPr>
                <w:sz w:val="18"/>
                <w:szCs w:val="18"/>
                <w:lang w:val="es-ES_tradnl"/>
              </w:rPr>
              <w:t>-</w:t>
            </w:r>
            <w:r w:rsidRPr="008048DD">
              <w:rPr>
                <w:sz w:val="18"/>
                <w:szCs w:val="18"/>
                <w:lang w:val="es-ES_tradnl"/>
              </w:rPr>
              <w:t>álcali</w:t>
            </w:r>
            <w:r w:rsidR="00091911" w:rsidRPr="008048DD">
              <w:rPr>
                <w:sz w:val="18"/>
                <w:szCs w:val="18"/>
                <w:lang w:val="es-ES_tradnl"/>
              </w:rPr>
              <w:t>.</w:t>
            </w:r>
          </w:p>
        </w:tc>
      </w:tr>
      <w:tr w:rsidR="00B1107F" w:rsidRPr="008048DD" w14:paraId="5153A58D" w14:textId="77777777" w:rsidTr="003F33D5">
        <w:trPr>
          <w:trHeight w:val="57"/>
          <w:jc w:val="right"/>
        </w:trPr>
        <w:tc>
          <w:tcPr>
            <w:tcW w:w="750" w:type="dxa"/>
          </w:tcPr>
          <w:p w14:paraId="1150C598"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2027</w:t>
            </w:r>
          </w:p>
        </w:tc>
        <w:tc>
          <w:tcPr>
            <w:tcW w:w="1474" w:type="dxa"/>
          </w:tcPr>
          <w:p w14:paraId="62B9246B"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5, </w:t>
            </w:r>
            <w:r w:rsidR="00DA5402" w:rsidRPr="008048DD">
              <w:rPr>
                <w:sz w:val="18"/>
                <w:szCs w:val="18"/>
                <w:lang w:val="es-ES_tradnl"/>
              </w:rPr>
              <w:t>párr.</w:t>
            </w:r>
            <w:r w:rsidRPr="008048DD">
              <w:rPr>
                <w:sz w:val="18"/>
                <w:szCs w:val="18"/>
                <w:lang w:val="es-ES_tradnl"/>
              </w:rPr>
              <w:t xml:space="preserve"> 3</w:t>
            </w:r>
            <w:r w:rsidR="007E1E66" w:rsidRPr="008048DD">
              <w:rPr>
                <w:sz w:val="18"/>
                <w:szCs w:val="18"/>
                <w:lang w:val="es-ES_tradnl"/>
              </w:rPr>
              <w:t>,</w:t>
            </w:r>
            <w:r w:rsidR="006765E2" w:rsidRPr="008048DD">
              <w:rPr>
                <w:sz w:val="18"/>
                <w:szCs w:val="18"/>
                <w:lang w:val="es-ES_tradnl"/>
              </w:rPr>
              <w:t xml:space="preserve"> </w:t>
            </w:r>
            <w:r w:rsidR="00DA5402" w:rsidRPr="008048DD">
              <w:rPr>
                <w:sz w:val="18"/>
                <w:szCs w:val="18"/>
                <w:lang w:val="es-ES_tradnl"/>
              </w:rPr>
              <w:t>y anexo</w:t>
            </w:r>
            <w:r w:rsidRPr="008048DD">
              <w:rPr>
                <w:sz w:val="18"/>
                <w:szCs w:val="18"/>
                <w:lang w:val="es-ES_tradnl"/>
              </w:rPr>
              <w:t xml:space="preserve"> B</w:t>
            </w:r>
          </w:p>
        </w:tc>
        <w:tc>
          <w:tcPr>
            <w:tcW w:w="6019" w:type="dxa"/>
          </w:tcPr>
          <w:p w14:paraId="73B712A8" w14:textId="7A78A166" w:rsidR="00B1107F" w:rsidRPr="008048DD" w:rsidRDefault="007B3B25"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En el caso del metilato o etilato de sodio o de potasio, reducir el uso del mercurio con miras a eliminarlo </w:t>
            </w:r>
            <w:r w:rsidR="003F33D5" w:rsidRPr="008048DD">
              <w:rPr>
                <w:sz w:val="18"/>
                <w:szCs w:val="18"/>
                <w:lang w:val="es-ES_tradnl"/>
              </w:rPr>
              <w:t>tan rápido como sea posible y en un plazo de</w:t>
            </w:r>
            <w:r w:rsidR="00C6007C" w:rsidRPr="008048DD">
              <w:rPr>
                <w:sz w:val="18"/>
                <w:szCs w:val="18"/>
                <w:lang w:val="es-ES_tradnl"/>
              </w:rPr>
              <w:t> </w:t>
            </w:r>
            <w:r w:rsidR="00B1107F" w:rsidRPr="008048DD">
              <w:rPr>
                <w:sz w:val="18"/>
                <w:szCs w:val="18"/>
                <w:lang w:val="es-ES_tradnl"/>
              </w:rPr>
              <w:t xml:space="preserve">10 </w:t>
            </w:r>
            <w:r w:rsidR="003F33D5" w:rsidRPr="008048DD">
              <w:rPr>
                <w:sz w:val="18"/>
                <w:szCs w:val="18"/>
                <w:lang w:val="es-ES_tradnl"/>
              </w:rPr>
              <w:t>años a partir de la entrada en vigor del Convenio</w:t>
            </w:r>
            <w:r w:rsidR="006765E2" w:rsidRPr="008048DD">
              <w:rPr>
                <w:sz w:val="18"/>
                <w:szCs w:val="18"/>
                <w:lang w:val="es-ES_tradnl"/>
              </w:rPr>
              <w:t>.</w:t>
            </w:r>
          </w:p>
        </w:tc>
      </w:tr>
      <w:tr w:rsidR="00B1107F" w:rsidRPr="008048DD" w14:paraId="40EBCFCD" w14:textId="77777777" w:rsidTr="003F33D5">
        <w:trPr>
          <w:trHeight w:val="57"/>
          <w:jc w:val="right"/>
        </w:trPr>
        <w:tc>
          <w:tcPr>
            <w:tcW w:w="750" w:type="dxa"/>
          </w:tcPr>
          <w:p w14:paraId="1102E911"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2032*</w:t>
            </w:r>
          </w:p>
        </w:tc>
        <w:tc>
          <w:tcPr>
            <w:tcW w:w="1474" w:type="dxa"/>
          </w:tcPr>
          <w:p w14:paraId="37B3F8A9"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3, </w:t>
            </w:r>
            <w:r w:rsidR="00DA5402" w:rsidRPr="008048DD">
              <w:rPr>
                <w:sz w:val="18"/>
                <w:szCs w:val="18"/>
                <w:lang w:val="es-ES_tradnl"/>
              </w:rPr>
              <w:t>párr.</w:t>
            </w:r>
            <w:r w:rsidRPr="008048DD">
              <w:rPr>
                <w:sz w:val="18"/>
                <w:szCs w:val="18"/>
                <w:lang w:val="es-ES_tradnl"/>
              </w:rPr>
              <w:t xml:space="preserve"> 4</w:t>
            </w:r>
          </w:p>
        </w:tc>
        <w:tc>
          <w:tcPr>
            <w:tcW w:w="6019" w:type="dxa"/>
          </w:tcPr>
          <w:p w14:paraId="0E5729D0" w14:textId="77777777" w:rsidR="00B1107F" w:rsidRPr="008048DD" w:rsidRDefault="003F33D5"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La extracción primaria de mercurio que se haya estado realizando en el territorio de una Parte en la fecha de entrada en vigor del Convenio para esa Parte cesará </w:t>
            </w:r>
            <w:r w:rsidR="00B1107F" w:rsidRPr="008048DD">
              <w:rPr>
                <w:sz w:val="18"/>
                <w:szCs w:val="18"/>
                <w:lang w:val="es-ES_tradnl"/>
              </w:rPr>
              <w:t xml:space="preserve">15 </w:t>
            </w:r>
            <w:r w:rsidRPr="008048DD">
              <w:rPr>
                <w:sz w:val="18"/>
                <w:szCs w:val="18"/>
                <w:lang w:val="es-ES_tradnl"/>
              </w:rPr>
              <w:t>años después de esa fecha</w:t>
            </w:r>
            <w:r w:rsidR="009C3FA9" w:rsidRPr="008048DD">
              <w:rPr>
                <w:sz w:val="18"/>
                <w:szCs w:val="18"/>
                <w:lang w:val="es-ES_tradnl"/>
              </w:rPr>
              <w:t>.</w:t>
            </w:r>
          </w:p>
        </w:tc>
      </w:tr>
      <w:tr w:rsidR="00B1107F" w:rsidRPr="008048DD" w14:paraId="039375E0" w14:textId="77777777" w:rsidTr="003F33D5">
        <w:trPr>
          <w:trHeight w:val="57"/>
          <w:jc w:val="right"/>
        </w:trPr>
        <w:tc>
          <w:tcPr>
            <w:tcW w:w="750" w:type="dxa"/>
            <w:vMerge w:val="restart"/>
          </w:tcPr>
          <w:p w14:paraId="318FD100"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2020*</w:t>
            </w:r>
          </w:p>
        </w:tc>
        <w:tc>
          <w:tcPr>
            <w:tcW w:w="1474" w:type="dxa"/>
          </w:tcPr>
          <w:p w14:paraId="7551CB8E"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5</w:t>
            </w:r>
            <w:r w:rsidR="006765E2" w:rsidRPr="008048DD">
              <w:rPr>
                <w:sz w:val="18"/>
                <w:szCs w:val="18"/>
                <w:lang w:val="es-ES_tradnl"/>
              </w:rPr>
              <w:t xml:space="preserve">, </w:t>
            </w:r>
            <w:r w:rsidR="00DA5402" w:rsidRPr="008048DD">
              <w:rPr>
                <w:sz w:val="18"/>
                <w:szCs w:val="18"/>
                <w:lang w:val="es-ES_tradnl"/>
              </w:rPr>
              <w:t>párr.</w:t>
            </w:r>
            <w:r w:rsidR="00C05ABA" w:rsidRPr="008048DD">
              <w:rPr>
                <w:sz w:val="18"/>
                <w:szCs w:val="18"/>
                <w:lang w:val="es-ES_tradnl"/>
              </w:rPr>
              <w:t> </w:t>
            </w:r>
            <w:r w:rsidR="006765E2" w:rsidRPr="008048DD">
              <w:rPr>
                <w:sz w:val="18"/>
                <w:szCs w:val="18"/>
                <w:lang w:val="es-ES_tradnl"/>
              </w:rPr>
              <w:t>5</w:t>
            </w:r>
            <w:r w:rsidR="00C05ABA" w:rsidRPr="008048DD">
              <w:rPr>
                <w:sz w:val="18"/>
                <w:szCs w:val="18"/>
                <w:lang w:val="es-ES_tradnl"/>
              </w:rPr>
              <w:t xml:space="preserve"> </w:t>
            </w:r>
            <w:r w:rsidR="006765E2" w:rsidRPr="008048DD">
              <w:rPr>
                <w:sz w:val="18"/>
                <w:szCs w:val="18"/>
                <w:lang w:val="es-ES_tradnl"/>
              </w:rPr>
              <w:t>c)</w:t>
            </w:r>
          </w:p>
        </w:tc>
        <w:tc>
          <w:tcPr>
            <w:tcW w:w="6019" w:type="dxa"/>
          </w:tcPr>
          <w:p w14:paraId="5DFB0FA1" w14:textId="4A6AC2C7" w:rsidR="00B1107F" w:rsidRPr="008048DD" w:rsidRDefault="00D74881" w:rsidP="00D74881">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Presentar a la Secretaría, a más tardar tres años después de la entrada en vigor </w:t>
            </w:r>
            <w:r w:rsidR="00DA5402" w:rsidRPr="008048DD">
              <w:rPr>
                <w:sz w:val="18"/>
                <w:szCs w:val="18"/>
                <w:lang w:val="es-ES_tradnl"/>
              </w:rPr>
              <w:t>para la Parte</w:t>
            </w:r>
            <w:r w:rsidR="009C3FA9" w:rsidRPr="008048DD">
              <w:rPr>
                <w:sz w:val="18"/>
                <w:szCs w:val="18"/>
                <w:lang w:val="es-ES_tradnl"/>
              </w:rPr>
              <w:t>,</w:t>
            </w:r>
            <w:r w:rsidR="00B1107F" w:rsidRPr="008048DD">
              <w:rPr>
                <w:sz w:val="18"/>
                <w:szCs w:val="18"/>
                <w:lang w:val="es-ES_tradnl"/>
              </w:rPr>
              <w:t xml:space="preserve"> </w:t>
            </w:r>
            <w:r w:rsidRPr="008048DD">
              <w:rPr>
                <w:sz w:val="18"/>
                <w:szCs w:val="18"/>
                <w:lang w:val="es-ES_tradnl"/>
              </w:rPr>
              <w:t xml:space="preserve">información sobre el número y los tipos de plantas que usan mercurio o compuestos de mercurio para procesos incluidos en el anexo </w:t>
            </w:r>
            <w:r w:rsidR="00B1107F" w:rsidRPr="008048DD">
              <w:rPr>
                <w:sz w:val="18"/>
                <w:szCs w:val="18"/>
                <w:lang w:val="es-ES_tradnl"/>
              </w:rPr>
              <w:t xml:space="preserve">B, </w:t>
            </w:r>
            <w:r w:rsidRPr="008048DD">
              <w:rPr>
                <w:sz w:val="18"/>
                <w:szCs w:val="18"/>
                <w:lang w:val="es-ES_tradnl"/>
              </w:rPr>
              <w:t>y</w:t>
            </w:r>
            <w:r w:rsidR="00C6007C" w:rsidRPr="008048DD">
              <w:rPr>
                <w:sz w:val="18"/>
                <w:szCs w:val="18"/>
                <w:lang w:val="es-ES_tradnl"/>
              </w:rPr>
              <w:t> </w:t>
            </w:r>
            <w:r w:rsidRPr="008048DD">
              <w:rPr>
                <w:sz w:val="18"/>
                <w:szCs w:val="18"/>
                <w:lang w:val="es-ES_tradnl"/>
              </w:rPr>
              <w:t>la</w:t>
            </w:r>
            <w:r w:rsidR="00C6007C" w:rsidRPr="008048DD">
              <w:rPr>
                <w:sz w:val="18"/>
                <w:szCs w:val="18"/>
                <w:lang w:val="es-ES_tradnl"/>
              </w:rPr>
              <w:t> </w:t>
            </w:r>
            <w:r w:rsidRPr="008048DD">
              <w:rPr>
                <w:sz w:val="18"/>
                <w:szCs w:val="18"/>
                <w:lang w:val="es-ES_tradnl"/>
              </w:rPr>
              <w:t>cantidad anual estimada de mercurio o compuestos de mercurio que usan esas plantas</w:t>
            </w:r>
            <w:r w:rsidR="009C3FA9" w:rsidRPr="008048DD">
              <w:rPr>
                <w:sz w:val="18"/>
                <w:szCs w:val="18"/>
                <w:lang w:val="es-ES_tradnl"/>
              </w:rPr>
              <w:t xml:space="preserve">. </w:t>
            </w:r>
          </w:p>
        </w:tc>
      </w:tr>
      <w:tr w:rsidR="00B1107F" w:rsidRPr="008048DD" w14:paraId="04CD4458" w14:textId="77777777" w:rsidTr="003F33D5">
        <w:trPr>
          <w:trHeight w:val="57"/>
          <w:jc w:val="right"/>
        </w:trPr>
        <w:tc>
          <w:tcPr>
            <w:tcW w:w="750" w:type="dxa"/>
            <w:vMerge/>
          </w:tcPr>
          <w:p w14:paraId="4B1DB272"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p>
        </w:tc>
        <w:tc>
          <w:tcPr>
            <w:tcW w:w="1474" w:type="dxa"/>
          </w:tcPr>
          <w:p w14:paraId="4D538F5D"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7</w:t>
            </w:r>
            <w:r w:rsidR="00C05ABA" w:rsidRPr="008048DD">
              <w:rPr>
                <w:sz w:val="18"/>
                <w:szCs w:val="18"/>
                <w:lang w:val="es-ES_tradnl"/>
              </w:rPr>
              <w:t xml:space="preserve">, </w:t>
            </w:r>
            <w:r w:rsidR="00DA5402" w:rsidRPr="008048DD">
              <w:rPr>
                <w:sz w:val="18"/>
                <w:szCs w:val="18"/>
                <w:lang w:val="es-ES_tradnl"/>
              </w:rPr>
              <w:t>párr.</w:t>
            </w:r>
            <w:r w:rsidR="003F33D5" w:rsidRPr="008048DD">
              <w:rPr>
                <w:sz w:val="18"/>
                <w:szCs w:val="18"/>
                <w:lang w:val="es-ES_tradnl"/>
              </w:rPr>
              <w:t xml:space="preserve"> 3 </w:t>
            </w:r>
            <w:r w:rsidR="00C05ABA" w:rsidRPr="008048DD">
              <w:rPr>
                <w:sz w:val="18"/>
                <w:szCs w:val="18"/>
                <w:lang w:val="es-ES_tradnl"/>
              </w:rPr>
              <w:t>b)</w:t>
            </w:r>
          </w:p>
        </w:tc>
        <w:tc>
          <w:tcPr>
            <w:tcW w:w="6019" w:type="dxa"/>
          </w:tcPr>
          <w:p w14:paraId="19AFB55C" w14:textId="1EAD191D" w:rsidR="00B1107F" w:rsidRPr="008048DD" w:rsidRDefault="00C6007C" w:rsidP="00D74881">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En el caso de una P</w:t>
            </w:r>
            <w:r w:rsidR="00D74881" w:rsidRPr="008048DD">
              <w:rPr>
                <w:sz w:val="18"/>
                <w:szCs w:val="18"/>
                <w:lang w:val="es-ES_tradnl"/>
              </w:rPr>
              <w:t xml:space="preserve">arte que determine que la extracción de oro artesanal y en pequeña escala y lo procese en su territorio es más que insignificante, presentar un plan de acción nacional a la Secretaría a más tardar tres años después de la fecha de </w:t>
            </w:r>
            <w:r w:rsidR="00DA5402" w:rsidRPr="008048DD">
              <w:rPr>
                <w:sz w:val="18"/>
                <w:szCs w:val="18"/>
                <w:lang w:val="es-ES_tradnl"/>
              </w:rPr>
              <w:t>entrada en vigor para la Parte</w:t>
            </w:r>
            <w:r w:rsidR="00C05D45" w:rsidRPr="008048DD">
              <w:rPr>
                <w:sz w:val="18"/>
                <w:szCs w:val="18"/>
                <w:lang w:val="es-ES_tradnl"/>
              </w:rPr>
              <w:t xml:space="preserve"> o</w:t>
            </w:r>
            <w:r w:rsidR="00D74881" w:rsidRPr="008048DD">
              <w:rPr>
                <w:sz w:val="18"/>
                <w:szCs w:val="18"/>
                <w:lang w:val="es-ES_tradnl"/>
              </w:rPr>
              <w:t xml:space="preserve"> tres años después de que la Parte notifique a la Secretaría su determinación,</w:t>
            </w:r>
            <w:r w:rsidR="00C05D45" w:rsidRPr="008048DD">
              <w:rPr>
                <w:sz w:val="18"/>
                <w:szCs w:val="18"/>
                <w:lang w:val="es-ES_tradnl"/>
              </w:rPr>
              <w:t xml:space="preserve"> </w:t>
            </w:r>
            <w:r w:rsidR="00D74881" w:rsidRPr="008048DD">
              <w:rPr>
                <w:sz w:val="18"/>
                <w:szCs w:val="18"/>
                <w:lang w:val="es-ES_tradnl"/>
              </w:rPr>
              <w:t>la que sea más tarde</w:t>
            </w:r>
            <w:r w:rsidR="00E97922" w:rsidRPr="008048DD">
              <w:rPr>
                <w:sz w:val="18"/>
                <w:szCs w:val="18"/>
                <w:lang w:val="es-ES_tradnl"/>
              </w:rPr>
              <w:t>.</w:t>
            </w:r>
          </w:p>
        </w:tc>
      </w:tr>
      <w:tr w:rsidR="00B1107F" w:rsidRPr="008048DD" w14:paraId="1993BB35" w14:textId="77777777" w:rsidTr="003F33D5">
        <w:trPr>
          <w:trHeight w:val="57"/>
          <w:jc w:val="right"/>
        </w:trPr>
        <w:tc>
          <w:tcPr>
            <w:tcW w:w="750" w:type="dxa"/>
            <w:vMerge/>
          </w:tcPr>
          <w:p w14:paraId="51C3A71B"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p>
        </w:tc>
        <w:tc>
          <w:tcPr>
            <w:tcW w:w="1474" w:type="dxa"/>
          </w:tcPr>
          <w:p w14:paraId="59EE870E"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9</w:t>
            </w:r>
            <w:r w:rsidR="00C05ABA" w:rsidRPr="008048DD">
              <w:rPr>
                <w:sz w:val="18"/>
                <w:szCs w:val="18"/>
                <w:lang w:val="es-ES_tradnl"/>
              </w:rPr>
              <w:t xml:space="preserve">, </w:t>
            </w:r>
            <w:r w:rsidR="00DA5402" w:rsidRPr="008048DD">
              <w:rPr>
                <w:sz w:val="18"/>
                <w:szCs w:val="18"/>
                <w:lang w:val="es-ES_tradnl"/>
              </w:rPr>
              <w:t>párr.</w:t>
            </w:r>
            <w:r w:rsidR="00C05ABA" w:rsidRPr="008048DD">
              <w:rPr>
                <w:sz w:val="18"/>
                <w:szCs w:val="18"/>
                <w:lang w:val="es-ES_tradnl"/>
              </w:rPr>
              <w:t xml:space="preserve"> 3</w:t>
            </w:r>
          </w:p>
        </w:tc>
        <w:tc>
          <w:tcPr>
            <w:tcW w:w="6019" w:type="dxa"/>
          </w:tcPr>
          <w:p w14:paraId="2EC01288" w14:textId="77777777" w:rsidR="00B1107F" w:rsidRPr="008048DD" w:rsidRDefault="003F33D5"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Determinar las categorías de fuentes puntuales de importancia a más tardar tres años después de la fecha de entrada en vigor </w:t>
            </w:r>
            <w:r w:rsidR="00DA5402" w:rsidRPr="008048DD">
              <w:rPr>
                <w:sz w:val="18"/>
                <w:szCs w:val="18"/>
                <w:lang w:val="es-ES_tradnl"/>
              </w:rPr>
              <w:t>para la Parte</w:t>
            </w:r>
            <w:r w:rsidR="001730EF" w:rsidRPr="008048DD">
              <w:rPr>
                <w:sz w:val="18"/>
                <w:szCs w:val="18"/>
                <w:lang w:val="es-ES_tradnl"/>
              </w:rPr>
              <w:t>.</w:t>
            </w:r>
          </w:p>
        </w:tc>
      </w:tr>
      <w:tr w:rsidR="00B1107F" w:rsidRPr="008048DD" w14:paraId="2D83F4B0" w14:textId="77777777" w:rsidTr="003F33D5">
        <w:trPr>
          <w:trHeight w:val="57"/>
          <w:jc w:val="right"/>
        </w:trPr>
        <w:tc>
          <w:tcPr>
            <w:tcW w:w="750" w:type="dxa"/>
          </w:tcPr>
          <w:p w14:paraId="5381A4E3"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2021*</w:t>
            </w:r>
          </w:p>
        </w:tc>
        <w:tc>
          <w:tcPr>
            <w:tcW w:w="1474" w:type="dxa"/>
          </w:tcPr>
          <w:p w14:paraId="2F9F80FE"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5267C">
              <w:rPr>
                <w:sz w:val="18"/>
                <w:szCs w:val="18"/>
                <w:lang w:val="en-US"/>
              </w:rPr>
              <w:t>Art</w:t>
            </w:r>
            <w:r w:rsidR="00402697" w:rsidRPr="0085267C">
              <w:rPr>
                <w:sz w:val="18"/>
                <w:szCs w:val="18"/>
                <w:lang w:val="en-US"/>
              </w:rPr>
              <w:t>.</w:t>
            </w:r>
            <w:r w:rsidRPr="0085267C">
              <w:rPr>
                <w:sz w:val="18"/>
                <w:szCs w:val="18"/>
                <w:lang w:val="en-US"/>
              </w:rPr>
              <w:t xml:space="preserve"> 8</w:t>
            </w:r>
            <w:r w:rsidR="00A14C07" w:rsidRPr="0085267C">
              <w:rPr>
                <w:sz w:val="18"/>
                <w:szCs w:val="18"/>
                <w:lang w:val="en-US"/>
              </w:rPr>
              <w:t xml:space="preserve">, </w:t>
            </w:r>
            <w:r w:rsidR="00DA5402" w:rsidRPr="0085267C">
              <w:rPr>
                <w:sz w:val="18"/>
                <w:szCs w:val="18"/>
                <w:lang w:val="en-US"/>
              </w:rPr>
              <w:t>párr.</w:t>
            </w:r>
            <w:r w:rsidR="00A14C07" w:rsidRPr="0085267C">
              <w:rPr>
                <w:sz w:val="18"/>
                <w:szCs w:val="18"/>
                <w:lang w:val="en-US"/>
              </w:rPr>
              <w:t xml:space="preserve"> 3</w:t>
            </w:r>
            <w:r w:rsidR="007F29E3" w:rsidRPr="0085267C">
              <w:rPr>
                <w:sz w:val="18"/>
                <w:szCs w:val="18"/>
                <w:lang w:val="en-US"/>
              </w:rPr>
              <w:t>,</w:t>
            </w:r>
            <w:r w:rsidR="00A14C07" w:rsidRPr="0085267C">
              <w:rPr>
                <w:sz w:val="18"/>
                <w:szCs w:val="18"/>
                <w:lang w:val="en-US"/>
              </w:rPr>
              <w:t xml:space="preserve"> </w:t>
            </w:r>
            <w:r w:rsidR="003F33D5" w:rsidRPr="0085267C">
              <w:rPr>
                <w:sz w:val="18"/>
                <w:szCs w:val="18"/>
                <w:lang w:val="en-US"/>
              </w:rPr>
              <w:t>y</w:t>
            </w:r>
            <w:r w:rsidR="00A14C07" w:rsidRPr="0085267C">
              <w:rPr>
                <w:sz w:val="18"/>
                <w:szCs w:val="18"/>
                <w:lang w:val="en-US"/>
              </w:rPr>
              <w:t xml:space="preserve"> art.</w:t>
            </w:r>
            <w:r w:rsidRPr="0085267C">
              <w:rPr>
                <w:sz w:val="18"/>
                <w:szCs w:val="18"/>
                <w:lang w:val="en-US"/>
              </w:rPr>
              <w:t xml:space="preserve"> 9</w:t>
            </w:r>
            <w:r w:rsidR="00A14C07" w:rsidRPr="0085267C">
              <w:rPr>
                <w:sz w:val="18"/>
                <w:szCs w:val="18"/>
                <w:lang w:val="en-US"/>
              </w:rPr>
              <w:t xml:space="preserve">, </w:t>
            </w:r>
            <w:r w:rsidR="00DA5402" w:rsidRPr="0085267C">
              <w:rPr>
                <w:sz w:val="18"/>
                <w:szCs w:val="18"/>
                <w:lang w:val="en-US"/>
              </w:rPr>
              <w:t>párr.</w:t>
            </w:r>
            <w:r w:rsidR="00A14C07" w:rsidRPr="0085267C">
              <w:rPr>
                <w:sz w:val="18"/>
                <w:szCs w:val="18"/>
                <w:lang w:val="en-US"/>
              </w:rPr>
              <w:t xml:space="preserve"> </w:t>
            </w:r>
            <w:r w:rsidR="00A14C07" w:rsidRPr="008048DD">
              <w:rPr>
                <w:sz w:val="18"/>
                <w:szCs w:val="18"/>
                <w:lang w:val="es-ES_tradnl"/>
              </w:rPr>
              <w:t>4</w:t>
            </w:r>
          </w:p>
        </w:tc>
        <w:tc>
          <w:tcPr>
            <w:tcW w:w="6019" w:type="dxa"/>
          </w:tcPr>
          <w:p w14:paraId="152452AA" w14:textId="77777777" w:rsidR="00B1107F" w:rsidRPr="008048DD" w:rsidRDefault="002E4109"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xml:space="preserve">Presentar un plan de aplicación, en caso de haberse elaborado, en un plazo de cuatro años a contra de la fecha de </w:t>
            </w:r>
            <w:r w:rsidR="00DA5402" w:rsidRPr="008048DD">
              <w:rPr>
                <w:sz w:val="18"/>
                <w:szCs w:val="18"/>
                <w:lang w:val="es-ES_tradnl"/>
              </w:rPr>
              <w:t>entrada en vigor para la Parte</w:t>
            </w:r>
            <w:r w:rsidR="00A14C07" w:rsidRPr="008048DD">
              <w:rPr>
                <w:sz w:val="18"/>
                <w:szCs w:val="18"/>
                <w:lang w:val="es-ES_tradnl"/>
              </w:rPr>
              <w:t>.</w:t>
            </w:r>
          </w:p>
        </w:tc>
      </w:tr>
      <w:tr w:rsidR="00B1107F" w:rsidRPr="008048DD" w14:paraId="25ADB04A" w14:textId="77777777" w:rsidTr="003F33D5">
        <w:trPr>
          <w:trHeight w:val="57"/>
          <w:jc w:val="right"/>
        </w:trPr>
        <w:tc>
          <w:tcPr>
            <w:tcW w:w="750" w:type="dxa"/>
          </w:tcPr>
          <w:p w14:paraId="3A4ECEDE"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2022*</w:t>
            </w:r>
          </w:p>
        </w:tc>
        <w:tc>
          <w:tcPr>
            <w:tcW w:w="1474" w:type="dxa"/>
          </w:tcPr>
          <w:p w14:paraId="7C62E6B3"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8</w:t>
            </w:r>
            <w:r w:rsidR="00A14C07" w:rsidRPr="008048DD">
              <w:rPr>
                <w:sz w:val="18"/>
                <w:szCs w:val="18"/>
                <w:lang w:val="es-ES_tradnl"/>
              </w:rPr>
              <w:t xml:space="preserve">, </w:t>
            </w:r>
            <w:r w:rsidR="00DA5402" w:rsidRPr="008048DD">
              <w:rPr>
                <w:sz w:val="18"/>
                <w:szCs w:val="18"/>
                <w:lang w:val="es-ES_tradnl"/>
              </w:rPr>
              <w:t>párr.</w:t>
            </w:r>
            <w:r w:rsidR="00A14C07" w:rsidRPr="008048DD">
              <w:rPr>
                <w:sz w:val="18"/>
                <w:szCs w:val="18"/>
                <w:lang w:val="es-ES_tradnl"/>
              </w:rPr>
              <w:t xml:space="preserve"> 4</w:t>
            </w:r>
          </w:p>
        </w:tc>
        <w:tc>
          <w:tcPr>
            <w:tcW w:w="6019" w:type="dxa"/>
          </w:tcPr>
          <w:p w14:paraId="793948E0" w14:textId="77777777" w:rsidR="00B1107F" w:rsidRPr="008048DD" w:rsidRDefault="00D74881" w:rsidP="00D74881">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En el caso de nuevas fuentes</w:t>
            </w:r>
            <w:r w:rsidR="001777EB" w:rsidRPr="008048DD">
              <w:rPr>
                <w:sz w:val="18"/>
                <w:szCs w:val="18"/>
                <w:lang w:val="es-ES_tradnl"/>
              </w:rPr>
              <w:t xml:space="preserve">, </w:t>
            </w:r>
            <w:r w:rsidRPr="008048DD">
              <w:rPr>
                <w:sz w:val="18"/>
                <w:szCs w:val="18"/>
                <w:lang w:val="es-ES_tradnl"/>
              </w:rPr>
              <w:t xml:space="preserve">exigir el uso de las mejores técnicas disponibles y las mejores prácticas ambientales en un plazo de cinco años a partir de la fecha de </w:t>
            </w:r>
            <w:r w:rsidR="00DA5402" w:rsidRPr="008048DD">
              <w:rPr>
                <w:sz w:val="18"/>
                <w:szCs w:val="18"/>
                <w:lang w:val="es-ES_tradnl"/>
              </w:rPr>
              <w:t>entrada en vigor para la Parte</w:t>
            </w:r>
            <w:r w:rsidR="00A14C07" w:rsidRPr="008048DD">
              <w:rPr>
                <w:sz w:val="18"/>
                <w:szCs w:val="18"/>
                <w:lang w:val="es-ES_tradnl"/>
              </w:rPr>
              <w:t>.</w:t>
            </w:r>
          </w:p>
        </w:tc>
      </w:tr>
      <w:tr w:rsidR="00B1107F" w:rsidRPr="008048DD" w14:paraId="72B75AF8" w14:textId="77777777" w:rsidTr="003F33D5">
        <w:trPr>
          <w:trHeight w:val="57"/>
          <w:jc w:val="right"/>
        </w:trPr>
        <w:tc>
          <w:tcPr>
            <w:tcW w:w="750" w:type="dxa"/>
            <w:vMerge w:val="restart"/>
          </w:tcPr>
          <w:p w14:paraId="1350C48D"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2023*</w:t>
            </w:r>
          </w:p>
        </w:tc>
        <w:tc>
          <w:tcPr>
            <w:tcW w:w="1474" w:type="dxa"/>
          </w:tcPr>
          <w:p w14:paraId="1C911B82"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8</w:t>
            </w:r>
            <w:r w:rsidR="001777EB" w:rsidRPr="008048DD">
              <w:rPr>
                <w:sz w:val="18"/>
                <w:szCs w:val="18"/>
                <w:lang w:val="es-ES_tradnl"/>
              </w:rPr>
              <w:t xml:space="preserve">, </w:t>
            </w:r>
            <w:r w:rsidR="00DA5402" w:rsidRPr="008048DD">
              <w:rPr>
                <w:sz w:val="18"/>
                <w:szCs w:val="18"/>
                <w:lang w:val="es-ES_tradnl"/>
              </w:rPr>
              <w:t>párr.</w:t>
            </w:r>
            <w:r w:rsidR="001777EB" w:rsidRPr="008048DD">
              <w:rPr>
                <w:sz w:val="18"/>
                <w:szCs w:val="18"/>
                <w:lang w:val="es-ES_tradnl"/>
              </w:rPr>
              <w:t xml:space="preserve"> 7</w:t>
            </w:r>
          </w:p>
        </w:tc>
        <w:tc>
          <w:tcPr>
            <w:tcW w:w="6019" w:type="dxa"/>
          </w:tcPr>
          <w:p w14:paraId="05D90C3E" w14:textId="77777777" w:rsidR="00B1107F" w:rsidRPr="008048DD" w:rsidRDefault="001777EB"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Establ</w:t>
            </w:r>
            <w:r w:rsidR="00DA5402" w:rsidRPr="008048DD">
              <w:rPr>
                <w:sz w:val="18"/>
                <w:szCs w:val="18"/>
                <w:lang w:val="es-ES_tradnl"/>
              </w:rPr>
              <w:t>ecer y mantener un inventario de fuentes de emisiones a más tardar cinco años después de la fecha de entrada en vigor para la Parte</w:t>
            </w:r>
            <w:r w:rsidRPr="008048DD">
              <w:rPr>
                <w:sz w:val="18"/>
                <w:szCs w:val="18"/>
                <w:lang w:val="es-ES_tradnl"/>
              </w:rPr>
              <w:t>.</w:t>
            </w:r>
          </w:p>
        </w:tc>
      </w:tr>
      <w:tr w:rsidR="00B1107F" w:rsidRPr="008048DD" w14:paraId="11AF0242" w14:textId="77777777" w:rsidTr="003F33D5">
        <w:trPr>
          <w:trHeight w:val="57"/>
          <w:jc w:val="right"/>
        </w:trPr>
        <w:tc>
          <w:tcPr>
            <w:tcW w:w="750" w:type="dxa"/>
            <w:vMerge/>
          </w:tcPr>
          <w:p w14:paraId="7F29E1FD"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p>
        </w:tc>
        <w:tc>
          <w:tcPr>
            <w:tcW w:w="1474" w:type="dxa"/>
          </w:tcPr>
          <w:p w14:paraId="04CF9788"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9</w:t>
            </w:r>
            <w:r w:rsidR="001777EB" w:rsidRPr="008048DD">
              <w:rPr>
                <w:sz w:val="18"/>
                <w:szCs w:val="18"/>
                <w:lang w:val="es-ES_tradnl"/>
              </w:rPr>
              <w:t xml:space="preserve">, </w:t>
            </w:r>
            <w:r w:rsidR="00DA5402" w:rsidRPr="008048DD">
              <w:rPr>
                <w:sz w:val="18"/>
                <w:szCs w:val="18"/>
                <w:lang w:val="es-ES_tradnl"/>
              </w:rPr>
              <w:t>párr.</w:t>
            </w:r>
            <w:r w:rsidR="001777EB" w:rsidRPr="008048DD">
              <w:rPr>
                <w:sz w:val="18"/>
                <w:szCs w:val="18"/>
                <w:lang w:val="es-ES_tradnl"/>
              </w:rPr>
              <w:t xml:space="preserve"> 6</w:t>
            </w:r>
          </w:p>
        </w:tc>
        <w:tc>
          <w:tcPr>
            <w:tcW w:w="6019" w:type="dxa"/>
          </w:tcPr>
          <w:p w14:paraId="2AF4F02F" w14:textId="77777777" w:rsidR="00B1107F" w:rsidRPr="008048DD" w:rsidRDefault="00DA5402"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Establecer y mantener un inventario de fuentes de liberaciones a más tardar cinco años después de la fecha de entrada en vigor para la Parte</w:t>
            </w:r>
            <w:r w:rsidR="001777EB" w:rsidRPr="008048DD">
              <w:rPr>
                <w:sz w:val="18"/>
                <w:szCs w:val="18"/>
                <w:lang w:val="es-ES_tradnl"/>
              </w:rPr>
              <w:t>.</w:t>
            </w:r>
          </w:p>
        </w:tc>
      </w:tr>
      <w:tr w:rsidR="00B1107F" w:rsidRPr="008048DD" w14:paraId="117D23DD" w14:textId="77777777" w:rsidTr="003F33D5">
        <w:trPr>
          <w:trHeight w:val="57"/>
          <w:jc w:val="right"/>
        </w:trPr>
        <w:tc>
          <w:tcPr>
            <w:tcW w:w="750" w:type="dxa"/>
          </w:tcPr>
          <w:p w14:paraId="01F666E3"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2027*</w:t>
            </w:r>
          </w:p>
        </w:tc>
        <w:tc>
          <w:tcPr>
            <w:tcW w:w="1474" w:type="dxa"/>
          </w:tcPr>
          <w:p w14:paraId="64D5BBD3"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after="20"/>
              <w:ind w:right="-11"/>
              <w:rPr>
                <w:sz w:val="18"/>
                <w:szCs w:val="18"/>
                <w:lang w:val="es-ES_tradnl"/>
              </w:rPr>
            </w:pPr>
            <w:r w:rsidRPr="008048DD">
              <w:rPr>
                <w:sz w:val="18"/>
                <w:szCs w:val="18"/>
                <w:lang w:val="es-ES_tradnl"/>
              </w:rPr>
              <w:t>Art</w:t>
            </w:r>
            <w:r w:rsidR="00402697" w:rsidRPr="008048DD">
              <w:rPr>
                <w:sz w:val="18"/>
                <w:szCs w:val="18"/>
                <w:lang w:val="es-ES_tradnl"/>
              </w:rPr>
              <w:t>.</w:t>
            </w:r>
            <w:r w:rsidRPr="008048DD">
              <w:rPr>
                <w:sz w:val="18"/>
                <w:szCs w:val="18"/>
                <w:lang w:val="es-ES_tradnl"/>
              </w:rPr>
              <w:t xml:space="preserve"> 8</w:t>
            </w:r>
            <w:r w:rsidR="001777EB" w:rsidRPr="008048DD">
              <w:rPr>
                <w:sz w:val="18"/>
                <w:szCs w:val="18"/>
                <w:lang w:val="es-ES_tradnl"/>
              </w:rPr>
              <w:t xml:space="preserve">, </w:t>
            </w:r>
            <w:r w:rsidR="00DA5402" w:rsidRPr="008048DD">
              <w:rPr>
                <w:sz w:val="18"/>
                <w:szCs w:val="18"/>
                <w:lang w:val="es-ES_tradnl"/>
              </w:rPr>
              <w:t>párr.</w:t>
            </w:r>
            <w:r w:rsidR="001777EB" w:rsidRPr="008048DD">
              <w:rPr>
                <w:sz w:val="18"/>
                <w:szCs w:val="18"/>
                <w:lang w:val="es-ES_tradnl"/>
              </w:rPr>
              <w:t xml:space="preserve"> 5</w:t>
            </w:r>
          </w:p>
        </w:tc>
        <w:tc>
          <w:tcPr>
            <w:tcW w:w="6019" w:type="dxa"/>
          </w:tcPr>
          <w:p w14:paraId="769371AE" w14:textId="024DB392" w:rsidR="00B1107F" w:rsidRPr="008048DD" w:rsidRDefault="002E4109"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Aplicar medidas de control para las instalaciones existentes como máximo en</w:t>
            </w:r>
            <w:r w:rsidR="00C6007C" w:rsidRPr="008048DD">
              <w:rPr>
                <w:sz w:val="18"/>
                <w:szCs w:val="18"/>
                <w:lang w:val="es-ES_tradnl"/>
              </w:rPr>
              <w:t> </w:t>
            </w:r>
            <w:r w:rsidR="00B1107F" w:rsidRPr="008048DD">
              <w:rPr>
                <w:sz w:val="18"/>
                <w:szCs w:val="18"/>
                <w:lang w:val="es-ES_tradnl"/>
              </w:rPr>
              <w:t xml:space="preserve">10 </w:t>
            </w:r>
            <w:r w:rsidRPr="008048DD">
              <w:rPr>
                <w:sz w:val="18"/>
                <w:szCs w:val="18"/>
                <w:lang w:val="es-ES_tradnl"/>
              </w:rPr>
              <w:t xml:space="preserve">años a partir de la fecha de </w:t>
            </w:r>
            <w:r w:rsidR="00DA5402" w:rsidRPr="008048DD">
              <w:rPr>
                <w:sz w:val="18"/>
                <w:szCs w:val="18"/>
                <w:lang w:val="es-ES_tradnl"/>
              </w:rPr>
              <w:t>entrada en vigor para la Parte</w:t>
            </w:r>
            <w:r w:rsidR="001777EB" w:rsidRPr="008048DD">
              <w:rPr>
                <w:sz w:val="18"/>
                <w:szCs w:val="18"/>
                <w:lang w:val="es-ES_tradnl"/>
              </w:rPr>
              <w:t>.</w:t>
            </w:r>
          </w:p>
        </w:tc>
      </w:tr>
      <w:tr w:rsidR="00B1107F" w:rsidRPr="008048DD" w14:paraId="03C128F2" w14:textId="77777777" w:rsidTr="003F33D5">
        <w:trPr>
          <w:trHeight w:val="57"/>
          <w:jc w:val="right"/>
        </w:trPr>
        <w:tc>
          <w:tcPr>
            <w:tcW w:w="8243" w:type="dxa"/>
            <w:gridSpan w:val="3"/>
            <w:vAlign w:val="center"/>
          </w:tcPr>
          <w:p w14:paraId="08D58E4F" w14:textId="77777777" w:rsidR="00B1107F" w:rsidRPr="008048DD" w:rsidRDefault="00B1107F" w:rsidP="003F33D5">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20"/>
              <w:rPr>
                <w:sz w:val="18"/>
                <w:szCs w:val="18"/>
                <w:lang w:val="es-ES_tradnl"/>
              </w:rPr>
            </w:pPr>
            <w:r w:rsidRPr="008048DD">
              <w:rPr>
                <w:sz w:val="18"/>
                <w:szCs w:val="18"/>
                <w:lang w:val="es-ES_tradnl"/>
              </w:rPr>
              <w:t>* Denot</w:t>
            </w:r>
            <w:r w:rsidR="00DA5402" w:rsidRPr="008048DD">
              <w:rPr>
                <w:sz w:val="18"/>
                <w:szCs w:val="18"/>
                <w:lang w:val="es-ES_tradnl"/>
              </w:rPr>
              <w:t>a la primera fecha posible</w:t>
            </w:r>
            <w:r w:rsidRPr="008048DD">
              <w:rPr>
                <w:sz w:val="18"/>
                <w:szCs w:val="18"/>
                <w:lang w:val="es-ES_tradnl"/>
              </w:rPr>
              <w:t xml:space="preserve">, </w:t>
            </w:r>
            <w:r w:rsidR="00DA5402" w:rsidRPr="008048DD">
              <w:rPr>
                <w:sz w:val="18"/>
                <w:szCs w:val="18"/>
                <w:lang w:val="es-ES_tradnl"/>
              </w:rPr>
              <w:t>que depende de la fecha en que el Convenio entró en vigor para esa Parte</w:t>
            </w:r>
            <w:r w:rsidRPr="008048DD">
              <w:rPr>
                <w:sz w:val="18"/>
                <w:szCs w:val="18"/>
                <w:lang w:val="es-ES_tradnl"/>
              </w:rPr>
              <w:t>.</w:t>
            </w:r>
          </w:p>
        </w:tc>
      </w:tr>
    </w:tbl>
    <w:p w14:paraId="244C80E4" w14:textId="77777777" w:rsidR="00B1107F" w:rsidRPr="008048DD" w:rsidRDefault="003F33D5" w:rsidP="00362646">
      <w:pPr>
        <w:pStyle w:val="Normalnumber"/>
        <w:keepNext/>
        <w:keepLines/>
        <w:numPr>
          <w:ilvl w:val="0"/>
          <w:numId w:val="40"/>
        </w:numPr>
        <w:tabs>
          <w:tab w:val="clear" w:pos="1057"/>
        </w:tabs>
        <w:ind w:left="1247"/>
        <w:rPr>
          <w:lang w:val="es-ES_tradnl"/>
        </w:rPr>
      </w:pPr>
      <w:r w:rsidRPr="008048DD">
        <w:rPr>
          <w:lang w:val="es-ES_tradnl"/>
        </w:rPr>
        <w:t>En segundo lugar</w:t>
      </w:r>
      <w:r w:rsidR="00B1107F" w:rsidRPr="008048DD">
        <w:rPr>
          <w:lang w:val="es-ES_tradnl"/>
        </w:rPr>
        <w:t xml:space="preserve">, </w:t>
      </w:r>
      <w:r w:rsidR="004247BF" w:rsidRPr="008048DD">
        <w:rPr>
          <w:lang w:val="es-ES_tradnl"/>
        </w:rPr>
        <w:t>de conformidad con el Convenio no hacen falta diversos conjuntos de datos y fuentes de datos importantes y específicos que se ha</w:t>
      </w:r>
      <w:r w:rsidR="00362859" w:rsidRPr="008048DD">
        <w:rPr>
          <w:lang w:val="es-ES_tradnl"/>
        </w:rPr>
        <w:t>ya</w:t>
      </w:r>
      <w:r w:rsidR="004247BF" w:rsidRPr="008048DD">
        <w:rPr>
          <w:lang w:val="es-ES_tradnl"/>
        </w:rPr>
        <w:t>n producido en el pasado</w:t>
      </w:r>
      <w:r w:rsidR="00B1107F" w:rsidRPr="008048DD">
        <w:rPr>
          <w:lang w:val="es-ES_tradnl"/>
        </w:rPr>
        <w:t xml:space="preserve"> </w:t>
      </w:r>
      <w:r w:rsidR="004247BF" w:rsidRPr="008048DD">
        <w:rPr>
          <w:lang w:val="es-ES_tradnl"/>
        </w:rPr>
        <w:t>y</w:t>
      </w:r>
      <w:r w:rsidR="00362859" w:rsidRPr="008048DD">
        <w:rPr>
          <w:lang w:val="es-ES_tradnl"/>
        </w:rPr>
        <w:t>,</w:t>
      </w:r>
      <w:r w:rsidR="004247BF" w:rsidRPr="008048DD">
        <w:rPr>
          <w:lang w:val="es-ES_tradnl"/>
        </w:rPr>
        <w:t xml:space="preserve"> por esa razón, la preparación de informes análogos en el futuro no se garantiza ni se rige por los requisitos del Convenio. Se trata de las evaluaciones iniciales del Convenio de </w:t>
      </w:r>
      <w:r w:rsidR="00B1107F" w:rsidRPr="008048DD">
        <w:rPr>
          <w:lang w:val="es-ES_tradnl"/>
        </w:rPr>
        <w:t>Minamata, as</w:t>
      </w:r>
      <w:r w:rsidR="004247BF" w:rsidRPr="008048DD">
        <w:rPr>
          <w:lang w:val="es-ES_tradnl"/>
        </w:rPr>
        <w:t>í como del informe sobre la evaluación mundial del mercurio, preparado por el PNUMA</w:t>
      </w:r>
      <w:r w:rsidR="00B1107F" w:rsidRPr="008048DD">
        <w:rPr>
          <w:lang w:val="es-ES_tradnl"/>
        </w:rPr>
        <w:t xml:space="preserve"> (</w:t>
      </w:r>
      <w:r w:rsidR="007F29E3" w:rsidRPr="008048DD">
        <w:rPr>
          <w:lang w:val="es-ES_tradnl"/>
        </w:rPr>
        <w:t>publi</w:t>
      </w:r>
      <w:r w:rsidR="004247BF" w:rsidRPr="008048DD">
        <w:rPr>
          <w:lang w:val="es-ES_tradnl"/>
        </w:rPr>
        <w:t>cado en</w:t>
      </w:r>
      <w:r w:rsidR="009C10DF" w:rsidRPr="008048DD">
        <w:rPr>
          <w:lang w:val="es-ES_tradnl"/>
        </w:rPr>
        <w:t xml:space="preserve"> </w:t>
      </w:r>
      <w:r w:rsidR="00B1107F" w:rsidRPr="008048DD">
        <w:rPr>
          <w:lang w:val="es-ES_tradnl"/>
        </w:rPr>
        <w:t xml:space="preserve">2002, 2008, 2013 </w:t>
      </w:r>
      <w:r w:rsidR="004247BF" w:rsidRPr="008048DD">
        <w:rPr>
          <w:lang w:val="es-ES_tradnl"/>
        </w:rPr>
        <w:t>y</w:t>
      </w:r>
      <w:r w:rsidR="009A759A" w:rsidRPr="008048DD">
        <w:rPr>
          <w:lang w:val="es-ES_tradnl"/>
        </w:rPr>
        <w:t> </w:t>
      </w:r>
      <w:r w:rsidR="00B1107F" w:rsidRPr="008048DD">
        <w:rPr>
          <w:lang w:val="es-ES_tradnl"/>
        </w:rPr>
        <w:t>2018</w:t>
      </w:r>
      <w:r w:rsidR="006F66A2" w:rsidRPr="008048DD">
        <w:rPr>
          <w:rStyle w:val="FootnoteReference"/>
          <w:lang w:val="es-ES_tradnl"/>
        </w:rPr>
        <w:t>6</w:t>
      </w:r>
      <w:r w:rsidR="00B1107F" w:rsidRPr="008048DD">
        <w:rPr>
          <w:lang w:val="es-ES_tradnl"/>
        </w:rPr>
        <w:t xml:space="preserve">) </w:t>
      </w:r>
      <w:r w:rsidR="004247BF" w:rsidRPr="008048DD">
        <w:rPr>
          <w:lang w:val="es-ES_tradnl"/>
        </w:rPr>
        <w:t xml:space="preserve">y del informe del PNUMA sobre </w:t>
      </w:r>
      <w:r w:rsidR="00E0374C" w:rsidRPr="008048DD">
        <w:rPr>
          <w:lang w:val="es-ES_tradnl"/>
        </w:rPr>
        <w:t>el suministro</w:t>
      </w:r>
      <w:r w:rsidR="004247BF" w:rsidRPr="008048DD">
        <w:rPr>
          <w:lang w:val="es-ES_tradnl"/>
        </w:rPr>
        <w:t>, el comercio y la demanda de mercurio a nivel mundial</w:t>
      </w:r>
      <w:r w:rsidR="00B1107F" w:rsidRPr="008048DD">
        <w:rPr>
          <w:lang w:val="es-ES_tradnl"/>
        </w:rPr>
        <w:t xml:space="preserve"> (</w:t>
      </w:r>
      <w:r w:rsidR="007F29E3" w:rsidRPr="008048DD">
        <w:rPr>
          <w:lang w:val="es-ES_tradnl"/>
        </w:rPr>
        <w:t>publi</w:t>
      </w:r>
      <w:r w:rsidR="004247BF" w:rsidRPr="008048DD">
        <w:rPr>
          <w:lang w:val="es-ES_tradnl"/>
        </w:rPr>
        <w:t xml:space="preserve">cado en </w:t>
      </w:r>
      <w:r w:rsidR="00B1107F" w:rsidRPr="008048DD">
        <w:rPr>
          <w:lang w:val="es-ES_tradnl"/>
        </w:rPr>
        <w:t xml:space="preserve">2006 </w:t>
      </w:r>
      <w:r w:rsidR="004247BF" w:rsidRPr="008048DD">
        <w:rPr>
          <w:lang w:val="es-ES_tradnl"/>
        </w:rPr>
        <w:t>y</w:t>
      </w:r>
      <w:r w:rsidR="00B1107F" w:rsidRPr="008048DD">
        <w:rPr>
          <w:lang w:val="es-ES_tradnl"/>
        </w:rPr>
        <w:t xml:space="preserve"> 2017</w:t>
      </w:r>
      <w:r w:rsidR="006F66A2" w:rsidRPr="008048DD">
        <w:rPr>
          <w:rStyle w:val="FootnoteReference"/>
          <w:lang w:val="es-ES_tradnl"/>
        </w:rPr>
        <w:t>7</w:t>
      </w:r>
      <w:r w:rsidR="00B1107F" w:rsidRPr="008048DD">
        <w:rPr>
          <w:lang w:val="es-ES_tradnl"/>
        </w:rPr>
        <w:t>).</w:t>
      </w:r>
    </w:p>
    <w:p w14:paraId="25F96E6A" w14:textId="0F74C0B2" w:rsidR="00B1107F" w:rsidRPr="008048DD" w:rsidRDefault="004247BF" w:rsidP="00362646">
      <w:pPr>
        <w:pStyle w:val="Normalnumber"/>
        <w:keepNext/>
        <w:keepLines/>
        <w:numPr>
          <w:ilvl w:val="0"/>
          <w:numId w:val="40"/>
        </w:numPr>
        <w:tabs>
          <w:tab w:val="clear" w:pos="1057"/>
        </w:tabs>
        <w:ind w:left="1247"/>
        <w:rPr>
          <w:lang w:val="es-ES_tradnl"/>
        </w:rPr>
      </w:pPr>
      <w:r w:rsidRPr="008048DD">
        <w:rPr>
          <w:lang w:val="es-ES_tradnl"/>
        </w:rPr>
        <w:t>En tercer lugar,</w:t>
      </w:r>
      <w:r w:rsidR="00B1107F" w:rsidRPr="008048DD">
        <w:rPr>
          <w:lang w:val="es-ES_tradnl"/>
        </w:rPr>
        <w:t xml:space="preserve"> </w:t>
      </w:r>
      <w:r w:rsidR="008C70E5" w:rsidRPr="008048DD">
        <w:rPr>
          <w:lang w:val="es-ES_tradnl"/>
        </w:rPr>
        <w:t xml:space="preserve">hay diferencias en la frecuencia de producción de </w:t>
      </w:r>
      <w:r w:rsidRPr="008048DD">
        <w:rPr>
          <w:lang w:val="es-ES_tradnl"/>
        </w:rPr>
        <w:t>algunas fuentes de información</w:t>
      </w:r>
      <w:r w:rsidR="00B1107F" w:rsidRPr="008048DD">
        <w:rPr>
          <w:lang w:val="es-ES_tradnl"/>
        </w:rPr>
        <w:t xml:space="preserve">. </w:t>
      </w:r>
      <w:r w:rsidR="008C70E5" w:rsidRPr="008048DD">
        <w:rPr>
          <w:lang w:val="es-ES_tradnl"/>
        </w:rPr>
        <w:t xml:space="preserve">Los planes de acción nacionales de extracción de oro artesanal y en pequeña escala se </w:t>
      </w:r>
      <w:r w:rsidR="00362859" w:rsidRPr="008048DD">
        <w:rPr>
          <w:lang w:val="es-ES_tradnl"/>
        </w:rPr>
        <w:t xml:space="preserve">han de </w:t>
      </w:r>
      <w:r w:rsidR="008C70E5" w:rsidRPr="008048DD">
        <w:rPr>
          <w:lang w:val="es-ES_tradnl"/>
        </w:rPr>
        <w:t>publica</w:t>
      </w:r>
      <w:r w:rsidR="00362859" w:rsidRPr="008048DD">
        <w:rPr>
          <w:lang w:val="es-ES_tradnl"/>
        </w:rPr>
        <w:t>r</w:t>
      </w:r>
      <w:r w:rsidR="008C70E5" w:rsidRPr="008048DD">
        <w:rPr>
          <w:lang w:val="es-ES_tradnl"/>
        </w:rPr>
        <w:t xml:space="preserve"> tres años después de la entrada en vigor del Convenio para la Parte</w:t>
      </w:r>
      <w:r w:rsidR="00B1107F" w:rsidRPr="008048DD">
        <w:rPr>
          <w:lang w:val="es-ES_tradnl"/>
        </w:rPr>
        <w:t xml:space="preserve"> (o</w:t>
      </w:r>
      <w:r w:rsidR="008C70E5" w:rsidRPr="008048DD">
        <w:rPr>
          <w:lang w:val="es-ES_tradnl"/>
        </w:rPr>
        <w:t xml:space="preserve"> tres años después de que la Parte notifi</w:t>
      </w:r>
      <w:r w:rsidR="00362859" w:rsidRPr="008048DD">
        <w:rPr>
          <w:lang w:val="es-ES_tradnl"/>
        </w:rPr>
        <w:t>que</w:t>
      </w:r>
      <w:r w:rsidR="008C70E5" w:rsidRPr="008048DD">
        <w:rPr>
          <w:lang w:val="es-ES_tradnl"/>
        </w:rPr>
        <w:t xml:space="preserve"> a la Secretaría que su extracción de oro artesanal y en pequeña escala es más que insignificante</w:t>
      </w:r>
      <w:r w:rsidR="00B1107F" w:rsidRPr="008048DD">
        <w:rPr>
          <w:lang w:val="es-ES_tradnl"/>
        </w:rPr>
        <w:t xml:space="preserve">) </w:t>
      </w:r>
      <w:r w:rsidR="008C70E5" w:rsidRPr="008048DD">
        <w:rPr>
          <w:lang w:val="es-ES_tradnl"/>
        </w:rPr>
        <w:t>y, en adelante, el progreso se debe examinar cada tres años</w:t>
      </w:r>
      <w:r w:rsidR="00B1107F" w:rsidRPr="008048DD">
        <w:rPr>
          <w:lang w:val="es-ES_tradnl"/>
        </w:rPr>
        <w:t xml:space="preserve">. </w:t>
      </w:r>
      <w:r w:rsidR="008C70E5" w:rsidRPr="008048DD">
        <w:rPr>
          <w:lang w:val="es-ES_tradnl"/>
        </w:rPr>
        <w:t xml:space="preserve">Los informes periódicos previstos en el </w:t>
      </w:r>
      <w:r w:rsidR="00467D4C" w:rsidRPr="008048DD">
        <w:rPr>
          <w:lang w:val="es-ES_tradnl"/>
        </w:rPr>
        <w:t>artículo</w:t>
      </w:r>
      <w:r w:rsidR="00B1107F" w:rsidRPr="008048DD">
        <w:rPr>
          <w:lang w:val="es-ES_tradnl"/>
        </w:rPr>
        <w:t xml:space="preserve"> 21 </w:t>
      </w:r>
      <w:r w:rsidR="008C70E5" w:rsidRPr="008048DD">
        <w:rPr>
          <w:lang w:val="es-ES_tradnl"/>
        </w:rPr>
        <w:t xml:space="preserve">en relación con cuestiones especificadas deberán </w:t>
      </w:r>
      <w:r w:rsidR="00362859" w:rsidRPr="008048DD">
        <w:rPr>
          <w:lang w:val="es-ES_tradnl"/>
        </w:rPr>
        <w:t xml:space="preserve">prepararse </w:t>
      </w:r>
      <w:r w:rsidR="008C70E5" w:rsidRPr="008048DD">
        <w:rPr>
          <w:lang w:val="es-ES_tradnl"/>
        </w:rPr>
        <w:t>cada dos años</w:t>
      </w:r>
      <w:r w:rsidR="00B1107F" w:rsidRPr="008048DD">
        <w:rPr>
          <w:lang w:val="es-ES_tradnl"/>
        </w:rPr>
        <w:t>,</w:t>
      </w:r>
      <w:r w:rsidR="008C70E5" w:rsidRPr="008048DD">
        <w:rPr>
          <w:lang w:val="es-ES_tradnl"/>
        </w:rPr>
        <w:t xml:space="preserve"> ya que los primeros informes </w:t>
      </w:r>
      <w:r w:rsidR="00362859" w:rsidRPr="008048DD">
        <w:rPr>
          <w:lang w:val="es-ES_tradnl"/>
        </w:rPr>
        <w:t>cortos</w:t>
      </w:r>
      <w:r w:rsidR="008C70E5" w:rsidRPr="008048DD">
        <w:rPr>
          <w:lang w:val="es-ES_tradnl"/>
        </w:rPr>
        <w:t xml:space="preserve"> </w:t>
      </w:r>
      <w:r w:rsidR="004C2AE3" w:rsidRPr="008048DD">
        <w:rPr>
          <w:lang w:val="es-ES_tradnl"/>
        </w:rPr>
        <w:t>se han de publicar a fin</w:t>
      </w:r>
      <w:r w:rsidR="00362859" w:rsidRPr="008048DD">
        <w:rPr>
          <w:lang w:val="es-ES_tradnl"/>
        </w:rPr>
        <w:t>al</w:t>
      </w:r>
      <w:r w:rsidR="004C2AE3" w:rsidRPr="008048DD">
        <w:rPr>
          <w:lang w:val="es-ES_tradnl"/>
        </w:rPr>
        <w:t xml:space="preserve">es de </w:t>
      </w:r>
      <w:r w:rsidR="00B1107F" w:rsidRPr="008048DD">
        <w:rPr>
          <w:lang w:val="es-ES_tradnl"/>
        </w:rPr>
        <w:t xml:space="preserve">2019 </w:t>
      </w:r>
      <w:r w:rsidR="004C2AE3" w:rsidRPr="008048DD">
        <w:rPr>
          <w:lang w:val="es-ES_tradnl"/>
        </w:rPr>
        <w:t>y los primeros informes completos que cumplirán todos los requisitos de presentación de informes verán la luz a fines</w:t>
      </w:r>
      <w:r w:rsidR="00454F1C">
        <w:rPr>
          <w:lang w:val="es-ES_tradnl"/>
        </w:rPr>
        <w:t> </w:t>
      </w:r>
      <w:r w:rsidR="004C2AE3" w:rsidRPr="008048DD">
        <w:rPr>
          <w:lang w:val="es-ES_tradnl"/>
        </w:rPr>
        <w:t xml:space="preserve">de </w:t>
      </w:r>
      <w:r w:rsidR="00B1107F" w:rsidRPr="008048DD">
        <w:rPr>
          <w:lang w:val="es-ES_tradnl"/>
        </w:rPr>
        <w:t xml:space="preserve">2021. </w:t>
      </w:r>
    </w:p>
    <w:p w14:paraId="6D0DAC33" w14:textId="2FB57D88" w:rsidR="00B1107F" w:rsidRPr="008048DD" w:rsidRDefault="004C2AE3" w:rsidP="00362646">
      <w:pPr>
        <w:pStyle w:val="Normalnumber"/>
        <w:numPr>
          <w:ilvl w:val="0"/>
          <w:numId w:val="40"/>
        </w:numPr>
        <w:tabs>
          <w:tab w:val="clear" w:pos="1057"/>
        </w:tabs>
        <w:ind w:left="1247"/>
        <w:rPr>
          <w:lang w:val="es-ES_tradnl"/>
        </w:rPr>
      </w:pPr>
      <w:r w:rsidRPr="008048DD">
        <w:rPr>
          <w:lang w:val="es-ES_tradnl"/>
        </w:rPr>
        <w:t>Por último, está la consideración de la disponibilidad de datos de vigilancia científicos y ambientales</w:t>
      </w:r>
      <w:r w:rsidR="004C2444" w:rsidRPr="008048DD">
        <w:rPr>
          <w:lang w:val="es-ES_tradnl"/>
        </w:rPr>
        <w:t>,</w:t>
      </w:r>
      <w:r w:rsidRPr="008048DD">
        <w:rPr>
          <w:lang w:val="es-ES_tradnl"/>
        </w:rPr>
        <w:t xml:space="preserve"> pertinentes y comparables</w:t>
      </w:r>
      <w:r w:rsidR="00B1107F" w:rsidRPr="008048DD">
        <w:rPr>
          <w:lang w:val="es-ES_tradnl"/>
        </w:rPr>
        <w:t xml:space="preserve">. </w:t>
      </w:r>
      <w:r w:rsidRPr="008048DD">
        <w:rPr>
          <w:lang w:val="es-ES_tradnl"/>
        </w:rPr>
        <w:t>Si bien el mercurio es uno de los productos químicos que se ha estado estudiando por más tiempo, al examinar la información de vigilancia disponible y los datos de que se dispone sobre el mercurio y los compuestos de mercurio</w:t>
      </w:r>
      <w:r w:rsidR="007F29E3" w:rsidRPr="008048DD">
        <w:rPr>
          <w:lang w:val="es-ES_tradnl"/>
        </w:rPr>
        <w:t>,</w:t>
      </w:r>
      <w:r w:rsidR="00B1107F" w:rsidRPr="008048DD">
        <w:rPr>
          <w:lang w:val="es-ES_tradnl"/>
        </w:rPr>
        <w:t xml:space="preserve"> </w:t>
      </w:r>
      <w:r w:rsidR="008B7397" w:rsidRPr="008048DD">
        <w:rPr>
          <w:lang w:val="es-ES_tradnl"/>
        </w:rPr>
        <w:t>el G</w:t>
      </w:r>
      <w:r w:rsidRPr="008048DD">
        <w:rPr>
          <w:lang w:val="es-ES_tradnl"/>
        </w:rPr>
        <w:t>rupo especial de expertos técnicos observó que no todos los datos y matrices se presta</w:t>
      </w:r>
      <w:r w:rsidR="0005484A" w:rsidRPr="008048DD">
        <w:rPr>
          <w:lang w:val="es-ES_tradnl"/>
        </w:rPr>
        <w:t>ban</w:t>
      </w:r>
      <w:r w:rsidRPr="008048DD">
        <w:rPr>
          <w:lang w:val="es-ES_tradnl"/>
        </w:rPr>
        <w:t xml:space="preserve"> para hacer una comparación directa </w:t>
      </w:r>
      <w:r w:rsidR="00B1107F" w:rsidRPr="008048DD">
        <w:rPr>
          <w:lang w:val="es-ES_tradnl"/>
        </w:rPr>
        <w:t>o</w:t>
      </w:r>
      <w:r w:rsidRPr="008048DD">
        <w:rPr>
          <w:lang w:val="es-ES_tradnl"/>
        </w:rPr>
        <w:t xml:space="preserve"> un análisis a nivel mundial</w:t>
      </w:r>
      <w:r w:rsidR="00CB77B0" w:rsidRPr="008048DD">
        <w:rPr>
          <w:lang w:val="es-ES_tradnl"/>
        </w:rPr>
        <w:t xml:space="preserve">. </w:t>
      </w:r>
      <w:r w:rsidRPr="008048DD">
        <w:rPr>
          <w:lang w:val="es-ES_tradnl"/>
        </w:rPr>
        <w:t>De ahí que la modelización sea decisiva para dar forma a un conocimiento más complet</w:t>
      </w:r>
      <w:r w:rsidR="00531450" w:rsidRPr="008048DD">
        <w:rPr>
          <w:lang w:val="es-ES_tradnl"/>
        </w:rPr>
        <w:t>o</w:t>
      </w:r>
      <w:r w:rsidRPr="008048DD">
        <w:rPr>
          <w:lang w:val="es-ES_tradnl"/>
        </w:rPr>
        <w:t xml:space="preserve"> de la presencia de mercurio y s</w:t>
      </w:r>
      <w:r w:rsidR="00531450" w:rsidRPr="008048DD">
        <w:rPr>
          <w:lang w:val="es-ES_tradnl"/>
        </w:rPr>
        <w:t>u</w:t>
      </w:r>
      <w:r w:rsidRPr="008048DD">
        <w:rPr>
          <w:lang w:val="es-ES_tradnl"/>
        </w:rPr>
        <w:t>s tendencias en el medio ambiente</w:t>
      </w:r>
      <w:r w:rsidR="00B1107F" w:rsidRPr="008048DD">
        <w:rPr>
          <w:lang w:val="es-ES_tradnl"/>
        </w:rPr>
        <w:t>, as</w:t>
      </w:r>
      <w:r w:rsidR="00531450" w:rsidRPr="008048DD">
        <w:rPr>
          <w:lang w:val="es-ES_tradnl"/>
        </w:rPr>
        <w:t xml:space="preserve">í como </w:t>
      </w:r>
      <w:r w:rsidR="0005484A" w:rsidRPr="008048DD">
        <w:rPr>
          <w:lang w:val="es-ES_tradnl"/>
        </w:rPr>
        <w:t xml:space="preserve">para </w:t>
      </w:r>
      <w:r w:rsidR="00531450" w:rsidRPr="008048DD">
        <w:rPr>
          <w:lang w:val="es-ES_tradnl"/>
        </w:rPr>
        <w:t>atribuir los cambios en los niveles de mercurio a las medidas previstas en el Convenio</w:t>
      </w:r>
      <w:r w:rsidR="00B1107F" w:rsidRPr="008048DD">
        <w:rPr>
          <w:lang w:val="es-ES_tradnl"/>
        </w:rPr>
        <w:t xml:space="preserve">. </w:t>
      </w:r>
    </w:p>
    <w:p w14:paraId="40941C9C" w14:textId="15434A5C" w:rsidR="00B1107F" w:rsidRPr="008048DD" w:rsidRDefault="00531450" w:rsidP="00362646">
      <w:pPr>
        <w:pStyle w:val="Normalnumber"/>
        <w:numPr>
          <w:ilvl w:val="0"/>
          <w:numId w:val="40"/>
        </w:numPr>
        <w:tabs>
          <w:tab w:val="clear" w:pos="1057"/>
        </w:tabs>
        <w:ind w:left="1247"/>
        <w:rPr>
          <w:color w:val="000000" w:themeColor="text1"/>
          <w:lang w:val="es-ES_tradnl"/>
        </w:rPr>
      </w:pPr>
      <w:r w:rsidRPr="008048DD">
        <w:rPr>
          <w:spacing w:val="-2"/>
          <w:lang w:val="es-ES_tradnl"/>
        </w:rPr>
        <w:t xml:space="preserve">En el apéndice I relativo a la información técnica sobre vigilancia </w:t>
      </w:r>
      <w:r w:rsidR="00B1107F" w:rsidRPr="008048DD">
        <w:rPr>
          <w:spacing w:val="-2"/>
          <w:lang w:val="es-ES_tradnl"/>
        </w:rPr>
        <w:t>(UNEP/MC/COP.3</w:t>
      </w:r>
      <w:r w:rsidR="000F5FAF" w:rsidRPr="008048DD">
        <w:rPr>
          <w:spacing w:val="-2"/>
          <w:lang w:val="es-ES_tradnl"/>
        </w:rPr>
        <w:t>/</w:t>
      </w:r>
      <w:r w:rsidR="00B1107F" w:rsidRPr="008048DD">
        <w:rPr>
          <w:spacing w:val="-2"/>
          <w:lang w:val="es-ES_tradnl"/>
        </w:rPr>
        <w:t>14/Add.1)</w:t>
      </w:r>
      <w:r w:rsidR="00B1107F" w:rsidRPr="008048DD">
        <w:rPr>
          <w:lang w:val="es-ES_tradnl"/>
        </w:rPr>
        <w:t xml:space="preserve"> </w:t>
      </w:r>
      <w:r w:rsidRPr="008048DD">
        <w:rPr>
          <w:lang w:val="es-ES_tradnl"/>
        </w:rPr>
        <w:t>y en el apéndice</w:t>
      </w:r>
      <w:r w:rsidR="00B1107F" w:rsidRPr="008048DD">
        <w:rPr>
          <w:lang w:val="es-ES_tradnl"/>
        </w:rPr>
        <w:t xml:space="preserve"> </w:t>
      </w:r>
      <w:r w:rsidR="00883B5B" w:rsidRPr="008048DD">
        <w:rPr>
          <w:lang w:val="es-ES_tradnl"/>
        </w:rPr>
        <w:t>III</w:t>
      </w:r>
      <w:r w:rsidR="00B1107F" w:rsidRPr="008048DD">
        <w:rPr>
          <w:lang w:val="es-ES_tradnl"/>
        </w:rPr>
        <w:t xml:space="preserve"> </w:t>
      </w:r>
      <w:r w:rsidRPr="008048DD">
        <w:rPr>
          <w:lang w:val="es-ES_tradnl"/>
        </w:rPr>
        <w:t xml:space="preserve">sobre los arreglos de vigilancia a nivel mundial propuestos y el proyecto de mandato del grupo sobre vigilancia se explican con más detalle las actividades y esfuerzos de vigilancia del mercurio y los arreglos sobre modelización que </w:t>
      </w:r>
      <w:r w:rsidR="00866C59" w:rsidRPr="008048DD">
        <w:rPr>
          <w:lang w:val="es-ES_tradnl"/>
        </w:rPr>
        <w:t xml:space="preserve">tienen lugar </w:t>
      </w:r>
      <w:r w:rsidRPr="008048DD">
        <w:rPr>
          <w:lang w:val="es-ES_tradnl"/>
        </w:rPr>
        <w:t>actualmente</w:t>
      </w:r>
      <w:r w:rsidR="00B1107F" w:rsidRPr="008048DD">
        <w:rPr>
          <w:lang w:val="es-ES_tradnl"/>
        </w:rPr>
        <w:t xml:space="preserve">. </w:t>
      </w:r>
      <w:r w:rsidRPr="008048DD">
        <w:rPr>
          <w:lang w:val="es-ES_tradnl"/>
        </w:rPr>
        <w:t>En el cuadro</w:t>
      </w:r>
      <w:r w:rsidR="00077DF3" w:rsidRPr="008048DD">
        <w:rPr>
          <w:lang w:val="es-ES_tradnl"/>
        </w:rPr>
        <w:t> </w:t>
      </w:r>
      <w:r w:rsidR="00B1107F" w:rsidRPr="008048DD">
        <w:rPr>
          <w:lang w:val="es-ES_tradnl"/>
        </w:rPr>
        <w:t>4</w:t>
      </w:r>
      <w:r w:rsidR="00077DF3" w:rsidRPr="008048DD">
        <w:rPr>
          <w:lang w:val="es-ES_tradnl"/>
        </w:rPr>
        <w:t> </w:t>
      </w:r>
      <w:r w:rsidRPr="008048DD">
        <w:rPr>
          <w:lang w:val="es-ES_tradnl"/>
        </w:rPr>
        <w:t>figura una lista indicativa de los indicadores de vigilancia por cada medio, junto con las fuentes de información utilizadas</w:t>
      </w:r>
      <w:r w:rsidR="00B1107F" w:rsidRPr="008048DD">
        <w:rPr>
          <w:lang w:val="es-ES_tradnl"/>
        </w:rPr>
        <w:t xml:space="preserve">. </w:t>
      </w:r>
      <w:r w:rsidRPr="008048DD">
        <w:rPr>
          <w:lang w:val="es-ES_tradnl"/>
        </w:rPr>
        <w:t>Los indicadores de vigilancia complementan los indicadores presentados en el</w:t>
      </w:r>
      <w:r w:rsidR="00077DF3" w:rsidRPr="008048DD">
        <w:rPr>
          <w:lang w:val="es-ES_tradnl"/>
        </w:rPr>
        <w:t> </w:t>
      </w:r>
      <w:r w:rsidRPr="008048DD">
        <w:rPr>
          <w:lang w:val="es-ES_tradnl"/>
        </w:rPr>
        <w:t>cuadro</w:t>
      </w:r>
      <w:r w:rsidR="00B1107F" w:rsidRPr="008048DD">
        <w:rPr>
          <w:lang w:val="es-ES_tradnl"/>
        </w:rPr>
        <w:t xml:space="preserve"> 2</w:t>
      </w:r>
      <w:r w:rsidR="000F5FAF" w:rsidRPr="008048DD">
        <w:rPr>
          <w:lang w:val="es-ES_tradnl"/>
        </w:rPr>
        <w:t>.</w:t>
      </w:r>
    </w:p>
    <w:p w14:paraId="0D1A5EB9" w14:textId="77777777" w:rsidR="00B1107F" w:rsidRPr="008048DD" w:rsidRDefault="008E2CA8" w:rsidP="00077DF3">
      <w:pPr>
        <w:pStyle w:val="Caption"/>
        <w:tabs>
          <w:tab w:val="clear" w:pos="1247"/>
          <w:tab w:val="left" w:pos="567"/>
        </w:tabs>
        <w:spacing w:after="60"/>
        <w:ind w:left="1247"/>
        <w:rPr>
          <w:rFonts w:asciiTheme="majorBidi" w:hAnsiTheme="majorBidi" w:cstheme="majorBidi"/>
          <w:b/>
          <w:bCs/>
          <w:i w:val="0"/>
          <w:iCs w:val="0"/>
          <w:color w:val="auto"/>
          <w:sz w:val="20"/>
          <w:szCs w:val="20"/>
        </w:rPr>
      </w:pPr>
      <w:bookmarkStart w:id="10" w:name="_Hlk15486676"/>
      <w:r w:rsidRPr="008048DD">
        <w:rPr>
          <w:i w:val="0"/>
          <w:iCs w:val="0"/>
          <w:color w:val="auto"/>
          <w:sz w:val="20"/>
          <w:szCs w:val="20"/>
        </w:rPr>
        <w:t>Cuadro</w:t>
      </w:r>
      <w:r w:rsidR="00883B5B" w:rsidRPr="008048DD">
        <w:rPr>
          <w:i w:val="0"/>
          <w:iCs w:val="0"/>
          <w:color w:val="auto"/>
          <w:sz w:val="20"/>
          <w:szCs w:val="20"/>
        </w:rPr>
        <w:t xml:space="preserve"> </w:t>
      </w:r>
      <w:r w:rsidR="006F66A2" w:rsidRPr="008048DD">
        <w:rPr>
          <w:i w:val="0"/>
          <w:iCs w:val="0"/>
          <w:color w:val="auto"/>
          <w:sz w:val="20"/>
          <w:szCs w:val="20"/>
        </w:rPr>
        <w:t>4</w:t>
      </w:r>
      <w:r w:rsidR="009A759A" w:rsidRPr="008048DD">
        <w:rPr>
          <w:i w:val="0"/>
          <w:iCs w:val="0"/>
          <w:color w:val="auto"/>
          <w:sz w:val="20"/>
          <w:szCs w:val="20"/>
        </w:rPr>
        <w:br/>
      </w:r>
      <w:r w:rsidRPr="008048DD">
        <w:rPr>
          <w:rFonts w:asciiTheme="majorBidi" w:hAnsiTheme="majorBidi" w:cstheme="majorBidi"/>
          <w:b/>
          <w:bCs/>
          <w:i w:val="0"/>
          <w:iCs w:val="0"/>
          <w:color w:val="auto"/>
          <w:sz w:val="20"/>
          <w:szCs w:val="20"/>
        </w:rPr>
        <w:t>Lista indicativa de los indicadores de vigilancia,</w:t>
      </w:r>
      <w:r w:rsidR="00B3310A" w:rsidRPr="008048DD">
        <w:rPr>
          <w:rFonts w:asciiTheme="majorBidi" w:hAnsiTheme="majorBidi" w:cstheme="majorBidi"/>
          <w:b/>
          <w:bCs/>
          <w:i w:val="0"/>
          <w:iCs w:val="0"/>
          <w:color w:val="auto"/>
          <w:sz w:val="20"/>
          <w:szCs w:val="20"/>
        </w:rPr>
        <w:t xml:space="preserve"> </w:t>
      </w:r>
      <w:r w:rsidRPr="008048DD">
        <w:rPr>
          <w:rFonts w:asciiTheme="majorBidi" w:hAnsiTheme="majorBidi" w:cstheme="majorBidi"/>
          <w:b/>
          <w:bCs/>
          <w:i w:val="0"/>
          <w:iCs w:val="0"/>
          <w:color w:val="auto"/>
          <w:sz w:val="20"/>
          <w:szCs w:val="20"/>
        </w:rPr>
        <w:t>por cada medio</w:t>
      </w:r>
      <w:r w:rsidR="00883B5B" w:rsidRPr="008048DD">
        <w:rPr>
          <w:rFonts w:asciiTheme="majorBidi" w:hAnsiTheme="majorBidi" w:cstheme="majorBidi"/>
          <w:b/>
          <w:bCs/>
          <w:i w:val="0"/>
          <w:iCs w:val="0"/>
          <w:color w:val="auto"/>
          <w:sz w:val="20"/>
          <w:szCs w:val="20"/>
        </w:rPr>
        <w:t xml:space="preserve"> </w:t>
      </w:r>
    </w:p>
    <w:tbl>
      <w:tblPr>
        <w:tblW w:w="833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84"/>
        <w:gridCol w:w="3951"/>
        <w:gridCol w:w="2900"/>
      </w:tblGrid>
      <w:tr w:rsidR="00B1107F" w:rsidRPr="008048DD" w14:paraId="1AA93646" w14:textId="77777777" w:rsidTr="00D800F1">
        <w:trPr>
          <w:trHeight w:val="57"/>
          <w:jc w:val="right"/>
        </w:trPr>
        <w:tc>
          <w:tcPr>
            <w:tcW w:w="147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47B08EB6" w14:textId="77777777" w:rsidR="00B1107F" w:rsidRPr="008048DD" w:rsidRDefault="008E2CA8" w:rsidP="0091584C">
            <w:pPr>
              <w:pStyle w:val="Brdtext"/>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lang w:val="es-ES_tradnl"/>
              </w:rPr>
            </w:pPr>
            <w:r w:rsidRPr="008048DD">
              <w:rPr>
                <w:rFonts w:asciiTheme="majorBidi" w:hAnsiTheme="majorBidi" w:cstheme="majorBidi"/>
                <w:b/>
                <w:sz w:val="18"/>
                <w:szCs w:val="18"/>
                <w:lang w:val="es-ES_tradnl"/>
              </w:rPr>
              <w:t>Medios en general</w:t>
            </w:r>
          </w:p>
        </w:tc>
        <w:tc>
          <w:tcPr>
            <w:tcW w:w="393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5B5FBC19" w14:textId="77777777" w:rsidR="00B1107F" w:rsidRPr="008048DD" w:rsidRDefault="00B1107F" w:rsidP="0091584C">
            <w:pPr>
              <w:pStyle w:val="Brdtext"/>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lang w:val="es-ES_tradnl"/>
              </w:rPr>
            </w:pPr>
            <w:r w:rsidRPr="008048DD">
              <w:rPr>
                <w:b/>
                <w:bCs/>
                <w:sz w:val="18"/>
                <w:szCs w:val="18"/>
                <w:lang w:val="es-ES_tradnl"/>
              </w:rPr>
              <w:t>Indicador</w:t>
            </w:r>
          </w:p>
        </w:tc>
        <w:tc>
          <w:tcPr>
            <w:tcW w:w="289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02BFFF13" w14:textId="77777777" w:rsidR="00B1107F" w:rsidRPr="008048DD" w:rsidRDefault="00B1107F" w:rsidP="0091584C">
            <w:pPr>
              <w:pStyle w:val="Brdtext"/>
              <w:pBdr>
                <w:top w:val="nil"/>
                <w:left w:val="nil"/>
                <w:bottom w:val="nil"/>
                <w:right w:val="nil"/>
                <w:between w:val="nil"/>
                <w:bar w:val="nil"/>
              </w:pBdr>
              <w:tabs>
                <w:tab w:val="clear" w:pos="1814"/>
                <w:tab w:val="left" w:pos="624"/>
                <w:tab w:val="left" w:pos="1134"/>
                <w:tab w:val="left" w:pos="3119"/>
              </w:tabs>
              <w:rPr>
                <w:rFonts w:asciiTheme="majorBidi" w:hAnsiTheme="majorBidi" w:cstheme="majorBidi"/>
                <w:b/>
                <w:sz w:val="18"/>
                <w:szCs w:val="18"/>
                <w:lang w:val="es-ES_tradnl"/>
              </w:rPr>
            </w:pPr>
            <w:r w:rsidRPr="008048DD">
              <w:rPr>
                <w:b/>
                <w:bCs/>
                <w:sz w:val="18"/>
                <w:szCs w:val="18"/>
                <w:lang w:val="es-ES_tradnl"/>
              </w:rPr>
              <w:t>Fuente de información</w:t>
            </w:r>
          </w:p>
        </w:tc>
      </w:tr>
      <w:tr w:rsidR="00065AE4" w:rsidRPr="008048DD" w14:paraId="4B626645" w14:textId="77777777" w:rsidTr="00D800F1">
        <w:trPr>
          <w:trHeight w:val="411"/>
          <w:jc w:val="right"/>
        </w:trPr>
        <w:tc>
          <w:tcPr>
            <w:tcW w:w="1479"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6893E203" w14:textId="77777777" w:rsidR="00065AE4" w:rsidRPr="008048DD" w:rsidRDefault="00065AE4" w:rsidP="00EE7D24">
            <w:pPr>
              <w:pStyle w:val="Brdtext"/>
              <w:pBdr>
                <w:top w:val="nil"/>
                <w:left w:val="nil"/>
                <w:bottom w:val="nil"/>
                <w:right w:val="nil"/>
                <w:between w:val="nil"/>
                <w:bar w:val="nil"/>
              </w:pBdr>
              <w:tabs>
                <w:tab w:val="clear" w:pos="1814"/>
                <w:tab w:val="left" w:pos="624"/>
                <w:tab w:val="left" w:pos="1134"/>
                <w:tab w:val="left" w:pos="3119"/>
              </w:tabs>
              <w:spacing w:after="120"/>
              <w:rPr>
                <w:b/>
                <w:sz w:val="18"/>
                <w:szCs w:val="18"/>
                <w:lang w:val="es-ES_tradnl"/>
              </w:rPr>
            </w:pPr>
            <w:r w:rsidRPr="008048DD">
              <w:rPr>
                <w:b/>
                <w:sz w:val="18"/>
                <w:szCs w:val="18"/>
                <w:lang w:val="es-ES_tradnl"/>
              </w:rPr>
              <w:t>1.</w:t>
            </w:r>
            <w:r w:rsidRPr="008048DD">
              <w:rPr>
                <w:sz w:val="18"/>
                <w:szCs w:val="18"/>
                <w:lang w:val="es-ES_tradnl"/>
              </w:rPr>
              <w:t xml:space="preserve"> </w:t>
            </w:r>
            <w:r w:rsidRPr="008048DD">
              <w:rPr>
                <w:b/>
                <w:bCs/>
                <w:sz w:val="18"/>
                <w:szCs w:val="18"/>
                <w:lang w:val="es-ES_tradnl"/>
              </w:rPr>
              <w:t>Aire</w:t>
            </w:r>
          </w:p>
        </w:tc>
        <w:tc>
          <w:tcPr>
            <w:tcW w:w="393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0C5281FB" w14:textId="77777777" w:rsidR="00065AE4" w:rsidRPr="008048DD" w:rsidRDefault="00065AE4" w:rsidP="00065AE4">
            <w:pPr>
              <w:pStyle w:val="Brdtext"/>
              <w:pBdr>
                <w:top w:val="nil"/>
                <w:left w:val="nil"/>
                <w:bottom w:val="nil"/>
                <w:right w:val="nil"/>
                <w:between w:val="nil"/>
                <w:bar w:val="nil"/>
              </w:pBdr>
              <w:tabs>
                <w:tab w:val="clear" w:pos="1814"/>
                <w:tab w:val="left" w:pos="624"/>
                <w:tab w:val="left" w:pos="1134"/>
                <w:tab w:val="left" w:pos="3119"/>
              </w:tabs>
              <w:rPr>
                <w:bCs/>
                <w:sz w:val="18"/>
                <w:szCs w:val="18"/>
                <w:lang w:val="es-ES_tradnl"/>
              </w:rPr>
            </w:pPr>
            <w:r w:rsidRPr="008048DD">
              <w:rPr>
                <w:sz w:val="18"/>
                <w:szCs w:val="18"/>
                <w:lang w:val="es-ES_tradnl"/>
              </w:rPr>
              <w:t>M1. Mercurio gaseoso/mercurio elemental gaseoso total en el aire ambiente</w:t>
            </w:r>
          </w:p>
        </w:tc>
        <w:tc>
          <w:tcPr>
            <w:tcW w:w="28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54513B72" w14:textId="77777777" w:rsidR="00065AE4" w:rsidRPr="008048DD" w:rsidRDefault="00065AE4" w:rsidP="00B84832">
            <w:pPr>
              <w:pStyle w:val="Brdtext"/>
              <w:pBdr>
                <w:top w:val="nil"/>
                <w:left w:val="nil"/>
                <w:bottom w:val="nil"/>
                <w:right w:val="nil"/>
                <w:between w:val="nil"/>
                <w:bar w:val="nil"/>
              </w:pBdr>
              <w:tabs>
                <w:tab w:val="clear" w:pos="1814"/>
                <w:tab w:val="left" w:pos="624"/>
                <w:tab w:val="left" w:pos="1134"/>
                <w:tab w:val="left" w:pos="3119"/>
              </w:tabs>
              <w:ind w:left="170" w:hanging="170"/>
              <w:rPr>
                <w:bCs/>
                <w:sz w:val="18"/>
                <w:szCs w:val="18"/>
                <w:lang w:val="es-ES_tradnl"/>
              </w:rPr>
            </w:pPr>
            <w:r w:rsidRPr="008048DD">
              <w:rPr>
                <w:sz w:val="18"/>
                <w:szCs w:val="18"/>
                <w:lang w:val="es-ES_tradnl"/>
              </w:rPr>
              <w:t>Actividades y redes de vigilancia existentes/ampliadas</w:t>
            </w:r>
          </w:p>
        </w:tc>
      </w:tr>
      <w:tr w:rsidR="00065AE4" w:rsidRPr="008048DD" w14:paraId="05696D40" w14:textId="77777777" w:rsidTr="00D800F1">
        <w:trPr>
          <w:trHeight w:val="57"/>
          <w:jc w:val="right"/>
        </w:trPr>
        <w:tc>
          <w:tcPr>
            <w:tcW w:w="1479"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A4773" w14:textId="77777777" w:rsidR="00065AE4" w:rsidRPr="008048DD" w:rsidRDefault="00065AE4" w:rsidP="00EE7D24">
            <w:pPr>
              <w:rPr>
                <w:b/>
                <w:sz w:val="18"/>
                <w:szCs w:val="18"/>
              </w:rPr>
            </w:pP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93CD36" w14:textId="77777777" w:rsidR="00065AE4" w:rsidRPr="008048DD" w:rsidRDefault="00065AE4" w:rsidP="00EE7D24">
            <w:pPr>
              <w:pStyle w:val="TextA"/>
              <w:spacing w:after="0" w:line="240" w:lineRule="auto"/>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M2. Nivel de mercurio en las precipitaciones</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46091" w14:textId="77777777" w:rsidR="00065AE4" w:rsidRPr="008048DD" w:rsidRDefault="00065AE4" w:rsidP="00B84832">
            <w:pPr>
              <w:pStyle w:val="TextA"/>
              <w:spacing w:after="0" w:line="240" w:lineRule="auto"/>
              <w:ind w:left="170" w:hanging="170"/>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Actividades y redes de vigilancia existentes/ampliadas</w:t>
            </w:r>
          </w:p>
        </w:tc>
      </w:tr>
      <w:tr w:rsidR="00065AE4" w:rsidRPr="008048DD" w14:paraId="28DBEFAC" w14:textId="77777777" w:rsidTr="00D800F1">
        <w:trPr>
          <w:trHeight w:val="57"/>
          <w:jc w:val="right"/>
        </w:trPr>
        <w:tc>
          <w:tcPr>
            <w:tcW w:w="1479"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3890EA2C" w14:textId="77777777" w:rsidR="00065AE4" w:rsidRPr="008048DD" w:rsidRDefault="00065AE4" w:rsidP="00EE7D24">
            <w:pPr>
              <w:pStyle w:val="TextA"/>
              <w:spacing w:after="0" w:line="240" w:lineRule="auto"/>
              <w:rPr>
                <w:rFonts w:ascii="Times New Roman" w:hAnsi="Times New Roman" w:cs="Times New Roman"/>
                <w:b/>
                <w:sz w:val="18"/>
                <w:szCs w:val="18"/>
                <w:lang w:val="es-ES_tradnl"/>
              </w:rPr>
            </w:pPr>
            <w:r w:rsidRPr="008048DD">
              <w:rPr>
                <w:rFonts w:ascii="Times New Roman" w:hAnsi="Times New Roman" w:cs="Times New Roman"/>
                <w:b/>
                <w:sz w:val="18"/>
                <w:szCs w:val="18"/>
                <w:lang w:val="es-ES_tradnl"/>
              </w:rPr>
              <w:t>2.</w:t>
            </w:r>
            <w:r w:rsidRPr="008048DD">
              <w:rPr>
                <w:rFonts w:ascii="Times New Roman" w:hAnsi="Times New Roman" w:cs="Times New Roman"/>
                <w:sz w:val="18"/>
                <w:szCs w:val="18"/>
                <w:lang w:val="es-ES_tradnl"/>
              </w:rPr>
              <w:t xml:space="preserve"> </w:t>
            </w:r>
            <w:r w:rsidRPr="008048DD">
              <w:rPr>
                <w:rFonts w:ascii="Times New Roman" w:hAnsi="Times New Roman" w:cs="Times New Roman"/>
                <w:b/>
                <w:bCs/>
                <w:sz w:val="18"/>
                <w:szCs w:val="18"/>
                <w:lang w:val="es-ES_tradnl"/>
              </w:rPr>
              <w:t>Seres humanos</w:t>
            </w:r>
          </w:p>
        </w:tc>
        <w:tc>
          <w:tcPr>
            <w:tcW w:w="393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2A745D1F" w14:textId="77777777" w:rsidR="00065AE4" w:rsidRPr="008048DD" w:rsidRDefault="00065AE4" w:rsidP="00E317BB">
            <w:pPr>
              <w:rPr>
                <w:sz w:val="18"/>
                <w:szCs w:val="18"/>
              </w:rPr>
            </w:pPr>
            <w:r w:rsidRPr="008048DD">
              <w:rPr>
                <w:sz w:val="18"/>
                <w:szCs w:val="18"/>
              </w:rPr>
              <w:t>M3. Nivel de mercurio en el cabello como matriz primaria</w:t>
            </w:r>
          </w:p>
        </w:tc>
        <w:tc>
          <w:tcPr>
            <w:tcW w:w="28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4D253E82" w14:textId="77777777" w:rsidR="00065AE4" w:rsidRPr="008048DD" w:rsidRDefault="00065AE4" w:rsidP="00B84832">
            <w:pPr>
              <w:ind w:left="170" w:hanging="170"/>
              <w:rPr>
                <w:sz w:val="18"/>
                <w:szCs w:val="18"/>
              </w:rPr>
            </w:pPr>
            <w:r w:rsidRPr="008048DD">
              <w:rPr>
                <w:sz w:val="18"/>
                <w:szCs w:val="18"/>
              </w:rPr>
              <w:t>Estudios epidemiológicos realizados por las Partes</w:t>
            </w:r>
          </w:p>
        </w:tc>
      </w:tr>
      <w:tr w:rsidR="00065AE4" w:rsidRPr="008048DD" w14:paraId="2230FEE3" w14:textId="77777777" w:rsidTr="00D800F1">
        <w:trPr>
          <w:trHeight w:val="57"/>
          <w:jc w:val="right"/>
        </w:trPr>
        <w:tc>
          <w:tcPr>
            <w:tcW w:w="1479"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8866949" w14:textId="77777777" w:rsidR="00065AE4" w:rsidRPr="008048DD" w:rsidRDefault="00065AE4" w:rsidP="00EE7D24">
            <w:pPr>
              <w:pStyle w:val="TextA"/>
              <w:spacing w:after="0" w:line="240" w:lineRule="auto"/>
              <w:rPr>
                <w:rFonts w:ascii="Times New Roman" w:hAnsi="Times New Roman" w:cs="Times New Roman"/>
                <w:b/>
                <w:sz w:val="18"/>
                <w:szCs w:val="18"/>
                <w:lang w:val="es-ES_tradnl"/>
              </w:rPr>
            </w:pPr>
          </w:p>
        </w:tc>
        <w:tc>
          <w:tcPr>
            <w:tcW w:w="393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781DA27" w14:textId="77777777" w:rsidR="00065AE4" w:rsidRPr="008048DD" w:rsidRDefault="00065AE4" w:rsidP="00EE7D24">
            <w:pPr>
              <w:rPr>
                <w:sz w:val="18"/>
                <w:szCs w:val="18"/>
              </w:rPr>
            </w:pPr>
            <w:r w:rsidRPr="008048DD">
              <w:rPr>
                <w:sz w:val="18"/>
                <w:szCs w:val="18"/>
              </w:rPr>
              <w:t>M4. Nivel de mercurio en sangre como alternativa</w:t>
            </w:r>
          </w:p>
        </w:tc>
        <w:tc>
          <w:tcPr>
            <w:tcW w:w="28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4B9AF2B1" w14:textId="77777777" w:rsidR="00065AE4" w:rsidRPr="008048DD" w:rsidRDefault="00065AE4" w:rsidP="00B84832">
            <w:pPr>
              <w:pStyle w:val="TextA"/>
              <w:spacing w:after="0" w:line="240" w:lineRule="auto"/>
              <w:ind w:left="170" w:hanging="170"/>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Programas nacionales e internacionales de vigilancia biológica</w:t>
            </w:r>
          </w:p>
          <w:p w14:paraId="125D5921" w14:textId="77777777" w:rsidR="00065AE4" w:rsidRPr="008048DD" w:rsidRDefault="00065AE4" w:rsidP="00B84832">
            <w:pPr>
              <w:ind w:left="170" w:hanging="170"/>
              <w:rPr>
                <w:sz w:val="18"/>
                <w:szCs w:val="18"/>
              </w:rPr>
            </w:pPr>
            <w:r w:rsidRPr="008048DD">
              <w:rPr>
                <w:sz w:val="18"/>
                <w:szCs w:val="18"/>
              </w:rPr>
              <w:t xml:space="preserve">Estudios longitudinales e intersectoriales de la cohorte de nacimientos </w:t>
            </w:r>
          </w:p>
        </w:tc>
      </w:tr>
      <w:tr w:rsidR="00065AE4" w:rsidRPr="008048DD" w14:paraId="78884DB1" w14:textId="77777777" w:rsidTr="00D800F1">
        <w:trPr>
          <w:trHeight w:val="57"/>
          <w:jc w:val="right"/>
        </w:trPr>
        <w:tc>
          <w:tcPr>
            <w:tcW w:w="147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4CAF1146" w14:textId="77777777" w:rsidR="00065AE4" w:rsidRPr="008048DD" w:rsidRDefault="00065AE4" w:rsidP="00EE7D24">
            <w:pPr>
              <w:rPr>
                <w:b/>
                <w:sz w:val="18"/>
                <w:szCs w:val="18"/>
              </w:rPr>
            </w:pPr>
            <w:r w:rsidRPr="008048DD">
              <w:rPr>
                <w:b/>
                <w:sz w:val="18"/>
                <w:szCs w:val="18"/>
              </w:rPr>
              <w:t>3.</w:t>
            </w:r>
            <w:r w:rsidRPr="008048DD">
              <w:rPr>
                <w:sz w:val="18"/>
                <w:szCs w:val="18"/>
              </w:rPr>
              <w:t xml:space="preserve"> </w:t>
            </w:r>
            <w:r w:rsidRPr="008048DD">
              <w:rPr>
                <w:b/>
                <w:bCs/>
                <w:sz w:val="18"/>
                <w:szCs w:val="18"/>
              </w:rPr>
              <w:t>Medios bióticos</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676DB" w14:textId="77777777" w:rsidR="00065AE4" w:rsidRPr="008048DD" w:rsidRDefault="00065AE4" w:rsidP="00EE7D24">
            <w:pPr>
              <w:pStyle w:val="TextA"/>
              <w:spacing w:after="0" w:line="240" w:lineRule="auto"/>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M6. Niveles de mercurio en los medios bióticos</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A93E4" w14:textId="77777777" w:rsidR="00065AE4" w:rsidRPr="008048DD" w:rsidRDefault="00065AE4" w:rsidP="00B84832">
            <w:pPr>
              <w:pStyle w:val="TextA"/>
              <w:spacing w:after="0" w:line="240" w:lineRule="auto"/>
              <w:ind w:left="170" w:hanging="170"/>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Red continental</w:t>
            </w:r>
          </w:p>
        </w:tc>
      </w:tr>
      <w:tr w:rsidR="00065AE4" w:rsidRPr="008048DD" w14:paraId="3F22527D" w14:textId="77777777" w:rsidTr="00D800F1">
        <w:trPr>
          <w:trHeight w:val="57"/>
          <w:jc w:val="right"/>
        </w:trPr>
        <w:tc>
          <w:tcPr>
            <w:tcW w:w="1479" w:type="dxa"/>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0198487" w14:textId="77777777" w:rsidR="00065AE4" w:rsidRPr="008048DD" w:rsidRDefault="00065AE4" w:rsidP="00EE7D24">
            <w:pPr>
              <w:rPr>
                <w:b/>
                <w:sz w:val="18"/>
                <w:szCs w:val="18"/>
              </w:rPr>
            </w:pPr>
          </w:p>
        </w:tc>
        <w:tc>
          <w:tcPr>
            <w:tcW w:w="3938"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0DFDE106" w14:textId="77777777" w:rsidR="00065AE4" w:rsidRPr="008048DD" w:rsidRDefault="00065AE4" w:rsidP="00EE7D24">
            <w:pPr>
              <w:pStyle w:val="TextA"/>
              <w:spacing w:after="0" w:line="240" w:lineRule="auto"/>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 xml:space="preserve">M7. Niveles de mercurio en los medios bióticos </w:t>
            </w:r>
          </w:p>
        </w:tc>
        <w:tc>
          <w:tcPr>
            <w:tcW w:w="289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FAE5C93" w14:textId="77777777" w:rsidR="00065AE4" w:rsidRPr="008048DD" w:rsidRDefault="00065AE4" w:rsidP="00B84832">
            <w:pPr>
              <w:pStyle w:val="TextA"/>
              <w:spacing w:after="0" w:line="240" w:lineRule="auto"/>
              <w:ind w:left="170" w:hanging="170"/>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Marco oceánico</w:t>
            </w:r>
          </w:p>
        </w:tc>
      </w:tr>
      <w:tr w:rsidR="00B1107F" w:rsidRPr="008048DD" w14:paraId="5F243425" w14:textId="77777777" w:rsidTr="00D800F1">
        <w:trPr>
          <w:trHeight w:val="57"/>
          <w:jc w:val="right"/>
        </w:trPr>
        <w:tc>
          <w:tcPr>
            <w:tcW w:w="1479"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34C25" w14:textId="77777777" w:rsidR="00B1107F" w:rsidRPr="008048DD" w:rsidRDefault="00B1107F" w:rsidP="00EE7D24">
            <w:pPr>
              <w:rPr>
                <w:b/>
                <w:sz w:val="18"/>
                <w:szCs w:val="18"/>
              </w:rPr>
            </w:pPr>
            <w:r w:rsidRPr="008048DD">
              <w:rPr>
                <w:b/>
                <w:sz w:val="18"/>
                <w:szCs w:val="18"/>
              </w:rPr>
              <w:t>4.</w:t>
            </w:r>
            <w:r w:rsidRPr="008048DD">
              <w:rPr>
                <w:sz w:val="18"/>
                <w:szCs w:val="18"/>
              </w:rPr>
              <w:t xml:space="preserve"> </w:t>
            </w:r>
            <w:r w:rsidRPr="008048DD">
              <w:rPr>
                <w:b/>
                <w:bCs/>
                <w:sz w:val="18"/>
                <w:szCs w:val="18"/>
              </w:rPr>
              <w:t>Agua</w:t>
            </w:r>
          </w:p>
        </w:tc>
        <w:tc>
          <w:tcPr>
            <w:tcW w:w="3938"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CECE7" w14:textId="77777777" w:rsidR="00B1107F" w:rsidRPr="008048DD" w:rsidRDefault="00B1107F" w:rsidP="00EE7D24">
            <w:pPr>
              <w:pStyle w:val="TextA"/>
              <w:spacing w:after="0" w:line="240" w:lineRule="auto"/>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M8. Niveles de mercurio en el agua de mar que abarcan la distribución horizontal y vertical</w:t>
            </w:r>
          </w:p>
        </w:tc>
        <w:tc>
          <w:tcPr>
            <w:tcW w:w="2890"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91C01" w14:textId="77777777" w:rsidR="00B1107F" w:rsidRPr="008048DD" w:rsidRDefault="00B1107F" w:rsidP="00B84832">
            <w:pPr>
              <w:pStyle w:val="TextA"/>
              <w:spacing w:after="0" w:line="240" w:lineRule="auto"/>
              <w:ind w:left="170" w:hanging="170"/>
              <w:rPr>
                <w:rFonts w:ascii="Times New Roman" w:hAnsi="Times New Roman" w:cs="Times New Roman"/>
                <w:sz w:val="18"/>
                <w:szCs w:val="18"/>
                <w:lang w:val="es-ES_tradnl"/>
              </w:rPr>
            </w:pPr>
            <w:r w:rsidRPr="008048DD">
              <w:rPr>
                <w:rFonts w:ascii="Times New Roman" w:hAnsi="Times New Roman" w:cs="Times New Roman"/>
                <w:sz w:val="18"/>
                <w:szCs w:val="18"/>
                <w:lang w:val="es-ES_tradnl"/>
              </w:rPr>
              <w:t>Actividades y redes de vigilancia existentes/ampliadas</w:t>
            </w:r>
          </w:p>
        </w:tc>
      </w:tr>
      <w:bookmarkEnd w:id="10"/>
    </w:tbl>
    <w:p w14:paraId="5B84FECA" w14:textId="77777777" w:rsidR="00454F1C" w:rsidRDefault="00454F1C">
      <w:pPr>
        <w:tabs>
          <w:tab w:val="clear" w:pos="1247"/>
          <w:tab w:val="clear" w:pos="1814"/>
          <w:tab w:val="clear" w:pos="2381"/>
          <w:tab w:val="clear" w:pos="2948"/>
          <w:tab w:val="clear" w:pos="3515"/>
        </w:tabs>
        <w:rPr>
          <w:b/>
        </w:rPr>
      </w:pPr>
      <w:r>
        <w:br w:type="page"/>
      </w:r>
    </w:p>
    <w:p w14:paraId="0AF14ADC" w14:textId="182F82F9" w:rsidR="00B1107F" w:rsidRPr="008048DD" w:rsidRDefault="00B66A03" w:rsidP="00CB468E">
      <w:pPr>
        <w:pStyle w:val="CH2"/>
        <w:spacing w:before="240"/>
        <w:rPr>
          <w:lang w:val="es-ES_tradnl"/>
        </w:rPr>
      </w:pPr>
      <w:r w:rsidRPr="008048DD">
        <w:rPr>
          <w:sz w:val="20"/>
          <w:szCs w:val="20"/>
          <w:lang w:val="es-ES_tradnl"/>
        </w:rPr>
        <w:tab/>
      </w:r>
      <w:r w:rsidR="00B84832" w:rsidRPr="008048DD">
        <w:rPr>
          <w:lang w:val="es-ES_tradnl"/>
        </w:rPr>
        <w:t>D.</w:t>
      </w:r>
      <w:r w:rsidR="00B84832" w:rsidRPr="008048DD">
        <w:rPr>
          <w:lang w:val="es-ES_tradnl"/>
        </w:rPr>
        <w:tab/>
      </w:r>
      <w:r w:rsidR="00B84832" w:rsidRPr="008048DD">
        <w:rPr>
          <w:bCs/>
          <w:lang w:val="es-ES_tradnl"/>
        </w:rPr>
        <w:t>Uso de la modelización en la evaluación de la eficacia</w:t>
      </w:r>
    </w:p>
    <w:p w14:paraId="65D17E1C" w14:textId="615C426D" w:rsidR="00B1107F" w:rsidRPr="008048DD" w:rsidRDefault="004377A7" w:rsidP="00362646">
      <w:pPr>
        <w:pStyle w:val="Normalnumber"/>
        <w:numPr>
          <w:ilvl w:val="0"/>
          <w:numId w:val="40"/>
        </w:numPr>
        <w:tabs>
          <w:tab w:val="clear" w:pos="1057"/>
        </w:tabs>
        <w:ind w:left="1247"/>
        <w:rPr>
          <w:color w:val="000000" w:themeColor="text1"/>
          <w:lang w:val="es-ES_tradnl"/>
        </w:rPr>
      </w:pPr>
      <w:r w:rsidRPr="008048DD">
        <w:rPr>
          <w:lang w:val="es-ES_tradnl"/>
        </w:rPr>
        <w:t>En los modelos se prevé la atribución e integración de mecanismos y observaciones</w:t>
      </w:r>
      <w:r w:rsidR="00B84832" w:rsidRPr="008048DD">
        <w:rPr>
          <w:lang w:val="es-ES_tradnl"/>
        </w:rPr>
        <w:t>,</w:t>
      </w:r>
      <w:r w:rsidR="00B1107F" w:rsidRPr="008048DD">
        <w:rPr>
          <w:lang w:val="es-ES_tradnl"/>
        </w:rPr>
        <w:t xml:space="preserve"> </w:t>
      </w:r>
      <w:r w:rsidRPr="008048DD">
        <w:rPr>
          <w:lang w:val="es-ES_tradnl"/>
        </w:rPr>
        <w:t xml:space="preserve">que </w:t>
      </w:r>
      <w:r w:rsidR="00866C59" w:rsidRPr="008048DD">
        <w:rPr>
          <w:lang w:val="es-ES_tradnl"/>
        </w:rPr>
        <w:t>se</w:t>
      </w:r>
      <w:r w:rsidR="00454F1C">
        <w:rPr>
          <w:lang w:val="es-ES_tradnl"/>
        </w:rPr>
        <w:t> </w:t>
      </w:r>
      <w:r w:rsidRPr="008048DD">
        <w:rPr>
          <w:lang w:val="es-ES_tradnl"/>
        </w:rPr>
        <w:t>utilizan para determinar proyecciones de la distribución futura de las fuentes</w:t>
      </w:r>
      <w:r w:rsidR="00B1107F" w:rsidRPr="008048DD">
        <w:rPr>
          <w:lang w:val="es-ES_tradnl"/>
        </w:rPr>
        <w:t xml:space="preserve">. </w:t>
      </w:r>
      <w:r w:rsidRPr="008048DD">
        <w:rPr>
          <w:lang w:val="es-ES_tradnl"/>
        </w:rPr>
        <w:t xml:space="preserve">Cabe </w:t>
      </w:r>
      <w:r w:rsidR="00866C59" w:rsidRPr="008048DD">
        <w:rPr>
          <w:lang w:val="es-ES_tradnl"/>
        </w:rPr>
        <w:t>señalar</w:t>
      </w:r>
      <w:r w:rsidRPr="008048DD">
        <w:rPr>
          <w:lang w:val="es-ES_tradnl"/>
        </w:rPr>
        <w:t>, por</w:t>
      </w:r>
      <w:r w:rsidR="00454F1C">
        <w:rPr>
          <w:lang w:val="es-ES_tradnl"/>
        </w:rPr>
        <w:t> </w:t>
      </w:r>
      <w:r w:rsidR="00866C59" w:rsidRPr="008048DD">
        <w:rPr>
          <w:lang w:val="es-ES_tradnl"/>
        </w:rPr>
        <w:t>tanto,</w:t>
      </w:r>
      <w:r w:rsidR="00454F1C">
        <w:rPr>
          <w:lang w:val="es-ES_tradnl"/>
        </w:rPr>
        <w:t> </w:t>
      </w:r>
      <w:r w:rsidRPr="008048DD">
        <w:rPr>
          <w:lang w:val="es-ES_tradnl"/>
        </w:rPr>
        <w:t>que los modelos formalizan</w:t>
      </w:r>
      <w:r w:rsidR="00B1107F" w:rsidRPr="008048DD">
        <w:rPr>
          <w:color w:val="000000" w:themeColor="text1"/>
          <w:lang w:val="es-ES_tradnl"/>
        </w:rPr>
        <w:t xml:space="preserve"> </w:t>
      </w:r>
      <w:r w:rsidRPr="008048DD">
        <w:rPr>
          <w:color w:val="000000" w:themeColor="text1"/>
          <w:lang w:val="es-ES_tradnl"/>
        </w:rPr>
        <w:t>el conocimiento científico de los mecanismos que afectan el comportamiento del mercurio</w:t>
      </w:r>
      <w:r w:rsidR="00B1107F" w:rsidRPr="008048DD">
        <w:rPr>
          <w:color w:val="000000" w:themeColor="text1"/>
          <w:lang w:val="es-ES_tradnl"/>
        </w:rPr>
        <w:t xml:space="preserve">. </w:t>
      </w:r>
      <w:r w:rsidRPr="008048DD">
        <w:rPr>
          <w:color w:val="000000" w:themeColor="text1"/>
          <w:lang w:val="es-ES_tradnl"/>
        </w:rPr>
        <w:t>Los modelos constituyen un instrumento para vincular y extrapolar en el espacio y el tiempo los datos de vigilancia reunidos a nivel mundial como parte de programas de investigación en marcha</w:t>
      </w:r>
      <w:r w:rsidR="00B1107F" w:rsidRPr="008048DD">
        <w:rPr>
          <w:color w:val="000000" w:themeColor="text1"/>
          <w:lang w:val="es-ES_tradnl"/>
        </w:rPr>
        <w:t xml:space="preserve">, </w:t>
      </w:r>
      <w:r w:rsidRPr="008048DD">
        <w:rPr>
          <w:color w:val="000000" w:themeColor="text1"/>
          <w:lang w:val="es-ES_tradnl"/>
        </w:rPr>
        <w:t>actividades normativas y datos aportados para ofrece</w:t>
      </w:r>
      <w:r w:rsidR="00CB468E" w:rsidRPr="008048DD">
        <w:rPr>
          <w:color w:val="000000" w:themeColor="text1"/>
          <w:lang w:val="es-ES_tradnl"/>
        </w:rPr>
        <w:t>r</w:t>
      </w:r>
      <w:r w:rsidRPr="008048DD">
        <w:rPr>
          <w:color w:val="000000" w:themeColor="text1"/>
          <w:lang w:val="es-ES_tradnl"/>
        </w:rPr>
        <w:t xml:space="preserve"> una imagen exhaustiva del estado de la contaminación por mercurio en todo el mundo</w:t>
      </w:r>
      <w:r w:rsidR="00B1107F" w:rsidRPr="008048DD">
        <w:rPr>
          <w:color w:val="000000" w:themeColor="text1"/>
          <w:lang w:val="es-ES_tradnl"/>
        </w:rPr>
        <w:t xml:space="preserve">. </w:t>
      </w:r>
      <w:r w:rsidRPr="008048DD">
        <w:rPr>
          <w:color w:val="000000" w:themeColor="text1"/>
          <w:lang w:val="es-ES_tradnl"/>
        </w:rPr>
        <w:t>Además</w:t>
      </w:r>
      <w:r w:rsidR="00C73747" w:rsidRPr="008048DD">
        <w:rPr>
          <w:color w:val="000000" w:themeColor="text1"/>
          <w:lang w:val="es-ES_tradnl"/>
        </w:rPr>
        <w:t>,</w:t>
      </w:r>
      <w:r w:rsidRPr="008048DD">
        <w:rPr>
          <w:color w:val="000000" w:themeColor="text1"/>
          <w:lang w:val="es-ES_tradnl"/>
        </w:rPr>
        <w:t xml:space="preserve"> un marco de modelización integrad</w:t>
      </w:r>
      <w:r w:rsidR="00CB468E" w:rsidRPr="008048DD">
        <w:rPr>
          <w:color w:val="000000" w:themeColor="text1"/>
          <w:lang w:val="es-ES_tradnl"/>
        </w:rPr>
        <w:t>o</w:t>
      </w:r>
      <w:r w:rsidRPr="008048DD">
        <w:rPr>
          <w:color w:val="000000" w:themeColor="text1"/>
          <w:lang w:val="es-ES_tradnl"/>
        </w:rPr>
        <w:t xml:space="preserve"> es un instrumento que permite trabajar con diversos medios, </w:t>
      </w:r>
      <w:r w:rsidR="00F32BC8" w:rsidRPr="008048DD">
        <w:rPr>
          <w:color w:val="000000" w:themeColor="text1"/>
          <w:lang w:val="es-ES_tradnl"/>
        </w:rPr>
        <w:t>por ejemplo</w:t>
      </w:r>
      <w:r w:rsidR="00B1107F" w:rsidRPr="008048DD">
        <w:rPr>
          <w:color w:val="000000" w:themeColor="text1"/>
          <w:lang w:val="es-ES_tradnl"/>
        </w:rPr>
        <w:t xml:space="preserve">, </w:t>
      </w:r>
      <w:r w:rsidRPr="008048DD">
        <w:rPr>
          <w:color w:val="000000" w:themeColor="text1"/>
          <w:lang w:val="es-ES_tradnl"/>
        </w:rPr>
        <w:t>para vincular las liberaciones de mercurio al aire, la tierra y el agua con los niveles de metilmercurio en los peces y en la fauna y flora silvestres</w:t>
      </w:r>
      <w:r w:rsidR="00B1107F" w:rsidRPr="008048DD">
        <w:rPr>
          <w:color w:val="000000" w:themeColor="text1"/>
          <w:lang w:val="es-ES_tradnl"/>
        </w:rPr>
        <w:t>, as</w:t>
      </w:r>
      <w:r w:rsidRPr="008048DD">
        <w:rPr>
          <w:color w:val="000000" w:themeColor="text1"/>
          <w:lang w:val="es-ES_tradnl"/>
        </w:rPr>
        <w:t>í como la exposición de las poblaciones humanas</w:t>
      </w:r>
      <w:r w:rsidR="00B1107F" w:rsidRPr="008048DD">
        <w:rPr>
          <w:color w:val="000000" w:themeColor="text1"/>
          <w:lang w:val="es-ES_tradnl"/>
        </w:rPr>
        <w:t xml:space="preserve">. </w:t>
      </w:r>
    </w:p>
    <w:p w14:paraId="30DFEE1C" w14:textId="7B099CD9" w:rsidR="00B1107F" w:rsidRPr="008048DD" w:rsidRDefault="00F32BC8" w:rsidP="00362646">
      <w:pPr>
        <w:pStyle w:val="Normalnumber"/>
        <w:numPr>
          <w:ilvl w:val="0"/>
          <w:numId w:val="40"/>
        </w:numPr>
        <w:tabs>
          <w:tab w:val="clear" w:pos="1057"/>
        </w:tabs>
        <w:ind w:left="1247"/>
        <w:rPr>
          <w:lang w:val="es-ES_tradnl"/>
        </w:rPr>
      </w:pPr>
      <w:r w:rsidRPr="008048DD">
        <w:rPr>
          <w:lang w:val="es-ES_tradnl"/>
        </w:rPr>
        <w:t xml:space="preserve">Los modelos </w:t>
      </w:r>
      <w:r w:rsidRPr="008048DD">
        <w:rPr>
          <w:color w:val="000000" w:themeColor="text1"/>
          <w:lang w:val="es-ES_tradnl"/>
        </w:rPr>
        <w:t>pueden</w:t>
      </w:r>
      <w:r w:rsidRPr="008048DD">
        <w:rPr>
          <w:lang w:val="es-ES_tradnl"/>
        </w:rPr>
        <w:t xml:space="preserve"> ser útiles también en la evaluación de la eficacia para atribuir los cambios en los niveles </w:t>
      </w:r>
      <w:r w:rsidR="00947BE0" w:rsidRPr="008048DD">
        <w:rPr>
          <w:lang w:val="es-ES_tradnl"/>
        </w:rPr>
        <w:t xml:space="preserve">de </w:t>
      </w:r>
      <w:r w:rsidRPr="008048DD">
        <w:rPr>
          <w:lang w:val="es-ES_tradnl"/>
        </w:rPr>
        <w:t>mercurio a las medidas previstas en el Convenio</w:t>
      </w:r>
      <w:r w:rsidR="00B1107F" w:rsidRPr="008048DD">
        <w:rPr>
          <w:lang w:val="es-ES_tradnl"/>
        </w:rPr>
        <w:t xml:space="preserve">. </w:t>
      </w:r>
    </w:p>
    <w:p w14:paraId="19BE7E44" w14:textId="77777777" w:rsidR="00B1107F" w:rsidRPr="008048DD" w:rsidRDefault="00F32BC8" w:rsidP="00362646">
      <w:pPr>
        <w:pStyle w:val="Normalnumber"/>
        <w:numPr>
          <w:ilvl w:val="0"/>
          <w:numId w:val="40"/>
        </w:numPr>
        <w:tabs>
          <w:tab w:val="clear" w:pos="1057"/>
        </w:tabs>
        <w:ind w:left="1247"/>
        <w:rPr>
          <w:rFonts w:eastAsia="Helvetica"/>
          <w:lang w:val="es-ES_tradnl"/>
        </w:rPr>
      </w:pPr>
      <w:r w:rsidRPr="008048DD">
        <w:rPr>
          <w:lang w:val="es-ES_tradnl"/>
        </w:rPr>
        <w:t xml:space="preserve">Los modelos </w:t>
      </w:r>
      <w:r w:rsidR="003C3010" w:rsidRPr="008048DD">
        <w:rPr>
          <w:lang w:val="es-ES_tradnl"/>
        </w:rPr>
        <w:t xml:space="preserve">preparados </w:t>
      </w:r>
      <w:r w:rsidRPr="008048DD">
        <w:rPr>
          <w:lang w:val="es-ES_tradnl"/>
        </w:rPr>
        <w:t>para los diferentes medios</w:t>
      </w:r>
      <w:r w:rsidR="00B1107F" w:rsidRPr="008048DD">
        <w:rPr>
          <w:lang w:val="es-ES_tradnl"/>
        </w:rPr>
        <w:t xml:space="preserve"> (air</w:t>
      </w:r>
      <w:r w:rsidRPr="008048DD">
        <w:rPr>
          <w:lang w:val="es-ES_tradnl"/>
        </w:rPr>
        <w:t>e</w:t>
      </w:r>
      <w:r w:rsidR="00B1107F" w:rsidRPr="008048DD">
        <w:rPr>
          <w:lang w:val="es-ES_tradnl"/>
        </w:rPr>
        <w:t xml:space="preserve">, </w:t>
      </w:r>
      <w:r w:rsidRPr="008048DD">
        <w:rPr>
          <w:lang w:val="es-ES_tradnl"/>
        </w:rPr>
        <w:t xml:space="preserve">seres </w:t>
      </w:r>
      <w:r w:rsidR="00B1107F" w:rsidRPr="008048DD">
        <w:rPr>
          <w:lang w:val="es-ES_tradnl"/>
        </w:rPr>
        <w:t>human</w:t>
      </w:r>
      <w:r w:rsidRPr="008048DD">
        <w:rPr>
          <w:lang w:val="es-ES_tradnl"/>
        </w:rPr>
        <w:t>o</w:t>
      </w:r>
      <w:r w:rsidR="0091711D" w:rsidRPr="008048DD">
        <w:rPr>
          <w:lang w:val="es-ES_tradnl"/>
        </w:rPr>
        <w:t>s</w:t>
      </w:r>
      <w:r w:rsidR="00B1107F" w:rsidRPr="008048DD">
        <w:rPr>
          <w:lang w:val="es-ES_tradnl"/>
        </w:rPr>
        <w:t xml:space="preserve">, </w:t>
      </w:r>
      <w:r w:rsidR="00D807B2" w:rsidRPr="008048DD">
        <w:rPr>
          <w:lang w:val="es-ES_tradnl"/>
        </w:rPr>
        <w:t>biota</w:t>
      </w:r>
      <w:r w:rsidR="00B1107F" w:rsidRPr="008048DD">
        <w:rPr>
          <w:lang w:val="es-ES_tradnl"/>
        </w:rPr>
        <w:t xml:space="preserve">, </w:t>
      </w:r>
      <w:r w:rsidRPr="008048DD">
        <w:rPr>
          <w:lang w:val="es-ES_tradnl"/>
        </w:rPr>
        <w:t>agua y suelo</w:t>
      </w:r>
      <w:r w:rsidR="00B1107F" w:rsidRPr="008048DD">
        <w:rPr>
          <w:lang w:val="es-ES_tradnl"/>
        </w:rPr>
        <w:t>) var</w:t>
      </w:r>
      <w:r w:rsidR="003C3010" w:rsidRPr="008048DD">
        <w:rPr>
          <w:lang w:val="es-ES_tradnl"/>
        </w:rPr>
        <w:t>ían en cuanto su capacidad y grado de desarrollo</w:t>
      </w:r>
      <w:r w:rsidR="00B1107F" w:rsidRPr="008048DD">
        <w:rPr>
          <w:lang w:val="es-ES_tradnl"/>
        </w:rPr>
        <w:t xml:space="preserve">. </w:t>
      </w:r>
      <w:r w:rsidRPr="008048DD">
        <w:rPr>
          <w:lang w:val="es-ES_tradnl"/>
        </w:rPr>
        <w:t>Por ejemplo, en el caso del aire y la atmósfera</w:t>
      </w:r>
      <w:r w:rsidR="00B1107F" w:rsidRPr="008048DD">
        <w:rPr>
          <w:lang w:val="es-ES_tradnl"/>
        </w:rPr>
        <w:t>, m</w:t>
      </w:r>
      <w:r w:rsidR="003C3010" w:rsidRPr="008048DD">
        <w:rPr>
          <w:lang w:val="es-ES_tradnl"/>
        </w:rPr>
        <w:t>uchos grupos encargados de la vigilancia han creado herramientas de modelización mundial que se pueden usar para determinar cómo repercuten los cambios en las emisiones y liberaciones antropógenas de mercurio e</w:t>
      </w:r>
      <w:r w:rsidR="00B1107F" w:rsidRPr="008048DD">
        <w:rPr>
          <w:lang w:val="es-ES_tradnl"/>
        </w:rPr>
        <w:t xml:space="preserve">n </w:t>
      </w:r>
      <w:r w:rsidR="003C3010" w:rsidRPr="008048DD">
        <w:rPr>
          <w:lang w:val="es-ES_tradnl"/>
        </w:rPr>
        <w:t>las concentraciones en la atmósfera a nivel mundial</w:t>
      </w:r>
      <w:r w:rsidR="00B1107F" w:rsidRPr="008048DD">
        <w:rPr>
          <w:lang w:val="es-ES_tradnl"/>
        </w:rPr>
        <w:t xml:space="preserve">, </w:t>
      </w:r>
      <w:r w:rsidR="003C3010" w:rsidRPr="008048DD">
        <w:rPr>
          <w:lang w:val="es-ES_tradnl"/>
        </w:rPr>
        <w:t>y la penetración de mercurio en los ecosistemas terrestres y el océano</w:t>
      </w:r>
      <w:r w:rsidR="00B1107F" w:rsidRPr="008048DD">
        <w:rPr>
          <w:lang w:val="es-ES_tradnl"/>
        </w:rPr>
        <w:t xml:space="preserve">. </w:t>
      </w:r>
      <w:r w:rsidRPr="008048DD">
        <w:rPr>
          <w:lang w:val="es-ES_tradnl"/>
        </w:rPr>
        <w:t>Esos modelos se han evaluado ampliamente y se pueden aplicar para determinar gradientes espaciales en las concentraciones y la deposición de mercurio en la atmósfera</w:t>
      </w:r>
      <w:r w:rsidR="00B1107F" w:rsidRPr="008048DD">
        <w:rPr>
          <w:lang w:val="es-ES_tradnl"/>
        </w:rPr>
        <w:t>, as</w:t>
      </w:r>
      <w:r w:rsidRPr="008048DD">
        <w:rPr>
          <w:lang w:val="es-ES_tradnl"/>
        </w:rPr>
        <w:t>í como cambios en el tiempo</w:t>
      </w:r>
      <w:r w:rsidR="00B1107F" w:rsidRPr="008048DD">
        <w:rPr>
          <w:lang w:val="es-ES_tradnl"/>
        </w:rPr>
        <w:t xml:space="preserve">. </w:t>
      </w:r>
      <w:r w:rsidRPr="008048DD">
        <w:rPr>
          <w:lang w:val="es-ES_tradnl"/>
        </w:rPr>
        <w:t xml:space="preserve">En cambio, </w:t>
      </w:r>
      <w:r w:rsidR="003C3010" w:rsidRPr="008048DD">
        <w:rPr>
          <w:lang w:val="es-ES_tradnl"/>
        </w:rPr>
        <w:t xml:space="preserve">hay tendencia a utilizar </w:t>
      </w:r>
      <w:r w:rsidRPr="008048DD">
        <w:rPr>
          <w:lang w:val="es-ES_tradnl"/>
        </w:rPr>
        <w:t xml:space="preserve">los modelos destinados a otros medios </w:t>
      </w:r>
      <w:r w:rsidR="003C3010" w:rsidRPr="008048DD">
        <w:rPr>
          <w:lang w:val="es-ES_tradnl"/>
        </w:rPr>
        <w:t>en las labores de investigación</w:t>
      </w:r>
      <w:r w:rsidR="00B1107F" w:rsidRPr="008048DD">
        <w:rPr>
          <w:lang w:val="es-ES_tradnl"/>
        </w:rPr>
        <w:t xml:space="preserve">. </w:t>
      </w:r>
    </w:p>
    <w:p w14:paraId="3BFEC53B" w14:textId="46A4D120" w:rsidR="00B1107F" w:rsidRPr="008048DD" w:rsidRDefault="007F5769" w:rsidP="00362646">
      <w:pPr>
        <w:pStyle w:val="Normalnumber"/>
        <w:numPr>
          <w:ilvl w:val="0"/>
          <w:numId w:val="40"/>
        </w:numPr>
        <w:tabs>
          <w:tab w:val="clear" w:pos="1057"/>
        </w:tabs>
        <w:ind w:left="1247"/>
        <w:rPr>
          <w:rFonts w:eastAsia="Helvetica"/>
          <w:lang w:val="es-ES_tradnl"/>
        </w:rPr>
      </w:pPr>
      <w:r w:rsidRPr="008048DD">
        <w:rPr>
          <w:lang w:val="es-ES_tradnl"/>
        </w:rPr>
        <w:t>La finalidad de los marcos de modelización integrada es vincular los diversos modelos usados por los diferentes medios para proporcionar una herramienta que establezca el vínculo entre las emisiones de mercurio a la atmósfera y las liberaciones a la tierra y el agua con los niveles de metilmercurio en los peces y la fauna y flora silvestres</w:t>
      </w:r>
      <w:r w:rsidR="00B1107F" w:rsidRPr="008048DD">
        <w:rPr>
          <w:lang w:val="es-ES_tradnl"/>
        </w:rPr>
        <w:t xml:space="preserve">, </w:t>
      </w:r>
      <w:r w:rsidRPr="008048DD">
        <w:rPr>
          <w:lang w:val="es-ES_tradnl"/>
        </w:rPr>
        <w:t>y con la exposición de algunas poblaciones de</w:t>
      </w:r>
      <w:r w:rsidR="00454F1C">
        <w:rPr>
          <w:lang w:val="es-ES_tradnl"/>
        </w:rPr>
        <w:t> </w:t>
      </w:r>
      <w:r w:rsidRPr="008048DD">
        <w:rPr>
          <w:lang w:val="es-ES_tradnl"/>
        </w:rPr>
        <w:t>seres humanos que consumen peces. No obstante, cabe señalar que es difícil vincular la exposición</w:t>
      </w:r>
      <w:r w:rsidR="00454F1C">
        <w:rPr>
          <w:lang w:val="es-ES_tradnl"/>
        </w:rPr>
        <w:t> </w:t>
      </w:r>
      <w:r w:rsidRPr="008048DD">
        <w:rPr>
          <w:lang w:val="es-ES_tradnl"/>
        </w:rPr>
        <w:t xml:space="preserve">de los seres humanos y las consecuencias para la salud debido a la diversidad de preferencias alimentarias, las modalidades en el consumo de alimentos y la </w:t>
      </w:r>
      <w:r w:rsidR="00231732" w:rsidRPr="008048DD">
        <w:rPr>
          <w:lang w:val="es-ES_tradnl"/>
        </w:rPr>
        <w:t>variabilidad individual en</w:t>
      </w:r>
      <w:r w:rsidR="00454F1C">
        <w:rPr>
          <w:lang w:val="es-ES_tradnl"/>
        </w:rPr>
        <w:t> </w:t>
      </w:r>
      <w:r w:rsidR="00231732" w:rsidRPr="008048DD">
        <w:rPr>
          <w:lang w:val="es-ES_tradnl"/>
        </w:rPr>
        <w:t>la t</w:t>
      </w:r>
      <w:r w:rsidR="00081EE1">
        <w:rPr>
          <w:lang w:val="es-ES_tradnl"/>
        </w:rPr>
        <w:t>o</w:t>
      </w:r>
      <w:r w:rsidRPr="008048DD">
        <w:rPr>
          <w:lang w:val="es-ES_tradnl"/>
        </w:rPr>
        <w:t>xicocinética</w:t>
      </w:r>
      <w:r w:rsidR="00866C59" w:rsidRPr="008048DD">
        <w:rPr>
          <w:lang w:val="es-ES_tradnl"/>
        </w:rPr>
        <w:t>,</w:t>
      </w:r>
      <w:r w:rsidRPr="008048DD">
        <w:rPr>
          <w:lang w:val="es-ES_tradnl"/>
        </w:rPr>
        <w:t xml:space="preserve"> que incide en la ingesta de metilmercurio y en su eliminación.</w:t>
      </w:r>
      <w:r w:rsidR="00B1107F" w:rsidRPr="008048DD">
        <w:rPr>
          <w:lang w:val="es-ES_tradnl"/>
        </w:rPr>
        <w:t xml:space="preserve"> </w:t>
      </w:r>
    </w:p>
    <w:p w14:paraId="37E129B2" w14:textId="7C19A8D4" w:rsidR="00B1107F" w:rsidRPr="008048DD" w:rsidRDefault="007F5769" w:rsidP="00362646">
      <w:pPr>
        <w:pStyle w:val="Normalnumber"/>
        <w:numPr>
          <w:ilvl w:val="0"/>
          <w:numId w:val="40"/>
        </w:numPr>
        <w:tabs>
          <w:tab w:val="clear" w:pos="1057"/>
        </w:tabs>
        <w:ind w:left="1247"/>
        <w:rPr>
          <w:lang w:val="es-ES_tradnl"/>
        </w:rPr>
      </w:pPr>
      <w:r w:rsidRPr="008048DD">
        <w:rPr>
          <w:lang w:val="es-ES_tradnl"/>
        </w:rPr>
        <w:t>Además de los modelos que describen el comportamiento del mercurio en el medio ambiente y los receptores, diversos modelos y técnicas cuantitativas puede</w:t>
      </w:r>
      <w:r w:rsidR="002D4485" w:rsidRPr="008048DD">
        <w:rPr>
          <w:lang w:val="es-ES_tradnl"/>
        </w:rPr>
        <w:t>n</w:t>
      </w:r>
      <w:r w:rsidRPr="008048DD">
        <w:rPr>
          <w:lang w:val="es-ES_tradnl"/>
        </w:rPr>
        <w:t xml:space="preserve"> simular sistemas </w:t>
      </w:r>
      <w:r w:rsidR="00C73747" w:rsidRPr="008048DD">
        <w:rPr>
          <w:lang w:val="es-ES_tradnl"/>
        </w:rPr>
        <w:t>económicos</w:t>
      </w:r>
      <w:r w:rsidRPr="008048DD">
        <w:rPr>
          <w:lang w:val="es-ES_tradnl"/>
        </w:rPr>
        <w:t xml:space="preserve"> para pronosticar dónde está presente el mercurio en la sociedad y dónde podría a la larga entrar en el medio ambiente</w:t>
      </w:r>
      <w:r w:rsidR="00B1107F" w:rsidRPr="008048DD">
        <w:rPr>
          <w:lang w:val="es-ES_tradnl"/>
        </w:rPr>
        <w:t xml:space="preserve">. </w:t>
      </w:r>
      <w:r w:rsidRPr="008048DD">
        <w:rPr>
          <w:lang w:val="es-ES_tradnl"/>
        </w:rPr>
        <w:t>De esta manera, se pueden usar modelos para elaborar hipótesis que representen un nivel de</w:t>
      </w:r>
      <w:r w:rsidR="00081EE1">
        <w:rPr>
          <w:lang w:val="es-ES_tradnl"/>
        </w:rPr>
        <w:t xml:space="preserve"> referencia</w:t>
      </w:r>
      <w:r w:rsidRPr="008048DD">
        <w:rPr>
          <w:lang w:val="es-ES_tradnl"/>
        </w:rPr>
        <w:t xml:space="preserve"> y alternativas de política diferentes</w:t>
      </w:r>
      <w:r w:rsidR="00B1107F" w:rsidRPr="008048DD">
        <w:rPr>
          <w:lang w:val="es-ES_tradnl"/>
        </w:rPr>
        <w:t>.</w:t>
      </w:r>
      <w:r w:rsidR="00B3310A" w:rsidRPr="008048DD">
        <w:rPr>
          <w:lang w:val="es-ES_tradnl"/>
        </w:rPr>
        <w:t xml:space="preserve"> </w:t>
      </w:r>
      <w:r w:rsidRPr="008048DD">
        <w:rPr>
          <w:lang w:val="es-ES_tradnl"/>
        </w:rPr>
        <w:t xml:space="preserve">La información </w:t>
      </w:r>
      <w:r w:rsidR="00911D39" w:rsidRPr="008048DD">
        <w:rPr>
          <w:lang w:val="es-ES_tradnl"/>
        </w:rPr>
        <w:t xml:space="preserve">utilizable por esos modelos son los datos comerciales </w:t>
      </w:r>
      <w:r w:rsidR="00B1107F" w:rsidRPr="008048DD">
        <w:rPr>
          <w:lang w:val="es-ES_tradnl"/>
        </w:rPr>
        <w:t>(</w:t>
      </w:r>
      <w:r w:rsidR="00911D39" w:rsidRPr="008048DD">
        <w:rPr>
          <w:lang w:val="es-ES_tradnl"/>
        </w:rPr>
        <w:t>por ejemplo, la cantidad de mercurio en los productos</w:t>
      </w:r>
      <w:r w:rsidR="00B1107F" w:rsidRPr="008048DD">
        <w:rPr>
          <w:lang w:val="es-ES_tradnl"/>
        </w:rPr>
        <w:t xml:space="preserve">), </w:t>
      </w:r>
      <w:r w:rsidR="00B1484C" w:rsidRPr="008048DD">
        <w:rPr>
          <w:lang w:val="es-ES_tradnl"/>
        </w:rPr>
        <w:t>los resultados</w:t>
      </w:r>
      <w:r w:rsidR="00911D39" w:rsidRPr="008048DD">
        <w:rPr>
          <w:lang w:val="es-ES_tradnl"/>
        </w:rPr>
        <w:t xml:space="preserve"> tecnológico</w:t>
      </w:r>
      <w:r w:rsidR="00B1484C" w:rsidRPr="008048DD">
        <w:rPr>
          <w:lang w:val="es-ES_tradnl"/>
        </w:rPr>
        <w:t>s</w:t>
      </w:r>
      <w:r w:rsidR="00C73747" w:rsidRPr="008048DD">
        <w:rPr>
          <w:lang w:val="es-ES_tradnl"/>
        </w:rPr>
        <w:t>,</w:t>
      </w:r>
      <w:r w:rsidR="00911D39" w:rsidRPr="008048DD">
        <w:rPr>
          <w:lang w:val="es-ES_tradnl"/>
        </w:rPr>
        <w:t xml:space="preserve"> la información económica</w:t>
      </w:r>
      <w:r w:rsidR="00B1107F" w:rsidRPr="008048DD">
        <w:rPr>
          <w:lang w:val="es-ES_tradnl"/>
        </w:rPr>
        <w:t>,</w:t>
      </w:r>
      <w:r w:rsidR="00911D39" w:rsidRPr="008048DD">
        <w:rPr>
          <w:lang w:val="es-ES_tradnl"/>
        </w:rPr>
        <w:t xml:space="preserve"> los datos sobre energía</w:t>
      </w:r>
      <w:r w:rsidR="00B1107F" w:rsidRPr="008048DD">
        <w:rPr>
          <w:lang w:val="es-ES_tradnl"/>
        </w:rPr>
        <w:t xml:space="preserve">, </w:t>
      </w:r>
      <w:r w:rsidR="00911D39" w:rsidRPr="008048DD">
        <w:rPr>
          <w:lang w:val="es-ES_tradnl"/>
        </w:rPr>
        <w:t>la información demográfica</w:t>
      </w:r>
      <w:r w:rsidR="00B1107F" w:rsidRPr="008048DD">
        <w:rPr>
          <w:lang w:val="es-ES_tradnl"/>
        </w:rPr>
        <w:t xml:space="preserve">, </w:t>
      </w:r>
      <w:r w:rsidR="00911D39" w:rsidRPr="008048DD">
        <w:rPr>
          <w:lang w:val="es-ES_tradnl"/>
        </w:rPr>
        <w:t>las especificaciones normativas y el análisis institucional</w:t>
      </w:r>
      <w:r w:rsidR="00B1107F" w:rsidRPr="008048DD">
        <w:rPr>
          <w:lang w:val="es-ES_tradnl"/>
        </w:rPr>
        <w:t xml:space="preserve">. </w:t>
      </w:r>
      <w:r w:rsidR="00911D39" w:rsidRPr="008048DD">
        <w:rPr>
          <w:lang w:val="es-ES_tradnl"/>
        </w:rPr>
        <w:t>Los productos pueden ser</w:t>
      </w:r>
      <w:r w:rsidR="00B1107F" w:rsidRPr="008048DD">
        <w:rPr>
          <w:lang w:val="es-ES_tradnl"/>
        </w:rPr>
        <w:t xml:space="preserve"> </w:t>
      </w:r>
      <w:r w:rsidR="00911D39" w:rsidRPr="008048DD">
        <w:rPr>
          <w:lang w:val="es-ES_tradnl"/>
        </w:rPr>
        <w:t>las emisiones y liberaciones de mercurio y los parámetros socioeconómicos</w:t>
      </w:r>
      <w:r w:rsidR="00B1107F" w:rsidRPr="008048DD">
        <w:rPr>
          <w:lang w:val="es-ES_tradnl"/>
        </w:rPr>
        <w:t>. Ot</w:t>
      </w:r>
      <w:r w:rsidR="00911D39" w:rsidRPr="008048DD">
        <w:rPr>
          <w:lang w:val="es-ES_tradnl"/>
        </w:rPr>
        <w:t>ros tipos de modelos que vienen al caso para comprender los sistemas socioeconómicos de importancia para el mercurio son el análisis del ciclo de vida, el análisis del flujo de materiales y los modelos económicos y de insumo-producto</w:t>
      </w:r>
      <w:r w:rsidR="00B1107F" w:rsidRPr="008048DD">
        <w:rPr>
          <w:lang w:val="es-ES_tradnl"/>
        </w:rPr>
        <w:t xml:space="preserve">. </w:t>
      </w:r>
    </w:p>
    <w:p w14:paraId="54097385" w14:textId="77777777" w:rsidR="00B1107F" w:rsidRPr="008048DD" w:rsidRDefault="00911D39" w:rsidP="00362646">
      <w:pPr>
        <w:pStyle w:val="Normalnumber"/>
        <w:numPr>
          <w:ilvl w:val="0"/>
          <w:numId w:val="40"/>
        </w:numPr>
        <w:tabs>
          <w:tab w:val="clear" w:pos="1057"/>
        </w:tabs>
        <w:ind w:left="1247"/>
        <w:rPr>
          <w:rFonts w:eastAsia="Helvetica"/>
          <w:lang w:val="es-ES_tradnl"/>
        </w:rPr>
      </w:pPr>
      <w:r w:rsidRPr="008048DD">
        <w:rPr>
          <w:lang w:val="es-ES_tradnl"/>
        </w:rPr>
        <w:t xml:space="preserve">La elaboración y evaluación de los modelos integrados se basa en conocimientos especializados que abarcan a las ciencias naturales, las ciencias sociales y la </w:t>
      </w:r>
      <w:r w:rsidR="00B1484C" w:rsidRPr="008048DD">
        <w:rPr>
          <w:lang w:val="es-ES_tradnl"/>
        </w:rPr>
        <w:t>técnica</w:t>
      </w:r>
      <w:r w:rsidR="00B1107F" w:rsidRPr="008048DD">
        <w:rPr>
          <w:lang w:val="es-ES_tradnl"/>
        </w:rPr>
        <w:t xml:space="preserve">. </w:t>
      </w:r>
      <w:r w:rsidRPr="008048DD">
        <w:rPr>
          <w:lang w:val="es-ES_tradnl"/>
        </w:rPr>
        <w:t xml:space="preserve">En estos momentos los componentes de un marco de modelización integrada están experimentando una rápida evolución en la comunidad científica y académica, por lo que en el futuro cercano se podrá disponer de esos marcos que añadirán conocimientos sobre el ciclo del mercurio y sus </w:t>
      </w:r>
      <w:r w:rsidR="00B1484C" w:rsidRPr="008048DD">
        <w:rPr>
          <w:lang w:val="es-ES_tradnl"/>
        </w:rPr>
        <w:t>efectos</w:t>
      </w:r>
      <w:r w:rsidR="00B1107F" w:rsidRPr="008048DD">
        <w:rPr>
          <w:lang w:val="es-ES_tradnl"/>
        </w:rPr>
        <w:t xml:space="preserve">. </w:t>
      </w:r>
      <w:r w:rsidRPr="008048DD">
        <w:rPr>
          <w:lang w:val="es-ES_tradnl"/>
        </w:rPr>
        <w:t xml:space="preserve">Cabe esperar que esos modelos puedan utilizarse a partir de </w:t>
      </w:r>
      <w:r w:rsidR="00B1107F" w:rsidRPr="008048DD">
        <w:rPr>
          <w:lang w:val="es-ES_tradnl"/>
        </w:rPr>
        <w:t>2023</w:t>
      </w:r>
      <w:r w:rsidRPr="008048DD">
        <w:rPr>
          <w:lang w:val="es-ES_tradnl"/>
        </w:rPr>
        <w:t xml:space="preserve"> para los análisis de cuestiones normativas</w:t>
      </w:r>
      <w:r w:rsidR="00B1107F" w:rsidRPr="008048DD">
        <w:rPr>
          <w:lang w:val="es-ES_tradnl"/>
        </w:rPr>
        <w:t xml:space="preserve">. </w:t>
      </w:r>
    </w:p>
    <w:p w14:paraId="09A197B3" w14:textId="77777777" w:rsidR="00B1107F" w:rsidRPr="008048DD" w:rsidRDefault="008E2CA8" w:rsidP="00B66A03">
      <w:pPr>
        <w:pStyle w:val="CH2"/>
        <w:rPr>
          <w:u w:color="4F81BD"/>
          <w:lang w:val="es-ES_tradnl"/>
        </w:rPr>
      </w:pPr>
      <w:r w:rsidRPr="008048DD">
        <w:rPr>
          <w:lang w:val="es-ES_tradnl"/>
        </w:rPr>
        <w:tab/>
      </w:r>
      <w:r w:rsidR="00B66A03" w:rsidRPr="008048DD">
        <w:rPr>
          <w:lang w:val="es-ES_tradnl"/>
        </w:rPr>
        <w:t>E.</w:t>
      </w:r>
      <w:r w:rsidR="00B66A03" w:rsidRPr="008048DD">
        <w:rPr>
          <w:lang w:val="es-ES_tradnl"/>
        </w:rPr>
        <w:tab/>
      </w:r>
      <w:r w:rsidR="00B66A03" w:rsidRPr="008048DD">
        <w:rPr>
          <w:bCs/>
          <w:lang w:val="es-ES_tradnl"/>
        </w:rPr>
        <w:t>Funciones científicas y técnicas</w:t>
      </w:r>
    </w:p>
    <w:p w14:paraId="17457476" w14:textId="77777777" w:rsidR="00B1107F" w:rsidRPr="008048DD" w:rsidRDefault="00B1107F" w:rsidP="00362646">
      <w:pPr>
        <w:pStyle w:val="Normalnumber"/>
        <w:numPr>
          <w:ilvl w:val="0"/>
          <w:numId w:val="40"/>
        </w:numPr>
        <w:tabs>
          <w:tab w:val="clear" w:pos="1057"/>
        </w:tabs>
        <w:ind w:left="1247"/>
        <w:rPr>
          <w:lang w:val="es-ES_tradnl"/>
        </w:rPr>
      </w:pPr>
      <w:r w:rsidRPr="008048DD">
        <w:rPr>
          <w:lang w:val="es-ES_tradnl"/>
        </w:rPr>
        <w:t xml:space="preserve">En el marco de evaluación de la eficacia del Convenio de Minamata se prevén cuatro funciones científicas y técnicas que se llevarán a cabo para la evaluación de la eficacia, a saber, la vigilancia, la síntesis, la modelización y atribución (cuando sea posible), y la integración. Estas funciones entran en juego en los diferentes niveles del marco. </w:t>
      </w:r>
    </w:p>
    <w:p w14:paraId="5E91A2D0" w14:textId="77777777" w:rsidR="002978D6" w:rsidRPr="008048DD" w:rsidRDefault="002978D6" w:rsidP="00362646">
      <w:pPr>
        <w:pStyle w:val="Normalnumber"/>
        <w:numPr>
          <w:ilvl w:val="0"/>
          <w:numId w:val="40"/>
        </w:numPr>
        <w:tabs>
          <w:tab w:val="clear" w:pos="1057"/>
        </w:tabs>
        <w:ind w:left="1247"/>
        <w:rPr>
          <w:lang w:val="es-ES_tradnl"/>
        </w:rPr>
      </w:pPr>
      <w:r w:rsidRPr="008048DD">
        <w:rPr>
          <w:lang w:val="es-ES_tradnl"/>
        </w:rPr>
        <w:t xml:space="preserve">En síntesis, esta función científica y técnica </w:t>
      </w:r>
      <w:r w:rsidR="000E68C5" w:rsidRPr="008048DD">
        <w:rPr>
          <w:lang w:val="es-ES_tradnl"/>
        </w:rPr>
        <w:t>supone</w:t>
      </w:r>
      <w:r w:rsidRPr="008048DD">
        <w:rPr>
          <w:lang w:val="es-ES_tradnl"/>
        </w:rPr>
        <w:t xml:space="preserve"> la </w:t>
      </w:r>
      <w:r w:rsidR="000E68C5" w:rsidRPr="008048DD">
        <w:rPr>
          <w:lang w:val="es-ES_tradnl"/>
        </w:rPr>
        <w:t>tarea</w:t>
      </w:r>
      <w:r w:rsidRPr="008048DD">
        <w:rPr>
          <w:lang w:val="es-ES_tradnl"/>
        </w:rPr>
        <w:t xml:space="preserve"> de reunir y compilar información de los niveles 1 y 2. Esta función se lleva a cabo en el nivel 3. Esta función es desempeñada por la Secretaría con los asociados o por medio de la Secretaría y </w:t>
      </w:r>
      <w:r w:rsidR="000E68C5" w:rsidRPr="008048DD">
        <w:rPr>
          <w:lang w:val="es-ES_tradnl"/>
        </w:rPr>
        <w:t xml:space="preserve">con </w:t>
      </w:r>
      <w:r w:rsidRPr="008048DD">
        <w:rPr>
          <w:lang w:val="es-ES_tradnl"/>
        </w:rPr>
        <w:t xml:space="preserve">el concurso de los asociados. Además del </w:t>
      </w:r>
      <w:r w:rsidR="000E68C5" w:rsidRPr="008048DD">
        <w:rPr>
          <w:lang w:val="es-ES_tradnl"/>
        </w:rPr>
        <w:t>informe de vigilancia mencionado</w:t>
      </w:r>
      <w:r w:rsidRPr="008048DD">
        <w:rPr>
          <w:lang w:val="es-ES_tradnl"/>
        </w:rPr>
        <w:t xml:space="preserve"> anteriormente, en el marco de evaluación de la eficacia se prevé la elaboración de los siguientes cuatro informes de síntesis: el informe de síntesis previsto en el artículo 21, el informe sobre las emisiones y liberaciones, el informe sobre el comercio, </w:t>
      </w:r>
      <w:r w:rsidR="00E0374C" w:rsidRPr="008048DD">
        <w:rPr>
          <w:lang w:val="es-ES_tradnl"/>
        </w:rPr>
        <w:t>el suministro</w:t>
      </w:r>
      <w:r w:rsidRPr="008048DD">
        <w:rPr>
          <w:lang w:val="es-ES_tradnl"/>
        </w:rPr>
        <w:t xml:space="preserve"> y la demanda y el informe sobre los desechos. </w:t>
      </w:r>
    </w:p>
    <w:p w14:paraId="141FFE80" w14:textId="311AB649" w:rsidR="00971D2C" w:rsidRPr="008048DD" w:rsidRDefault="009819C3" w:rsidP="00362646">
      <w:pPr>
        <w:pStyle w:val="Normalnumber"/>
        <w:numPr>
          <w:ilvl w:val="0"/>
          <w:numId w:val="40"/>
        </w:numPr>
        <w:tabs>
          <w:tab w:val="clear" w:pos="1057"/>
        </w:tabs>
        <w:ind w:left="1247"/>
        <w:rPr>
          <w:lang w:val="es-ES_tradnl"/>
        </w:rPr>
      </w:pPr>
      <w:r w:rsidRPr="008048DD">
        <w:rPr>
          <w:lang w:val="es-ES_tradnl"/>
        </w:rPr>
        <w:t xml:space="preserve">En materia de vigilancia, esta función científica y técnica consiste en la compilación, la evaluación y el resumen de los datos de vigilancia disponibles, de conformidad con los </w:t>
      </w:r>
      <w:r w:rsidR="00891F8B" w:rsidRPr="008048DD">
        <w:rPr>
          <w:lang w:val="es-ES_tradnl"/>
        </w:rPr>
        <w:t>arreglos de vigilancia</w:t>
      </w:r>
      <w:r w:rsidRPr="008048DD">
        <w:rPr>
          <w:lang w:val="es-ES_tradnl"/>
        </w:rPr>
        <w:t xml:space="preserve"> </w:t>
      </w:r>
      <w:r w:rsidR="000E68C5" w:rsidRPr="008048DD">
        <w:rPr>
          <w:lang w:val="es-ES_tradnl"/>
        </w:rPr>
        <w:t xml:space="preserve">a nivel </w:t>
      </w:r>
      <w:r w:rsidRPr="008048DD">
        <w:rPr>
          <w:lang w:val="es-ES_tradnl"/>
        </w:rPr>
        <w:t>mundial que figuran en el apéndice III, para describir el</w:t>
      </w:r>
      <w:r w:rsidR="00336C73" w:rsidRPr="008048DD">
        <w:rPr>
          <w:lang w:val="es-ES_tradnl"/>
        </w:rPr>
        <w:t xml:space="preserve"> estado actual de las concentr</w:t>
      </w:r>
      <w:r w:rsidRPr="008048DD">
        <w:rPr>
          <w:lang w:val="es-ES_tradnl"/>
        </w:rPr>
        <w:t xml:space="preserve">aciones de mercurio y las tendencias en el medio ambiente, los medios bióticos y las poblaciones vulnerables, en colaboración con expertos de modelización, según proceda. De esta función se encargará el grupo sobre vigilancia, que elaborará el </w:t>
      </w:r>
      <w:r w:rsidR="00F43A19" w:rsidRPr="008048DD">
        <w:rPr>
          <w:lang w:val="es-ES_tradnl"/>
        </w:rPr>
        <w:t>informe de vigilancia</w:t>
      </w:r>
      <w:r w:rsidRPr="008048DD">
        <w:rPr>
          <w:lang w:val="es-ES_tradnl"/>
        </w:rPr>
        <w:t xml:space="preserve"> en el nivel 3. El</w:t>
      </w:r>
      <w:r w:rsidR="00FD2DD6" w:rsidRPr="008048DD">
        <w:rPr>
          <w:lang w:val="es-ES_tradnl"/>
        </w:rPr>
        <w:t> </w:t>
      </w:r>
      <w:r w:rsidR="00F43A19" w:rsidRPr="008048DD">
        <w:rPr>
          <w:lang w:val="es-ES_tradnl"/>
        </w:rPr>
        <w:t>informe de vigilancia</w:t>
      </w:r>
      <w:r w:rsidR="000E68C5" w:rsidRPr="008048DD">
        <w:rPr>
          <w:lang w:val="es-ES_tradnl"/>
        </w:rPr>
        <w:t xml:space="preserve"> se presentará</w:t>
      </w:r>
      <w:r w:rsidRPr="008048DD">
        <w:rPr>
          <w:lang w:val="es-ES_tradnl"/>
        </w:rPr>
        <w:t xml:space="preserve"> al </w:t>
      </w:r>
      <w:r w:rsidR="00FD2DD6" w:rsidRPr="008048DD">
        <w:rPr>
          <w:lang w:val="es-ES_tradnl"/>
        </w:rPr>
        <w:t>Comité de Evaluación de la E</w:t>
      </w:r>
      <w:r w:rsidR="00E006FC" w:rsidRPr="008048DD">
        <w:rPr>
          <w:lang w:val="es-ES_tradnl"/>
        </w:rPr>
        <w:t>ficacia</w:t>
      </w:r>
      <w:r w:rsidRPr="008048DD">
        <w:rPr>
          <w:lang w:val="es-ES_tradnl"/>
        </w:rPr>
        <w:t xml:space="preserve"> para su examen y la formulación de conclusiones. El </w:t>
      </w:r>
      <w:r w:rsidR="00F43A19" w:rsidRPr="008048DD">
        <w:rPr>
          <w:lang w:val="es-ES_tradnl"/>
        </w:rPr>
        <w:t>informe de vigilancia</w:t>
      </w:r>
      <w:r w:rsidRPr="008048DD">
        <w:rPr>
          <w:lang w:val="es-ES_tradnl"/>
        </w:rPr>
        <w:t xml:space="preserve"> y la labor del grupo sobre vigilancia también serán aportaciones a un informe sobre la atribución cuando el subgrupo de modelización esté elaborando dicho informe en el nivel 4</w:t>
      </w:r>
      <w:r w:rsidR="008E2CA8" w:rsidRPr="008048DD">
        <w:rPr>
          <w:lang w:val="es-ES_tradnl"/>
        </w:rPr>
        <w:t>.</w:t>
      </w:r>
    </w:p>
    <w:p w14:paraId="2A732E6C" w14:textId="77777777" w:rsidR="00B1107F" w:rsidRPr="008048DD" w:rsidRDefault="00336C73" w:rsidP="00362646">
      <w:pPr>
        <w:pStyle w:val="Normalnumber"/>
        <w:numPr>
          <w:ilvl w:val="0"/>
          <w:numId w:val="40"/>
        </w:numPr>
        <w:tabs>
          <w:tab w:val="clear" w:pos="1057"/>
        </w:tabs>
        <w:ind w:left="1247"/>
        <w:rPr>
          <w:lang w:val="es-ES_tradnl"/>
        </w:rPr>
      </w:pPr>
      <w:r w:rsidRPr="008048DD">
        <w:rPr>
          <w:lang w:val="es-ES_tradnl"/>
        </w:rPr>
        <w:t>En lo referente a la atribución</w:t>
      </w:r>
      <w:r w:rsidR="00B1107F" w:rsidRPr="008048DD">
        <w:rPr>
          <w:lang w:val="es-ES_tradnl"/>
        </w:rPr>
        <w:t xml:space="preserve">, </w:t>
      </w:r>
      <w:r w:rsidRPr="008048DD">
        <w:rPr>
          <w:lang w:val="es-ES_tradnl"/>
        </w:rPr>
        <w:t>esta función científica y técnica</w:t>
      </w:r>
      <w:r w:rsidR="00B1107F" w:rsidRPr="008048DD">
        <w:rPr>
          <w:lang w:val="es-ES_tradnl"/>
        </w:rPr>
        <w:t xml:space="preserve"> </w:t>
      </w:r>
      <w:r w:rsidRPr="008048DD">
        <w:rPr>
          <w:lang w:val="es-ES_tradnl"/>
        </w:rPr>
        <w:t xml:space="preserve">consiste </w:t>
      </w:r>
      <w:r w:rsidR="00B1107F" w:rsidRPr="008048DD">
        <w:rPr>
          <w:lang w:val="es-ES_tradnl"/>
        </w:rPr>
        <w:t>en</w:t>
      </w:r>
      <w:r w:rsidRPr="008048DD">
        <w:rPr>
          <w:lang w:val="es-ES_tradnl"/>
        </w:rPr>
        <w:t xml:space="preserve"> analizar </w:t>
      </w:r>
      <w:r w:rsidR="00F32BC8" w:rsidRPr="008048DD">
        <w:rPr>
          <w:lang w:val="es-ES_tradnl"/>
        </w:rPr>
        <w:t xml:space="preserve">cómo </w:t>
      </w:r>
      <w:r w:rsidRPr="008048DD">
        <w:rPr>
          <w:lang w:val="es-ES_tradnl"/>
        </w:rPr>
        <w:t xml:space="preserve">las emisiones y liberaciones </w:t>
      </w:r>
      <w:r w:rsidR="00F32BC8" w:rsidRPr="008048DD">
        <w:rPr>
          <w:lang w:val="es-ES_tradnl"/>
        </w:rPr>
        <w:t xml:space="preserve">de que trata </w:t>
      </w:r>
      <w:r w:rsidRPr="008048DD">
        <w:rPr>
          <w:lang w:val="es-ES_tradnl"/>
        </w:rPr>
        <w:t>el Convenio</w:t>
      </w:r>
      <w:r w:rsidR="00B1107F" w:rsidRPr="008048DD">
        <w:rPr>
          <w:lang w:val="es-ES_tradnl"/>
        </w:rPr>
        <w:t xml:space="preserve"> </w:t>
      </w:r>
      <w:r w:rsidR="00F32BC8" w:rsidRPr="008048DD">
        <w:rPr>
          <w:lang w:val="es-ES_tradnl"/>
        </w:rPr>
        <w:t xml:space="preserve">contribuyen </w:t>
      </w:r>
      <w:r w:rsidRPr="008048DD">
        <w:rPr>
          <w:lang w:val="es-ES_tradnl"/>
        </w:rPr>
        <w:t>a la</w:t>
      </w:r>
      <w:r w:rsidR="00F32BC8" w:rsidRPr="008048DD">
        <w:rPr>
          <w:lang w:val="es-ES_tradnl"/>
        </w:rPr>
        <w:t>s</w:t>
      </w:r>
      <w:r w:rsidRPr="008048DD">
        <w:rPr>
          <w:lang w:val="es-ES_tradnl"/>
        </w:rPr>
        <w:t xml:space="preserve"> concentraciones de mercurio en el medio ambiente,</w:t>
      </w:r>
      <w:r w:rsidR="00B1107F" w:rsidRPr="008048DD">
        <w:rPr>
          <w:lang w:val="es-ES_tradnl"/>
        </w:rPr>
        <w:t xml:space="preserve"> </w:t>
      </w:r>
      <w:r w:rsidRPr="008048DD">
        <w:rPr>
          <w:lang w:val="es-ES_tradnl"/>
        </w:rPr>
        <w:t xml:space="preserve">los medios bióticos y las poblaciones </w:t>
      </w:r>
      <w:r w:rsidR="001D256E" w:rsidRPr="008048DD">
        <w:rPr>
          <w:lang w:val="es-ES_tradnl"/>
        </w:rPr>
        <w:t>vulnerables</w:t>
      </w:r>
      <w:r w:rsidR="00B1107F" w:rsidRPr="008048DD">
        <w:rPr>
          <w:lang w:val="es-ES_tradnl"/>
        </w:rPr>
        <w:t>. T</w:t>
      </w:r>
      <w:r w:rsidRPr="008048DD">
        <w:rPr>
          <w:lang w:val="es-ES_tradnl"/>
        </w:rPr>
        <w:t>an pronto quede establecido, el subgrupo sobre modelización desempeñará esta función</w:t>
      </w:r>
      <w:r w:rsidR="00B1107F" w:rsidRPr="008048DD">
        <w:rPr>
          <w:lang w:val="es-ES_tradnl"/>
        </w:rPr>
        <w:t xml:space="preserve">. </w:t>
      </w:r>
      <w:r w:rsidRPr="008048DD">
        <w:rPr>
          <w:lang w:val="es-ES_tradnl"/>
        </w:rPr>
        <w:t>Esta función se realizará en el nivel</w:t>
      </w:r>
      <w:r w:rsidR="00B1107F" w:rsidRPr="008048DD">
        <w:rPr>
          <w:lang w:val="es-ES_tradnl"/>
        </w:rPr>
        <w:t xml:space="preserve"> 4</w:t>
      </w:r>
      <w:r w:rsidR="00531450" w:rsidRPr="008048DD">
        <w:rPr>
          <w:lang w:val="es-ES_tradnl"/>
        </w:rPr>
        <w:t xml:space="preserve"> para hacer una estimación de las concentraciones de mercurio en el futuro</w:t>
      </w:r>
      <w:r w:rsidR="000E68C5" w:rsidRPr="008048DD">
        <w:rPr>
          <w:lang w:val="es-ES_tradnl"/>
        </w:rPr>
        <w:t xml:space="preserve"> que permita conocer</w:t>
      </w:r>
      <w:r w:rsidR="00F32BC8" w:rsidRPr="008048DD">
        <w:rPr>
          <w:lang w:val="es-ES_tradnl"/>
        </w:rPr>
        <w:t xml:space="preserve"> los efectos generales </w:t>
      </w:r>
      <w:r w:rsidR="00D2771F" w:rsidRPr="008048DD">
        <w:rPr>
          <w:lang w:val="es-ES_tradnl"/>
        </w:rPr>
        <w:t>de las emisiones y liberaciones de mercurio</w:t>
      </w:r>
      <w:r w:rsidR="00951C4A" w:rsidRPr="008048DD">
        <w:rPr>
          <w:lang w:val="es-ES_tradnl"/>
        </w:rPr>
        <w:t>,</w:t>
      </w:r>
      <w:r w:rsidR="00B1107F" w:rsidRPr="008048DD">
        <w:rPr>
          <w:lang w:val="es-ES_tradnl"/>
        </w:rPr>
        <w:t xml:space="preserve"> </w:t>
      </w:r>
      <w:r w:rsidR="00906BA0" w:rsidRPr="008048DD">
        <w:rPr>
          <w:lang w:val="es-ES_tradnl"/>
        </w:rPr>
        <w:t xml:space="preserve">desde las heredadas hasta las </w:t>
      </w:r>
      <w:r w:rsidR="00D2771F" w:rsidRPr="008048DD">
        <w:rPr>
          <w:lang w:val="es-ES_tradnl"/>
        </w:rPr>
        <w:t xml:space="preserve">emisiones y liberaciones </w:t>
      </w:r>
      <w:r w:rsidR="00906BA0" w:rsidRPr="008048DD">
        <w:rPr>
          <w:lang w:val="es-ES_tradnl"/>
        </w:rPr>
        <w:t>que se pronostican para el futuro</w:t>
      </w:r>
      <w:r w:rsidR="00951C4A" w:rsidRPr="008048DD">
        <w:rPr>
          <w:lang w:val="es-ES_tradnl"/>
        </w:rPr>
        <w:t>,</w:t>
      </w:r>
      <w:r w:rsidR="00B1107F" w:rsidRPr="008048DD">
        <w:rPr>
          <w:lang w:val="es-ES_tradnl"/>
        </w:rPr>
        <w:t xml:space="preserve"> </w:t>
      </w:r>
      <w:r w:rsidR="00D2771F" w:rsidRPr="008048DD">
        <w:rPr>
          <w:lang w:val="es-ES_tradnl"/>
        </w:rPr>
        <w:t>en distintas situaciones hipotéticas</w:t>
      </w:r>
      <w:r w:rsidR="00951C4A" w:rsidRPr="008048DD">
        <w:rPr>
          <w:lang w:val="es-ES_tradnl"/>
        </w:rPr>
        <w:t>,</w:t>
      </w:r>
      <w:r w:rsidR="00B1107F" w:rsidRPr="008048DD">
        <w:rPr>
          <w:lang w:val="es-ES_tradnl"/>
        </w:rPr>
        <w:t xml:space="preserve"> </w:t>
      </w:r>
      <w:r w:rsidR="00906BA0" w:rsidRPr="008048DD">
        <w:rPr>
          <w:lang w:val="es-ES_tradnl"/>
        </w:rPr>
        <w:t xml:space="preserve">sobre la base </w:t>
      </w:r>
      <w:r w:rsidR="000E68C5" w:rsidRPr="008048DD">
        <w:rPr>
          <w:lang w:val="es-ES_tradnl"/>
        </w:rPr>
        <w:t xml:space="preserve">tanto </w:t>
      </w:r>
      <w:r w:rsidR="00906BA0" w:rsidRPr="008048DD">
        <w:rPr>
          <w:lang w:val="es-ES_tradnl"/>
        </w:rPr>
        <w:t>de los</w:t>
      </w:r>
      <w:r w:rsidR="00D2771F" w:rsidRPr="008048DD">
        <w:rPr>
          <w:lang w:val="es-ES_tradnl"/>
        </w:rPr>
        <w:t xml:space="preserve"> informes </w:t>
      </w:r>
      <w:r w:rsidR="00906BA0" w:rsidRPr="008048DD">
        <w:rPr>
          <w:lang w:val="es-ES_tradnl"/>
        </w:rPr>
        <w:t xml:space="preserve">que se han puesto a la disposición </w:t>
      </w:r>
      <w:r w:rsidR="00D2771F" w:rsidRPr="008048DD">
        <w:rPr>
          <w:lang w:val="es-ES_tradnl"/>
        </w:rPr>
        <w:t xml:space="preserve">en el proceso de evaluación de la eficacia como </w:t>
      </w:r>
      <w:r w:rsidR="000E68C5" w:rsidRPr="008048DD">
        <w:rPr>
          <w:lang w:val="es-ES_tradnl"/>
        </w:rPr>
        <w:t xml:space="preserve">de </w:t>
      </w:r>
      <w:r w:rsidR="00D2771F" w:rsidRPr="008048DD">
        <w:rPr>
          <w:lang w:val="es-ES_tradnl"/>
        </w:rPr>
        <w:t>la información socioec</w:t>
      </w:r>
      <w:r w:rsidR="00906BA0" w:rsidRPr="008048DD">
        <w:rPr>
          <w:lang w:val="es-ES_tradnl"/>
        </w:rPr>
        <w:t>o</w:t>
      </w:r>
      <w:r w:rsidR="00D2771F" w:rsidRPr="008048DD">
        <w:rPr>
          <w:lang w:val="es-ES_tradnl"/>
        </w:rPr>
        <w:t>n</w:t>
      </w:r>
      <w:r w:rsidR="00906BA0" w:rsidRPr="008048DD">
        <w:rPr>
          <w:lang w:val="es-ES_tradnl"/>
        </w:rPr>
        <w:t>ó</w:t>
      </w:r>
      <w:r w:rsidR="00D2771F" w:rsidRPr="008048DD">
        <w:rPr>
          <w:lang w:val="es-ES_tradnl"/>
        </w:rPr>
        <w:t>mic</w:t>
      </w:r>
      <w:r w:rsidR="00906BA0" w:rsidRPr="008048DD">
        <w:rPr>
          <w:lang w:val="es-ES_tradnl"/>
        </w:rPr>
        <w:t>a</w:t>
      </w:r>
      <w:r w:rsidR="00D2771F" w:rsidRPr="008048DD">
        <w:rPr>
          <w:lang w:val="es-ES_tradnl"/>
        </w:rPr>
        <w:t xml:space="preserve"> pertinente</w:t>
      </w:r>
      <w:r w:rsidR="00B1107F" w:rsidRPr="008048DD">
        <w:rPr>
          <w:lang w:val="es-ES_tradnl"/>
        </w:rPr>
        <w:t xml:space="preserve">. </w:t>
      </w:r>
    </w:p>
    <w:p w14:paraId="1FC8A85F" w14:textId="65582F88" w:rsidR="00B1107F" w:rsidRPr="008048DD" w:rsidRDefault="00336C73" w:rsidP="00362646">
      <w:pPr>
        <w:pStyle w:val="Normalnumber"/>
        <w:numPr>
          <w:ilvl w:val="0"/>
          <w:numId w:val="40"/>
        </w:numPr>
        <w:tabs>
          <w:tab w:val="clear" w:pos="1057"/>
        </w:tabs>
        <w:ind w:left="1247"/>
        <w:rPr>
          <w:lang w:val="es-ES_tradnl"/>
        </w:rPr>
      </w:pPr>
      <w:r w:rsidRPr="008048DD">
        <w:rPr>
          <w:lang w:val="es-ES_tradnl"/>
        </w:rPr>
        <w:t>En materia de integración</w:t>
      </w:r>
      <w:r w:rsidR="00B1107F" w:rsidRPr="008048DD">
        <w:rPr>
          <w:lang w:val="es-ES_tradnl"/>
        </w:rPr>
        <w:t xml:space="preserve">, </w:t>
      </w:r>
      <w:r w:rsidRPr="008048DD">
        <w:rPr>
          <w:lang w:val="es-ES_tradnl"/>
        </w:rPr>
        <w:t>esta función científica y técnica tendrá</w:t>
      </w:r>
      <w:r w:rsidR="00B3310A" w:rsidRPr="008048DD">
        <w:rPr>
          <w:lang w:val="es-ES_tradnl"/>
        </w:rPr>
        <w:t xml:space="preserve"> </w:t>
      </w:r>
      <w:r w:rsidRPr="008048DD">
        <w:rPr>
          <w:lang w:val="es-ES_tradnl"/>
        </w:rPr>
        <w:t>lugar en el nivel</w:t>
      </w:r>
      <w:r w:rsidR="00B1107F" w:rsidRPr="008048DD">
        <w:rPr>
          <w:lang w:val="es-ES_tradnl"/>
        </w:rPr>
        <w:t xml:space="preserve"> 5 </w:t>
      </w:r>
      <w:r w:rsidRPr="008048DD">
        <w:rPr>
          <w:lang w:val="es-ES_tradnl"/>
        </w:rPr>
        <w:t>y abarcará la interpretación de la información y los conocimientos acumulados, recopilados y sintetizados</w:t>
      </w:r>
      <w:r w:rsidR="00B1107F" w:rsidRPr="008048DD">
        <w:rPr>
          <w:lang w:val="es-ES_tradnl"/>
        </w:rPr>
        <w:t xml:space="preserve"> (inclu</w:t>
      </w:r>
      <w:r w:rsidRPr="008048DD">
        <w:rPr>
          <w:lang w:val="es-ES_tradnl"/>
        </w:rPr>
        <w:t>ida la del informe sobre la atribución, cuando esté disponible</w:t>
      </w:r>
      <w:r w:rsidR="00B1107F" w:rsidRPr="008048DD">
        <w:rPr>
          <w:lang w:val="es-ES_tradnl"/>
        </w:rPr>
        <w:t xml:space="preserve">) </w:t>
      </w:r>
      <w:r w:rsidRPr="008048DD">
        <w:rPr>
          <w:lang w:val="es-ES_tradnl"/>
        </w:rPr>
        <w:t>para determinar los vínculos entre las medidas normativas, la reducción de las emisiones y los niveles de mercurio</w:t>
      </w:r>
      <w:r w:rsidR="0090361B" w:rsidRPr="008048DD">
        <w:rPr>
          <w:lang w:val="es-ES_tradnl"/>
        </w:rPr>
        <w:t>,</w:t>
      </w:r>
      <w:r w:rsidR="00B1107F" w:rsidRPr="008048DD">
        <w:rPr>
          <w:lang w:val="es-ES_tradnl"/>
        </w:rPr>
        <w:t xml:space="preserve"> </w:t>
      </w:r>
      <w:r w:rsidRPr="008048DD">
        <w:rPr>
          <w:lang w:val="es-ES_tradnl"/>
        </w:rPr>
        <w:t>y formular conclusiones sobre la eficacia del Convenio</w:t>
      </w:r>
      <w:r w:rsidR="00B1107F" w:rsidRPr="008048DD">
        <w:rPr>
          <w:lang w:val="es-ES_tradnl"/>
        </w:rPr>
        <w:t xml:space="preserve">. </w:t>
      </w:r>
      <w:r w:rsidRPr="008048DD">
        <w:rPr>
          <w:lang w:val="es-ES_tradnl"/>
        </w:rPr>
        <w:t xml:space="preserve">Esta función estará a cargo del </w:t>
      </w:r>
      <w:r w:rsidR="00DD3CB2" w:rsidRPr="008048DD">
        <w:rPr>
          <w:lang w:val="es-ES_tradnl"/>
        </w:rPr>
        <w:t>C</w:t>
      </w:r>
      <w:r w:rsidR="00E006FC" w:rsidRPr="008048DD">
        <w:rPr>
          <w:lang w:val="es-ES_tradnl"/>
        </w:rPr>
        <w:t xml:space="preserve">omité de </w:t>
      </w:r>
      <w:r w:rsidR="00DD3CB2" w:rsidRPr="008048DD">
        <w:rPr>
          <w:lang w:val="es-ES_tradnl"/>
        </w:rPr>
        <w:t>Evaluación de la E</w:t>
      </w:r>
      <w:r w:rsidR="00E006FC" w:rsidRPr="008048DD">
        <w:rPr>
          <w:lang w:val="es-ES_tradnl"/>
        </w:rPr>
        <w:t>ficacia</w:t>
      </w:r>
      <w:r w:rsidR="00B1107F" w:rsidRPr="008048DD">
        <w:rPr>
          <w:lang w:val="es-ES_tradnl"/>
        </w:rPr>
        <w:t xml:space="preserve">. </w:t>
      </w:r>
      <w:r w:rsidRPr="008048DD">
        <w:rPr>
          <w:lang w:val="es-ES_tradnl"/>
        </w:rPr>
        <w:t>El proyecto de mandato del Comité figura en el apéndice</w:t>
      </w:r>
      <w:r w:rsidR="00B1107F" w:rsidRPr="008048DD">
        <w:rPr>
          <w:u w:color="4F81BD"/>
          <w:lang w:val="es-ES_tradnl"/>
        </w:rPr>
        <w:t xml:space="preserve"> II. </w:t>
      </w:r>
      <w:r w:rsidRPr="008048DD">
        <w:rPr>
          <w:u w:color="4F81BD"/>
          <w:lang w:val="es-ES_tradnl"/>
        </w:rPr>
        <w:t xml:space="preserve">Al formular sus conclusiones, el Comité </w:t>
      </w:r>
      <w:r w:rsidR="00D2771F" w:rsidRPr="008048DD">
        <w:rPr>
          <w:u w:color="4F81BD"/>
          <w:lang w:val="es-ES_tradnl"/>
        </w:rPr>
        <w:t>indicará dónde se está cumpliendo el objetivo del Convenio y dónde no</w:t>
      </w:r>
      <w:r w:rsidR="00B1107F" w:rsidRPr="008048DD">
        <w:rPr>
          <w:u w:color="4F81BD"/>
          <w:lang w:val="es-ES_tradnl"/>
        </w:rPr>
        <w:t>.</w:t>
      </w:r>
    </w:p>
    <w:p w14:paraId="6FF014C2" w14:textId="77777777" w:rsidR="00B1107F" w:rsidRPr="008048DD" w:rsidRDefault="008E2CA8" w:rsidP="00B66A03">
      <w:pPr>
        <w:pStyle w:val="CH2"/>
        <w:rPr>
          <w:lang w:val="es-ES_tradnl"/>
        </w:rPr>
      </w:pPr>
      <w:r w:rsidRPr="008048DD">
        <w:rPr>
          <w:lang w:val="es-ES_tradnl"/>
        </w:rPr>
        <w:tab/>
      </w:r>
      <w:r w:rsidR="00B66A03" w:rsidRPr="008048DD">
        <w:rPr>
          <w:lang w:val="es-ES_tradnl"/>
        </w:rPr>
        <w:t>F.</w:t>
      </w:r>
      <w:r w:rsidR="00B66A03" w:rsidRPr="008048DD">
        <w:rPr>
          <w:lang w:val="es-ES_tradnl"/>
        </w:rPr>
        <w:tab/>
      </w:r>
      <w:r w:rsidRPr="008048DD">
        <w:rPr>
          <w:lang w:val="es-ES_tradnl"/>
        </w:rPr>
        <w:t>Arreglos i</w:t>
      </w:r>
      <w:r w:rsidR="00B66A03" w:rsidRPr="008048DD">
        <w:rPr>
          <w:lang w:val="es-ES_tradnl"/>
        </w:rPr>
        <w:t>nstitu</w:t>
      </w:r>
      <w:r w:rsidRPr="008048DD">
        <w:rPr>
          <w:lang w:val="es-ES_tradnl"/>
        </w:rPr>
        <w:t>c</w:t>
      </w:r>
      <w:r w:rsidR="00B66A03" w:rsidRPr="008048DD">
        <w:rPr>
          <w:lang w:val="es-ES_tradnl"/>
        </w:rPr>
        <w:t>ional</w:t>
      </w:r>
      <w:r w:rsidRPr="008048DD">
        <w:rPr>
          <w:lang w:val="es-ES_tradnl"/>
        </w:rPr>
        <w:t>es para la evaluación de la eficacia</w:t>
      </w:r>
    </w:p>
    <w:p w14:paraId="685944EB" w14:textId="441002D6" w:rsidR="00B1107F" w:rsidRPr="008048DD" w:rsidRDefault="001F0FFC" w:rsidP="00362646">
      <w:pPr>
        <w:pStyle w:val="Normalnumber"/>
        <w:numPr>
          <w:ilvl w:val="0"/>
          <w:numId w:val="40"/>
        </w:numPr>
        <w:tabs>
          <w:tab w:val="clear" w:pos="1057"/>
        </w:tabs>
        <w:ind w:left="1247"/>
        <w:rPr>
          <w:iCs/>
          <w:u w:color="4F81BD"/>
          <w:lang w:val="es-ES_tradnl"/>
        </w:rPr>
      </w:pPr>
      <w:r w:rsidRPr="008048DD">
        <w:rPr>
          <w:lang w:val="es-ES_tradnl"/>
        </w:rPr>
        <w:t>Para llevar a cabo el proceso de evaluación de la eficacia descrito hasta este punto</w:t>
      </w:r>
      <w:r w:rsidR="00B1107F" w:rsidRPr="008048DD">
        <w:rPr>
          <w:lang w:val="es-ES_tradnl"/>
        </w:rPr>
        <w:t xml:space="preserve">, </w:t>
      </w:r>
      <w:r w:rsidRPr="008048DD">
        <w:rPr>
          <w:lang w:val="es-ES_tradnl"/>
        </w:rPr>
        <w:t>en el marco se indican las distintas entidades que aportarán su contribución</w:t>
      </w:r>
      <w:r w:rsidR="00B1107F" w:rsidRPr="008048DD">
        <w:rPr>
          <w:lang w:val="es-ES_tradnl"/>
        </w:rPr>
        <w:t xml:space="preserve"> </w:t>
      </w:r>
      <w:r w:rsidR="00906BA0" w:rsidRPr="008048DD">
        <w:rPr>
          <w:lang w:val="es-ES_tradnl"/>
        </w:rPr>
        <w:t>y se señalan tareas como la co</w:t>
      </w:r>
      <w:r w:rsidR="000E68C5" w:rsidRPr="008048DD">
        <w:rPr>
          <w:lang w:val="es-ES_tradnl"/>
        </w:rPr>
        <w:t>m</w:t>
      </w:r>
      <w:r w:rsidR="00906BA0" w:rsidRPr="008048DD">
        <w:rPr>
          <w:lang w:val="es-ES_tradnl"/>
        </w:rPr>
        <w:t>pilación, el resumen y la integración de datos y conocimientos</w:t>
      </w:r>
      <w:r w:rsidR="00B1107F" w:rsidRPr="008048DD">
        <w:rPr>
          <w:lang w:val="es-ES_tradnl"/>
        </w:rPr>
        <w:t xml:space="preserve">, </w:t>
      </w:r>
      <w:r w:rsidR="00906BA0" w:rsidRPr="008048DD">
        <w:rPr>
          <w:lang w:val="es-ES_tradnl"/>
        </w:rPr>
        <w:t>y la realización de análisis científicos y técnicos pertinentes a los distintos niveles</w:t>
      </w:r>
      <w:r w:rsidR="00B1107F" w:rsidRPr="008048DD">
        <w:rPr>
          <w:lang w:val="es-ES_tradnl"/>
        </w:rPr>
        <w:t xml:space="preserve">. </w:t>
      </w:r>
      <w:r w:rsidR="00906BA0" w:rsidRPr="008048DD">
        <w:rPr>
          <w:lang w:val="es-ES_tradnl"/>
        </w:rPr>
        <w:t>En la figura</w:t>
      </w:r>
      <w:r w:rsidR="006053AF" w:rsidRPr="008048DD">
        <w:rPr>
          <w:lang w:val="es-ES_tradnl"/>
        </w:rPr>
        <w:t xml:space="preserve"> </w:t>
      </w:r>
      <w:r w:rsidR="00B1107F" w:rsidRPr="008048DD">
        <w:rPr>
          <w:lang w:val="es-ES_tradnl"/>
        </w:rPr>
        <w:t xml:space="preserve">2 </w:t>
      </w:r>
      <w:r w:rsidR="00906BA0" w:rsidRPr="008048DD">
        <w:rPr>
          <w:lang w:val="es-ES_tradnl"/>
        </w:rPr>
        <w:t xml:space="preserve">se </w:t>
      </w:r>
      <w:r w:rsidR="00BB2F17" w:rsidRPr="008048DD">
        <w:rPr>
          <w:lang w:val="es-ES_tradnl"/>
        </w:rPr>
        <w:t>de</w:t>
      </w:r>
      <w:r w:rsidR="00906BA0" w:rsidRPr="008048DD">
        <w:rPr>
          <w:lang w:val="es-ES_tradnl"/>
        </w:rPr>
        <w:t>tallan</w:t>
      </w:r>
      <w:r w:rsidR="00B1107F" w:rsidRPr="008048DD">
        <w:rPr>
          <w:lang w:val="es-ES_tradnl"/>
        </w:rPr>
        <w:t xml:space="preserve"> </w:t>
      </w:r>
      <w:r w:rsidR="00906BA0" w:rsidRPr="008048DD">
        <w:rPr>
          <w:lang w:val="es-ES_tradnl"/>
        </w:rPr>
        <w:t>las aportaciones de datos</w:t>
      </w:r>
      <w:r w:rsidR="00B1107F" w:rsidRPr="008048DD">
        <w:rPr>
          <w:lang w:val="es-ES_tradnl"/>
        </w:rPr>
        <w:t xml:space="preserve">, </w:t>
      </w:r>
      <w:r w:rsidR="00906BA0" w:rsidRPr="008048DD">
        <w:rPr>
          <w:lang w:val="es-ES_tradnl"/>
        </w:rPr>
        <w:t>los productos de los análisis y el flujo de información y conocimientos entre las entidades</w:t>
      </w:r>
      <w:r w:rsidR="00B1107F" w:rsidRPr="008048DD">
        <w:rPr>
          <w:iCs/>
          <w:u w:color="4F81BD"/>
          <w:lang w:val="es-ES_tradnl"/>
        </w:rPr>
        <w:t>.</w:t>
      </w:r>
      <w:r w:rsidR="00B3310A" w:rsidRPr="008048DD">
        <w:rPr>
          <w:iCs/>
          <w:u w:color="4F81BD"/>
          <w:lang w:val="es-ES_tradnl"/>
        </w:rPr>
        <w:t xml:space="preserve"> </w:t>
      </w:r>
      <w:r w:rsidR="00906BA0" w:rsidRPr="008048DD">
        <w:rPr>
          <w:iCs/>
          <w:u w:color="4F81BD"/>
          <w:lang w:val="es-ES_tradnl"/>
        </w:rPr>
        <w:t>Las entidades mencionadas son</w:t>
      </w:r>
      <w:r w:rsidR="00B1107F" w:rsidRPr="008048DD">
        <w:rPr>
          <w:iCs/>
          <w:u w:color="4F81BD"/>
          <w:lang w:val="es-ES_tradnl"/>
        </w:rPr>
        <w:t xml:space="preserve">: </w:t>
      </w:r>
      <w:r w:rsidR="00906BA0" w:rsidRPr="008048DD">
        <w:rPr>
          <w:iCs/>
          <w:u w:color="4F81BD"/>
          <w:lang w:val="es-ES_tradnl"/>
        </w:rPr>
        <w:t>las Partes en el Convenio, la Secretaría, los asociados que colaboran con la Secretaría</w:t>
      </w:r>
      <w:r w:rsidR="007D7CD3" w:rsidRPr="008048DD">
        <w:rPr>
          <w:iCs/>
          <w:u w:color="4F81BD"/>
          <w:lang w:val="es-ES_tradnl"/>
        </w:rPr>
        <w:t xml:space="preserve"> </w:t>
      </w:r>
      <w:r w:rsidR="00B1107F" w:rsidRPr="008048DD">
        <w:rPr>
          <w:iCs/>
          <w:u w:color="4F81BD"/>
          <w:lang w:val="es-ES_tradnl"/>
        </w:rPr>
        <w:t>(</w:t>
      </w:r>
      <w:r w:rsidR="00906BA0" w:rsidRPr="008048DD">
        <w:rPr>
          <w:iCs/>
          <w:u w:color="4F81BD"/>
          <w:lang w:val="es-ES_tradnl"/>
        </w:rPr>
        <w:t>en la forma de colaboración institucional o colaboración por contrata</w:t>
      </w:r>
      <w:r w:rsidR="00B1107F" w:rsidRPr="008048DD">
        <w:rPr>
          <w:iCs/>
          <w:u w:color="4F81BD"/>
          <w:lang w:val="es-ES_tradnl"/>
        </w:rPr>
        <w:t xml:space="preserve">), </w:t>
      </w:r>
      <w:r w:rsidR="00906BA0" w:rsidRPr="008048DD">
        <w:rPr>
          <w:iCs/>
          <w:u w:color="4F81BD"/>
          <w:lang w:val="es-ES_tradnl"/>
        </w:rPr>
        <w:t>el grupo sobre vigilancia</w:t>
      </w:r>
      <w:r w:rsidR="00110CD6" w:rsidRPr="008048DD">
        <w:rPr>
          <w:iCs/>
          <w:u w:color="4F81BD"/>
          <w:lang w:val="es-ES_tradnl"/>
        </w:rPr>
        <w:t xml:space="preserve"> (</w:t>
      </w:r>
      <w:r w:rsidR="00906BA0" w:rsidRPr="008048DD">
        <w:rPr>
          <w:iCs/>
          <w:u w:color="4F81BD"/>
          <w:lang w:val="es-ES_tradnl"/>
        </w:rPr>
        <w:t xml:space="preserve">véase el apéndice </w:t>
      </w:r>
      <w:r w:rsidR="00110CD6" w:rsidRPr="008048DD">
        <w:rPr>
          <w:iCs/>
          <w:u w:color="4F81BD"/>
          <w:lang w:val="es-ES_tradnl"/>
        </w:rPr>
        <w:t>III)</w:t>
      </w:r>
      <w:r w:rsidR="00B1107F" w:rsidRPr="008048DD">
        <w:rPr>
          <w:iCs/>
          <w:u w:color="4F81BD"/>
          <w:lang w:val="es-ES_tradnl"/>
        </w:rPr>
        <w:t xml:space="preserve">, </w:t>
      </w:r>
      <w:r w:rsidR="00906BA0" w:rsidRPr="008048DD">
        <w:rPr>
          <w:iCs/>
          <w:u w:color="4F81BD"/>
          <w:lang w:val="es-ES_tradnl"/>
        </w:rPr>
        <w:t>el posible subgrupo de modelización</w:t>
      </w:r>
      <w:r w:rsidR="00110CD6" w:rsidRPr="008048DD">
        <w:rPr>
          <w:iCs/>
          <w:u w:color="4F81BD"/>
          <w:lang w:val="es-ES_tradnl"/>
        </w:rPr>
        <w:t xml:space="preserve"> (</w:t>
      </w:r>
      <w:r w:rsidR="00906BA0" w:rsidRPr="008048DD">
        <w:rPr>
          <w:iCs/>
          <w:u w:color="4F81BD"/>
          <w:lang w:val="es-ES_tradnl"/>
        </w:rPr>
        <w:t xml:space="preserve">véase el apéndice </w:t>
      </w:r>
      <w:r w:rsidR="00110CD6" w:rsidRPr="008048DD">
        <w:rPr>
          <w:iCs/>
          <w:u w:color="4F81BD"/>
          <w:lang w:val="es-ES_tradnl"/>
        </w:rPr>
        <w:t>IV)</w:t>
      </w:r>
      <w:r w:rsidR="00B1107F" w:rsidRPr="008048DD">
        <w:rPr>
          <w:iCs/>
          <w:u w:color="4F81BD"/>
          <w:lang w:val="es-ES_tradnl"/>
        </w:rPr>
        <w:t xml:space="preserve">, </w:t>
      </w:r>
      <w:r w:rsidR="00906BA0" w:rsidRPr="008048DD">
        <w:rPr>
          <w:iCs/>
          <w:u w:color="4F81BD"/>
          <w:lang w:val="es-ES_tradnl"/>
        </w:rPr>
        <w:t xml:space="preserve">el </w:t>
      </w:r>
      <w:r w:rsidR="00DD3CB2" w:rsidRPr="008048DD">
        <w:rPr>
          <w:iCs/>
          <w:u w:color="4F81BD"/>
          <w:lang w:val="es-ES_tradnl"/>
        </w:rPr>
        <w:t>Comité de Evaluación de la E</w:t>
      </w:r>
      <w:r w:rsidR="00E006FC" w:rsidRPr="008048DD">
        <w:rPr>
          <w:iCs/>
          <w:u w:color="4F81BD"/>
          <w:lang w:val="es-ES_tradnl"/>
        </w:rPr>
        <w:t>ficacia</w:t>
      </w:r>
      <w:r w:rsidR="00B1107F" w:rsidRPr="008048DD">
        <w:rPr>
          <w:iCs/>
          <w:u w:color="4F81BD"/>
          <w:lang w:val="es-ES_tradnl"/>
        </w:rPr>
        <w:t xml:space="preserve"> </w:t>
      </w:r>
      <w:r w:rsidR="00110CD6" w:rsidRPr="008048DD">
        <w:rPr>
          <w:iCs/>
          <w:u w:color="4F81BD"/>
          <w:lang w:val="es-ES_tradnl"/>
        </w:rPr>
        <w:t>(</w:t>
      </w:r>
      <w:r w:rsidR="00906BA0" w:rsidRPr="008048DD">
        <w:rPr>
          <w:iCs/>
          <w:u w:color="4F81BD"/>
          <w:lang w:val="es-ES_tradnl"/>
        </w:rPr>
        <w:t xml:space="preserve">véase el apéndice </w:t>
      </w:r>
      <w:r w:rsidR="00110CD6" w:rsidRPr="008048DD">
        <w:rPr>
          <w:iCs/>
          <w:u w:color="4F81BD"/>
          <w:lang w:val="es-ES_tradnl"/>
        </w:rPr>
        <w:t xml:space="preserve">II) </w:t>
      </w:r>
      <w:r w:rsidR="00906BA0" w:rsidRPr="008048DD">
        <w:rPr>
          <w:iCs/>
          <w:u w:color="4F81BD"/>
          <w:lang w:val="es-ES_tradnl"/>
        </w:rPr>
        <w:t>y</w:t>
      </w:r>
      <w:r w:rsidR="00B1107F" w:rsidRPr="008048DD">
        <w:rPr>
          <w:iCs/>
          <w:u w:color="4F81BD"/>
          <w:lang w:val="es-ES_tradnl"/>
        </w:rPr>
        <w:t xml:space="preserve"> </w:t>
      </w:r>
      <w:r w:rsidR="00906BA0" w:rsidRPr="008048DD">
        <w:rPr>
          <w:iCs/>
          <w:u w:color="4F81BD"/>
          <w:lang w:val="es-ES_tradnl"/>
        </w:rPr>
        <w:t>la</w:t>
      </w:r>
      <w:r w:rsidR="00B1107F" w:rsidRPr="008048DD">
        <w:rPr>
          <w:iCs/>
          <w:u w:color="4F81BD"/>
          <w:lang w:val="es-ES_tradnl"/>
        </w:rPr>
        <w:t xml:space="preserve"> </w:t>
      </w:r>
      <w:r w:rsidR="00894E54" w:rsidRPr="008048DD">
        <w:rPr>
          <w:iCs/>
          <w:u w:color="4F81BD"/>
          <w:lang w:val="es-ES_tradnl"/>
        </w:rPr>
        <w:t>Conferencia de las Partes</w:t>
      </w:r>
      <w:r w:rsidR="00B1107F" w:rsidRPr="008048DD">
        <w:rPr>
          <w:iCs/>
          <w:u w:color="4F81BD"/>
          <w:lang w:val="es-ES_tradnl"/>
        </w:rPr>
        <w:t xml:space="preserve">. </w:t>
      </w:r>
    </w:p>
    <w:p w14:paraId="43B5E1AF" w14:textId="77777777" w:rsidR="004C2444" w:rsidRPr="008048DD" w:rsidRDefault="004C2444">
      <w:pPr>
        <w:tabs>
          <w:tab w:val="clear" w:pos="1247"/>
          <w:tab w:val="clear" w:pos="1814"/>
          <w:tab w:val="clear" w:pos="2381"/>
          <w:tab w:val="clear" w:pos="2948"/>
          <w:tab w:val="clear" w:pos="3515"/>
        </w:tabs>
      </w:pPr>
      <w:r w:rsidRPr="008048DD">
        <w:rPr>
          <w:i/>
          <w:iCs/>
        </w:rPr>
        <w:br w:type="page"/>
      </w:r>
    </w:p>
    <w:p w14:paraId="339FC925" w14:textId="77777777" w:rsidR="00E537C4" w:rsidRPr="008048DD" w:rsidRDefault="00E537C4" w:rsidP="009A759A">
      <w:pPr>
        <w:pStyle w:val="Caption"/>
        <w:spacing w:after="0"/>
        <w:ind w:left="1247"/>
        <w:rPr>
          <w:b/>
          <w:bCs/>
          <w:i w:val="0"/>
          <w:color w:val="auto"/>
        </w:rPr>
      </w:pPr>
      <w:r w:rsidRPr="008048DD">
        <w:rPr>
          <w:i w:val="0"/>
          <w:iCs w:val="0"/>
          <w:color w:val="auto"/>
          <w:sz w:val="20"/>
          <w:szCs w:val="20"/>
        </w:rPr>
        <w:t>Figur</w:t>
      </w:r>
      <w:r w:rsidR="008E2CA8" w:rsidRPr="008048DD">
        <w:rPr>
          <w:i w:val="0"/>
          <w:iCs w:val="0"/>
          <w:color w:val="auto"/>
          <w:sz w:val="20"/>
          <w:szCs w:val="20"/>
        </w:rPr>
        <w:t>a</w:t>
      </w:r>
      <w:r w:rsidRPr="008048DD">
        <w:rPr>
          <w:i w:val="0"/>
          <w:iCs w:val="0"/>
          <w:color w:val="auto"/>
          <w:sz w:val="20"/>
          <w:szCs w:val="20"/>
        </w:rPr>
        <w:t xml:space="preserve"> </w:t>
      </w:r>
      <w:r w:rsidR="006F66A2" w:rsidRPr="008048DD">
        <w:rPr>
          <w:i w:val="0"/>
          <w:iCs w:val="0"/>
          <w:color w:val="auto"/>
          <w:sz w:val="20"/>
          <w:szCs w:val="20"/>
        </w:rPr>
        <w:t>2</w:t>
      </w:r>
      <w:r w:rsidR="009A759A" w:rsidRPr="008048DD">
        <w:rPr>
          <w:i w:val="0"/>
          <w:iCs w:val="0"/>
          <w:color w:val="auto"/>
          <w:sz w:val="20"/>
          <w:szCs w:val="20"/>
        </w:rPr>
        <w:br/>
      </w:r>
      <w:r w:rsidR="008E2CA8" w:rsidRPr="008048DD">
        <w:rPr>
          <w:b/>
          <w:bCs/>
          <w:i w:val="0"/>
          <w:color w:val="auto"/>
        </w:rPr>
        <w:t>Arreglos institucionales sobre el marco</w:t>
      </w:r>
    </w:p>
    <w:tbl>
      <w:tblPr>
        <w:tblStyle w:val="TableGrid"/>
        <w:tblW w:w="8813" w:type="dxa"/>
        <w:tblInd w:w="1247" w:type="dxa"/>
        <w:tblLayout w:type="fixed"/>
        <w:tblLook w:val="04A0" w:firstRow="1" w:lastRow="0" w:firstColumn="1" w:lastColumn="0" w:noHBand="0" w:noVBand="1"/>
      </w:tblPr>
      <w:tblGrid>
        <w:gridCol w:w="8813"/>
      </w:tblGrid>
      <w:tr w:rsidR="008C160B" w14:paraId="4A246C05" w14:textId="77777777" w:rsidTr="00C75B74">
        <w:trPr>
          <w:trHeight w:val="9664"/>
        </w:trPr>
        <w:tc>
          <w:tcPr>
            <w:tcW w:w="8813" w:type="dxa"/>
          </w:tcPr>
          <w:p w14:paraId="28F13FAC" w14:textId="774499EC" w:rsidR="008C160B" w:rsidRPr="008C160B" w:rsidRDefault="00FD71BC" w:rsidP="006D5F3D">
            <w:pPr>
              <w:pStyle w:val="Normal-pool"/>
              <w:ind w:left="0"/>
              <w:rPr>
                <w:i w:val="0"/>
              </w:rPr>
            </w:pPr>
            <w:r>
              <w:rPr>
                <w:i w:val="0"/>
                <w:noProof/>
                <w:lang w:eastAsia="es-ES_tradnl"/>
              </w:rPr>
              <w:drawing>
                <wp:inline distT="0" distB="0" distL="0" distR="0" wp14:anchorId="1DD1EA66" wp14:editId="62292CD5">
                  <wp:extent cx="5629139" cy="6125845"/>
                  <wp:effectExtent l="0" t="0" r="0" b="825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MINAMATA FIGURA 2 PARTE 1.png"/>
                          <pic:cNvPicPr/>
                        </pic:nvPicPr>
                        <pic:blipFill>
                          <a:blip r:embed="rId26"/>
                          <a:stretch>
                            <a:fillRect/>
                          </a:stretch>
                        </pic:blipFill>
                        <pic:spPr>
                          <a:xfrm>
                            <a:off x="0" y="0"/>
                            <a:ext cx="5630548" cy="6127378"/>
                          </a:xfrm>
                          <a:prstGeom prst="rect">
                            <a:avLst/>
                          </a:prstGeom>
                        </pic:spPr>
                      </pic:pic>
                    </a:graphicData>
                  </a:graphic>
                </wp:inline>
              </w:drawing>
            </w:r>
          </w:p>
        </w:tc>
      </w:tr>
    </w:tbl>
    <w:p w14:paraId="093CF7CE" w14:textId="77777777" w:rsidR="008B54D8" w:rsidRDefault="008B54D8">
      <w:pPr>
        <w:rPr>
          <w:bCs/>
          <w:i/>
          <w:iCs/>
        </w:rPr>
      </w:pPr>
    </w:p>
    <w:tbl>
      <w:tblPr>
        <w:tblStyle w:val="TableGrid"/>
        <w:tblW w:w="5458" w:type="dxa"/>
        <w:tblInd w:w="3397" w:type="dxa"/>
        <w:tblLook w:val="04A0" w:firstRow="1" w:lastRow="0" w:firstColumn="1" w:lastColumn="0" w:noHBand="0" w:noVBand="1"/>
      </w:tblPr>
      <w:tblGrid>
        <w:gridCol w:w="2410"/>
        <w:gridCol w:w="236"/>
        <w:gridCol w:w="1325"/>
        <w:gridCol w:w="233"/>
        <w:gridCol w:w="1254"/>
      </w:tblGrid>
      <w:tr w:rsidR="008B54D8" w14:paraId="1886F1DD" w14:textId="77777777" w:rsidTr="008B54D8">
        <w:tc>
          <w:tcPr>
            <w:tcW w:w="2410" w:type="dxa"/>
          </w:tcPr>
          <w:p w14:paraId="2071F319" w14:textId="546BF119" w:rsidR="008B54D8" w:rsidRPr="008B54D8" w:rsidRDefault="008B54D8" w:rsidP="008B54D8">
            <w:pPr>
              <w:pStyle w:val="BodyText"/>
              <w:spacing w:before="73"/>
              <w:ind w:left="81"/>
              <w:jc w:val="center"/>
              <w:rPr>
                <w:i/>
                <w:sz w:val="16"/>
                <w:szCs w:val="16"/>
                <w:lang w:val="es-ES_tradnl"/>
              </w:rPr>
            </w:pPr>
            <w:r w:rsidRPr="00FD71BC">
              <w:rPr>
                <w:rFonts w:ascii="Arial" w:hAnsi="Arial" w:cs="Arial"/>
                <w:sz w:val="16"/>
                <w:szCs w:val="16"/>
                <w:lang w:val="es-ES"/>
              </w:rPr>
              <w:t>Función científica y técnica: síntesis</w:t>
            </w:r>
          </w:p>
        </w:tc>
        <w:tc>
          <w:tcPr>
            <w:tcW w:w="236" w:type="dxa"/>
            <w:tcBorders>
              <w:top w:val="nil"/>
              <w:bottom w:val="nil"/>
            </w:tcBorders>
          </w:tcPr>
          <w:p w14:paraId="097AD668" w14:textId="77777777" w:rsidR="008B54D8" w:rsidRPr="008B54D8" w:rsidRDefault="008B54D8" w:rsidP="00FD71BC">
            <w:pPr>
              <w:pStyle w:val="BodyText"/>
              <w:spacing w:before="73"/>
              <w:ind w:left="142" w:right="142"/>
              <w:jc w:val="center"/>
              <w:rPr>
                <w:rFonts w:ascii="Arial" w:hAnsi="Arial" w:cs="Arial"/>
                <w:sz w:val="16"/>
                <w:szCs w:val="16"/>
                <w:lang w:val="es-ES_tradnl"/>
              </w:rPr>
            </w:pPr>
          </w:p>
        </w:tc>
        <w:tc>
          <w:tcPr>
            <w:tcW w:w="1325" w:type="dxa"/>
          </w:tcPr>
          <w:p w14:paraId="4E87DC06" w14:textId="3179739C" w:rsidR="008B54D8" w:rsidRPr="00FD71BC" w:rsidRDefault="008B54D8" w:rsidP="008B54D8">
            <w:pPr>
              <w:pStyle w:val="BodyText"/>
              <w:spacing w:before="73"/>
              <w:ind w:left="142" w:right="142"/>
              <w:jc w:val="center"/>
              <w:rPr>
                <w:i/>
                <w:sz w:val="16"/>
                <w:szCs w:val="16"/>
              </w:rPr>
            </w:pPr>
            <w:r w:rsidRPr="00FD71BC">
              <w:rPr>
                <w:rFonts w:ascii="Arial" w:hAnsi="Arial" w:cs="Arial"/>
                <w:sz w:val="16"/>
                <w:szCs w:val="16"/>
                <w:lang w:val="es-ES"/>
              </w:rPr>
              <w:t>Función científica y técnica: atribución</w:t>
            </w:r>
          </w:p>
        </w:tc>
        <w:tc>
          <w:tcPr>
            <w:tcW w:w="233" w:type="dxa"/>
            <w:tcBorders>
              <w:top w:val="nil"/>
              <w:bottom w:val="nil"/>
            </w:tcBorders>
          </w:tcPr>
          <w:p w14:paraId="04124343" w14:textId="77777777" w:rsidR="008B54D8" w:rsidRPr="00FD71BC" w:rsidRDefault="008B54D8" w:rsidP="00FD71BC">
            <w:pPr>
              <w:pStyle w:val="BodyText"/>
              <w:spacing w:before="73"/>
              <w:ind w:left="81"/>
              <w:jc w:val="center"/>
              <w:rPr>
                <w:rFonts w:ascii="Arial" w:hAnsi="Arial" w:cs="Arial"/>
                <w:sz w:val="16"/>
                <w:szCs w:val="16"/>
                <w:lang w:val="es-ES"/>
              </w:rPr>
            </w:pPr>
          </w:p>
        </w:tc>
        <w:tc>
          <w:tcPr>
            <w:tcW w:w="1254" w:type="dxa"/>
          </w:tcPr>
          <w:p w14:paraId="4D10B921" w14:textId="31A0D9A1" w:rsidR="008B54D8" w:rsidRPr="00FD71BC" w:rsidRDefault="008B54D8" w:rsidP="008B54D8">
            <w:pPr>
              <w:pStyle w:val="BodyText"/>
              <w:spacing w:before="73"/>
              <w:ind w:left="81"/>
              <w:jc w:val="center"/>
              <w:rPr>
                <w:i/>
                <w:sz w:val="16"/>
                <w:szCs w:val="16"/>
              </w:rPr>
            </w:pPr>
            <w:r w:rsidRPr="00FD71BC">
              <w:rPr>
                <w:rFonts w:ascii="Arial" w:hAnsi="Arial" w:cs="Arial"/>
                <w:sz w:val="16"/>
                <w:szCs w:val="16"/>
                <w:lang w:val="es-ES"/>
              </w:rPr>
              <w:t>Función científica y técnica: integración</w:t>
            </w:r>
          </w:p>
        </w:tc>
      </w:tr>
    </w:tbl>
    <w:p w14:paraId="239552B5" w14:textId="105D21F9" w:rsidR="006E7830" w:rsidRPr="008048DD" w:rsidRDefault="006E7830" w:rsidP="008B54D8">
      <w:pPr>
        <w:pStyle w:val="Normal-pool"/>
        <w:spacing w:before="120"/>
      </w:pPr>
      <w:r w:rsidRPr="008048DD">
        <w:tab/>
      </w:r>
      <w:r w:rsidR="001F0FFC" w:rsidRPr="008048DD">
        <w:t>Ab</w:t>
      </w:r>
      <w:r w:rsidRPr="008048DD">
        <w:t>reviat</w:t>
      </w:r>
      <w:r w:rsidR="001F0FFC" w:rsidRPr="008048DD">
        <w:t>uras</w:t>
      </w:r>
      <w:r w:rsidRPr="008048DD">
        <w:t xml:space="preserve">: </w:t>
      </w:r>
      <w:r w:rsidR="008D1777" w:rsidRPr="008048DD">
        <w:t xml:space="preserve">CP, </w:t>
      </w:r>
      <w:r w:rsidR="00894E54" w:rsidRPr="008048DD">
        <w:t>Conferencia de las Partes</w:t>
      </w:r>
      <w:r w:rsidR="008D1777" w:rsidRPr="008048DD">
        <w:t xml:space="preserve">; </w:t>
      </w:r>
      <w:r w:rsidR="00431332" w:rsidRPr="008048DD">
        <w:t>C</w:t>
      </w:r>
      <w:r w:rsidR="001F0FFC" w:rsidRPr="008048DD">
        <w:t>A</w:t>
      </w:r>
      <w:r w:rsidR="00431332" w:rsidRPr="008048DD">
        <w:t xml:space="preserve">C, </w:t>
      </w:r>
      <w:r w:rsidR="001F0FFC" w:rsidRPr="008048DD">
        <w:t>Comité de Aplicación y Cumplimiento</w:t>
      </w:r>
      <w:r w:rsidR="009A759A" w:rsidRPr="008048DD">
        <w:t>.</w:t>
      </w:r>
    </w:p>
    <w:p w14:paraId="3292BA01" w14:textId="77777777" w:rsidR="00B1107F" w:rsidRPr="008048DD" w:rsidRDefault="008E2CA8" w:rsidP="00B66A03">
      <w:pPr>
        <w:pStyle w:val="CH2"/>
        <w:rPr>
          <w:u w:color="4F81BD"/>
          <w:lang w:val="es-ES_tradnl"/>
        </w:rPr>
      </w:pPr>
      <w:r w:rsidRPr="008048DD">
        <w:rPr>
          <w:lang w:val="es-ES_tradnl"/>
        </w:rPr>
        <w:tab/>
      </w:r>
      <w:r w:rsidR="00B66A03" w:rsidRPr="008048DD">
        <w:rPr>
          <w:lang w:val="es-ES_tradnl"/>
        </w:rPr>
        <w:t>G.</w:t>
      </w:r>
      <w:r w:rsidR="00B66A03" w:rsidRPr="008048DD">
        <w:rPr>
          <w:lang w:val="es-ES_tradnl"/>
        </w:rPr>
        <w:tab/>
      </w:r>
      <w:r w:rsidR="00B66A03" w:rsidRPr="008048DD">
        <w:rPr>
          <w:bCs/>
          <w:lang w:val="es-ES_tradnl"/>
        </w:rPr>
        <w:t>Secretaría del Convenio de Minamata</w:t>
      </w:r>
      <w:r w:rsidR="00B66A03" w:rsidRPr="008048DD">
        <w:rPr>
          <w:lang w:val="es-ES_tradnl"/>
        </w:rPr>
        <w:t xml:space="preserve"> </w:t>
      </w:r>
    </w:p>
    <w:p w14:paraId="41F68072" w14:textId="0F3194D2" w:rsidR="00B1107F" w:rsidRPr="008048DD" w:rsidRDefault="00B1107F" w:rsidP="00362646">
      <w:pPr>
        <w:pStyle w:val="Normalnumber"/>
        <w:numPr>
          <w:ilvl w:val="0"/>
          <w:numId w:val="40"/>
        </w:numPr>
        <w:tabs>
          <w:tab w:val="clear" w:pos="1057"/>
        </w:tabs>
        <w:ind w:left="1247"/>
        <w:rPr>
          <w:iCs/>
          <w:u w:color="4F81BD"/>
          <w:lang w:val="es-ES_tradnl"/>
        </w:rPr>
      </w:pPr>
      <w:r w:rsidRPr="008048DD">
        <w:rPr>
          <w:lang w:val="es-ES_tradnl"/>
        </w:rPr>
        <w:t>La Secretaría desempeñará una importante función de reunión, recopilación, resumen y sintetización de los datos disponibles.</w:t>
      </w:r>
      <w:r w:rsidR="00CE54E6" w:rsidRPr="008048DD">
        <w:rPr>
          <w:lang w:val="es-ES_tradnl"/>
        </w:rPr>
        <w:t xml:space="preserve"> La Secretaría ya desempeña la función prescrita en el Convenio de ser el mecanismo por medio del cual las Partes presentan sus informes con arreglo al </w:t>
      </w:r>
      <w:r w:rsidR="00467D4C" w:rsidRPr="008048DD">
        <w:rPr>
          <w:lang w:val="es-ES_tradnl"/>
        </w:rPr>
        <w:t>artículo</w:t>
      </w:r>
      <w:r w:rsidRPr="008048DD">
        <w:rPr>
          <w:lang w:val="es-ES_tradnl"/>
        </w:rPr>
        <w:t xml:space="preserve"> 21, </w:t>
      </w:r>
      <w:r w:rsidR="00CE54E6" w:rsidRPr="008048DD">
        <w:rPr>
          <w:lang w:val="es-ES_tradnl"/>
        </w:rPr>
        <w:t xml:space="preserve">que, a su vez, incluirán referencias a los informes sobre la marcha de los trabajos en relación con los planes nacionales de acción presentados con arreglo al </w:t>
      </w:r>
      <w:r w:rsidR="00467D4C" w:rsidRPr="008048DD">
        <w:rPr>
          <w:lang w:val="es-ES_tradnl"/>
        </w:rPr>
        <w:t>artículo</w:t>
      </w:r>
      <w:r w:rsidRPr="008048DD">
        <w:rPr>
          <w:lang w:val="es-ES_tradnl"/>
        </w:rPr>
        <w:t xml:space="preserve"> 7, </w:t>
      </w:r>
      <w:r w:rsidR="00CE54E6" w:rsidRPr="008048DD">
        <w:rPr>
          <w:lang w:val="es-ES_tradnl"/>
        </w:rPr>
        <w:t>los inventarios previstos en los ar</w:t>
      </w:r>
      <w:r w:rsidR="00467D4C" w:rsidRPr="008048DD">
        <w:rPr>
          <w:lang w:val="es-ES_tradnl"/>
        </w:rPr>
        <w:t>tículos</w:t>
      </w:r>
      <w:r w:rsidRPr="008048DD">
        <w:rPr>
          <w:lang w:val="es-ES_tradnl"/>
        </w:rPr>
        <w:t xml:space="preserve"> 8 </w:t>
      </w:r>
      <w:r w:rsidR="00CE54E6" w:rsidRPr="008048DD">
        <w:rPr>
          <w:lang w:val="es-ES_tradnl"/>
        </w:rPr>
        <w:t>y</w:t>
      </w:r>
      <w:r w:rsidRPr="008048DD">
        <w:rPr>
          <w:lang w:val="es-ES_tradnl"/>
        </w:rPr>
        <w:t xml:space="preserve"> 9 </w:t>
      </w:r>
      <w:r w:rsidR="00CE54E6" w:rsidRPr="008048DD">
        <w:rPr>
          <w:lang w:val="es-ES_tradnl"/>
        </w:rPr>
        <w:t xml:space="preserve">y los planes de aplicación de carácter voluntario mencionados en el </w:t>
      </w:r>
      <w:r w:rsidR="00467D4C" w:rsidRPr="008048DD">
        <w:rPr>
          <w:lang w:val="es-ES_tradnl"/>
        </w:rPr>
        <w:t>artículo</w:t>
      </w:r>
      <w:r w:rsidRPr="008048DD">
        <w:rPr>
          <w:lang w:val="es-ES_tradnl"/>
        </w:rPr>
        <w:t xml:space="preserve"> 20. </w:t>
      </w:r>
      <w:r w:rsidR="00CE54E6" w:rsidRPr="008048DD">
        <w:rPr>
          <w:lang w:val="es-ES_tradnl"/>
        </w:rPr>
        <w:t xml:space="preserve">La Secretaría </w:t>
      </w:r>
      <w:r w:rsidR="000E68C5" w:rsidRPr="008048DD">
        <w:rPr>
          <w:lang w:val="es-ES_tradnl"/>
        </w:rPr>
        <w:t>podrá contar</w:t>
      </w:r>
      <w:r w:rsidR="00CE54E6" w:rsidRPr="008048DD">
        <w:rPr>
          <w:lang w:val="es-ES_tradnl"/>
        </w:rPr>
        <w:t xml:space="preserve">, si procede, </w:t>
      </w:r>
      <w:r w:rsidR="000E68C5" w:rsidRPr="008048DD">
        <w:rPr>
          <w:lang w:val="es-ES_tradnl"/>
        </w:rPr>
        <w:t xml:space="preserve">con la asistencia </w:t>
      </w:r>
      <w:r w:rsidR="00CE54E6" w:rsidRPr="008048DD">
        <w:rPr>
          <w:lang w:val="es-ES_tradnl"/>
        </w:rPr>
        <w:t>de asociados en la colaboración y expertos en el</w:t>
      </w:r>
      <w:r w:rsidR="00BE63E8" w:rsidRPr="008048DD">
        <w:rPr>
          <w:lang w:val="es-ES_tradnl"/>
        </w:rPr>
        <w:t> </w:t>
      </w:r>
      <w:r w:rsidR="00CE54E6" w:rsidRPr="008048DD">
        <w:rPr>
          <w:lang w:val="es-ES_tradnl"/>
        </w:rPr>
        <w:t>examen de las publicaciones, la producción de conjuntos de datos para análisis ulteriores o la organización de síntesis y exámenes por homólogos</w:t>
      </w:r>
      <w:r w:rsidRPr="008048DD">
        <w:rPr>
          <w:lang w:val="es-ES_tradnl"/>
        </w:rPr>
        <w:t xml:space="preserve">. </w:t>
      </w:r>
    </w:p>
    <w:p w14:paraId="28AA6537" w14:textId="6BBFD513" w:rsidR="00B1107F" w:rsidRPr="008048DD" w:rsidRDefault="00CE54E6" w:rsidP="00362646">
      <w:pPr>
        <w:pStyle w:val="Normalnumber"/>
        <w:numPr>
          <w:ilvl w:val="0"/>
          <w:numId w:val="40"/>
        </w:numPr>
        <w:tabs>
          <w:tab w:val="clear" w:pos="1057"/>
        </w:tabs>
        <w:ind w:left="1247"/>
        <w:rPr>
          <w:iCs/>
          <w:u w:color="4F81BD"/>
          <w:lang w:val="es-ES_tradnl"/>
        </w:rPr>
      </w:pPr>
      <w:r w:rsidRPr="008048DD">
        <w:rPr>
          <w:lang w:val="es-ES_tradnl"/>
        </w:rPr>
        <w:t xml:space="preserve">Apoyándose en experiencias pasadas en el PNUMA, la Secretaría del Convenio de </w:t>
      </w:r>
      <w:r w:rsidR="00B1107F" w:rsidRPr="008048DD">
        <w:rPr>
          <w:lang w:val="es-ES_tradnl"/>
        </w:rPr>
        <w:t>Minamata</w:t>
      </w:r>
      <w:r w:rsidR="000E68C5" w:rsidRPr="008048DD">
        <w:rPr>
          <w:lang w:val="es-ES_tradnl"/>
        </w:rPr>
        <w:t>, en colaboración con expertos en la producción del informe científico y técnico,</w:t>
      </w:r>
      <w:r w:rsidRPr="008048DD">
        <w:rPr>
          <w:lang w:val="es-ES_tradnl"/>
        </w:rPr>
        <w:t xml:space="preserve"> será la encargada de facilitar la producción de los informes de síntesis</w:t>
      </w:r>
      <w:r w:rsidR="00D127D5" w:rsidRPr="008048DD">
        <w:rPr>
          <w:lang w:val="es-ES_tradnl"/>
        </w:rPr>
        <w:t xml:space="preserve">, </w:t>
      </w:r>
      <w:r w:rsidRPr="008048DD">
        <w:rPr>
          <w:lang w:val="es-ES_tradnl"/>
        </w:rPr>
        <w:t>que se podrán preparar mediante la colaboración institucional o la contratación de especialistas</w:t>
      </w:r>
      <w:r w:rsidR="00B1107F" w:rsidRPr="008048DD">
        <w:rPr>
          <w:rStyle w:val="FootnoteReference"/>
          <w:rFonts w:asciiTheme="majorBidi" w:hAnsiTheme="majorBidi"/>
          <w:szCs w:val="20"/>
          <w:lang w:val="es-ES_tradnl"/>
        </w:rPr>
        <w:footnoteReference w:id="14"/>
      </w:r>
      <w:r w:rsidRPr="008048DD">
        <w:rPr>
          <w:lang w:val="es-ES_tradnl"/>
        </w:rPr>
        <w:t>.</w:t>
      </w:r>
      <w:r w:rsidR="00B3310A" w:rsidRPr="008048DD">
        <w:rPr>
          <w:lang w:val="es-ES_tradnl"/>
        </w:rPr>
        <w:t xml:space="preserve"> </w:t>
      </w:r>
      <w:r w:rsidRPr="008048DD">
        <w:rPr>
          <w:lang w:val="es-ES_tradnl"/>
        </w:rPr>
        <w:t xml:space="preserve">Cabe señalar que la Subdivisión de Productos Químicos y Salud del PNUMA dirigió o facilitó la producción del informe </w:t>
      </w:r>
      <w:r w:rsidR="00BE63E8" w:rsidRPr="008048DD">
        <w:rPr>
          <w:lang w:val="es-ES_tradnl"/>
        </w:rPr>
        <w:t>“</w:t>
      </w:r>
      <w:r w:rsidRPr="008048DD">
        <w:rPr>
          <w:lang w:val="es-ES_tradnl"/>
        </w:rPr>
        <w:t>Evaluación Mundial del Mercurio 2018</w:t>
      </w:r>
      <w:r w:rsidR="00BE63E8" w:rsidRPr="008048DD">
        <w:rPr>
          <w:lang w:val="es-ES_tradnl"/>
        </w:rPr>
        <w:t>”</w:t>
      </w:r>
      <w:r w:rsidR="00B1107F" w:rsidRPr="008048DD">
        <w:rPr>
          <w:lang w:val="es-ES_tradnl"/>
        </w:rPr>
        <w:t xml:space="preserve">, </w:t>
      </w:r>
      <w:r w:rsidRPr="008048DD">
        <w:rPr>
          <w:lang w:val="es-ES_tradnl"/>
        </w:rPr>
        <w:t xml:space="preserve">el informe de </w:t>
      </w:r>
      <w:r w:rsidR="00D127D5" w:rsidRPr="008048DD">
        <w:rPr>
          <w:lang w:val="es-ES_tradnl"/>
        </w:rPr>
        <w:t xml:space="preserve">2017 </w:t>
      </w:r>
      <w:r w:rsidRPr="008048DD">
        <w:rPr>
          <w:lang w:val="es-ES_tradnl"/>
        </w:rPr>
        <w:t xml:space="preserve">sobre </w:t>
      </w:r>
      <w:r w:rsidR="00E0374C" w:rsidRPr="008048DD">
        <w:rPr>
          <w:lang w:val="es-ES_tradnl"/>
        </w:rPr>
        <w:t>el suministro</w:t>
      </w:r>
      <w:r w:rsidRPr="008048DD">
        <w:rPr>
          <w:lang w:val="es-ES_tradnl"/>
        </w:rPr>
        <w:t xml:space="preserve">, el comercio y la demanda mundial de mercurio y el informe de </w:t>
      </w:r>
      <w:r w:rsidR="00D127D5" w:rsidRPr="008048DD">
        <w:rPr>
          <w:lang w:val="es-ES_tradnl"/>
        </w:rPr>
        <w:t xml:space="preserve">2018 </w:t>
      </w:r>
      <w:r w:rsidR="00BE63E8" w:rsidRPr="008048DD">
        <w:rPr>
          <w:lang w:val="es-ES_tradnl"/>
        </w:rPr>
        <w:t>“</w:t>
      </w:r>
      <w:r w:rsidRPr="008048DD">
        <w:rPr>
          <w:lang w:val="es-ES_tradnl"/>
        </w:rPr>
        <w:t>Evaluación Mundial de los Desechos de Mercurio</w:t>
      </w:r>
      <w:r w:rsidR="00BE63E8" w:rsidRPr="008048DD">
        <w:rPr>
          <w:lang w:val="es-ES_tradnl"/>
        </w:rPr>
        <w:t>”</w:t>
      </w:r>
      <w:r w:rsidR="00B1107F" w:rsidRPr="008048DD">
        <w:rPr>
          <w:lang w:val="es-ES_tradnl"/>
        </w:rPr>
        <w:t>, as</w:t>
      </w:r>
      <w:r w:rsidRPr="008048DD">
        <w:rPr>
          <w:lang w:val="es-ES_tradnl"/>
        </w:rPr>
        <w:t>í como las primeras iteraciones de algunos de esos informes.</w:t>
      </w:r>
    </w:p>
    <w:p w14:paraId="2BF9B39E" w14:textId="091E8E42" w:rsidR="00B1107F" w:rsidRPr="008048DD" w:rsidRDefault="009662E9" w:rsidP="00362646">
      <w:pPr>
        <w:pStyle w:val="Normalnumber"/>
        <w:numPr>
          <w:ilvl w:val="0"/>
          <w:numId w:val="40"/>
        </w:numPr>
        <w:tabs>
          <w:tab w:val="clear" w:pos="1057"/>
        </w:tabs>
        <w:ind w:left="1247"/>
        <w:rPr>
          <w:iCs/>
          <w:u w:color="4F81BD"/>
          <w:lang w:val="es-ES_tradnl"/>
        </w:rPr>
      </w:pPr>
      <w:r w:rsidRPr="008048DD">
        <w:rPr>
          <w:lang w:val="es-ES_tradnl"/>
        </w:rPr>
        <w:t>La Secretaría recopilará también los resúmenes y los informes de síntesis resultant</w:t>
      </w:r>
      <w:r w:rsidR="004C2444" w:rsidRPr="008048DD">
        <w:rPr>
          <w:lang w:val="es-ES_tradnl"/>
        </w:rPr>
        <w:t>e</w:t>
      </w:r>
      <w:r w:rsidRPr="008048DD">
        <w:rPr>
          <w:lang w:val="es-ES_tradnl"/>
        </w:rPr>
        <w:t>s de otros</w:t>
      </w:r>
      <w:r w:rsidR="00BE63E8" w:rsidRPr="008048DD">
        <w:rPr>
          <w:lang w:val="es-ES_tradnl"/>
        </w:rPr>
        <w:t> </w:t>
      </w:r>
      <w:r w:rsidRPr="008048DD">
        <w:rPr>
          <w:lang w:val="es-ES_tradnl"/>
        </w:rPr>
        <w:t>procesos encomendados por el Convenio, como los informes del Comité de Aplicación y Cumplimiento previstos en el artículo</w:t>
      </w:r>
      <w:r w:rsidR="00B1107F" w:rsidRPr="008048DD">
        <w:rPr>
          <w:lang w:val="es-ES_tradnl"/>
        </w:rPr>
        <w:t xml:space="preserve"> 15, </w:t>
      </w:r>
      <w:r w:rsidRPr="008048DD">
        <w:rPr>
          <w:lang w:val="es-ES_tradnl"/>
        </w:rPr>
        <w:t xml:space="preserve">los informes de los organismos encargados del mecanismo financiero, los informes sobre el examen del mecanismo financiero de conformidad con el artículo </w:t>
      </w:r>
      <w:r w:rsidR="00B1107F" w:rsidRPr="008048DD">
        <w:rPr>
          <w:lang w:val="es-ES_tradnl"/>
        </w:rPr>
        <w:t>13, p</w:t>
      </w:r>
      <w:r w:rsidRPr="008048DD">
        <w:rPr>
          <w:lang w:val="es-ES_tradnl"/>
        </w:rPr>
        <w:t xml:space="preserve">árrafo </w:t>
      </w:r>
      <w:r w:rsidR="00B1107F" w:rsidRPr="008048DD">
        <w:rPr>
          <w:lang w:val="es-ES_tradnl"/>
        </w:rPr>
        <w:t>11 (</w:t>
      </w:r>
      <w:r w:rsidRPr="008048DD">
        <w:rPr>
          <w:lang w:val="es-ES_tradnl"/>
        </w:rPr>
        <w:t>que, entre otras cosas, se basará en los informes del Fondo para el Medio Ambiente Mundial y el programa internacional específico para apoyar</w:t>
      </w:r>
      <w:r w:rsidR="00BB2F17" w:rsidRPr="008048DD">
        <w:rPr>
          <w:lang w:val="es-ES_tradnl"/>
        </w:rPr>
        <w:t xml:space="preserve"> </w:t>
      </w:r>
      <w:r w:rsidRPr="008048DD">
        <w:rPr>
          <w:lang w:val="es-ES_tradnl"/>
        </w:rPr>
        <w:t xml:space="preserve">la creación de capacidad </w:t>
      </w:r>
      <w:r w:rsidR="00B9259F" w:rsidRPr="008048DD">
        <w:rPr>
          <w:lang w:val="es-ES_tradnl"/>
        </w:rPr>
        <w:t>y</w:t>
      </w:r>
      <w:r w:rsidRPr="008048DD">
        <w:rPr>
          <w:lang w:val="es-ES_tradnl"/>
        </w:rPr>
        <w:t xml:space="preserve"> la asistencia técnica</w:t>
      </w:r>
      <w:r w:rsidR="00B1107F" w:rsidRPr="008048DD">
        <w:rPr>
          <w:lang w:val="es-ES_tradnl"/>
        </w:rPr>
        <w:t>)</w:t>
      </w:r>
      <w:r w:rsidR="001345D8" w:rsidRPr="008048DD">
        <w:rPr>
          <w:lang w:val="es-ES_tradnl"/>
        </w:rPr>
        <w:t>,</w:t>
      </w:r>
      <w:r w:rsidR="00B1107F" w:rsidRPr="008048DD">
        <w:rPr>
          <w:lang w:val="es-ES_tradnl"/>
        </w:rPr>
        <w:t xml:space="preserve"> </w:t>
      </w:r>
      <w:r w:rsidRPr="008048DD">
        <w:rPr>
          <w:lang w:val="es-ES_tradnl"/>
        </w:rPr>
        <w:t xml:space="preserve">y los informes sobre creación de capacidad, asistencia técnica y transferencia de tecnología previstos en el artículo </w:t>
      </w:r>
      <w:r w:rsidR="00B1107F" w:rsidRPr="008048DD">
        <w:rPr>
          <w:lang w:val="es-ES_tradnl"/>
        </w:rPr>
        <w:t>14.</w:t>
      </w:r>
      <w:r w:rsidR="00B1107F" w:rsidRPr="008048DD">
        <w:rPr>
          <w:highlight w:val="yellow"/>
          <w:lang w:val="es-ES_tradnl"/>
        </w:rPr>
        <w:t xml:space="preserve"> </w:t>
      </w:r>
    </w:p>
    <w:p w14:paraId="256C7690" w14:textId="77777777" w:rsidR="00B1107F" w:rsidRPr="008048DD" w:rsidRDefault="008E2CA8" w:rsidP="00B66A03">
      <w:pPr>
        <w:pStyle w:val="CH2"/>
        <w:rPr>
          <w:u w:color="4F81BD"/>
          <w:lang w:val="es-ES_tradnl"/>
        </w:rPr>
      </w:pPr>
      <w:r w:rsidRPr="008048DD">
        <w:rPr>
          <w:lang w:val="es-ES_tradnl"/>
        </w:rPr>
        <w:tab/>
      </w:r>
      <w:r w:rsidR="00B66A03" w:rsidRPr="008048DD">
        <w:rPr>
          <w:lang w:val="es-ES_tradnl"/>
        </w:rPr>
        <w:t>H.</w:t>
      </w:r>
      <w:r w:rsidR="00B66A03" w:rsidRPr="008048DD">
        <w:rPr>
          <w:lang w:val="es-ES_tradnl"/>
        </w:rPr>
        <w:tab/>
      </w:r>
      <w:r w:rsidR="00B66A03" w:rsidRPr="008048DD">
        <w:rPr>
          <w:bCs/>
          <w:lang w:val="es-ES_tradnl"/>
        </w:rPr>
        <w:t>Conferencia de las Partes</w:t>
      </w:r>
    </w:p>
    <w:p w14:paraId="4D0D34B3" w14:textId="27B7FC3B" w:rsidR="00573427" w:rsidRPr="008048DD" w:rsidRDefault="001345D8" w:rsidP="00362646">
      <w:pPr>
        <w:pStyle w:val="Normalnumber"/>
        <w:numPr>
          <w:ilvl w:val="0"/>
          <w:numId w:val="40"/>
        </w:numPr>
        <w:tabs>
          <w:tab w:val="clear" w:pos="1057"/>
        </w:tabs>
        <w:ind w:left="1247"/>
        <w:rPr>
          <w:u w:color="4F81BD"/>
          <w:lang w:val="es-ES_tradnl"/>
        </w:rPr>
      </w:pPr>
      <w:r w:rsidRPr="008048DD">
        <w:rPr>
          <w:u w:color="4F81BD"/>
          <w:lang w:val="es-ES_tradnl"/>
        </w:rPr>
        <w:t>E</w:t>
      </w:r>
      <w:r w:rsidR="00964A38" w:rsidRPr="008048DD">
        <w:rPr>
          <w:u w:color="4F81BD"/>
          <w:lang w:val="es-ES_tradnl"/>
        </w:rPr>
        <w:t xml:space="preserve">n el nivel 6 del </w:t>
      </w:r>
      <w:r w:rsidR="00964A38" w:rsidRPr="008048DD">
        <w:rPr>
          <w:lang w:val="es-ES_tradnl"/>
        </w:rPr>
        <w:t>marco</w:t>
      </w:r>
      <w:r w:rsidR="00C90B1F" w:rsidRPr="008048DD">
        <w:rPr>
          <w:u w:color="4F81BD"/>
          <w:lang w:val="es-ES_tradnl"/>
        </w:rPr>
        <w:t xml:space="preserve">, </w:t>
      </w:r>
      <w:r w:rsidRPr="008048DD">
        <w:rPr>
          <w:u w:color="4F81BD"/>
          <w:lang w:val="es-ES_tradnl"/>
        </w:rPr>
        <w:t xml:space="preserve">la Conferencia de las Partes </w:t>
      </w:r>
      <w:r w:rsidR="00964A38" w:rsidRPr="008048DD">
        <w:rPr>
          <w:u w:color="4F81BD"/>
          <w:lang w:val="es-ES_tradnl"/>
        </w:rPr>
        <w:t>tiene la responsabilidad</w:t>
      </w:r>
      <w:r w:rsidR="009662E9" w:rsidRPr="008048DD">
        <w:rPr>
          <w:u w:color="4F81BD"/>
          <w:lang w:val="es-ES_tradnl"/>
        </w:rPr>
        <w:t xml:space="preserve"> máxima</w:t>
      </w:r>
      <w:r w:rsidR="00B1107F" w:rsidRPr="008048DD">
        <w:rPr>
          <w:u w:color="4F81BD"/>
          <w:lang w:val="es-ES_tradnl"/>
        </w:rPr>
        <w:t xml:space="preserve"> </w:t>
      </w:r>
      <w:r w:rsidR="00964A38" w:rsidRPr="008048DD">
        <w:rPr>
          <w:u w:color="4F81BD"/>
          <w:lang w:val="es-ES_tradnl"/>
        </w:rPr>
        <w:t>de evaluar la eficacia del Convenio</w:t>
      </w:r>
      <w:r w:rsidR="00C73747" w:rsidRPr="008048DD">
        <w:rPr>
          <w:u w:color="4F81BD"/>
          <w:lang w:val="es-ES_tradnl"/>
        </w:rPr>
        <w:t>,</w:t>
      </w:r>
      <w:r w:rsidR="00964A38" w:rsidRPr="008048DD">
        <w:rPr>
          <w:u w:color="4F81BD"/>
          <w:lang w:val="es-ES_tradnl"/>
        </w:rPr>
        <w:t xml:space="preserve"> basándose en las conclusiones del </w:t>
      </w:r>
      <w:r w:rsidR="00042BD2" w:rsidRPr="008048DD">
        <w:rPr>
          <w:u w:color="4F81BD"/>
          <w:lang w:val="es-ES_tradnl"/>
        </w:rPr>
        <w:t>Comité de Evaluación de la E</w:t>
      </w:r>
      <w:r w:rsidR="00E006FC" w:rsidRPr="008048DD">
        <w:rPr>
          <w:u w:color="4F81BD"/>
          <w:lang w:val="es-ES_tradnl"/>
        </w:rPr>
        <w:t>ficacia</w:t>
      </w:r>
      <w:r w:rsidR="00964A38" w:rsidRPr="008048DD">
        <w:rPr>
          <w:u w:color="4F81BD"/>
          <w:lang w:val="es-ES_tradnl"/>
        </w:rPr>
        <w:t>.</w:t>
      </w:r>
      <w:r w:rsidR="00B3310A" w:rsidRPr="008048DD">
        <w:rPr>
          <w:u w:color="4F81BD"/>
          <w:lang w:val="es-ES_tradnl"/>
        </w:rPr>
        <w:t xml:space="preserve"> </w:t>
      </w:r>
      <w:r w:rsidR="00964A38" w:rsidRPr="008048DD">
        <w:rPr>
          <w:u w:color="4F81BD"/>
          <w:lang w:val="es-ES_tradnl"/>
        </w:rPr>
        <w:t>La</w:t>
      </w:r>
      <w:r w:rsidR="00D0269D" w:rsidRPr="008048DD">
        <w:rPr>
          <w:u w:color="4F81BD"/>
          <w:lang w:val="es-ES_tradnl"/>
        </w:rPr>
        <w:t xml:space="preserve"> formulación de</w:t>
      </w:r>
      <w:r w:rsidR="00964A38" w:rsidRPr="008048DD">
        <w:rPr>
          <w:u w:color="4F81BD"/>
          <w:lang w:val="es-ES_tradnl"/>
        </w:rPr>
        <w:t xml:space="preserve"> recomendaciones sobre la eficacia del Convenio</w:t>
      </w:r>
      <w:r w:rsidRPr="008048DD">
        <w:rPr>
          <w:u w:color="4F81BD"/>
          <w:lang w:val="es-ES_tradnl"/>
        </w:rPr>
        <w:t xml:space="preserve"> compete</w:t>
      </w:r>
      <w:r w:rsidR="00573427" w:rsidRPr="008048DD">
        <w:rPr>
          <w:u w:color="4F81BD"/>
          <w:lang w:val="es-ES_tradnl"/>
        </w:rPr>
        <w:t xml:space="preserve"> íntegramente a la Conferencia de las Partes. La Conferencia de las Partes podrá también optar por ordenar modificaciones en el proceso de los futuros ciclos de evaluación de la eficacia.</w:t>
      </w:r>
    </w:p>
    <w:p w14:paraId="0EAB8E52" w14:textId="77777777" w:rsidR="00B1107F" w:rsidRPr="008048DD" w:rsidRDefault="009666CD" w:rsidP="00B66A03">
      <w:pPr>
        <w:pStyle w:val="CH2"/>
        <w:rPr>
          <w:lang w:val="es-ES_tradnl"/>
        </w:rPr>
      </w:pPr>
      <w:r w:rsidRPr="008048DD">
        <w:rPr>
          <w:lang w:val="es-ES_tradnl"/>
        </w:rPr>
        <w:tab/>
      </w:r>
      <w:r w:rsidR="00B66A03" w:rsidRPr="008048DD">
        <w:rPr>
          <w:lang w:val="es-ES_tradnl"/>
        </w:rPr>
        <w:t>I.</w:t>
      </w:r>
      <w:r w:rsidR="00B66A03" w:rsidRPr="008048DD">
        <w:rPr>
          <w:lang w:val="es-ES_tradnl"/>
        </w:rPr>
        <w:tab/>
      </w:r>
      <w:r w:rsidR="00573427" w:rsidRPr="008048DD">
        <w:rPr>
          <w:lang w:val="es-ES_tradnl"/>
        </w:rPr>
        <w:t>Calendario y cronograma</w:t>
      </w:r>
    </w:p>
    <w:p w14:paraId="667FAAB7" w14:textId="36617E5C" w:rsidR="00B1107F" w:rsidRPr="008048DD" w:rsidRDefault="00E4654F" w:rsidP="00362646">
      <w:pPr>
        <w:pStyle w:val="Normalnumber"/>
        <w:numPr>
          <w:ilvl w:val="0"/>
          <w:numId w:val="40"/>
        </w:numPr>
        <w:tabs>
          <w:tab w:val="clear" w:pos="1057"/>
        </w:tabs>
        <w:ind w:left="1247"/>
        <w:rPr>
          <w:lang w:val="es-ES_tradnl"/>
        </w:rPr>
      </w:pPr>
      <w:r w:rsidRPr="008048DD">
        <w:rPr>
          <w:lang w:val="es-ES_tradnl"/>
        </w:rPr>
        <w:t xml:space="preserve">En el párrafo </w:t>
      </w:r>
      <w:r w:rsidR="00B1107F" w:rsidRPr="008048DD">
        <w:rPr>
          <w:lang w:val="es-ES_tradnl"/>
        </w:rPr>
        <w:t xml:space="preserve">1 </w:t>
      </w:r>
      <w:r w:rsidRPr="008048DD">
        <w:rPr>
          <w:lang w:val="es-ES_tradnl"/>
        </w:rPr>
        <w:t>del artículo</w:t>
      </w:r>
      <w:r w:rsidR="00B1107F" w:rsidRPr="008048DD">
        <w:rPr>
          <w:lang w:val="es-ES_tradnl"/>
        </w:rPr>
        <w:t xml:space="preserve"> </w:t>
      </w:r>
      <w:r w:rsidR="00086D76" w:rsidRPr="008048DD">
        <w:rPr>
          <w:lang w:val="es-ES_tradnl"/>
        </w:rPr>
        <w:t>2</w:t>
      </w:r>
      <w:r w:rsidR="00B1107F" w:rsidRPr="008048DD">
        <w:rPr>
          <w:lang w:val="es-ES_tradnl"/>
        </w:rPr>
        <w:t xml:space="preserve">2 </w:t>
      </w:r>
      <w:r w:rsidRPr="008048DD">
        <w:rPr>
          <w:lang w:val="es-ES_tradnl"/>
        </w:rPr>
        <w:t>sobre evaluación de la eficacia se señala que la</w:t>
      </w:r>
      <w:r w:rsidR="00B1107F" w:rsidRPr="008048DD">
        <w:rPr>
          <w:lang w:val="es-ES_tradnl"/>
        </w:rPr>
        <w:t xml:space="preserve"> </w:t>
      </w:r>
      <w:r w:rsidR="00894E54" w:rsidRPr="008048DD">
        <w:rPr>
          <w:lang w:val="es-ES_tradnl"/>
        </w:rPr>
        <w:t>Conferencia de las Partes</w:t>
      </w:r>
      <w:r w:rsidR="00B1107F" w:rsidRPr="008048DD">
        <w:rPr>
          <w:lang w:val="es-ES_tradnl"/>
        </w:rPr>
        <w:t xml:space="preserve"> </w:t>
      </w:r>
      <w:r w:rsidRPr="008048DD">
        <w:rPr>
          <w:lang w:val="es-ES_tradnl"/>
        </w:rPr>
        <w:t xml:space="preserve">evaluará la </w:t>
      </w:r>
      <w:r w:rsidRPr="008048DD">
        <w:rPr>
          <w:u w:color="4F81BD"/>
          <w:lang w:val="es-ES_tradnl"/>
        </w:rPr>
        <w:t>eficacia</w:t>
      </w:r>
      <w:r w:rsidRPr="008048DD">
        <w:rPr>
          <w:lang w:val="es-ES_tradnl"/>
        </w:rPr>
        <w:t xml:space="preserve"> del Convenio antes de que hayan transcurrido como máximo seis años </w:t>
      </w:r>
      <w:r w:rsidR="00964A38" w:rsidRPr="008048DD">
        <w:rPr>
          <w:lang w:val="es-ES_tradnl"/>
        </w:rPr>
        <w:t xml:space="preserve">a partir de </w:t>
      </w:r>
      <w:r w:rsidRPr="008048DD">
        <w:rPr>
          <w:lang w:val="es-ES_tradnl"/>
        </w:rPr>
        <w:t xml:space="preserve">la fecha de </w:t>
      </w:r>
      <w:r w:rsidR="00964A38" w:rsidRPr="008048DD">
        <w:rPr>
          <w:lang w:val="es-ES_tradnl"/>
        </w:rPr>
        <w:t xml:space="preserve">su </w:t>
      </w:r>
      <w:r w:rsidRPr="008048DD">
        <w:rPr>
          <w:lang w:val="es-ES_tradnl"/>
        </w:rPr>
        <w:t>entrada en vigor</w:t>
      </w:r>
      <w:r w:rsidR="00964A38" w:rsidRPr="008048DD">
        <w:rPr>
          <w:lang w:val="es-ES_tradnl"/>
        </w:rPr>
        <w:t>, y en lo sucesivo</w:t>
      </w:r>
      <w:r w:rsidR="00B1107F" w:rsidRPr="008048DD">
        <w:rPr>
          <w:lang w:val="es-ES_tradnl"/>
        </w:rPr>
        <w:t xml:space="preserve"> </w:t>
      </w:r>
      <w:r w:rsidR="00964A38" w:rsidRPr="008048DD">
        <w:rPr>
          <w:lang w:val="es-ES_tradnl"/>
        </w:rPr>
        <w:t>de man</w:t>
      </w:r>
      <w:r w:rsidR="00496BD0" w:rsidRPr="008048DD">
        <w:rPr>
          <w:lang w:val="es-ES_tradnl"/>
        </w:rPr>
        <w:t>era periódica a intervalos que e</w:t>
      </w:r>
      <w:r w:rsidR="00964A38" w:rsidRPr="008048DD">
        <w:rPr>
          <w:lang w:val="es-ES_tradnl"/>
        </w:rPr>
        <w:t>sta ha de fijar</w:t>
      </w:r>
      <w:r w:rsidR="00B1107F" w:rsidRPr="008048DD">
        <w:rPr>
          <w:lang w:val="es-ES_tradnl"/>
        </w:rPr>
        <w:t xml:space="preserve">. </w:t>
      </w:r>
      <w:r w:rsidR="00964A38" w:rsidRPr="008048DD">
        <w:rPr>
          <w:lang w:val="es-ES_tradnl"/>
        </w:rPr>
        <w:t xml:space="preserve">Dado que el Convenio entró en vigor el </w:t>
      </w:r>
      <w:r w:rsidR="00B1107F" w:rsidRPr="008048DD">
        <w:rPr>
          <w:lang w:val="es-ES_tradnl"/>
        </w:rPr>
        <w:t xml:space="preserve">16 </w:t>
      </w:r>
      <w:r w:rsidR="00964A38" w:rsidRPr="008048DD">
        <w:rPr>
          <w:lang w:val="es-ES_tradnl"/>
        </w:rPr>
        <w:t xml:space="preserve">de agosto de </w:t>
      </w:r>
      <w:r w:rsidR="00B1107F" w:rsidRPr="008048DD">
        <w:rPr>
          <w:lang w:val="es-ES_tradnl"/>
        </w:rPr>
        <w:t xml:space="preserve">2017, </w:t>
      </w:r>
      <w:r w:rsidR="00964A38" w:rsidRPr="008048DD">
        <w:rPr>
          <w:lang w:val="es-ES_tradnl"/>
        </w:rPr>
        <w:t>el marco prep</w:t>
      </w:r>
      <w:r w:rsidR="00CA0897" w:rsidRPr="008048DD">
        <w:rPr>
          <w:lang w:val="es-ES_tradnl"/>
        </w:rPr>
        <w:t>arado por el G</w:t>
      </w:r>
      <w:r w:rsidR="00964A38" w:rsidRPr="008048DD">
        <w:rPr>
          <w:lang w:val="es-ES_tradnl"/>
        </w:rPr>
        <w:t xml:space="preserve">rupo especial de expertos técnicos facilita la presentación del documento resultante del primer ciclo de evaluación en </w:t>
      </w:r>
      <w:r w:rsidR="00B1107F" w:rsidRPr="008048DD">
        <w:rPr>
          <w:lang w:val="es-ES_tradnl"/>
        </w:rPr>
        <w:t>2023</w:t>
      </w:r>
      <w:r w:rsidR="00086D76" w:rsidRPr="008048DD">
        <w:rPr>
          <w:lang w:val="es-ES_tradnl"/>
        </w:rPr>
        <w:t xml:space="preserve">, </w:t>
      </w:r>
      <w:r w:rsidR="00964A38" w:rsidRPr="008048DD">
        <w:rPr>
          <w:lang w:val="es-ES_tradnl"/>
        </w:rPr>
        <w:t xml:space="preserve">año de celebración de la quinta reunión de la </w:t>
      </w:r>
      <w:r w:rsidR="00894E54" w:rsidRPr="008048DD">
        <w:rPr>
          <w:lang w:val="es-ES_tradnl"/>
        </w:rPr>
        <w:t>Conferencia de las Partes</w:t>
      </w:r>
      <w:r w:rsidR="00B1107F" w:rsidRPr="008048DD">
        <w:rPr>
          <w:lang w:val="es-ES_tradnl"/>
        </w:rPr>
        <w:t xml:space="preserve">. </w:t>
      </w:r>
      <w:r w:rsidR="00964A38" w:rsidRPr="008048DD">
        <w:rPr>
          <w:lang w:val="es-ES_tradnl"/>
        </w:rPr>
        <w:t xml:space="preserve">Ahora bien, esta circunstancia obliga a la </w:t>
      </w:r>
      <w:r w:rsidR="00894E54" w:rsidRPr="008048DD">
        <w:rPr>
          <w:lang w:val="es-ES_tradnl"/>
        </w:rPr>
        <w:t>Conferencia de las Partes</w:t>
      </w:r>
      <w:r w:rsidR="00B1107F" w:rsidRPr="008048DD">
        <w:rPr>
          <w:lang w:val="es-ES_tradnl"/>
        </w:rPr>
        <w:t xml:space="preserve"> a</w:t>
      </w:r>
      <w:r w:rsidR="00964A38" w:rsidRPr="008048DD">
        <w:rPr>
          <w:lang w:val="es-ES_tradnl"/>
        </w:rPr>
        <w:t xml:space="preserve"> aprobar el marco en su tercera reunión</w:t>
      </w:r>
      <w:r w:rsidR="00B1107F" w:rsidRPr="008048DD">
        <w:rPr>
          <w:lang w:val="es-ES_tradnl"/>
        </w:rPr>
        <w:t xml:space="preserve">. </w:t>
      </w:r>
    </w:p>
    <w:p w14:paraId="4AC520E5" w14:textId="6E607D53" w:rsidR="00B1107F" w:rsidRPr="008048DD" w:rsidRDefault="00073B4A" w:rsidP="00362646">
      <w:pPr>
        <w:pStyle w:val="Normalnumber"/>
        <w:numPr>
          <w:ilvl w:val="0"/>
          <w:numId w:val="40"/>
        </w:numPr>
        <w:tabs>
          <w:tab w:val="clear" w:pos="1057"/>
        </w:tabs>
        <w:ind w:left="1247"/>
        <w:rPr>
          <w:lang w:val="es-ES_tradnl"/>
        </w:rPr>
      </w:pPr>
      <w:r w:rsidRPr="008048DD">
        <w:rPr>
          <w:lang w:val="es-ES_tradnl"/>
        </w:rPr>
        <w:t>Cabe señalar que, teniendo en cuenta los ciclos de presentación de informes acordados para el Convenio</w:t>
      </w:r>
      <w:r w:rsidR="00B1107F" w:rsidRPr="008048DD">
        <w:rPr>
          <w:lang w:val="es-ES_tradnl"/>
        </w:rPr>
        <w:t xml:space="preserve">, </w:t>
      </w:r>
      <w:r w:rsidRPr="008048DD">
        <w:rPr>
          <w:lang w:val="es-ES_tradnl"/>
        </w:rPr>
        <w:t xml:space="preserve">en el ciclo de dos años </w:t>
      </w:r>
      <w:r w:rsidRPr="008048DD">
        <w:rPr>
          <w:u w:color="4F81BD"/>
          <w:lang w:val="es-ES_tradnl"/>
        </w:rPr>
        <w:t>previsto</w:t>
      </w:r>
      <w:r w:rsidRPr="008048DD">
        <w:rPr>
          <w:lang w:val="es-ES_tradnl"/>
        </w:rPr>
        <w:t xml:space="preserve"> en el artículo</w:t>
      </w:r>
      <w:r w:rsidR="00B1107F" w:rsidRPr="008048DD">
        <w:rPr>
          <w:lang w:val="es-ES_tradnl"/>
        </w:rPr>
        <w:t xml:space="preserve"> </w:t>
      </w:r>
      <w:r w:rsidR="00F22A1B" w:rsidRPr="008048DD">
        <w:rPr>
          <w:lang w:val="es-ES_tradnl"/>
        </w:rPr>
        <w:t>21</w:t>
      </w:r>
      <w:r w:rsidR="00B1107F" w:rsidRPr="008048DD">
        <w:rPr>
          <w:lang w:val="es-ES_tradnl"/>
        </w:rPr>
        <w:t xml:space="preserve"> </w:t>
      </w:r>
      <w:r w:rsidRPr="008048DD">
        <w:rPr>
          <w:lang w:val="es-ES_tradnl"/>
        </w:rPr>
        <w:t xml:space="preserve">sobre presentación de informes se dispone la presentación de los primeros informes </w:t>
      </w:r>
      <w:r w:rsidR="001345D8" w:rsidRPr="008048DD">
        <w:rPr>
          <w:lang w:val="es-ES_tradnl"/>
        </w:rPr>
        <w:t>corto</w:t>
      </w:r>
      <w:r w:rsidRPr="008048DD">
        <w:rPr>
          <w:lang w:val="es-ES_tradnl"/>
        </w:rPr>
        <w:t xml:space="preserve">s en diciembre de </w:t>
      </w:r>
      <w:r w:rsidR="00B1107F" w:rsidRPr="008048DD">
        <w:rPr>
          <w:lang w:val="es-ES_tradnl"/>
        </w:rPr>
        <w:t xml:space="preserve">2019 </w:t>
      </w:r>
      <w:r w:rsidRPr="008048DD">
        <w:rPr>
          <w:lang w:val="es-ES_tradnl"/>
        </w:rPr>
        <w:t xml:space="preserve">y el primer ciclo cuatrienal de informes en diciembre de </w:t>
      </w:r>
      <w:r w:rsidR="00B1107F" w:rsidRPr="008048DD">
        <w:rPr>
          <w:lang w:val="es-ES_tradnl"/>
        </w:rPr>
        <w:t>2021.</w:t>
      </w:r>
      <w:r w:rsidR="00E4654F" w:rsidRPr="008048DD">
        <w:rPr>
          <w:lang w:val="es-ES_tradnl"/>
        </w:rPr>
        <w:t xml:space="preserve"> Suponiendo que se pueda reunir esta información y habida cuenta de los informes periódicos a la </w:t>
      </w:r>
      <w:r w:rsidR="00894E54" w:rsidRPr="008048DD">
        <w:rPr>
          <w:lang w:val="es-ES_tradnl"/>
        </w:rPr>
        <w:t>Conferencia de las Partes</w:t>
      </w:r>
      <w:r w:rsidR="00D15726" w:rsidRPr="008048DD">
        <w:rPr>
          <w:lang w:val="es-ES_tradnl"/>
        </w:rPr>
        <w:t xml:space="preserve"> </w:t>
      </w:r>
      <w:r w:rsidR="00E4654F" w:rsidRPr="008048DD">
        <w:rPr>
          <w:lang w:val="es-ES_tradnl"/>
        </w:rPr>
        <w:t>presentados por el Comité de Aplicación y Cumplimiento</w:t>
      </w:r>
      <w:r w:rsidR="001345D8" w:rsidRPr="008048DD">
        <w:rPr>
          <w:lang w:val="es-ES_tradnl"/>
        </w:rPr>
        <w:t>,</w:t>
      </w:r>
      <w:r w:rsidR="00E4654F" w:rsidRPr="008048DD">
        <w:rPr>
          <w:lang w:val="es-ES_tradnl"/>
        </w:rPr>
        <w:t xml:space="preserve"> de conformidad con el artículo</w:t>
      </w:r>
      <w:r w:rsidR="00B1107F" w:rsidRPr="008048DD">
        <w:rPr>
          <w:lang w:val="es-ES_tradnl"/>
        </w:rPr>
        <w:t xml:space="preserve"> 15, </w:t>
      </w:r>
      <w:r w:rsidR="00E4654F" w:rsidRPr="008048DD">
        <w:rPr>
          <w:lang w:val="es-ES_tradnl"/>
        </w:rPr>
        <w:t xml:space="preserve">sobre recursos financieros y el mecanismo financiero previstos en el artículo </w:t>
      </w:r>
      <w:r w:rsidR="00B1107F" w:rsidRPr="008048DD">
        <w:rPr>
          <w:lang w:val="es-ES_tradnl"/>
        </w:rPr>
        <w:t xml:space="preserve">13 </w:t>
      </w:r>
      <w:r w:rsidR="00E4654F" w:rsidRPr="008048DD">
        <w:rPr>
          <w:lang w:val="es-ES_tradnl"/>
        </w:rPr>
        <w:t xml:space="preserve">y sobre creación de capacidad, asistencia técnica y transferencia de tecnología según el artículo </w:t>
      </w:r>
      <w:r w:rsidR="00B1107F" w:rsidRPr="008048DD">
        <w:rPr>
          <w:lang w:val="es-ES_tradnl"/>
        </w:rPr>
        <w:t>14, as</w:t>
      </w:r>
      <w:r w:rsidR="00E4654F" w:rsidRPr="008048DD">
        <w:rPr>
          <w:lang w:val="es-ES_tradnl"/>
        </w:rPr>
        <w:t xml:space="preserve">í como los datos de vigilancia de que se disponga </w:t>
      </w:r>
      <w:r w:rsidR="00B9259F" w:rsidRPr="008048DD">
        <w:rPr>
          <w:lang w:val="es-ES_tradnl"/>
        </w:rPr>
        <w:t>tras</w:t>
      </w:r>
      <w:r w:rsidR="00E4654F" w:rsidRPr="008048DD">
        <w:rPr>
          <w:lang w:val="es-ES_tradnl"/>
        </w:rPr>
        <w:t xml:space="preserve"> la puesta en marcha de los </w:t>
      </w:r>
      <w:r w:rsidR="00891F8B" w:rsidRPr="008048DD">
        <w:rPr>
          <w:lang w:val="es-ES_tradnl"/>
        </w:rPr>
        <w:t>arreglos de vigilancia</w:t>
      </w:r>
      <w:r w:rsidR="00E4654F" w:rsidRPr="008048DD">
        <w:rPr>
          <w:lang w:val="es-ES_tradnl"/>
        </w:rPr>
        <w:t xml:space="preserve"> mundial propuestos en el apéndice</w:t>
      </w:r>
      <w:r w:rsidR="00B1107F" w:rsidRPr="008048DD">
        <w:rPr>
          <w:lang w:val="es-ES_tradnl"/>
        </w:rPr>
        <w:t xml:space="preserve"> III, </w:t>
      </w:r>
      <w:r w:rsidR="00E4654F" w:rsidRPr="008048DD">
        <w:rPr>
          <w:lang w:val="es-ES_tradnl"/>
        </w:rPr>
        <w:t xml:space="preserve">se recomienda fijar el plazo de presentación de la información </w:t>
      </w:r>
      <w:r w:rsidR="00B1107F" w:rsidRPr="008048DD">
        <w:rPr>
          <w:lang w:val="es-ES_tradnl"/>
        </w:rPr>
        <w:t xml:space="preserve">comparable </w:t>
      </w:r>
      <w:r w:rsidR="00312956" w:rsidRPr="008048DD">
        <w:rPr>
          <w:lang w:val="es-ES_tradnl"/>
        </w:rPr>
        <w:t xml:space="preserve">a tiempo para </w:t>
      </w:r>
      <w:r w:rsidR="00E4654F" w:rsidRPr="008048DD">
        <w:rPr>
          <w:lang w:val="es-ES_tradnl"/>
        </w:rPr>
        <w:t>el primer ciclo de evaluación en</w:t>
      </w:r>
      <w:r w:rsidR="00CA0897" w:rsidRPr="008048DD">
        <w:rPr>
          <w:lang w:val="es-ES_tradnl"/>
        </w:rPr>
        <w:t> </w:t>
      </w:r>
      <w:r w:rsidR="00B1107F" w:rsidRPr="008048DD">
        <w:rPr>
          <w:lang w:val="es-ES_tradnl"/>
        </w:rPr>
        <w:t>2021</w:t>
      </w:r>
      <w:r w:rsidR="00933C1C" w:rsidRPr="008048DD">
        <w:rPr>
          <w:lang w:val="es-ES_tradnl"/>
        </w:rPr>
        <w:t xml:space="preserve">, </w:t>
      </w:r>
      <w:r w:rsidR="00E4654F" w:rsidRPr="008048DD">
        <w:rPr>
          <w:lang w:val="es-ES_tradnl"/>
        </w:rPr>
        <w:t xml:space="preserve">momento en que todas las Partes </w:t>
      </w:r>
      <w:r w:rsidR="00312956" w:rsidRPr="008048DD">
        <w:rPr>
          <w:lang w:val="es-ES_tradnl"/>
        </w:rPr>
        <w:t xml:space="preserve">deberán </w:t>
      </w:r>
      <w:r w:rsidR="00E4654F" w:rsidRPr="008048DD">
        <w:rPr>
          <w:lang w:val="es-ES_tradnl"/>
        </w:rPr>
        <w:t>hab</w:t>
      </w:r>
      <w:r w:rsidR="00312956" w:rsidRPr="008048DD">
        <w:rPr>
          <w:lang w:val="es-ES_tradnl"/>
        </w:rPr>
        <w:t>e</w:t>
      </w:r>
      <w:r w:rsidR="00E4654F" w:rsidRPr="008048DD">
        <w:rPr>
          <w:lang w:val="es-ES_tradnl"/>
        </w:rPr>
        <w:t xml:space="preserve">r presentado un informe nacional </w:t>
      </w:r>
      <w:r w:rsidR="00312956" w:rsidRPr="008048DD">
        <w:rPr>
          <w:lang w:val="es-ES_tradnl"/>
        </w:rPr>
        <w:t>corto</w:t>
      </w:r>
      <w:r w:rsidR="00E4654F" w:rsidRPr="008048DD">
        <w:rPr>
          <w:lang w:val="es-ES_tradnl"/>
        </w:rPr>
        <w:t xml:space="preserve"> </w:t>
      </w:r>
      <w:r w:rsidR="00B1107F" w:rsidRPr="008048DD">
        <w:rPr>
          <w:lang w:val="es-ES_tradnl"/>
        </w:rPr>
        <w:t xml:space="preserve">(2019) </w:t>
      </w:r>
      <w:r w:rsidR="00E4654F" w:rsidRPr="008048DD">
        <w:rPr>
          <w:lang w:val="es-ES_tradnl"/>
        </w:rPr>
        <w:t xml:space="preserve">y un informe nacional largo </w:t>
      </w:r>
      <w:r w:rsidR="00B1107F" w:rsidRPr="008048DD">
        <w:rPr>
          <w:lang w:val="es-ES_tradnl"/>
        </w:rPr>
        <w:t>(2021)</w:t>
      </w:r>
      <w:r w:rsidR="001345D8" w:rsidRPr="008048DD">
        <w:rPr>
          <w:lang w:val="es-ES_tradnl"/>
        </w:rPr>
        <w:t>,</w:t>
      </w:r>
      <w:r w:rsidR="00B1107F" w:rsidRPr="008048DD">
        <w:rPr>
          <w:lang w:val="es-ES_tradnl"/>
        </w:rPr>
        <w:t xml:space="preserve"> </w:t>
      </w:r>
      <w:r w:rsidR="00E4654F" w:rsidRPr="008048DD">
        <w:rPr>
          <w:lang w:val="es-ES_tradnl"/>
        </w:rPr>
        <w:t>de los que se pueda extraer la información perti</w:t>
      </w:r>
      <w:r w:rsidR="00507230" w:rsidRPr="008048DD">
        <w:rPr>
          <w:lang w:val="es-ES_tradnl"/>
        </w:rPr>
        <w:t>n</w:t>
      </w:r>
      <w:r w:rsidR="00E4654F" w:rsidRPr="008048DD">
        <w:rPr>
          <w:lang w:val="es-ES_tradnl"/>
        </w:rPr>
        <w:t>ente para el primer ciclo de evaluación de la eficacia</w:t>
      </w:r>
      <w:r w:rsidR="00B1107F" w:rsidRPr="008048DD">
        <w:rPr>
          <w:lang w:val="es-ES_tradnl"/>
        </w:rPr>
        <w:t>.</w:t>
      </w:r>
    </w:p>
    <w:p w14:paraId="078BD90C" w14:textId="4E48D5ED" w:rsidR="00B1107F" w:rsidRPr="008048DD" w:rsidRDefault="008F54DB" w:rsidP="00362646">
      <w:pPr>
        <w:pStyle w:val="Normalnumber"/>
        <w:numPr>
          <w:ilvl w:val="0"/>
          <w:numId w:val="40"/>
        </w:numPr>
        <w:tabs>
          <w:tab w:val="clear" w:pos="1057"/>
        </w:tabs>
        <w:ind w:left="1247"/>
        <w:rPr>
          <w:lang w:val="es-ES_tradnl"/>
        </w:rPr>
      </w:pPr>
      <w:r w:rsidRPr="008048DD">
        <w:rPr>
          <w:lang w:val="es-ES_tradnl"/>
        </w:rPr>
        <w:t xml:space="preserve">La cuarta reunión de la </w:t>
      </w:r>
      <w:r w:rsidR="00894E54" w:rsidRPr="008048DD">
        <w:rPr>
          <w:lang w:val="es-ES_tradnl"/>
        </w:rPr>
        <w:t>Conferencia de las Partes</w:t>
      </w:r>
      <w:r w:rsidR="00B1107F" w:rsidRPr="008048DD">
        <w:rPr>
          <w:lang w:val="es-ES_tradnl"/>
        </w:rPr>
        <w:t xml:space="preserve"> </w:t>
      </w:r>
      <w:r w:rsidRPr="008048DD">
        <w:rPr>
          <w:lang w:val="es-ES_tradnl"/>
        </w:rPr>
        <w:t>s</w:t>
      </w:r>
      <w:r w:rsidR="001345D8" w:rsidRPr="008048DD">
        <w:rPr>
          <w:lang w:val="es-ES_tradnl"/>
        </w:rPr>
        <w:t>e</w:t>
      </w:r>
      <w:r w:rsidRPr="008048DD">
        <w:rPr>
          <w:lang w:val="es-ES_tradnl"/>
        </w:rPr>
        <w:t xml:space="preserve"> habrá de convocar en </w:t>
      </w:r>
      <w:r w:rsidR="00B1107F" w:rsidRPr="008048DD">
        <w:rPr>
          <w:lang w:val="es-ES_tradnl"/>
        </w:rPr>
        <w:t>2021</w:t>
      </w:r>
      <w:r w:rsidR="00933C1C" w:rsidRPr="008048DD">
        <w:rPr>
          <w:lang w:val="es-ES_tradnl"/>
        </w:rPr>
        <w:t>,</w:t>
      </w:r>
      <w:r w:rsidR="00B1107F" w:rsidRPr="008048DD">
        <w:rPr>
          <w:lang w:val="es-ES_tradnl"/>
        </w:rPr>
        <w:t xml:space="preserve"> </w:t>
      </w:r>
      <w:r w:rsidRPr="008048DD">
        <w:rPr>
          <w:lang w:val="es-ES_tradnl"/>
        </w:rPr>
        <w:t xml:space="preserve">y se ha propuesto </w:t>
      </w:r>
      <w:r w:rsidR="001345D8" w:rsidRPr="008048DD">
        <w:rPr>
          <w:lang w:val="es-ES_tradnl"/>
        </w:rPr>
        <w:t xml:space="preserve">que se establezca </w:t>
      </w:r>
      <w:r w:rsidRPr="008048DD">
        <w:rPr>
          <w:lang w:val="es-ES_tradnl"/>
        </w:rPr>
        <w:t xml:space="preserve">el </w:t>
      </w:r>
      <w:r w:rsidR="007A18BB" w:rsidRPr="008048DD">
        <w:rPr>
          <w:lang w:val="es-ES_tradnl"/>
        </w:rPr>
        <w:t>Comité de Evaluación de la E</w:t>
      </w:r>
      <w:r w:rsidR="00E006FC" w:rsidRPr="008048DD">
        <w:rPr>
          <w:lang w:val="es-ES_tradnl"/>
        </w:rPr>
        <w:t>ficacia</w:t>
      </w:r>
      <w:r w:rsidRPr="008048DD">
        <w:rPr>
          <w:lang w:val="es-ES_tradnl"/>
        </w:rPr>
        <w:t xml:space="preserve"> en esa reunión, lo que permitiría al </w:t>
      </w:r>
      <w:r w:rsidR="00797100" w:rsidRPr="008048DD">
        <w:rPr>
          <w:lang w:val="es-ES_tradnl"/>
        </w:rPr>
        <w:t>C</w:t>
      </w:r>
      <w:r w:rsidR="007129E3" w:rsidRPr="008048DD">
        <w:rPr>
          <w:lang w:val="es-ES_tradnl"/>
        </w:rPr>
        <w:t>om</w:t>
      </w:r>
      <w:r w:rsidRPr="008048DD">
        <w:rPr>
          <w:lang w:val="es-ES_tradnl"/>
        </w:rPr>
        <w:t xml:space="preserve">ité disponer de </w:t>
      </w:r>
      <w:r w:rsidR="00B1107F" w:rsidRPr="008048DD">
        <w:rPr>
          <w:lang w:val="es-ES_tradnl"/>
        </w:rPr>
        <w:t xml:space="preserve">2022 </w:t>
      </w:r>
      <w:r w:rsidRPr="008048DD">
        <w:rPr>
          <w:lang w:val="es-ES_tradnl"/>
        </w:rPr>
        <w:t>y</w:t>
      </w:r>
      <w:r w:rsidR="00B1107F" w:rsidRPr="008048DD">
        <w:rPr>
          <w:lang w:val="es-ES_tradnl"/>
        </w:rPr>
        <w:t xml:space="preserve"> 2023 </w:t>
      </w:r>
      <w:r w:rsidRPr="008048DD">
        <w:rPr>
          <w:lang w:val="es-ES_tradnl"/>
        </w:rPr>
        <w:t xml:space="preserve">para </w:t>
      </w:r>
      <w:r w:rsidR="001345D8" w:rsidRPr="008048DD">
        <w:rPr>
          <w:lang w:val="es-ES_tradnl"/>
        </w:rPr>
        <w:t xml:space="preserve">encargarse del </w:t>
      </w:r>
      <w:r w:rsidRPr="008048DD">
        <w:rPr>
          <w:lang w:val="es-ES_tradnl"/>
        </w:rPr>
        <w:t xml:space="preserve">examen, </w:t>
      </w:r>
      <w:r w:rsidR="001345D8" w:rsidRPr="008048DD">
        <w:rPr>
          <w:lang w:val="es-ES_tradnl"/>
        </w:rPr>
        <w:t xml:space="preserve">el </w:t>
      </w:r>
      <w:r w:rsidRPr="008048DD">
        <w:rPr>
          <w:lang w:val="es-ES_tradnl"/>
        </w:rPr>
        <w:t xml:space="preserve">análisis y </w:t>
      </w:r>
      <w:r w:rsidR="001345D8" w:rsidRPr="008048DD">
        <w:rPr>
          <w:lang w:val="es-ES_tradnl"/>
        </w:rPr>
        <w:t xml:space="preserve">la </w:t>
      </w:r>
      <w:r w:rsidRPr="008048DD">
        <w:rPr>
          <w:lang w:val="es-ES_tradnl"/>
        </w:rPr>
        <w:t>evaluación de los informes propuestos</w:t>
      </w:r>
      <w:r w:rsidR="00B1107F" w:rsidRPr="008048DD">
        <w:rPr>
          <w:lang w:val="es-ES_tradnl"/>
        </w:rPr>
        <w:t xml:space="preserve">, </w:t>
      </w:r>
      <w:r w:rsidRPr="008048DD">
        <w:rPr>
          <w:lang w:val="es-ES_tradnl"/>
        </w:rPr>
        <w:t>a fin de formular sus conclusiones</w:t>
      </w:r>
      <w:r w:rsidR="001345D8" w:rsidRPr="008048DD">
        <w:rPr>
          <w:lang w:val="es-ES_tradnl"/>
        </w:rPr>
        <w:t>,</w:t>
      </w:r>
      <w:r w:rsidRPr="008048DD">
        <w:rPr>
          <w:lang w:val="es-ES_tradnl"/>
        </w:rPr>
        <w:t xml:space="preserve"> que </w:t>
      </w:r>
      <w:r w:rsidR="001345D8" w:rsidRPr="008048DD">
        <w:rPr>
          <w:lang w:val="es-ES_tradnl"/>
        </w:rPr>
        <w:t xml:space="preserve">habrán de </w:t>
      </w:r>
      <w:r w:rsidRPr="008048DD">
        <w:rPr>
          <w:lang w:val="es-ES_tradnl"/>
        </w:rPr>
        <w:t>presentar</w:t>
      </w:r>
      <w:r w:rsidR="001345D8" w:rsidRPr="008048DD">
        <w:rPr>
          <w:lang w:val="es-ES_tradnl"/>
        </w:rPr>
        <w:t>se</w:t>
      </w:r>
      <w:r w:rsidRPr="008048DD">
        <w:rPr>
          <w:lang w:val="es-ES_tradnl"/>
        </w:rPr>
        <w:t xml:space="preserve"> a la</w:t>
      </w:r>
      <w:r w:rsidR="00B1107F" w:rsidRPr="008048DD">
        <w:rPr>
          <w:lang w:val="es-ES_tradnl"/>
        </w:rPr>
        <w:t xml:space="preserve"> </w:t>
      </w:r>
      <w:r w:rsidR="00894E54" w:rsidRPr="008048DD">
        <w:rPr>
          <w:lang w:val="es-ES_tradnl"/>
        </w:rPr>
        <w:t>Conferencia de las Partes</w:t>
      </w:r>
      <w:r w:rsidR="00B1107F" w:rsidRPr="008048DD">
        <w:rPr>
          <w:lang w:val="es-ES_tradnl"/>
        </w:rPr>
        <w:t xml:space="preserve"> </w:t>
      </w:r>
      <w:r w:rsidRPr="008048DD">
        <w:rPr>
          <w:lang w:val="es-ES_tradnl"/>
        </w:rPr>
        <w:t>en su quinta reunión</w:t>
      </w:r>
      <w:r w:rsidR="007129E3" w:rsidRPr="008048DD">
        <w:rPr>
          <w:lang w:val="es-ES_tradnl"/>
        </w:rPr>
        <w:t xml:space="preserve">, </w:t>
      </w:r>
      <w:r w:rsidRPr="008048DD">
        <w:rPr>
          <w:lang w:val="es-ES_tradnl"/>
        </w:rPr>
        <w:t xml:space="preserve">que se celebrará en </w:t>
      </w:r>
      <w:r w:rsidR="00B1107F" w:rsidRPr="008048DD">
        <w:rPr>
          <w:lang w:val="es-ES_tradnl"/>
        </w:rPr>
        <w:t xml:space="preserve">2023. </w:t>
      </w:r>
    </w:p>
    <w:p w14:paraId="1B124B66" w14:textId="585E44E0" w:rsidR="00B1107F" w:rsidRPr="008048DD" w:rsidRDefault="008F54DB" w:rsidP="00362646">
      <w:pPr>
        <w:pStyle w:val="Normalnumber"/>
        <w:numPr>
          <w:ilvl w:val="0"/>
          <w:numId w:val="40"/>
        </w:numPr>
        <w:tabs>
          <w:tab w:val="clear" w:pos="1057"/>
        </w:tabs>
        <w:ind w:left="1247"/>
        <w:rPr>
          <w:lang w:val="es-ES_tradnl"/>
        </w:rPr>
      </w:pPr>
      <w:r w:rsidRPr="008048DD">
        <w:rPr>
          <w:lang w:val="es-ES_tradnl"/>
        </w:rPr>
        <w:t xml:space="preserve">Se propone que el </w:t>
      </w:r>
      <w:r w:rsidR="002639BD" w:rsidRPr="008048DD">
        <w:rPr>
          <w:lang w:val="es-ES_tradnl"/>
        </w:rPr>
        <w:t>Comité de Evaluación de la E</w:t>
      </w:r>
      <w:r w:rsidR="00E006FC" w:rsidRPr="008048DD">
        <w:rPr>
          <w:lang w:val="es-ES_tradnl"/>
        </w:rPr>
        <w:t>ficacia</w:t>
      </w:r>
      <w:r w:rsidRPr="008048DD">
        <w:rPr>
          <w:lang w:val="es-ES_tradnl"/>
        </w:rPr>
        <w:t xml:space="preserve"> se reúna dos veces, la primera en noviembre de </w:t>
      </w:r>
      <w:r w:rsidR="00745572" w:rsidRPr="008048DD">
        <w:rPr>
          <w:lang w:val="es-ES_tradnl"/>
        </w:rPr>
        <w:t xml:space="preserve">2022 </w:t>
      </w:r>
      <w:r w:rsidRPr="008048DD">
        <w:rPr>
          <w:lang w:val="es-ES_tradnl"/>
        </w:rPr>
        <w:t xml:space="preserve">y posteriormente en abril de </w:t>
      </w:r>
      <w:r w:rsidR="00745572" w:rsidRPr="008048DD">
        <w:rPr>
          <w:lang w:val="es-ES_tradnl"/>
        </w:rPr>
        <w:t>2023,</w:t>
      </w:r>
      <w:r w:rsidR="00B1107F" w:rsidRPr="008048DD">
        <w:rPr>
          <w:lang w:val="es-ES_tradnl"/>
        </w:rPr>
        <w:t xml:space="preserve"> </w:t>
      </w:r>
      <w:r w:rsidRPr="008048DD">
        <w:rPr>
          <w:lang w:val="es-ES_tradnl"/>
        </w:rPr>
        <w:t>para formular sus conclusiones</w:t>
      </w:r>
      <w:r w:rsidR="00B1107F" w:rsidRPr="008048DD">
        <w:rPr>
          <w:lang w:val="es-ES_tradnl"/>
        </w:rPr>
        <w:t xml:space="preserve">. </w:t>
      </w:r>
      <w:r w:rsidRPr="008048DD">
        <w:rPr>
          <w:lang w:val="es-ES_tradnl"/>
        </w:rPr>
        <w:t>Se parte del supuesto de que</w:t>
      </w:r>
      <w:r w:rsidR="001345D8" w:rsidRPr="008048DD">
        <w:rPr>
          <w:lang w:val="es-ES_tradnl"/>
        </w:rPr>
        <w:t>,</w:t>
      </w:r>
      <w:r w:rsidRPr="008048DD">
        <w:rPr>
          <w:lang w:val="es-ES_tradnl"/>
        </w:rPr>
        <w:t xml:space="preserve"> en su primera reunión</w:t>
      </w:r>
      <w:r w:rsidR="001345D8" w:rsidRPr="008048DD">
        <w:rPr>
          <w:lang w:val="es-ES_tradnl"/>
        </w:rPr>
        <w:t>,</w:t>
      </w:r>
      <w:r w:rsidRPr="008048DD">
        <w:rPr>
          <w:lang w:val="es-ES_tradnl"/>
        </w:rPr>
        <w:t xml:space="preserve"> prepare un proyecto de conclusiones para que se puedan formular observaciones y</w:t>
      </w:r>
      <w:r w:rsidR="001345D8" w:rsidRPr="008048DD">
        <w:rPr>
          <w:lang w:val="es-ES_tradnl"/>
        </w:rPr>
        <w:t>,</w:t>
      </w:r>
      <w:r w:rsidRPr="008048DD">
        <w:rPr>
          <w:lang w:val="es-ES_tradnl"/>
        </w:rPr>
        <w:t xml:space="preserve"> en su segunda reunión, se darían los toques finales a las conclusiones que se presentarían a la </w:t>
      </w:r>
      <w:r w:rsidR="00894E54" w:rsidRPr="008048DD">
        <w:rPr>
          <w:lang w:val="es-ES_tradnl"/>
        </w:rPr>
        <w:t>Conferencia de las Partes</w:t>
      </w:r>
      <w:r w:rsidR="00B1107F" w:rsidRPr="008048DD">
        <w:rPr>
          <w:lang w:val="es-ES_tradnl"/>
        </w:rPr>
        <w:t>.</w:t>
      </w:r>
      <w:r w:rsidR="00B1107F" w:rsidRPr="008048DD">
        <w:rPr>
          <w:highlight w:val="yellow"/>
          <w:lang w:val="es-ES_tradnl"/>
        </w:rPr>
        <w:t xml:space="preserve"> </w:t>
      </w:r>
    </w:p>
    <w:p w14:paraId="27E337B6" w14:textId="77777777" w:rsidR="00B1107F" w:rsidRPr="008048DD" w:rsidRDefault="008F54DB" w:rsidP="00454F1C">
      <w:pPr>
        <w:pStyle w:val="Normalnumber"/>
        <w:numPr>
          <w:ilvl w:val="0"/>
          <w:numId w:val="40"/>
        </w:numPr>
        <w:tabs>
          <w:tab w:val="clear" w:pos="1057"/>
        </w:tabs>
        <w:spacing w:after="240"/>
        <w:ind w:left="1247"/>
        <w:rPr>
          <w:lang w:val="es-ES_tradnl"/>
        </w:rPr>
      </w:pPr>
      <w:r w:rsidRPr="008048DD">
        <w:rPr>
          <w:lang w:val="es-ES_tradnl"/>
        </w:rPr>
        <w:t xml:space="preserve">En la figura 3 </w:t>
      </w:r>
      <w:r w:rsidR="00312956" w:rsidRPr="008048DD">
        <w:rPr>
          <w:lang w:val="es-ES_tradnl"/>
        </w:rPr>
        <w:t>se presenta</w:t>
      </w:r>
      <w:r w:rsidRPr="008048DD">
        <w:rPr>
          <w:lang w:val="es-ES_tradnl"/>
        </w:rPr>
        <w:t xml:space="preserve"> el marco cronológico </w:t>
      </w:r>
      <w:r w:rsidR="00312956" w:rsidRPr="008048DD">
        <w:rPr>
          <w:lang w:val="es-ES_tradnl"/>
        </w:rPr>
        <w:t>d</w:t>
      </w:r>
      <w:r w:rsidRPr="008048DD">
        <w:rPr>
          <w:lang w:val="es-ES_tradnl"/>
        </w:rPr>
        <w:t>el primer ciclo de evaluación de la eficacia</w:t>
      </w:r>
      <w:r w:rsidR="004D3F15" w:rsidRPr="008048DD">
        <w:rPr>
          <w:lang w:val="es-ES_tradnl"/>
        </w:rPr>
        <w:t>.</w:t>
      </w:r>
      <w:r w:rsidR="00745572" w:rsidRPr="008048DD">
        <w:rPr>
          <w:lang w:val="es-ES_tradnl"/>
        </w:rPr>
        <w:t xml:space="preserve"> </w:t>
      </w:r>
    </w:p>
    <w:p w14:paraId="52DD08AC" w14:textId="77777777" w:rsidR="007E07DA" w:rsidRPr="008048DD" w:rsidRDefault="007E07DA" w:rsidP="006D5F3D">
      <w:pPr>
        <w:pStyle w:val="Caption"/>
        <w:spacing w:after="120"/>
        <w:ind w:left="1247"/>
        <w:rPr>
          <w:b/>
          <w:bCs/>
          <w:i w:val="0"/>
        </w:rPr>
      </w:pPr>
      <w:r w:rsidRPr="008048DD">
        <w:rPr>
          <w:i w:val="0"/>
          <w:color w:val="auto"/>
        </w:rPr>
        <w:t>Figura 3</w:t>
      </w:r>
      <w:r w:rsidR="009A759A" w:rsidRPr="008048DD">
        <w:rPr>
          <w:i w:val="0"/>
          <w:color w:val="auto"/>
        </w:rPr>
        <w:br/>
      </w:r>
      <w:r w:rsidRPr="008048DD">
        <w:rPr>
          <w:b/>
          <w:bCs/>
          <w:i w:val="0"/>
          <w:color w:val="auto"/>
        </w:rPr>
        <w:t>Marco cronológico del primer ciclo de evaluación de la eficacia del Convenio de Minamata, 2017</w:t>
      </w:r>
      <w:r w:rsidR="009A759A" w:rsidRPr="008048DD">
        <w:rPr>
          <w:b/>
          <w:bCs/>
          <w:i w:val="0"/>
          <w:color w:val="auto"/>
        </w:rPr>
        <w:noBreakHyphen/>
      </w:r>
      <w:r w:rsidRPr="008048DD">
        <w:rPr>
          <w:b/>
          <w:bCs/>
          <w:i w:val="0"/>
          <w:color w:val="auto"/>
        </w:rPr>
        <w:t>2023</w:t>
      </w:r>
    </w:p>
    <w:p w14:paraId="04A29A3C" w14:textId="07B6FAC6" w:rsidR="00B1107F" w:rsidRPr="008048DD" w:rsidRDefault="00865EB2" w:rsidP="006D5F3D">
      <w:pPr>
        <w:pStyle w:val="Normal-pool"/>
      </w:pPr>
      <w:r>
        <w:pict w14:anchorId="0ADDC184">
          <v:shape id="_x0000_i1035" type="#_x0000_t75" style="width:474.4pt;height:268pt">
            <v:imagedata r:id="rId27" o:title="Capture2"/>
          </v:shape>
        </w:pict>
      </w:r>
      <w:r w:rsidR="00B1107F" w:rsidRPr="008048DD">
        <w:t xml:space="preserve"> </w:t>
      </w:r>
    </w:p>
    <w:p w14:paraId="6D03AAEA" w14:textId="77777777" w:rsidR="00933C1C" w:rsidRPr="008048DD" w:rsidRDefault="00933C1C" w:rsidP="00454F1C">
      <w:pPr>
        <w:pStyle w:val="Normalnumber"/>
        <w:tabs>
          <w:tab w:val="left" w:pos="1134"/>
        </w:tabs>
        <w:spacing w:after="240"/>
        <w:ind w:left="1247"/>
        <w:rPr>
          <w:sz w:val="17"/>
          <w:szCs w:val="17"/>
          <w:lang w:val="es-ES_tradnl"/>
        </w:rPr>
      </w:pPr>
      <w:r w:rsidRPr="008048DD">
        <w:rPr>
          <w:i/>
          <w:iCs/>
          <w:sz w:val="17"/>
          <w:szCs w:val="17"/>
          <w:lang w:val="es-ES_tradnl"/>
        </w:rPr>
        <w:t>Abreviaturas:</w:t>
      </w:r>
      <w:r w:rsidRPr="008048DD">
        <w:rPr>
          <w:sz w:val="17"/>
          <w:szCs w:val="17"/>
          <w:lang w:val="es-ES_tradnl"/>
        </w:rPr>
        <w:t xml:space="preserve"> CP</w:t>
      </w:r>
      <w:r w:rsidR="00456E90" w:rsidRPr="008048DD">
        <w:rPr>
          <w:sz w:val="17"/>
          <w:szCs w:val="17"/>
          <w:lang w:val="es-ES_tradnl"/>
        </w:rPr>
        <w:t xml:space="preserve"> –</w:t>
      </w:r>
      <w:r w:rsidRPr="008048DD">
        <w:rPr>
          <w:sz w:val="17"/>
          <w:szCs w:val="17"/>
          <w:lang w:val="es-ES_tradnl"/>
        </w:rPr>
        <w:t xml:space="preserve"> Conferencia de las Partes. CEE</w:t>
      </w:r>
      <w:r w:rsidR="00456E90" w:rsidRPr="008048DD">
        <w:rPr>
          <w:sz w:val="17"/>
          <w:szCs w:val="17"/>
          <w:lang w:val="es-ES_tradnl"/>
        </w:rPr>
        <w:t xml:space="preserve"> –</w:t>
      </w:r>
      <w:r w:rsidRPr="008048DD">
        <w:rPr>
          <w:sz w:val="17"/>
          <w:szCs w:val="17"/>
          <w:lang w:val="es-ES_tradnl"/>
        </w:rPr>
        <w:t xml:space="preserve"> </w:t>
      </w:r>
      <w:r w:rsidR="00E006FC" w:rsidRPr="008048DD">
        <w:rPr>
          <w:sz w:val="17"/>
          <w:szCs w:val="17"/>
          <w:lang w:val="es-ES_tradnl"/>
        </w:rPr>
        <w:t>comité de evaluación de la eficacia</w:t>
      </w:r>
      <w:r w:rsidRPr="008048DD">
        <w:rPr>
          <w:sz w:val="17"/>
          <w:szCs w:val="17"/>
          <w:lang w:val="es-ES_tradnl"/>
        </w:rPr>
        <w:t>.</w:t>
      </w:r>
    </w:p>
    <w:p w14:paraId="40C0B8E9" w14:textId="33E6DA9B" w:rsidR="00B1107F" w:rsidRPr="008048DD" w:rsidRDefault="00894E54" w:rsidP="00362646">
      <w:pPr>
        <w:pStyle w:val="Normalnumber"/>
        <w:numPr>
          <w:ilvl w:val="0"/>
          <w:numId w:val="40"/>
        </w:numPr>
        <w:tabs>
          <w:tab w:val="clear" w:pos="1057"/>
        </w:tabs>
        <w:ind w:left="1247"/>
        <w:rPr>
          <w:lang w:val="es-ES_tradnl"/>
        </w:rPr>
      </w:pPr>
      <w:r w:rsidRPr="008048DD">
        <w:rPr>
          <w:lang w:val="es-ES_tradnl"/>
        </w:rPr>
        <w:t>Terminado el primer ciclo de evaluación de la eficacia</w:t>
      </w:r>
      <w:r w:rsidR="00B1107F" w:rsidRPr="008048DD">
        <w:rPr>
          <w:lang w:val="es-ES_tradnl"/>
        </w:rPr>
        <w:t xml:space="preserve"> (2017</w:t>
      </w:r>
      <w:r w:rsidR="001B70C0" w:rsidRPr="008048DD">
        <w:rPr>
          <w:lang w:val="es-ES_tradnl"/>
        </w:rPr>
        <w:noBreakHyphen/>
      </w:r>
      <w:r w:rsidR="00B1107F" w:rsidRPr="008048DD">
        <w:rPr>
          <w:lang w:val="es-ES_tradnl"/>
        </w:rPr>
        <w:t xml:space="preserve">2023), </w:t>
      </w:r>
      <w:r w:rsidRPr="008048DD">
        <w:rPr>
          <w:lang w:val="es-ES_tradnl"/>
        </w:rPr>
        <w:t>la</w:t>
      </w:r>
      <w:r w:rsidR="00B1107F" w:rsidRPr="008048DD">
        <w:rPr>
          <w:lang w:val="es-ES_tradnl"/>
        </w:rPr>
        <w:t xml:space="preserve"> </w:t>
      </w:r>
      <w:r w:rsidRPr="008048DD">
        <w:rPr>
          <w:lang w:val="es-ES_tradnl"/>
        </w:rPr>
        <w:t>Conferencia de las Partes</w:t>
      </w:r>
      <w:r w:rsidR="00B1107F" w:rsidRPr="008048DD">
        <w:rPr>
          <w:lang w:val="es-ES_tradnl"/>
        </w:rPr>
        <w:t xml:space="preserve"> </w:t>
      </w:r>
      <w:r w:rsidRPr="008048DD">
        <w:rPr>
          <w:lang w:val="es-ES_tradnl"/>
        </w:rPr>
        <w:t>deberá examinar periódicamente el Convenio con la frecuencia que decida, de conformidad con el párrafo 1 del artículo</w:t>
      </w:r>
      <w:r w:rsidR="00B1107F" w:rsidRPr="008048DD">
        <w:rPr>
          <w:lang w:val="es-ES_tradnl"/>
        </w:rPr>
        <w:t xml:space="preserve"> 22. La Conferencia de las Partes tal vez deseará tomar en consideración los siguientes parámetros para determinar la periodicidad del ciclo de evaluación de la eficacia: </w:t>
      </w:r>
    </w:p>
    <w:p w14:paraId="3C829DAF" w14:textId="1AFC9BBD" w:rsidR="00B1107F" w:rsidRPr="008048DD" w:rsidRDefault="001621E4" w:rsidP="009A759A">
      <w:pPr>
        <w:pStyle w:val="Normalnumber"/>
        <w:numPr>
          <w:ilvl w:val="1"/>
          <w:numId w:val="3"/>
        </w:numPr>
        <w:ind w:left="1247" w:firstLine="624"/>
        <w:rPr>
          <w:lang w:val="es-ES_tradnl"/>
        </w:rPr>
      </w:pPr>
      <w:r w:rsidRPr="008048DD">
        <w:rPr>
          <w:lang w:val="es-ES_tradnl"/>
        </w:rPr>
        <w:t xml:space="preserve">La disponibilidad de informes </w:t>
      </w:r>
      <w:r w:rsidR="00362859" w:rsidRPr="008048DD">
        <w:rPr>
          <w:lang w:val="es-ES_tradnl"/>
        </w:rPr>
        <w:t>cortos</w:t>
      </w:r>
      <w:r w:rsidRPr="008048DD">
        <w:rPr>
          <w:lang w:val="es-ES_tradnl"/>
        </w:rPr>
        <w:t xml:space="preserve"> para el siguiente ciclo, en 2023, 2027 y 2031 y</w:t>
      </w:r>
      <w:r w:rsidR="001B70C0" w:rsidRPr="008048DD">
        <w:rPr>
          <w:lang w:val="es-ES_tradnl"/>
        </w:rPr>
        <w:t> </w:t>
      </w:r>
      <w:r w:rsidRPr="008048DD">
        <w:rPr>
          <w:lang w:val="es-ES_tradnl"/>
        </w:rPr>
        <w:t>de</w:t>
      </w:r>
      <w:r w:rsidR="001B70C0" w:rsidRPr="008048DD">
        <w:rPr>
          <w:lang w:val="es-ES_tradnl"/>
        </w:rPr>
        <w:t> </w:t>
      </w:r>
      <w:r w:rsidRPr="008048DD">
        <w:rPr>
          <w:lang w:val="es-ES_tradnl"/>
        </w:rPr>
        <w:t xml:space="preserve">informes largos en 2025, 2029 y 2033; </w:t>
      </w:r>
    </w:p>
    <w:p w14:paraId="79E810A5" w14:textId="4D5CBECD" w:rsidR="00B1107F" w:rsidRPr="008048DD" w:rsidRDefault="00E777BB" w:rsidP="009A759A">
      <w:pPr>
        <w:pStyle w:val="Normalnumber"/>
        <w:numPr>
          <w:ilvl w:val="1"/>
          <w:numId w:val="3"/>
        </w:numPr>
        <w:ind w:left="1247" w:firstLine="624"/>
        <w:rPr>
          <w:lang w:val="es-ES_tradnl"/>
        </w:rPr>
      </w:pPr>
      <w:r w:rsidRPr="008048DD">
        <w:rPr>
          <w:lang w:val="es-ES_tradnl"/>
        </w:rPr>
        <w:t>El calendario de reuniones de la Conferencia de las Partes en 2025 (sexta</w:t>
      </w:r>
      <w:r w:rsidR="001B70C0" w:rsidRPr="008048DD">
        <w:rPr>
          <w:lang w:val="es-ES_tradnl"/>
        </w:rPr>
        <w:t> </w:t>
      </w:r>
      <w:r w:rsidRPr="008048DD">
        <w:rPr>
          <w:lang w:val="es-ES_tradnl"/>
        </w:rPr>
        <w:t>reunión),</w:t>
      </w:r>
      <w:r w:rsidR="001B70C0" w:rsidRPr="008048DD">
        <w:rPr>
          <w:lang w:val="es-ES_tradnl"/>
        </w:rPr>
        <w:t> </w:t>
      </w:r>
      <w:r w:rsidRPr="008048DD">
        <w:rPr>
          <w:lang w:val="es-ES_tradnl"/>
        </w:rPr>
        <w:t>2027 (séptima reunión), 2029 (octava reunión), 2031 (novena reunión) y 2033 (décima</w:t>
      </w:r>
      <w:r w:rsidR="001B70C0" w:rsidRPr="008048DD">
        <w:rPr>
          <w:lang w:val="es-ES_tradnl"/>
        </w:rPr>
        <w:t> </w:t>
      </w:r>
      <w:r w:rsidRPr="008048DD">
        <w:rPr>
          <w:lang w:val="es-ES_tradnl"/>
        </w:rPr>
        <w:t xml:space="preserve">reunión); </w:t>
      </w:r>
    </w:p>
    <w:p w14:paraId="56D3947C" w14:textId="77777777" w:rsidR="00B1107F" w:rsidRPr="008048DD" w:rsidRDefault="00E777BB" w:rsidP="009A759A">
      <w:pPr>
        <w:pStyle w:val="Normalnumber"/>
        <w:numPr>
          <w:ilvl w:val="1"/>
          <w:numId w:val="3"/>
        </w:numPr>
        <w:ind w:left="1247" w:firstLine="624"/>
        <w:rPr>
          <w:lang w:val="es-ES_tradnl"/>
        </w:rPr>
      </w:pPr>
      <w:r w:rsidRPr="008048DD">
        <w:rPr>
          <w:lang w:val="es-ES_tradnl"/>
        </w:rPr>
        <w:t>L</w:t>
      </w:r>
      <w:r w:rsidR="009666CD" w:rsidRPr="008048DD">
        <w:rPr>
          <w:lang w:val="es-ES_tradnl"/>
        </w:rPr>
        <w:t>os</w:t>
      </w:r>
      <w:r w:rsidRPr="008048DD">
        <w:rPr>
          <w:lang w:val="es-ES_tradnl"/>
        </w:rPr>
        <w:t xml:space="preserve"> plazos para la eliminación establecidos en el Convenio (véase el cuadro 3); </w:t>
      </w:r>
    </w:p>
    <w:p w14:paraId="0DF42D58" w14:textId="77777777" w:rsidR="00B1107F" w:rsidRPr="008048DD" w:rsidRDefault="0099132D" w:rsidP="009A759A">
      <w:pPr>
        <w:pStyle w:val="Normalnumber"/>
        <w:numPr>
          <w:ilvl w:val="1"/>
          <w:numId w:val="3"/>
        </w:numPr>
        <w:ind w:left="1247" w:firstLine="624"/>
        <w:rPr>
          <w:lang w:val="es-ES_tradnl"/>
        </w:rPr>
      </w:pPr>
      <w:r w:rsidRPr="008048DD">
        <w:rPr>
          <w:lang w:val="es-ES_tradnl"/>
        </w:rPr>
        <w:t>L</w:t>
      </w:r>
      <w:r w:rsidR="001345D8" w:rsidRPr="008048DD">
        <w:rPr>
          <w:lang w:val="es-ES_tradnl"/>
        </w:rPr>
        <w:t>a cronología</w:t>
      </w:r>
      <w:r w:rsidRPr="008048DD">
        <w:rPr>
          <w:lang w:val="es-ES_tradnl"/>
        </w:rPr>
        <w:t xml:space="preserve"> co</w:t>
      </w:r>
      <w:r w:rsidR="001345D8" w:rsidRPr="008048DD">
        <w:rPr>
          <w:lang w:val="es-ES_tradnl"/>
        </w:rPr>
        <w:t xml:space="preserve">incidente </w:t>
      </w:r>
      <w:r w:rsidRPr="008048DD">
        <w:rPr>
          <w:lang w:val="es-ES_tradnl"/>
        </w:rPr>
        <w:t>y los resultados previstos de los procesos rela</w:t>
      </w:r>
      <w:r w:rsidR="00D953CF" w:rsidRPr="008048DD">
        <w:rPr>
          <w:lang w:val="es-ES_tradnl"/>
        </w:rPr>
        <w:t>cionados con el clima y el desa</w:t>
      </w:r>
      <w:r w:rsidRPr="008048DD">
        <w:rPr>
          <w:lang w:val="es-ES_tradnl"/>
        </w:rPr>
        <w:t>rrollo sostenible fijados para 2030.</w:t>
      </w:r>
    </w:p>
    <w:p w14:paraId="6B7C49B4" w14:textId="65E6F7FE" w:rsidR="00B1107F" w:rsidRPr="008048DD" w:rsidRDefault="00894E54" w:rsidP="00362646">
      <w:pPr>
        <w:pStyle w:val="Normalnumber"/>
        <w:numPr>
          <w:ilvl w:val="0"/>
          <w:numId w:val="40"/>
        </w:numPr>
        <w:tabs>
          <w:tab w:val="clear" w:pos="1057"/>
        </w:tabs>
        <w:ind w:left="1247"/>
        <w:rPr>
          <w:lang w:val="es-ES_tradnl"/>
        </w:rPr>
      </w:pPr>
      <w:r w:rsidRPr="008048DD">
        <w:rPr>
          <w:lang w:val="es-ES_tradnl"/>
        </w:rPr>
        <w:t>Como tal, el siguiente ciclo de evaluación de la eficacia</w:t>
      </w:r>
      <w:r w:rsidR="00B1107F" w:rsidRPr="008048DD">
        <w:rPr>
          <w:lang w:val="es-ES_tradnl"/>
        </w:rPr>
        <w:t xml:space="preserve"> </w:t>
      </w:r>
      <w:r w:rsidRPr="008048DD">
        <w:rPr>
          <w:lang w:val="es-ES_tradnl"/>
        </w:rPr>
        <w:t>podría ser otra vez de seis años</w:t>
      </w:r>
      <w:r w:rsidR="00B1107F" w:rsidRPr="008048DD">
        <w:rPr>
          <w:lang w:val="es-ES_tradnl"/>
        </w:rPr>
        <w:t xml:space="preserve"> (</w:t>
      </w:r>
      <w:r w:rsidRPr="008048DD">
        <w:rPr>
          <w:lang w:val="es-ES_tradnl"/>
        </w:rPr>
        <w:t>para</w:t>
      </w:r>
      <w:r w:rsidR="00782448" w:rsidRPr="008048DD">
        <w:rPr>
          <w:lang w:val="es-ES_tradnl"/>
        </w:rPr>
        <w:t> </w:t>
      </w:r>
      <w:r w:rsidRPr="008048DD">
        <w:rPr>
          <w:lang w:val="es-ES_tradnl"/>
        </w:rPr>
        <w:t>informa</w:t>
      </w:r>
      <w:r w:rsidR="00C33FCA" w:rsidRPr="008048DD">
        <w:rPr>
          <w:lang w:val="es-ES_tradnl"/>
        </w:rPr>
        <w:t>r</w:t>
      </w:r>
      <w:r w:rsidRPr="008048DD">
        <w:rPr>
          <w:lang w:val="es-ES_tradnl"/>
        </w:rPr>
        <w:t xml:space="preserve"> a la octava reunión de la Conferencia de las Partes</w:t>
      </w:r>
      <w:r w:rsidR="00892D93" w:rsidRPr="008048DD">
        <w:rPr>
          <w:lang w:val="es-ES_tradnl"/>
        </w:rPr>
        <w:t>,</w:t>
      </w:r>
      <w:r w:rsidR="00B1107F" w:rsidRPr="008048DD">
        <w:rPr>
          <w:lang w:val="es-ES_tradnl"/>
        </w:rPr>
        <w:t xml:space="preserve"> </w:t>
      </w:r>
      <w:r w:rsidRPr="008048DD">
        <w:rPr>
          <w:lang w:val="es-ES_tradnl"/>
        </w:rPr>
        <w:t>e</w:t>
      </w:r>
      <w:r w:rsidR="00B1107F" w:rsidRPr="008048DD">
        <w:rPr>
          <w:lang w:val="es-ES_tradnl"/>
        </w:rPr>
        <w:t>n 2029)</w:t>
      </w:r>
      <w:r w:rsidR="0068525D" w:rsidRPr="008048DD">
        <w:rPr>
          <w:lang w:val="es-ES_tradnl"/>
        </w:rPr>
        <w:t>,</w:t>
      </w:r>
      <w:r w:rsidR="00B1107F" w:rsidRPr="008048DD">
        <w:rPr>
          <w:lang w:val="es-ES_tradnl"/>
        </w:rPr>
        <w:t xml:space="preserve"> </w:t>
      </w:r>
      <w:r w:rsidR="008F54DB" w:rsidRPr="008048DD">
        <w:rPr>
          <w:lang w:val="es-ES_tradnl"/>
        </w:rPr>
        <w:t xml:space="preserve">a fin de </w:t>
      </w:r>
      <w:r w:rsidR="00C33FCA" w:rsidRPr="008048DD">
        <w:rPr>
          <w:lang w:val="es-ES_tradnl"/>
        </w:rPr>
        <w:t>capta</w:t>
      </w:r>
      <w:r w:rsidR="00B1107F" w:rsidRPr="008048DD">
        <w:rPr>
          <w:lang w:val="es-ES_tradnl"/>
        </w:rPr>
        <w:t xml:space="preserve">r </w:t>
      </w:r>
      <w:r w:rsidR="008F54DB" w:rsidRPr="008048DD">
        <w:rPr>
          <w:lang w:val="es-ES_tradnl"/>
        </w:rPr>
        <w:t>la dinámica del Convenio</w:t>
      </w:r>
      <w:r w:rsidR="00B1107F" w:rsidRPr="008048DD">
        <w:rPr>
          <w:lang w:val="es-ES_tradnl"/>
        </w:rPr>
        <w:t xml:space="preserve">. </w:t>
      </w:r>
      <w:r w:rsidRPr="008048DD">
        <w:rPr>
          <w:lang w:val="es-ES_tradnl"/>
        </w:rPr>
        <w:t xml:space="preserve">También se podría </w:t>
      </w:r>
      <w:r w:rsidR="008F54DB" w:rsidRPr="008048DD">
        <w:rPr>
          <w:lang w:val="es-ES_tradnl"/>
        </w:rPr>
        <w:t>prorrogar a</w:t>
      </w:r>
      <w:r w:rsidRPr="008048DD">
        <w:rPr>
          <w:lang w:val="es-ES_tradnl"/>
        </w:rPr>
        <w:t xml:space="preserve"> ocho años</w:t>
      </w:r>
      <w:r w:rsidR="00B1107F" w:rsidRPr="008048DD">
        <w:rPr>
          <w:lang w:val="es-ES_tradnl"/>
        </w:rPr>
        <w:t xml:space="preserve"> (</w:t>
      </w:r>
      <w:r w:rsidR="008F54DB" w:rsidRPr="008048DD">
        <w:rPr>
          <w:lang w:val="es-ES_tradnl"/>
        </w:rPr>
        <w:t xml:space="preserve">para informar a la </w:t>
      </w:r>
      <w:r w:rsidRPr="008048DD">
        <w:rPr>
          <w:lang w:val="es-ES_tradnl"/>
        </w:rPr>
        <w:t>novena reuni</w:t>
      </w:r>
      <w:r w:rsidR="008F54DB" w:rsidRPr="008048DD">
        <w:rPr>
          <w:lang w:val="es-ES_tradnl"/>
        </w:rPr>
        <w:t>ó</w:t>
      </w:r>
      <w:r w:rsidRPr="008048DD">
        <w:rPr>
          <w:lang w:val="es-ES_tradnl"/>
        </w:rPr>
        <w:t>n de la Conferencia de las Partes</w:t>
      </w:r>
      <w:r w:rsidR="00892D93" w:rsidRPr="008048DD">
        <w:rPr>
          <w:lang w:val="es-ES_tradnl"/>
        </w:rPr>
        <w:t>,</w:t>
      </w:r>
      <w:r w:rsidR="00E777BB" w:rsidRPr="008048DD" w:rsidDel="00E777BB">
        <w:rPr>
          <w:lang w:val="es-ES_tradnl"/>
        </w:rPr>
        <w:t xml:space="preserve"> </w:t>
      </w:r>
      <w:r w:rsidRPr="008048DD">
        <w:rPr>
          <w:lang w:val="es-ES_tradnl"/>
        </w:rPr>
        <w:t>e</w:t>
      </w:r>
      <w:r w:rsidR="00B1107F" w:rsidRPr="008048DD">
        <w:rPr>
          <w:lang w:val="es-ES_tradnl"/>
        </w:rPr>
        <w:t>n 2031) o</w:t>
      </w:r>
      <w:r w:rsidRPr="008048DD">
        <w:rPr>
          <w:lang w:val="es-ES_tradnl"/>
        </w:rPr>
        <w:t xml:space="preserve"> diez años</w:t>
      </w:r>
      <w:r w:rsidR="00B1107F" w:rsidRPr="008048DD">
        <w:rPr>
          <w:lang w:val="es-ES_tradnl"/>
        </w:rPr>
        <w:t xml:space="preserve"> (</w:t>
      </w:r>
      <w:r w:rsidR="008F54DB" w:rsidRPr="008048DD">
        <w:rPr>
          <w:lang w:val="es-ES_tradnl"/>
        </w:rPr>
        <w:t>para informar a la décima reunión de la</w:t>
      </w:r>
      <w:r w:rsidR="00E777BB" w:rsidRPr="008048DD">
        <w:rPr>
          <w:lang w:val="es-ES_tradnl"/>
        </w:rPr>
        <w:t xml:space="preserve"> </w:t>
      </w:r>
      <w:r w:rsidRPr="008048DD">
        <w:rPr>
          <w:lang w:val="es-ES_tradnl"/>
        </w:rPr>
        <w:t>Conferencia de las Partes</w:t>
      </w:r>
      <w:r w:rsidR="00892D93" w:rsidRPr="008048DD">
        <w:rPr>
          <w:lang w:val="es-ES_tradnl"/>
        </w:rPr>
        <w:t>,</w:t>
      </w:r>
      <w:r w:rsidR="00E777BB" w:rsidRPr="008048DD" w:rsidDel="00E777BB">
        <w:rPr>
          <w:lang w:val="es-ES_tradnl"/>
        </w:rPr>
        <w:t xml:space="preserve"> </w:t>
      </w:r>
      <w:r w:rsidRPr="008048DD">
        <w:rPr>
          <w:lang w:val="es-ES_tradnl"/>
        </w:rPr>
        <w:t>e</w:t>
      </w:r>
      <w:r w:rsidR="00B1107F" w:rsidRPr="008048DD">
        <w:rPr>
          <w:lang w:val="es-ES_tradnl"/>
        </w:rPr>
        <w:t xml:space="preserve">n 2033). </w:t>
      </w:r>
      <w:r w:rsidR="00782448" w:rsidRPr="008048DD">
        <w:rPr>
          <w:lang w:val="es-ES_tradnl"/>
        </w:rPr>
        <w:t>Sin embargo, con perí</w:t>
      </w:r>
      <w:r w:rsidR="008F54DB" w:rsidRPr="008048DD">
        <w:rPr>
          <w:lang w:val="es-ES_tradnl"/>
        </w:rPr>
        <w:t>odos más prolongados, habría que tener en</w:t>
      </w:r>
      <w:r w:rsidR="001D682D" w:rsidRPr="008048DD">
        <w:rPr>
          <w:lang w:val="es-ES_tradnl"/>
        </w:rPr>
        <w:t> </w:t>
      </w:r>
      <w:r w:rsidR="008F54DB" w:rsidRPr="008048DD">
        <w:rPr>
          <w:lang w:val="es-ES_tradnl"/>
        </w:rPr>
        <w:t>cuenta otros factores externos a la hora de desempeñar la función de atribución</w:t>
      </w:r>
      <w:r w:rsidR="00B1107F" w:rsidRPr="008048DD">
        <w:rPr>
          <w:lang w:val="es-ES_tradnl"/>
        </w:rPr>
        <w:t>.</w:t>
      </w:r>
    </w:p>
    <w:p w14:paraId="1A247C33" w14:textId="3A84A838" w:rsidR="00B1107F" w:rsidRPr="003974D7" w:rsidRDefault="00454F1C" w:rsidP="00454F1C">
      <w:pPr>
        <w:pStyle w:val="CH1"/>
        <w:tabs>
          <w:tab w:val="right" w:pos="851"/>
          <w:tab w:val="left" w:pos="1247"/>
          <w:tab w:val="left" w:pos="1814"/>
          <w:tab w:val="left" w:pos="2381"/>
          <w:tab w:val="left" w:pos="2948"/>
          <w:tab w:val="left" w:pos="3515"/>
          <w:tab w:val="left" w:pos="4082"/>
        </w:tabs>
        <w:ind w:left="1247" w:hanging="1247"/>
        <w:rPr>
          <w:lang w:val="es-ES"/>
        </w:rPr>
      </w:pPr>
      <w:bookmarkStart w:id="11" w:name="_Hlk15589405"/>
      <w:r>
        <w:rPr>
          <w:lang w:val="es-ES"/>
        </w:rPr>
        <w:tab/>
      </w:r>
      <w:r w:rsidR="00483B21" w:rsidRPr="003974D7">
        <w:rPr>
          <w:lang w:val="es-ES"/>
        </w:rPr>
        <w:t>IV.</w:t>
      </w:r>
      <w:r w:rsidR="00483B21" w:rsidRPr="003974D7">
        <w:rPr>
          <w:lang w:val="es-ES"/>
        </w:rPr>
        <w:tab/>
        <w:t>Cuestiones q</w:t>
      </w:r>
      <w:r w:rsidR="009666CD" w:rsidRPr="003974D7">
        <w:rPr>
          <w:lang w:val="es-ES"/>
        </w:rPr>
        <w:t>ue habría que seguir examinando</w:t>
      </w:r>
    </w:p>
    <w:p w14:paraId="04BD631C" w14:textId="32D680D6" w:rsidR="00B1107F" w:rsidRPr="008048DD" w:rsidRDefault="00D0269D" w:rsidP="00362646">
      <w:pPr>
        <w:pStyle w:val="Normalnumber"/>
        <w:numPr>
          <w:ilvl w:val="0"/>
          <w:numId w:val="40"/>
        </w:numPr>
        <w:tabs>
          <w:tab w:val="clear" w:pos="1057"/>
        </w:tabs>
        <w:ind w:left="1247"/>
        <w:rPr>
          <w:lang w:val="es-ES_tradnl"/>
        </w:rPr>
      </w:pPr>
      <w:r w:rsidRPr="008048DD">
        <w:rPr>
          <w:lang w:val="es-ES_tradnl"/>
        </w:rPr>
        <w:t xml:space="preserve">Las observaciones sobre el proyecto de informe y las comunicaciones recibidas durante el período abierto a la formulación de observaciones entre el </w:t>
      </w:r>
      <w:r w:rsidR="0099132D" w:rsidRPr="008048DD">
        <w:rPr>
          <w:lang w:val="es-ES_tradnl"/>
        </w:rPr>
        <w:t>1 </w:t>
      </w:r>
      <w:r w:rsidRPr="008048DD">
        <w:rPr>
          <w:lang w:val="es-ES_tradnl"/>
        </w:rPr>
        <w:t xml:space="preserve">de agosto y el </w:t>
      </w:r>
      <w:r w:rsidR="00B1107F" w:rsidRPr="008048DD">
        <w:rPr>
          <w:lang w:val="es-ES_tradnl"/>
        </w:rPr>
        <w:t xml:space="preserve">5 </w:t>
      </w:r>
      <w:r w:rsidRPr="008048DD">
        <w:rPr>
          <w:lang w:val="es-ES_tradnl"/>
        </w:rPr>
        <w:t xml:space="preserve">de septiembre de </w:t>
      </w:r>
      <w:r w:rsidR="00B1107F" w:rsidRPr="008048DD">
        <w:rPr>
          <w:lang w:val="es-ES_tradnl"/>
        </w:rPr>
        <w:t>2019 pro</w:t>
      </w:r>
      <w:r w:rsidR="008048DD" w:rsidRPr="008048DD">
        <w:rPr>
          <w:lang w:val="es-ES_tradnl"/>
        </w:rPr>
        <w:t>porcionaron al G</w:t>
      </w:r>
      <w:r w:rsidRPr="008048DD">
        <w:rPr>
          <w:lang w:val="es-ES_tradnl"/>
        </w:rPr>
        <w:t xml:space="preserve">rupo especial de expertos técnicos mucha información y orientación valiosas de las Partes </w:t>
      </w:r>
      <w:r w:rsidR="008048DD" w:rsidRPr="008048DD">
        <w:rPr>
          <w:lang w:val="es-ES_tradnl"/>
        </w:rPr>
        <w:t>y</w:t>
      </w:r>
      <w:r w:rsidR="00B1107F" w:rsidRPr="008048DD">
        <w:rPr>
          <w:lang w:val="es-ES_tradnl"/>
        </w:rPr>
        <w:t xml:space="preserve"> </w:t>
      </w:r>
      <w:r w:rsidRPr="008048DD">
        <w:rPr>
          <w:lang w:val="es-ES_tradnl"/>
        </w:rPr>
        <w:t xml:space="preserve">los interesados para completar su informe a la </w:t>
      </w:r>
      <w:r w:rsidR="00894E54" w:rsidRPr="008048DD">
        <w:rPr>
          <w:lang w:val="es-ES_tradnl"/>
        </w:rPr>
        <w:t>Conferencia de las Partes</w:t>
      </w:r>
      <w:r w:rsidR="00B1107F" w:rsidRPr="008048DD">
        <w:rPr>
          <w:lang w:val="es-ES_tradnl"/>
        </w:rPr>
        <w:t xml:space="preserve"> </w:t>
      </w:r>
      <w:r w:rsidRPr="008048DD">
        <w:rPr>
          <w:lang w:val="es-ES_tradnl"/>
        </w:rPr>
        <w:t>sobre el marco propuesto para la evaluación de la eficacia del Convenio</w:t>
      </w:r>
      <w:r w:rsidR="00B1107F" w:rsidRPr="008048DD">
        <w:rPr>
          <w:lang w:val="es-ES_tradnl"/>
        </w:rPr>
        <w:t>.</w:t>
      </w:r>
      <w:r w:rsidR="0099132D" w:rsidRPr="008048DD">
        <w:rPr>
          <w:lang w:val="es-ES_tradnl"/>
        </w:rPr>
        <w:t xml:space="preserve"> </w:t>
      </w:r>
      <w:r w:rsidRPr="008048DD">
        <w:rPr>
          <w:lang w:val="es-ES_tradnl"/>
        </w:rPr>
        <w:t>Si bien prácticamente todas las observaciones podr</w:t>
      </w:r>
      <w:r w:rsidR="00D953CF" w:rsidRPr="008048DD">
        <w:rPr>
          <w:lang w:val="es-ES_tradnl"/>
        </w:rPr>
        <w:t>á</w:t>
      </w:r>
      <w:r w:rsidR="00C33FCA" w:rsidRPr="008048DD">
        <w:rPr>
          <w:lang w:val="es-ES_tradnl"/>
        </w:rPr>
        <w:t>n</w:t>
      </w:r>
      <w:r w:rsidR="00D953CF" w:rsidRPr="008048DD">
        <w:rPr>
          <w:lang w:val="es-ES_tradnl"/>
        </w:rPr>
        <w:t xml:space="preserve"> a</w:t>
      </w:r>
      <w:r w:rsidRPr="008048DD">
        <w:rPr>
          <w:lang w:val="es-ES_tradnl"/>
        </w:rPr>
        <w:t>bordarse o incorporarse en el informe</w:t>
      </w:r>
      <w:r w:rsidR="00B1107F" w:rsidRPr="008048DD">
        <w:rPr>
          <w:lang w:val="es-ES_tradnl"/>
        </w:rPr>
        <w:t xml:space="preserve">, </w:t>
      </w:r>
      <w:r w:rsidRPr="008048DD">
        <w:rPr>
          <w:lang w:val="es-ES_tradnl"/>
        </w:rPr>
        <w:t xml:space="preserve">quedaron algunos aspectos </w:t>
      </w:r>
      <w:r w:rsidR="00C33FCA" w:rsidRPr="008048DD">
        <w:rPr>
          <w:lang w:val="es-ES_tradnl"/>
        </w:rPr>
        <w:t>sobre los que</w:t>
      </w:r>
      <w:r w:rsidR="00AC24DE">
        <w:rPr>
          <w:lang w:val="es-ES_tradnl"/>
        </w:rPr>
        <w:t> </w:t>
      </w:r>
      <w:r w:rsidR="00C33FCA" w:rsidRPr="008048DD">
        <w:rPr>
          <w:lang w:val="es-ES_tradnl"/>
        </w:rPr>
        <w:t>se expresaron</w:t>
      </w:r>
      <w:r w:rsidRPr="008048DD">
        <w:rPr>
          <w:lang w:val="es-ES_tradnl"/>
        </w:rPr>
        <w:t xml:space="preserve"> opiniones divergentes</w:t>
      </w:r>
      <w:r w:rsidR="00B1107F" w:rsidRPr="008048DD">
        <w:rPr>
          <w:lang w:val="es-ES_tradnl"/>
        </w:rPr>
        <w:t xml:space="preserve">. </w:t>
      </w:r>
      <w:r w:rsidRPr="008048DD">
        <w:rPr>
          <w:lang w:val="es-ES_tradnl"/>
        </w:rPr>
        <w:t xml:space="preserve">Esos aspectos se describen a continuación para que la </w:t>
      </w:r>
      <w:r w:rsidR="00894E54" w:rsidRPr="008048DD">
        <w:rPr>
          <w:lang w:val="es-ES_tradnl"/>
        </w:rPr>
        <w:t>Conferencia de las Partes</w:t>
      </w:r>
      <w:r w:rsidRPr="008048DD">
        <w:rPr>
          <w:lang w:val="es-ES_tradnl"/>
        </w:rPr>
        <w:t xml:space="preserve"> los siga examinando</w:t>
      </w:r>
      <w:r w:rsidR="00B1107F" w:rsidRPr="008048DD">
        <w:rPr>
          <w:lang w:val="es-ES_tradnl"/>
        </w:rPr>
        <w:t xml:space="preserve">. </w:t>
      </w:r>
    </w:p>
    <w:p w14:paraId="708FCD96" w14:textId="0E362E0F" w:rsidR="00B1107F" w:rsidRPr="008048DD" w:rsidRDefault="00D0269D" w:rsidP="00362646">
      <w:pPr>
        <w:pStyle w:val="Normalnumber"/>
        <w:numPr>
          <w:ilvl w:val="0"/>
          <w:numId w:val="40"/>
        </w:numPr>
        <w:tabs>
          <w:tab w:val="clear" w:pos="1057"/>
        </w:tabs>
        <w:ind w:left="1247"/>
        <w:rPr>
          <w:lang w:val="es-ES_tradnl"/>
        </w:rPr>
      </w:pPr>
      <w:r w:rsidRPr="008048DD">
        <w:rPr>
          <w:lang w:val="es-ES_tradnl"/>
        </w:rPr>
        <w:t>Se expresaron opiniones di</w:t>
      </w:r>
      <w:r w:rsidR="00C33FCA" w:rsidRPr="008048DD">
        <w:rPr>
          <w:lang w:val="es-ES_tradnl"/>
        </w:rPr>
        <w:t>vergentes</w:t>
      </w:r>
      <w:r w:rsidRPr="008048DD">
        <w:rPr>
          <w:lang w:val="es-ES_tradnl"/>
        </w:rPr>
        <w:t xml:space="preserve"> sobre si era posible producir el informe </w:t>
      </w:r>
      <w:r w:rsidR="00C33FCA" w:rsidRPr="008048DD">
        <w:rPr>
          <w:lang w:val="es-ES_tradnl"/>
        </w:rPr>
        <w:t>d</w:t>
      </w:r>
      <w:r w:rsidRPr="008048DD">
        <w:rPr>
          <w:lang w:val="es-ES_tradnl"/>
        </w:rPr>
        <w:t xml:space="preserve">e atribución </w:t>
      </w:r>
      <w:r w:rsidR="00B1107F" w:rsidRPr="008048DD">
        <w:rPr>
          <w:lang w:val="es-ES_tradnl"/>
        </w:rPr>
        <w:t>(</w:t>
      </w:r>
      <w:r w:rsidRPr="008048DD">
        <w:rPr>
          <w:lang w:val="es-ES_tradnl"/>
        </w:rPr>
        <w:t>mencionado como informe de evaluación integrada en el proyecto de informe que se distribuyó para que se formularan observaciones</w:t>
      </w:r>
      <w:r w:rsidR="00B1107F" w:rsidRPr="008048DD">
        <w:rPr>
          <w:lang w:val="es-ES_tradnl"/>
        </w:rPr>
        <w:t xml:space="preserve">). </w:t>
      </w:r>
      <w:r w:rsidRPr="008048DD">
        <w:rPr>
          <w:lang w:val="es-ES_tradnl"/>
        </w:rPr>
        <w:t>Algunos afirmaron que el informe de atribución</w:t>
      </w:r>
      <w:r w:rsidR="00B3310A" w:rsidRPr="008048DD">
        <w:rPr>
          <w:lang w:val="es-ES_tradnl"/>
        </w:rPr>
        <w:t xml:space="preserve"> </w:t>
      </w:r>
      <w:r w:rsidRPr="008048DD">
        <w:rPr>
          <w:lang w:val="es-ES_tradnl"/>
        </w:rPr>
        <w:t>era una necesidad científica imperiosa para la evaluación de la eficacia</w:t>
      </w:r>
      <w:r w:rsidR="0068525D" w:rsidRPr="008048DD">
        <w:rPr>
          <w:lang w:val="es-ES_tradnl"/>
        </w:rPr>
        <w:t xml:space="preserve">, </w:t>
      </w:r>
      <w:r w:rsidRPr="008048DD">
        <w:rPr>
          <w:lang w:val="es-ES_tradnl"/>
        </w:rPr>
        <w:t>mient</w:t>
      </w:r>
      <w:r w:rsidR="00C33FCA" w:rsidRPr="008048DD">
        <w:rPr>
          <w:lang w:val="es-ES_tradnl"/>
        </w:rPr>
        <w:t>r</w:t>
      </w:r>
      <w:r w:rsidRPr="008048DD">
        <w:rPr>
          <w:lang w:val="es-ES_tradnl"/>
        </w:rPr>
        <w:t>as que otros consideraron que las herramientas y los modelos requeridos para producir dicho informe</w:t>
      </w:r>
      <w:r w:rsidR="000B189F" w:rsidRPr="008048DD">
        <w:rPr>
          <w:lang w:val="es-ES_tradnl"/>
        </w:rPr>
        <w:t xml:space="preserve"> todavía no habían demostrado su fiabilidad y solidez y que debían eliminarse del primer ciclo de evaluación de la eficacia</w:t>
      </w:r>
      <w:r w:rsidR="0068525D" w:rsidRPr="008048DD">
        <w:rPr>
          <w:lang w:val="es-ES_tradnl"/>
        </w:rPr>
        <w:t xml:space="preserve">, </w:t>
      </w:r>
      <w:r w:rsidR="000B189F" w:rsidRPr="008048DD">
        <w:rPr>
          <w:lang w:val="es-ES_tradnl"/>
        </w:rPr>
        <w:t>aunque podrían incluirse en un futuro perfeccionamiento del marco</w:t>
      </w:r>
      <w:r w:rsidR="008070CC" w:rsidRPr="008048DD">
        <w:rPr>
          <w:lang w:val="es-ES_tradnl"/>
        </w:rPr>
        <w:t>,</w:t>
      </w:r>
      <w:r w:rsidR="00B1107F" w:rsidRPr="008048DD">
        <w:rPr>
          <w:lang w:val="es-ES_tradnl"/>
        </w:rPr>
        <w:t xml:space="preserve"> </w:t>
      </w:r>
      <w:r w:rsidR="000B189F" w:rsidRPr="008048DD">
        <w:rPr>
          <w:lang w:val="es-ES_tradnl"/>
        </w:rPr>
        <w:t>para ciclos futuros</w:t>
      </w:r>
      <w:r w:rsidR="00B1107F" w:rsidRPr="008048DD">
        <w:rPr>
          <w:lang w:val="es-ES_tradnl"/>
        </w:rPr>
        <w:t xml:space="preserve">. </w:t>
      </w:r>
      <w:r w:rsidR="000B189F" w:rsidRPr="008048DD">
        <w:rPr>
          <w:lang w:val="es-ES_tradnl"/>
        </w:rPr>
        <w:t xml:space="preserve">En vista de esas observaciones, el informe </w:t>
      </w:r>
      <w:r w:rsidR="00C33FCA" w:rsidRPr="008048DD">
        <w:rPr>
          <w:lang w:val="es-ES_tradnl"/>
        </w:rPr>
        <w:t>d</w:t>
      </w:r>
      <w:r w:rsidR="000B189F" w:rsidRPr="008048DD">
        <w:rPr>
          <w:lang w:val="es-ES_tradnl"/>
        </w:rPr>
        <w:t>e la atribución permanece descrito en la lista del presente informe, aunque en esos casos figura en la nota a pie de página o está destacado en color gris para indicar que existen opiniones divergentes al respecto</w:t>
      </w:r>
      <w:r w:rsidR="00B1107F" w:rsidRPr="008048DD">
        <w:rPr>
          <w:lang w:val="es-ES_tradnl"/>
        </w:rPr>
        <w:t xml:space="preserve">. </w:t>
      </w:r>
    </w:p>
    <w:p w14:paraId="57CED7F8" w14:textId="77777777" w:rsidR="00B1107F" w:rsidRPr="008048DD" w:rsidRDefault="000B189F" w:rsidP="00362646">
      <w:pPr>
        <w:pStyle w:val="Normalnumber"/>
        <w:numPr>
          <w:ilvl w:val="0"/>
          <w:numId w:val="40"/>
        </w:numPr>
        <w:tabs>
          <w:tab w:val="clear" w:pos="1057"/>
        </w:tabs>
        <w:ind w:left="1247"/>
        <w:rPr>
          <w:lang w:val="es-ES_tradnl"/>
        </w:rPr>
      </w:pPr>
      <w:r w:rsidRPr="008048DD">
        <w:rPr>
          <w:lang w:val="es-ES_tradnl"/>
        </w:rPr>
        <w:t>Además de las valiosas observaciones y ediciones para perfeccionar los indicadores propuestos, se mencionaron algunos otros asuntos en relación con los indicadores</w:t>
      </w:r>
      <w:r w:rsidR="00B175FE" w:rsidRPr="008048DD">
        <w:rPr>
          <w:lang w:val="es-ES_tradnl"/>
        </w:rPr>
        <w:t>.</w:t>
      </w:r>
      <w:r w:rsidR="00B1107F" w:rsidRPr="008048DD">
        <w:rPr>
          <w:lang w:val="es-ES_tradnl"/>
        </w:rPr>
        <w:t xml:space="preserve"> </w:t>
      </w:r>
    </w:p>
    <w:p w14:paraId="35403543" w14:textId="77777777" w:rsidR="00B1107F" w:rsidRPr="008048DD" w:rsidRDefault="000B189F" w:rsidP="00362646">
      <w:pPr>
        <w:pStyle w:val="Normalnumber"/>
        <w:numPr>
          <w:ilvl w:val="0"/>
          <w:numId w:val="40"/>
        </w:numPr>
        <w:tabs>
          <w:tab w:val="clear" w:pos="1057"/>
        </w:tabs>
        <w:ind w:left="1247"/>
        <w:rPr>
          <w:lang w:val="es-ES_tradnl"/>
        </w:rPr>
      </w:pPr>
      <w:r w:rsidRPr="008048DD">
        <w:rPr>
          <w:lang w:val="es-ES_tradnl"/>
        </w:rPr>
        <w:t>Hay divergencia de opiniones en cuanto a la metodología para seleccionar los indicadores y la consiguiente lista propuesta</w:t>
      </w:r>
      <w:r w:rsidR="00B1107F" w:rsidRPr="008048DD">
        <w:rPr>
          <w:lang w:val="es-ES_tradnl"/>
        </w:rPr>
        <w:t>.</w:t>
      </w:r>
      <w:r w:rsidRPr="008048DD">
        <w:rPr>
          <w:lang w:val="es-ES_tradnl"/>
        </w:rPr>
        <w:t xml:space="preserve"> La selección de los indicadores artículo por </w:t>
      </w:r>
      <w:r w:rsidR="00467D4C" w:rsidRPr="008048DD">
        <w:rPr>
          <w:lang w:val="es-ES_tradnl"/>
        </w:rPr>
        <w:t>artículo</w:t>
      </w:r>
      <w:r w:rsidR="00B1107F" w:rsidRPr="008048DD">
        <w:rPr>
          <w:lang w:val="es-ES_tradnl"/>
        </w:rPr>
        <w:t xml:space="preserve"> </w:t>
      </w:r>
      <w:r w:rsidRPr="008048DD">
        <w:rPr>
          <w:lang w:val="es-ES_tradnl"/>
        </w:rPr>
        <w:t>y la agrupación de los artículos se consideró</w:t>
      </w:r>
      <w:r w:rsidR="00D953CF" w:rsidRPr="008048DD">
        <w:rPr>
          <w:lang w:val="es-ES_tradnl"/>
        </w:rPr>
        <w:t>,</w:t>
      </w:r>
      <w:r w:rsidRPr="008048DD">
        <w:rPr>
          <w:lang w:val="es-ES_tradnl"/>
        </w:rPr>
        <w:t xml:space="preserve"> en general</w:t>
      </w:r>
      <w:r w:rsidR="00D953CF" w:rsidRPr="008048DD">
        <w:rPr>
          <w:lang w:val="es-ES_tradnl"/>
        </w:rPr>
        <w:t>,</w:t>
      </w:r>
      <w:r w:rsidRPr="008048DD">
        <w:rPr>
          <w:lang w:val="es-ES_tradnl"/>
        </w:rPr>
        <w:t xml:space="preserve"> útil y valiosa, pero algunos opinaron que esto podría significar que los indicadores no necesitaban seleccionarse por cada</w:t>
      </w:r>
      <w:r w:rsidR="00B1107F" w:rsidRPr="008048DD">
        <w:rPr>
          <w:lang w:val="es-ES_tradnl"/>
        </w:rPr>
        <w:t xml:space="preserve"> </w:t>
      </w:r>
      <w:r w:rsidR="00467D4C" w:rsidRPr="008048DD">
        <w:rPr>
          <w:lang w:val="es-ES_tradnl"/>
        </w:rPr>
        <w:t>artículo</w:t>
      </w:r>
      <w:r w:rsidR="00B1107F" w:rsidRPr="008048DD">
        <w:rPr>
          <w:lang w:val="es-ES_tradnl"/>
        </w:rPr>
        <w:t xml:space="preserve">. </w:t>
      </w:r>
    </w:p>
    <w:p w14:paraId="7B4821F4" w14:textId="77777777" w:rsidR="00B1107F" w:rsidRPr="008048DD" w:rsidRDefault="000B189F" w:rsidP="00362646">
      <w:pPr>
        <w:pStyle w:val="Normalnumber"/>
        <w:numPr>
          <w:ilvl w:val="0"/>
          <w:numId w:val="40"/>
        </w:numPr>
        <w:tabs>
          <w:tab w:val="clear" w:pos="1057"/>
        </w:tabs>
        <w:ind w:left="1247"/>
        <w:rPr>
          <w:lang w:val="es-ES_tradnl"/>
        </w:rPr>
      </w:pPr>
      <w:r w:rsidRPr="008048DD">
        <w:rPr>
          <w:lang w:val="es-ES_tradnl"/>
        </w:rPr>
        <w:t>Por otra parte, algunos opinaron q</w:t>
      </w:r>
      <w:r w:rsidR="00D953CF" w:rsidRPr="008048DD">
        <w:rPr>
          <w:lang w:val="es-ES_tradnl"/>
        </w:rPr>
        <w:t>u</w:t>
      </w:r>
      <w:r w:rsidRPr="008048DD">
        <w:rPr>
          <w:lang w:val="es-ES_tradnl"/>
        </w:rPr>
        <w:t>e los indicadores no deberían seleccionarse conforme a las obligaciones jur</w:t>
      </w:r>
      <w:r w:rsidR="00C560CD" w:rsidRPr="008048DD">
        <w:rPr>
          <w:lang w:val="es-ES_tradnl"/>
        </w:rPr>
        <w:t>í</w:t>
      </w:r>
      <w:r w:rsidRPr="008048DD">
        <w:rPr>
          <w:lang w:val="es-ES_tradnl"/>
        </w:rPr>
        <w:t>dicas, mientras que otros dijeron que los indicadores eran necesarios tanto para las obligaciones jurídicas como para las voluntarias</w:t>
      </w:r>
      <w:r w:rsidR="00B1107F" w:rsidRPr="008048DD">
        <w:rPr>
          <w:lang w:val="es-ES_tradnl"/>
        </w:rPr>
        <w:t xml:space="preserve">. </w:t>
      </w:r>
    </w:p>
    <w:p w14:paraId="194B8CF2" w14:textId="77777777" w:rsidR="00B1107F" w:rsidRPr="008048DD" w:rsidRDefault="00C560CD" w:rsidP="00362646">
      <w:pPr>
        <w:pStyle w:val="Normalnumber"/>
        <w:numPr>
          <w:ilvl w:val="0"/>
          <w:numId w:val="40"/>
        </w:numPr>
        <w:tabs>
          <w:tab w:val="clear" w:pos="1057"/>
        </w:tabs>
        <w:ind w:left="1247"/>
        <w:rPr>
          <w:lang w:val="es-ES_tradnl"/>
        </w:rPr>
      </w:pPr>
      <w:r w:rsidRPr="008048DD">
        <w:rPr>
          <w:lang w:val="es-ES_tradnl"/>
        </w:rPr>
        <w:t>También se expresó la opinión</w:t>
      </w:r>
      <w:r w:rsidR="00D953CF" w:rsidRPr="008048DD">
        <w:rPr>
          <w:lang w:val="es-ES_tradnl"/>
        </w:rPr>
        <w:t xml:space="preserve"> de que la capacidad de </w:t>
      </w:r>
      <w:r w:rsidRPr="008048DD">
        <w:rPr>
          <w:lang w:val="es-ES_tradnl"/>
        </w:rPr>
        <w:t>interpreta</w:t>
      </w:r>
      <w:r w:rsidR="00D953CF" w:rsidRPr="008048DD">
        <w:rPr>
          <w:lang w:val="es-ES_tradnl"/>
        </w:rPr>
        <w:t xml:space="preserve">ción de </w:t>
      </w:r>
      <w:r w:rsidRPr="008048DD">
        <w:rPr>
          <w:lang w:val="es-ES_tradnl"/>
        </w:rPr>
        <w:t>las conclusiones extraídas de los indicadores era también importante</w:t>
      </w:r>
      <w:r w:rsidR="00BC2A86" w:rsidRPr="008048DD">
        <w:rPr>
          <w:lang w:val="es-ES_tradnl"/>
        </w:rPr>
        <w:t xml:space="preserve">, </w:t>
      </w:r>
      <w:r w:rsidRPr="008048DD">
        <w:rPr>
          <w:lang w:val="es-ES_tradnl"/>
        </w:rPr>
        <w:t xml:space="preserve">de ahí la sugerencia de que solo se seleccionaran indicadores donde la dirección de asociación estuviese vinculada con las emisiones y liberaciones, otros afirmaron que la causalidad </w:t>
      </w:r>
      <w:r w:rsidR="00D953CF" w:rsidRPr="008048DD">
        <w:rPr>
          <w:lang w:val="es-ES_tradnl"/>
        </w:rPr>
        <w:t xml:space="preserve">y la capacidad de </w:t>
      </w:r>
      <w:r w:rsidRPr="008048DD">
        <w:rPr>
          <w:lang w:val="es-ES_tradnl"/>
        </w:rPr>
        <w:t>interpreta</w:t>
      </w:r>
      <w:r w:rsidR="00D953CF" w:rsidRPr="008048DD">
        <w:rPr>
          <w:lang w:val="es-ES_tradnl"/>
        </w:rPr>
        <w:t xml:space="preserve">ción </w:t>
      </w:r>
      <w:r w:rsidRPr="008048DD">
        <w:rPr>
          <w:lang w:val="es-ES_tradnl"/>
        </w:rPr>
        <w:t>eran decisivas,</w:t>
      </w:r>
      <w:r w:rsidR="00B3310A" w:rsidRPr="008048DD">
        <w:rPr>
          <w:lang w:val="es-ES_tradnl"/>
        </w:rPr>
        <w:t xml:space="preserve"> </w:t>
      </w:r>
      <w:r w:rsidRPr="008048DD">
        <w:rPr>
          <w:lang w:val="es-ES_tradnl"/>
        </w:rPr>
        <w:t>mientras que algunos afirmaron que para una perspectiva general integradora de la eficacia del Convenio, era una necesidad imperiosa captar la información proveniente de otros indicadores</w:t>
      </w:r>
      <w:r w:rsidR="00B1107F" w:rsidRPr="008048DD">
        <w:rPr>
          <w:lang w:val="es-ES_tradnl"/>
        </w:rPr>
        <w:t xml:space="preserve">. </w:t>
      </w:r>
    </w:p>
    <w:p w14:paraId="026AEAC6" w14:textId="77777777" w:rsidR="00B1107F" w:rsidRPr="008048DD" w:rsidRDefault="00C560CD" w:rsidP="00362646">
      <w:pPr>
        <w:pStyle w:val="Normalnumber"/>
        <w:numPr>
          <w:ilvl w:val="0"/>
          <w:numId w:val="40"/>
        </w:numPr>
        <w:tabs>
          <w:tab w:val="clear" w:pos="1057"/>
        </w:tabs>
        <w:ind w:left="1247"/>
        <w:rPr>
          <w:lang w:val="es-ES_tradnl"/>
        </w:rPr>
      </w:pPr>
      <w:r w:rsidRPr="008048DD">
        <w:rPr>
          <w:lang w:val="es-ES_tradnl"/>
        </w:rPr>
        <w:t>Se formularon observaciones en el sentido de que se seleccionara el indicador propuesto para el a</w:t>
      </w:r>
      <w:r w:rsidR="00467D4C" w:rsidRPr="008048DD">
        <w:rPr>
          <w:lang w:val="es-ES_tradnl"/>
        </w:rPr>
        <w:t>rtículo</w:t>
      </w:r>
      <w:r w:rsidR="00B1107F" w:rsidRPr="008048DD">
        <w:rPr>
          <w:lang w:val="es-ES_tradnl"/>
        </w:rPr>
        <w:t xml:space="preserve"> 22 (K1)</w:t>
      </w:r>
      <w:r w:rsidR="008A0544" w:rsidRPr="008048DD">
        <w:rPr>
          <w:lang w:val="es-ES_tradnl"/>
        </w:rPr>
        <w:t xml:space="preserve">, </w:t>
      </w:r>
      <w:r w:rsidRPr="008048DD">
        <w:rPr>
          <w:lang w:val="es-ES_tradnl"/>
        </w:rPr>
        <w:t>junto con determinados otros indicadores propuestos</w:t>
      </w:r>
      <w:r w:rsidR="00B1107F" w:rsidRPr="008048DD">
        <w:rPr>
          <w:lang w:val="es-ES_tradnl"/>
        </w:rPr>
        <w:t xml:space="preserve">. </w:t>
      </w:r>
      <w:r w:rsidRPr="008048DD">
        <w:rPr>
          <w:lang w:val="es-ES_tradnl"/>
        </w:rPr>
        <w:t>En el presente informe</w:t>
      </w:r>
      <w:r w:rsidR="00B1107F" w:rsidRPr="008048DD">
        <w:rPr>
          <w:lang w:val="es-ES_tradnl"/>
        </w:rPr>
        <w:t xml:space="preserve">, K1 </w:t>
      </w:r>
      <w:r w:rsidRPr="008048DD">
        <w:rPr>
          <w:lang w:val="es-ES_tradnl"/>
        </w:rPr>
        <w:t xml:space="preserve">se </w:t>
      </w:r>
      <w:r w:rsidR="004B5046" w:rsidRPr="008048DD">
        <w:rPr>
          <w:lang w:val="es-ES_tradnl"/>
        </w:rPr>
        <w:t>ha</w:t>
      </w:r>
      <w:r w:rsidRPr="008048DD">
        <w:rPr>
          <w:lang w:val="es-ES_tradnl"/>
        </w:rPr>
        <w:t xml:space="preserve"> destacado en gris para indicar la divergencia de opiniones</w:t>
      </w:r>
      <w:r w:rsidR="00B1107F" w:rsidRPr="008048DD">
        <w:rPr>
          <w:lang w:val="es-ES_tradnl"/>
        </w:rPr>
        <w:t xml:space="preserve">. </w:t>
      </w:r>
      <w:r w:rsidRPr="008048DD">
        <w:rPr>
          <w:lang w:val="es-ES_tradnl"/>
        </w:rPr>
        <w:t>En el primer ciclo se presentará la oportunidad de resolver otras divergencias en relación con indicadores específicos</w:t>
      </w:r>
      <w:r w:rsidR="00B1107F" w:rsidRPr="008048DD">
        <w:rPr>
          <w:lang w:val="es-ES_tradnl"/>
        </w:rPr>
        <w:t xml:space="preserve">. </w:t>
      </w:r>
    </w:p>
    <w:p w14:paraId="5ABD4CA6" w14:textId="2A227E3D" w:rsidR="00B1107F" w:rsidRPr="008048DD" w:rsidRDefault="00C560CD" w:rsidP="00362646">
      <w:pPr>
        <w:pStyle w:val="Normalnumber"/>
        <w:numPr>
          <w:ilvl w:val="0"/>
          <w:numId w:val="40"/>
        </w:numPr>
        <w:tabs>
          <w:tab w:val="clear" w:pos="1057"/>
        </w:tabs>
        <w:ind w:left="1247"/>
        <w:rPr>
          <w:lang w:val="es-ES_tradnl"/>
        </w:rPr>
      </w:pPr>
      <w:r w:rsidRPr="008048DD">
        <w:rPr>
          <w:lang w:val="es-ES_tradnl"/>
        </w:rPr>
        <w:t>Se expresaron opiniones diferentes sobre si era necesario preparar un informe sobre los desechos</w:t>
      </w:r>
      <w:r w:rsidR="00B1107F" w:rsidRPr="008048DD">
        <w:rPr>
          <w:lang w:val="es-ES_tradnl"/>
        </w:rPr>
        <w:t xml:space="preserve">. </w:t>
      </w:r>
      <w:r w:rsidRPr="008048DD">
        <w:rPr>
          <w:lang w:val="es-ES_tradnl"/>
        </w:rPr>
        <w:t>Algunos opinaron que un informe que se</w:t>
      </w:r>
      <w:r w:rsidR="00413478" w:rsidRPr="008048DD">
        <w:rPr>
          <w:lang w:val="es-ES_tradnl"/>
        </w:rPr>
        <w:t xml:space="preserve"> </w:t>
      </w:r>
      <w:r w:rsidRPr="008048DD">
        <w:rPr>
          <w:lang w:val="es-ES_tradnl"/>
        </w:rPr>
        <w:t>centrara en las prácticas de gestión de los desecho</w:t>
      </w:r>
      <w:r w:rsidR="002E7D74" w:rsidRPr="008048DD">
        <w:rPr>
          <w:lang w:val="es-ES_tradnl"/>
        </w:rPr>
        <w:t>s</w:t>
      </w:r>
      <w:r w:rsidRPr="008048DD">
        <w:rPr>
          <w:lang w:val="es-ES_tradnl"/>
        </w:rPr>
        <w:t xml:space="preserve"> no proporcionaría información acerca de la eficacia del Convenio; </w:t>
      </w:r>
      <w:r w:rsidR="00413478" w:rsidRPr="008048DD">
        <w:rPr>
          <w:lang w:val="es-ES_tradnl"/>
        </w:rPr>
        <w:t xml:space="preserve">cabía prever que </w:t>
      </w:r>
      <w:r w:rsidRPr="008048DD">
        <w:rPr>
          <w:lang w:val="es-ES_tradnl"/>
        </w:rPr>
        <w:t xml:space="preserve">los informes propuestos sobre comercio, </w:t>
      </w:r>
      <w:r w:rsidR="002E7D74" w:rsidRPr="008048DD">
        <w:rPr>
          <w:lang w:val="es-ES_tradnl"/>
        </w:rPr>
        <w:t>suministro</w:t>
      </w:r>
      <w:r w:rsidRPr="008048DD">
        <w:rPr>
          <w:lang w:val="es-ES_tradnl"/>
        </w:rPr>
        <w:t xml:space="preserve"> y demanda</w:t>
      </w:r>
      <w:r w:rsidR="00413478" w:rsidRPr="008048DD">
        <w:rPr>
          <w:lang w:val="es-ES_tradnl"/>
        </w:rPr>
        <w:t xml:space="preserve"> proporcionaran información sobre la reutilización</w:t>
      </w:r>
      <w:r w:rsidR="00B3310A" w:rsidRPr="008048DD">
        <w:rPr>
          <w:lang w:val="es-ES_tradnl"/>
        </w:rPr>
        <w:t xml:space="preserve"> </w:t>
      </w:r>
      <w:r w:rsidR="00413478" w:rsidRPr="008048DD">
        <w:rPr>
          <w:lang w:val="es-ES_tradnl"/>
        </w:rPr>
        <w:t>del mercurio de desecho para usos permitidos y, por consiguiente, aportaría una imagen más útil</w:t>
      </w:r>
      <w:r w:rsidR="00B1107F" w:rsidRPr="008048DD">
        <w:rPr>
          <w:lang w:val="es-ES_tradnl"/>
        </w:rPr>
        <w:t>.</w:t>
      </w:r>
      <w:r w:rsidR="00B3310A" w:rsidRPr="008048DD">
        <w:rPr>
          <w:lang w:val="es-ES_tradnl"/>
        </w:rPr>
        <w:t xml:space="preserve"> </w:t>
      </w:r>
      <w:r w:rsidR="002E7D74" w:rsidRPr="008048DD">
        <w:rPr>
          <w:lang w:val="es-ES_tradnl"/>
        </w:rPr>
        <w:t>De ahí</w:t>
      </w:r>
      <w:r w:rsidR="00413478" w:rsidRPr="008048DD">
        <w:rPr>
          <w:lang w:val="es-ES_tradnl"/>
        </w:rPr>
        <w:t xml:space="preserve"> su solicitud de que se suprimiera el informe sobre los desechos de la lista de informes que se prepararían en el primer ciclo de evaluación de la eficacia</w:t>
      </w:r>
      <w:r w:rsidR="00B1107F" w:rsidRPr="008048DD">
        <w:rPr>
          <w:lang w:val="es-ES_tradnl"/>
        </w:rPr>
        <w:t xml:space="preserve">. </w:t>
      </w:r>
      <w:r w:rsidR="00413478" w:rsidRPr="008048DD">
        <w:rPr>
          <w:lang w:val="es-ES_tradnl"/>
        </w:rPr>
        <w:t xml:space="preserve">La opinión contraria alertaba de que esto sería decisivo para que el </w:t>
      </w:r>
      <w:r w:rsidR="00AB1875">
        <w:rPr>
          <w:lang w:val="es-ES_tradnl"/>
        </w:rPr>
        <w:t>Comité de E</w:t>
      </w:r>
      <w:r w:rsidR="00E006FC" w:rsidRPr="008048DD">
        <w:rPr>
          <w:lang w:val="es-ES_tradnl"/>
        </w:rPr>
        <w:t xml:space="preserve">valuación de la </w:t>
      </w:r>
      <w:r w:rsidR="00AB1875">
        <w:rPr>
          <w:lang w:val="es-ES_tradnl"/>
        </w:rPr>
        <w:t>E</w:t>
      </w:r>
      <w:r w:rsidR="00E006FC" w:rsidRPr="008048DD">
        <w:rPr>
          <w:lang w:val="es-ES_tradnl"/>
        </w:rPr>
        <w:t>ficacia</w:t>
      </w:r>
      <w:r w:rsidR="00413478" w:rsidRPr="008048DD">
        <w:rPr>
          <w:lang w:val="es-ES_tradnl"/>
        </w:rPr>
        <w:t xml:space="preserve"> contara con información de antecedentes independiente sobre las opciones técnicas y normativas disponibles para la gestión y el reciclado de los desechos</w:t>
      </w:r>
      <w:r w:rsidR="00BC2A86" w:rsidRPr="008048DD">
        <w:rPr>
          <w:lang w:val="es-ES_tradnl"/>
        </w:rPr>
        <w:t xml:space="preserve">, </w:t>
      </w:r>
      <w:r w:rsidR="002E7D74" w:rsidRPr="008048DD">
        <w:rPr>
          <w:lang w:val="es-ES_tradnl"/>
        </w:rPr>
        <w:t xml:space="preserve">de manera que se obtendría </w:t>
      </w:r>
      <w:r w:rsidR="00413478" w:rsidRPr="008048DD">
        <w:rPr>
          <w:lang w:val="es-ES_tradnl"/>
        </w:rPr>
        <w:t xml:space="preserve">una </w:t>
      </w:r>
      <w:r w:rsidR="00BA2806" w:rsidRPr="008048DD">
        <w:rPr>
          <w:lang w:val="es-ES_tradnl"/>
        </w:rPr>
        <w:t>perspectiv</w:t>
      </w:r>
      <w:r w:rsidR="00413478" w:rsidRPr="008048DD">
        <w:rPr>
          <w:lang w:val="es-ES_tradnl"/>
        </w:rPr>
        <w:t xml:space="preserve">a de los informes </w:t>
      </w:r>
      <w:r w:rsidR="002E7D74" w:rsidRPr="008048DD">
        <w:rPr>
          <w:lang w:val="es-ES_tradnl"/>
        </w:rPr>
        <w:t xml:space="preserve">presentados </w:t>
      </w:r>
      <w:r w:rsidR="00413478" w:rsidRPr="008048DD">
        <w:rPr>
          <w:lang w:val="es-ES_tradnl"/>
        </w:rPr>
        <w:t>con arreglo al artículo</w:t>
      </w:r>
      <w:r w:rsidR="00B1107F" w:rsidRPr="008048DD">
        <w:rPr>
          <w:lang w:val="es-ES_tradnl"/>
        </w:rPr>
        <w:t xml:space="preserve"> 21 </w:t>
      </w:r>
      <w:r w:rsidR="00413478" w:rsidRPr="008048DD">
        <w:rPr>
          <w:lang w:val="es-ES_tradnl"/>
        </w:rPr>
        <w:t>sobre es</w:t>
      </w:r>
      <w:r w:rsidR="002E7D74" w:rsidRPr="008048DD">
        <w:rPr>
          <w:lang w:val="es-ES_tradnl"/>
        </w:rPr>
        <w:t>a</w:t>
      </w:r>
      <w:r w:rsidR="00413478" w:rsidRPr="008048DD">
        <w:rPr>
          <w:lang w:val="es-ES_tradnl"/>
        </w:rPr>
        <w:t>s</w:t>
      </w:r>
      <w:r w:rsidR="002E7D74" w:rsidRPr="008048DD">
        <w:rPr>
          <w:lang w:val="es-ES_tradnl"/>
        </w:rPr>
        <w:t xml:space="preserve"> cuestiones</w:t>
      </w:r>
      <w:r w:rsidR="00B1107F" w:rsidRPr="008048DD">
        <w:rPr>
          <w:lang w:val="es-ES_tradnl"/>
        </w:rPr>
        <w:t xml:space="preserve">. </w:t>
      </w:r>
      <w:r w:rsidR="00413478" w:rsidRPr="008048DD">
        <w:rPr>
          <w:lang w:val="es-ES_tradnl"/>
        </w:rPr>
        <w:t>Habida cuenta de la divergencia de opiniones, el informe sobre desechos seguía siendo parte del marco propuesto, pero los casos en que se mencionaba se destacaron en color gris</w:t>
      </w:r>
      <w:r w:rsidR="00B1107F" w:rsidRPr="008048DD">
        <w:rPr>
          <w:lang w:val="es-ES_tradnl"/>
        </w:rPr>
        <w:t>.</w:t>
      </w:r>
    </w:p>
    <w:p w14:paraId="2B326848" w14:textId="77777777" w:rsidR="00B1107F" w:rsidRPr="008048DD" w:rsidRDefault="00413478" w:rsidP="00362646">
      <w:pPr>
        <w:pStyle w:val="Normalnumber"/>
        <w:numPr>
          <w:ilvl w:val="0"/>
          <w:numId w:val="40"/>
        </w:numPr>
        <w:tabs>
          <w:tab w:val="clear" w:pos="1057"/>
        </w:tabs>
        <w:ind w:left="1247"/>
        <w:rPr>
          <w:lang w:val="es-ES_tradnl"/>
        </w:rPr>
      </w:pPr>
      <w:r w:rsidRPr="008048DD">
        <w:rPr>
          <w:lang w:val="es-ES_tradnl"/>
        </w:rPr>
        <w:t>Se expresó también la opinión de que la reunión de datos de vigilancia no debería usar los recursos del Convenio</w:t>
      </w:r>
      <w:r w:rsidR="00B1107F" w:rsidRPr="008048DD">
        <w:rPr>
          <w:lang w:val="es-ES_tradnl"/>
        </w:rPr>
        <w:t xml:space="preserve">. </w:t>
      </w:r>
    </w:p>
    <w:p w14:paraId="47D752D2" w14:textId="77777777" w:rsidR="00B1107F" w:rsidRPr="008048DD" w:rsidRDefault="0039306C" w:rsidP="00362646">
      <w:pPr>
        <w:pStyle w:val="Normalnumber"/>
        <w:numPr>
          <w:ilvl w:val="0"/>
          <w:numId w:val="40"/>
        </w:numPr>
        <w:tabs>
          <w:tab w:val="clear" w:pos="1057"/>
        </w:tabs>
        <w:ind w:left="1247"/>
        <w:rPr>
          <w:lang w:val="es-ES_tradnl"/>
        </w:rPr>
      </w:pPr>
      <w:r w:rsidRPr="008048DD">
        <w:rPr>
          <w:lang w:val="es-ES_tradnl"/>
        </w:rPr>
        <w:t>Se expresaron también opiniones di</w:t>
      </w:r>
      <w:r w:rsidR="002E7D74" w:rsidRPr="008048DD">
        <w:rPr>
          <w:lang w:val="es-ES_tradnl"/>
        </w:rPr>
        <w:t>vergentes acerca</w:t>
      </w:r>
      <w:r w:rsidRPr="008048DD">
        <w:rPr>
          <w:lang w:val="es-ES_tradnl"/>
        </w:rPr>
        <w:t xml:space="preserve"> de las matrices para la vigilancia biológica de los seres humanos</w:t>
      </w:r>
      <w:r w:rsidR="0037411A" w:rsidRPr="008048DD">
        <w:rPr>
          <w:lang w:val="es-ES_tradnl"/>
        </w:rPr>
        <w:t>:</w:t>
      </w:r>
      <w:r w:rsidR="00B1107F" w:rsidRPr="008048DD">
        <w:rPr>
          <w:lang w:val="es-ES_tradnl"/>
        </w:rPr>
        <w:t xml:space="preserve"> </w:t>
      </w:r>
      <w:r w:rsidRPr="008048DD">
        <w:rPr>
          <w:lang w:val="es-ES_tradnl"/>
        </w:rPr>
        <w:t>en una se afirmaba que las muestras de sangre deberían limitarse a la sangre del cordón umbilical</w:t>
      </w:r>
      <w:r w:rsidR="00BC2A86" w:rsidRPr="008048DD">
        <w:rPr>
          <w:lang w:val="es-ES_tradnl"/>
        </w:rPr>
        <w:t>,</w:t>
      </w:r>
      <w:r w:rsidR="00B1107F" w:rsidRPr="008048DD">
        <w:rPr>
          <w:lang w:val="es-ES_tradnl"/>
        </w:rPr>
        <w:t xml:space="preserve"> </w:t>
      </w:r>
      <w:r w:rsidRPr="008048DD">
        <w:rPr>
          <w:lang w:val="es-ES_tradnl"/>
        </w:rPr>
        <w:t>p</w:t>
      </w:r>
      <w:r w:rsidR="002E7D74" w:rsidRPr="008048DD">
        <w:rPr>
          <w:lang w:val="es-ES_tradnl"/>
        </w:rPr>
        <w:t>or no ser una práctica invasiva</w:t>
      </w:r>
      <w:r w:rsidRPr="008048DD">
        <w:rPr>
          <w:lang w:val="es-ES_tradnl"/>
        </w:rPr>
        <w:t xml:space="preserve"> que podía usarse para determinar la exposición </w:t>
      </w:r>
      <w:r w:rsidR="00B1107F" w:rsidRPr="008048DD">
        <w:rPr>
          <w:lang w:val="es-ES_tradnl"/>
        </w:rPr>
        <w:t>prenatal</w:t>
      </w:r>
      <w:r w:rsidR="0037411A" w:rsidRPr="008048DD">
        <w:rPr>
          <w:lang w:val="es-ES_tradnl"/>
        </w:rPr>
        <w:t xml:space="preserve">, </w:t>
      </w:r>
      <w:r w:rsidRPr="008048DD">
        <w:rPr>
          <w:lang w:val="es-ES_tradnl"/>
        </w:rPr>
        <w:t xml:space="preserve">mientras que otros afirmaban que la sangre del cordón umbilical posiblemente no fuese suficiente para determinar la exposición de los seres humanos y que las muestras de sangre extraídas a los adultos deberían usarse también, dado que estos grupos representaban a diferentes poblaciones </w:t>
      </w:r>
      <w:r w:rsidR="005A3D16" w:rsidRPr="008048DD">
        <w:rPr>
          <w:lang w:val="es-ES_tradnl"/>
        </w:rPr>
        <w:t>vulnerable</w:t>
      </w:r>
      <w:r w:rsidRPr="008048DD">
        <w:rPr>
          <w:lang w:val="es-ES_tradnl"/>
        </w:rPr>
        <w:t>s</w:t>
      </w:r>
      <w:r w:rsidR="00B1107F" w:rsidRPr="008048DD">
        <w:rPr>
          <w:lang w:val="es-ES_tradnl"/>
        </w:rPr>
        <w:t xml:space="preserve">. </w:t>
      </w:r>
    </w:p>
    <w:p w14:paraId="2A9112C4" w14:textId="13768BA7" w:rsidR="00B1107F" w:rsidRPr="008048DD" w:rsidRDefault="0039306C" w:rsidP="00362646">
      <w:pPr>
        <w:pStyle w:val="Normalnumber"/>
        <w:numPr>
          <w:ilvl w:val="0"/>
          <w:numId w:val="40"/>
        </w:numPr>
        <w:tabs>
          <w:tab w:val="clear" w:pos="1057"/>
        </w:tabs>
        <w:ind w:left="1247"/>
        <w:rPr>
          <w:lang w:val="es-ES_tradnl"/>
        </w:rPr>
      </w:pPr>
      <w:r w:rsidRPr="008048DD">
        <w:rPr>
          <w:lang w:val="es-ES_tradnl"/>
        </w:rPr>
        <w:t>Por último, aunque en el informe se señala que la Secretaría facilitará la producción de los informes de síntesis y que estos se producirán</w:t>
      </w:r>
      <w:r w:rsidR="00B3310A" w:rsidRPr="008048DD">
        <w:rPr>
          <w:lang w:val="es-ES_tradnl"/>
        </w:rPr>
        <w:t xml:space="preserve"> </w:t>
      </w:r>
      <w:r w:rsidRPr="008048DD">
        <w:rPr>
          <w:lang w:val="es-ES_tradnl"/>
        </w:rPr>
        <w:t xml:space="preserve">con </w:t>
      </w:r>
      <w:r w:rsidR="00E346C6" w:rsidRPr="008048DD">
        <w:rPr>
          <w:lang w:val="es-ES_tradnl"/>
        </w:rPr>
        <w:t xml:space="preserve">ayuda de colaboradores </w:t>
      </w:r>
      <w:r w:rsidRPr="008048DD">
        <w:rPr>
          <w:lang w:val="es-ES_tradnl"/>
        </w:rPr>
        <w:t xml:space="preserve">o por </w:t>
      </w:r>
      <w:r w:rsidR="002E7D74" w:rsidRPr="008048DD">
        <w:rPr>
          <w:lang w:val="es-ES_tradnl"/>
        </w:rPr>
        <w:t>medio de ellos</w:t>
      </w:r>
      <w:r w:rsidRPr="008048DD">
        <w:rPr>
          <w:lang w:val="es-ES_tradnl"/>
        </w:rPr>
        <w:t xml:space="preserve">, no </w:t>
      </w:r>
      <w:r w:rsidR="002E7D74" w:rsidRPr="008048DD">
        <w:rPr>
          <w:lang w:val="es-ES_tradnl"/>
        </w:rPr>
        <w:t>se</w:t>
      </w:r>
      <w:r w:rsidR="005E2970">
        <w:rPr>
          <w:lang w:val="es-ES_tradnl"/>
        </w:rPr>
        <w:t> </w:t>
      </w:r>
      <w:r w:rsidR="002E7D74" w:rsidRPr="008048DD">
        <w:rPr>
          <w:lang w:val="es-ES_tradnl"/>
        </w:rPr>
        <w:t>presenta</w:t>
      </w:r>
      <w:r w:rsidRPr="008048DD">
        <w:rPr>
          <w:lang w:val="es-ES_tradnl"/>
        </w:rPr>
        <w:t xml:space="preserve"> una lista de esos posibles </w:t>
      </w:r>
      <w:r w:rsidR="00E346C6" w:rsidRPr="008048DD">
        <w:rPr>
          <w:lang w:val="es-ES_tradnl"/>
        </w:rPr>
        <w:t>colaboradores</w:t>
      </w:r>
      <w:r w:rsidR="00B1107F" w:rsidRPr="008048DD">
        <w:rPr>
          <w:lang w:val="es-ES_tradnl"/>
        </w:rPr>
        <w:t xml:space="preserve">. </w:t>
      </w:r>
      <w:r w:rsidR="00E346C6" w:rsidRPr="008048DD">
        <w:rPr>
          <w:lang w:val="es-ES_tradnl"/>
        </w:rPr>
        <w:t>A fin de tomar en consideración</w:t>
      </w:r>
      <w:r w:rsidRPr="008048DD">
        <w:rPr>
          <w:lang w:val="es-ES_tradnl"/>
        </w:rPr>
        <w:t xml:space="preserve"> posibles </w:t>
      </w:r>
      <w:r w:rsidR="00E346C6" w:rsidRPr="008048DD">
        <w:rPr>
          <w:lang w:val="es-ES_tradnl"/>
        </w:rPr>
        <w:t>colaboradores para</w:t>
      </w:r>
      <w:r w:rsidRPr="008048DD">
        <w:rPr>
          <w:lang w:val="es-ES_tradnl"/>
        </w:rPr>
        <w:t xml:space="preserve"> la producción del informe propuesto sobre emisiones y liberaciones, </w:t>
      </w:r>
      <w:r w:rsidR="00E346C6" w:rsidRPr="008048DD">
        <w:rPr>
          <w:lang w:val="es-ES_tradnl"/>
        </w:rPr>
        <w:t>el informe sobre comercio, suministro y demanda y el informe sobre los desechos, tal vez sea conveniente que la</w:t>
      </w:r>
      <w:r w:rsidR="00B1107F" w:rsidRPr="008048DD">
        <w:rPr>
          <w:lang w:val="es-ES_tradnl"/>
        </w:rPr>
        <w:t xml:space="preserve"> </w:t>
      </w:r>
      <w:r w:rsidR="00894E54" w:rsidRPr="008048DD">
        <w:rPr>
          <w:lang w:val="es-ES_tradnl"/>
        </w:rPr>
        <w:t>Conferencia de las Partes</w:t>
      </w:r>
      <w:r w:rsidR="00B1107F" w:rsidRPr="008048DD">
        <w:rPr>
          <w:lang w:val="es-ES_tradnl"/>
        </w:rPr>
        <w:t xml:space="preserve"> </w:t>
      </w:r>
      <w:r w:rsidR="00E346C6" w:rsidRPr="008048DD">
        <w:rPr>
          <w:lang w:val="es-ES_tradnl"/>
        </w:rPr>
        <w:t xml:space="preserve">vuelva a solicitar los servicios de los colaboradores </w:t>
      </w:r>
      <w:r w:rsidR="00B1107F" w:rsidRPr="008048DD">
        <w:rPr>
          <w:lang w:val="es-ES_tradnl"/>
        </w:rPr>
        <w:t>(</w:t>
      </w:r>
      <w:r w:rsidR="00E346C6" w:rsidRPr="008048DD">
        <w:rPr>
          <w:lang w:val="es-ES_tradnl"/>
        </w:rPr>
        <w:t>tanto los institucionales como los contratados</w:t>
      </w:r>
      <w:r w:rsidR="00B1107F" w:rsidRPr="008048DD">
        <w:rPr>
          <w:lang w:val="es-ES_tradnl"/>
        </w:rPr>
        <w:t xml:space="preserve">) </w:t>
      </w:r>
      <w:r w:rsidR="00E346C6" w:rsidRPr="008048DD">
        <w:rPr>
          <w:lang w:val="es-ES_tradnl"/>
        </w:rPr>
        <w:t>que trabajaron con la Subdivisión de Productos Químicos y Salud del PNUMA en la producción del informe</w:t>
      </w:r>
      <w:r w:rsidR="002D189F" w:rsidRPr="008048DD">
        <w:rPr>
          <w:lang w:val="es-ES_tradnl"/>
        </w:rPr>
        <w:t xml:space="preserve"> </w:t>
      </w:r>
      <w:r w:rsidR="005E2970">
        <w:rPr>
          <w:lang w:val="es-ES_tradnl"/>
        </w:rPr>
        <w:t>“</w:t>
      </w:r>
      <w:r w:rsidR="00E346C6" w:rsidRPr="005E2970">
        <w:rPr>
          <w:lang w:val="es-ES_tradnl"/>
        </w:rPr>
        <w:t>Evaluación Mundial del Mercurio</w:t>
      </w:r>
      <w:r w:rsidR="00BA2806" w:rsidRPr="005E2970">
        <w:rPr>
          <w:lang w:val="es-ES_tradnl"/>
        </w:rPr>
        <w:t xml:space="preserve"> </w:t>
      </w:r>
      <w:r w:rsidR="0037411A" w:rsidRPr="005E2970">
        <w:rPr>
          <w:lang w:val="es-ES_tradnl"/>
        </w:rPr>
        <w:t>2018</w:t>
      </w:r>
      <w:r w:rsidR="005E2970">
        <w:rPr>
          <w:lang w:val="es-ES_tradnl"/>
        </w:rPr>
        <w:t>”</w:t>
      </w:r>
      <w:r w:rsidR="006F66A2" w:rsidRPr="005E2970">
        <w:rPr>
          <w:rStyle w:val="FootnoteReference"/>
          <w:lang w:val="es-ES_tradnl"/>
        </w:rPr>
        <w:t>6</w:t>
      </w:r>
      <w:r w:rsidR="00E346C6" w:rsidRPr="008048DD">
        <w:rPr>
          <w:lang w:val="es-ES_tradnl"/>
        </w:rPr>
        <w:t xml:space="preserve">, el informe de </w:t>
      </w:r>
      <w:r w:rsidR="006C0253" w:rsidRPr="008048DD">
        <w:rPr>
          <w:lang w:val="es-ES_tradnl"/>
        </w:rPr>
        <w:t xml:space="preserve">2017 </w:t>
      </w:r>
      <w:r w:rsidR="005E2970">
        <w:rPr>
          <w:i/>
          <w:lang w:val="es-ES_tradnl"/>
        </w:rPr>
        <w:t>Global Mercury Supply, Trade and D</w:t>
      </w:r>
      <w:r w:rsidR="00350B57" w:rsidRPr="008048DD">
        <w:rPr>
          <w:i/>
          <w:lang w:val="es-ES_tradnl"/>
        </w:rPr>
        <w:t>emand</w:t>
      </w:r>
      <w:r w:rsidR="006F66A2" w:rsidRPr="008048DD">
        <w:rPr>
          <w:rStyle w:val="FootnoteReference"/>
          <w:lang w:val="es-ES_tradnl"/>
        </w:rPr>
        <w:t>7</w:t>
      </w:r>
      <w:r w:rsidR="00B1107F" w:rsidRPr="008048DD">
        <w:rPr>
          <w:lang w:val="es-ES_tradnl"/>
        </w:rPr>
        <w:t xml:space="preserve"> </w:t>
      </w:r>
      <w:r w:rsidR="00350B57" w:rsidRPr="008048DD">
        <w:rPr>
          <w:lang w:val="es-ES_tradnl"/>
        </w:rPr>
        <w:t xml:space="preserve">y el informe de </w:t>
      </w:r>
      <w:r w:rsidR="006C0253" w:rsidRPr="008048DD">
        <w:rPr>
          <w:lang w:val="es-ES_tradnl"/>
        </w:rPr>
        <w:t>2018</w:t>
      </w:r>
      <w:r w:rsidR="00AE130B" w:rsidRPr="008048DD">
        <w:rPr>
          <w:lang w:val="es-ES_tradnl"/>
        </w:rPr>
        <w:t xml:space="preserve"> </w:t>
      </w:r>
      <w:r w:rsidR="005E2970">
        <w:rPr>
          <w:lang w:val="es-ES_tradnl"/>
        </w:rPr>
        <w:t>“</w:t>
      </w:r>
      <w:r w:rsidR="00350B57" w:rsidRPr="005E2970">
        <w:rPr>
          <w:lang w:val="es-ES_tradnl"/>
        </w:rPr>
        <w:t>Evaluación mundial de l</w:t>
      </w:r>
      <w:r w:rsidR="00D953CF" w:rsidRPr="005E2970">
        <w:rPr>
          <w:lang w:val="es-ES_tradnl"/>
        </w:rPr>
        <w:t>os</w:t>
      </w:r>
      <w:r w:rsidR="00350B57" w:rsidRPr="005E2970">
        <w:rPr>
          <w:lang w:val="es-ES_tradnl"/>
        </w:rPr>
        <w:t xml:space="preserve"> desechos de mercurio</w:t>
      </w:r>
      <w:r w:rsidR="00AE130B" w:rsidRPr="005E2970">
        <w:rPr>
          <w:lang w:val="es-ES_tradnl"/>
        </w:rPr>
        <w:t xml:space="preserve">: </w:t>
      </w:r>
      <w:r w:rsidR="00350B57" w:rsidRPr="005E2970">
        <w:rPr>
          <w:lang w:val="es-ES_tradnl"/>
        </w:rPr>
        <w:t>Examen de las medidas nacionales vigentes</w:t>
      </w:r>
      <w:r w:rsidR="005E2970">
        <w:rPr>
          <w:lang w:val="es-ES_tradnl"/>
        </w:rPr>
        <w:t>”</w:t>
      </w:r>
      <w:r w:rsidR="006F66A2" w:rsidRPr="005E2970">
        <w:rPr>
          <w:rStyle w:val="FootnoteReference"/>
          <w:lang w:val="es-ES_tradnl"/>
        </w:rPr>
        <w:t>8</w:t>
      </w:r>
      <w:r w:rsidR="00350B57" w:rsidRPr="008048DD">
        <w:rPr>
          <w:rStyle w:val="FootnoteReference"/>
          <w:vertAlign w:val="baseline"/>
          <w:lang w:val="es-ES_tradnl"/>
        </w:rPr>
        <w:t>.</w:t>
      </w:r>
      <w:r w:rsidR="00B1107F" w:rsidRPr="008048DD">
        <w:rPr>
          <w:lang w:val="es-ES_tradnl"/>
        </w:rPr>
        <w:t xml:space="preserve"> </w:t>
      </w:r>
    </w:p>
    <w:bookmarkEnd w:id="11"/>
    <w:p w14:paraId="6AD1713A" w14:textId="77777777" w:rsidR="00454F1C" w:rsidRDefault="00454F1C">
      <w:pPr>
        <w:tabs>
          <w:tab w:val="clear" w:pos="1247"/>
          <w:tab w:val="clear" w:pos="1814"/>
          <w:tab w:val="clear" w:pos="2381"/>
          <w:tab w:val="clear" w:pos="2948"/>
          <w:tab w:val="clear" w:pos="3515"/>
        </w:tabs>
        <w:rPr>
          <w:b/>
          <w:bCs/>
          <w:sz w:val="28"/>
          <w:szCs w:val="22"/>
        </w:rPr>
      </w:pPr>
      <w:r>
        <w:br w:type="page"/>
      </w:r>
    </w:p>
    <w:p w14:paraId="1A899FD4" w14:textId="23C229FC" w:rsidR="00B66A03" w:rsidRPr="008048DD" w:rsidRDefault="00B1107F" w:rsidP="00B66A03">
      <w:pPr>
        <w:pStyle w:val="ZZAnxheader"/>
        <w:rPr>
          <w:lang w:val="es-ES_tradnl"/>
        </w:rPr>
      </w:pPr>
      <w:r w:rsidRPr="008048DD">
        <w:rPr>
          <w:lang w:val="es-ES_tradnl"/>
        </w:rPr>
        <w:t>Apéndice I</w:t>
      </w:r>
    </w:p>
    <w:p w14:paraId="2CC54B74" w14:textId="77777777" w:rsidR="00B1107F" w:rsidRPr="008048DD" w:rsidRDefault="00B1107F" w:rsidP="00B66A03">
      <w:pPr>
        <w:pStyle w:val="ZZAnxtitle"/>
        <w:rPr>
          <w:lang w:val="es-ES_tradnl"/>
        </w:rPr>
      </w:pPr>
      <w:r w:rsidRPr="008048DD">
        <w:rPr>
          <w:lang w:val="es-ES_tradnl"/>
        </w:rPr>
        <w:t>Información técnica sobre vigilancia</w:t>
      </w:r>
    </w:p>
    <w:p w14:paraId="27EC66E7" w14:textId="4A162088" w:rsidR="00B1107F" w:rsidRDefault="00CB5F08" w:rsidP="00B66A03">
      <w:pPr>
        <w:ind w:left="1247"/>
        <w:rPr>
          <w:rFonts w:asciiTheme="majorBidi" w:hAnsiTheme="majorBidi" w:cstheme="majorBidi"/>
          <w:i/>
        </w:rPr>
      </w:pPr>
      <w:r>
        <w:rPr>
          <w:rFonts w:asciiTheme="majorBidi" w:hAnsiTheme="majorBidi" w:cstheme="majorBidi"/>
        </w:rPr>
        <w:t>[</w:t>
      </w:r>
      <w:r w:rsidR="000E0696" w:rsidRPr="000826D4">
        <w:rPr>
          <w:rFonts w:asciiTheme="majorBidi" w:hAnsiTheme="majorBidi" w:cstheme="majorBidi"/>
          <w:i/>
          <w:lang w:val="es-ES"/>
        </w:rPr>
        <w:t>El texto del apéndice I se reproduce en el documento</w:t>
      </w:r>
      <w:r w:rsidR="000E0696">
        <w:rPr>
          <w:rFonts w:asciiTheme="majorBidi" w:hAnsiTheme="majorBidi" w:cstheme="majorBidi"/>
          <w:i/>
          <w:lang w:val="es-ES"/>
        </w:rPr>
        <w:t xml:space="preserve"> </w:t>
      </w:r>
      <w:r w:rsidR="000E0696" w:rsidRPr="00225E9C">
        <w:rPr>
          <w:rFonts w:asciiTheme="majorBidi" w:hAnsiTheme="majorBidi" w:cstheme="majorBidi"/>
          <w:i/>
          <w:iCs/>
          <w:lang w:val="es-ES"/>
        </w:rPr>
        <w:t>UNEP/MC/COP.3/14/Add.1</w:t>
      </w:r>
      <w:r w:rsidR="00D50F41">
        <w:rPr>
          <w:rFonts w:asciiTheme="majorBidi" w:hAnsiTheme="majorBidi" w:cstheme="majorBidi"/>
          <w:i/>
          <w:iCs/>
          <w:lang w:val="es-ES"/>
        </w:rPr>
        <w:t>.</w:t>
      </w:r>
      <w:r w:rsidR="00D50F41">
        <w:rPr>
          <w:rFonts w:asciiTheme="majorBidi" w:hAnsiTheme="majorBidi" w:cstheme="majorBidi"/>
        </w:rPr>
        <w:t>]</w:t>
      </w:r>
    </w:p>
    <w:p w14:paraId="33346384" w14:textId="77777777" w:rsidR="00B66A03" w:rsidRPr="00081EE1" w:rsidRDefault="00B66A03">
      <w:pPr>
        <w:tabs>
          <w:tab w:val="clear" w:pos="1247"/>
          <w:tab w:val="clear" w:pos="1814"/>
          <w:tab w:val="clear" w:pos="2381"/>
          <w:tab w:val="clear" w:pos="2948"/>
          <w:tab w:val="clear" w:pos="3515"/>
        </w:tabs>
        <w:rPr>
          <w:b/>
          <w:bCs/>
          <w:sz w:val="28"/>
          <w:szCs w:val="22"/>
        </w:rPr>
      </w:pPr>
      <w:r w:rsidRPr="00081EE1">
        <w:rPr>
          <w:b/>
          <w:bCs/>
          <w:sz w:val="28"/>
          <w:szCs w:val="22"/>
        </w:rPr>
        <w:br w:type="page"/>
      </w:r>
    </w:p>
    <w:p w14:paraId="7BDA903F" w14:textId="77777777" w:rsidR="00B66A03" w:rsidRPr="008048DD" w:rsidRDefault="00B1107F" w:rsidP="00B66A03">
      <w:pPr>
        <w:pStyle w:val="ZZAnxheader"/>
        <w:rPr>
          <w:lang w:val="es-ES_tradnl"/>
        </w:rPr>
      </w:pPr>
      <w:r w:rsidRPr="008048DD">
        <w:rPr>
          <w:lang w:val="es-ES_tradnl"/>
        </w:rPr>
        <w:t>Apéndice II</w:t>
      </w:r>
    </w:p>
    <w:p w14:paraId="0ADCC42A" w14:textId="6202F514" w:rsidR="00B1107F" w:rsidRPr="008048DD" w:rsidRDefault="00B1107F" w:rsidP="00B66A03">
      <w:pPr>
        <w:pStyle w:val="ZZAnxtitle"/>
        <w:rPr>
          <w:lang w:val="es-ES_tradnl"/>
        </w:rPr>
      </w:pPr>
      <w:r w:rsidRPr="008048DD">
        <w:rPr>
          <w:lang w:val="es-ES_tradnl"/>
        </w:rPr>
        <w:t>Proyecto de ma</w:t>
      </w:r>
      <w:r w:rsidR="00CB5F08">
        <w:rPr>
          <w:lang w:val="es-ES_tradnl"/>
        </w:rPr>
        <w:t>ndato del Comité de Evaluación de la E</w:t>
      </w:r>
      <w:r w:rsidRPr="008048DD">
        <w:rPr>
          <w:lang w:val="es-ES_tradnl"/>
        </w:rPr>
        <w:t>ficacia</w:t>
      </w:r>
    </w:p>
    <w:p w14:paraId="525E3BB9" w14:textId="77777777" w:rsidR="00B1107F" w:rsidRPr="008048DD" w:rsidRDefault="009666CD" w:rsidP="00843A05">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sz w:val="24"/>
          <w:szCs w:val="24"/>
          <w:lang w:val="es-ES_tradnl"/>
        </w:rPr>
        <w:tab/>
      </w:r>
      <w:r w:rsidR="00843A05" w:rsidRPr="008048DD">
        <w:rPr>
          <w:rFonts w:ascii="Times New Roman" w:hAnsi="Times New Roman" w:cs="Times New Roman"/>
          <w:b/>
          <w:sz w:val="24"/>
          <w:szCs w:val="24"/>
          <w:lang w:val="es-ES_tradnl"/>
        </w:rPr>
        <w:t>A.</w:t>
      </w:r>
      <w:r w:rsidR="00843A05" w:rsidRPr="008048DD">
        <w:rPr>
          <w:rFonts w:ascii="Times New Roman" w:hAnsi="Times New Roman" w:cs="Times New Roman"/>
          <w:b/>
          <w:sz w:val="24"/>
          <w:szCs w:val="24"/>
          <w:lang w:val="es-ES_tradnl"/>
        </w:rPr>
        <w:tab/>
      </w:r>
      <w:r w:rsidR="00843A05" w:rsidRPr="008048DD">
        <w:rPr>
          <w:rFonts w:ascii="Times New Roman" w:hAnsi="Times New Roman" w:cs="Times New Roman"/>
          <w:b/>
          <w:bCs/>
          <w:sz w:val="24"/>
          <w:szCs w:val="24"/>
          <w:lang w:val="es-ES_tradnl"/>
        </w:rPr>
        <w:t>Mandato</w:t>
      </w:r>
    </w:p>
    <w:p w14:paraId="04261874" w14:textId="3D4A4B83" w:rsidR="00B1107F" w:rsidRPr="008048DD" w:rsidRDefault="00D04F34" w:rsidP="00362646">
      <w:pPr>
        <w:pStyle w:val="Normalnumber"/>
        <w:numPr>
          <w:ilvl w:val="0"/>
          <w:numId w:val="37"/>
        </w:numPr>
        <w:tabs>
          <w:tab w:val="clear" w:pos="1057"/>
        </w:tabs>
        <w:ind w:left="1247"/>
        <w:rPr>
          <w:lang w:val="es-ES_tradnl"/>
        </w:rPr>
      </w:pPr>
      <w:r w:rsidRPr="008048DD">
        <w:rPr>
          <w:lang w:val="es-ES_tradnl"/>
        </w:rPr>
        <w:t xml:space="preserve">El </w:t>
      </w:r>
      <w:r w:rsidR="00CB5F08">
        <w:rPr>
          <w:lang w:val="es-ES_tradnl"/>
        </w:rPr>
        <w:t>Comité de E</w:t>
      </w:r>
      <w:r w:rsidR="00E006FC" w:rsidRPr="008048DD">
        <w:rPr>
          <w:lang w:val="es-ES_tradnl"/>
        </w:rPr>
        <w:t xml:space="preserve">valuación de la </w:t>
      </w:r>
      <w:r w:rsidR="00CB5F08">
        <w:rPr>
          <w:lang w:val="es-ES_tradnl"/>
        </w:rPr>
        <w:t>E</w:t>
      </w:r>
      <w:r w:rsidR="00E006FC" w:rsidRPr="008048DD">
        <w:rPr>
          <w:lang w:val="es-ES_tradnl"/>
        </w:rPr>
        <w:t>ficacia</w:t>
      </w:r>
      <w:r w:rsidRPr="008048DD">
        <w:rPr>
          <w:lang w:val="es-ES_tradnl"/>
        </w:rPr>
        <w:t xml:space="preserve"> (en adelante el “</w:t>
      </w:r>
      <w:r w:rsidR="00CB5F08">
        <w:rPr>
          <w:lang w:val="es-ES_tradnl"/>
        </w:rPr>
        <w:t>C</w:t>
      </w:r>
      <w:r w:rsidRPr="008048DD">
        <w:rPr>
          <w:lang w:val="es-ES_tradnl"/>
        </w:rPr>
        <w:t>omité”) llevará a cabo tareas relacionadas con el nivel 5 de la metodología propuesta para la evaluación de la eficacia.</w:t>
      </w:r>
    </w:p>
    <w:p w14:paraId="4484D15D" w14:textId="77777777" w:rsidR="00B1107F" w:rsidRPr="008048DD" w:rsidRDefault="009666CD" w:rsidP="00843A05">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b/>
          <w:sz w:val="24"/>
          <w:szCs w:val="24"/>
          <w:lang w:val="es-ES_tradnl"/>
        </w:rPr>
        <w:tab/>
      </w:r>
      <w:r w:rsidR="00B1107F" w:rsidRPr="008048DD">
        <w:rPr>
          <w:rFonts w:ascii="Times New Roman" w:hAnsi="Times New Roman" w:cs="Times New Roman"/>
          <w:b/>
          <w:sz w:val="24"/>
          <w:szCs w:val="24"/>
          <w:lang w:val="es-ES_tradnl"/>
        </w:rPr>
        <w:t>B.</w:t>
      </w:r>
      <w:r w:rsidR="00B1107F" w:rsidRPr="008048DD">
        <w:rPr>
          <w:rFonts w:ascii="Times New Roman" w:hAnsi="Times New Roman" w:cs="Times New Roman"/>
          <w:b/>
          <w:sz w:val="24"/>
          <w:szCs w:val="24"/>
          <w:lang w:val="es-ES_tradnl"/>
        </w:rPr>
        <w:tab/>
      </w:r>
      <w:r w:rsidR="00B1107F" w:rsidRPr="008048DD">
        <w:rPr>
          <w:rFonts w:ascii="Times New Roman" w:hAnsi="Times New Roman" w:cs="Times New Roman"/>
          <w:b/>
          <w:bCs/>
          <w:sz w:val="24"/>
          <w:szCs w:val="24"/>
          <w:lang w:val="es-ES_tradnl"/>
        </w:rPr>
        <w:t>Composición</w:t>
      </w:r>
    </w:p>
    <w:p w14:paraId="3660B19B" w14:textId="0058A6D5"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 xml:space="preserve">Los miembros del Comité serán nombrados sobre la base de una distribución geográfica equitativa, teniendo en cuenta la necesidad de </w:t>
      </w:r>
      <w:r w:rsidR="002E7D74" w:rsidRPr="008048DD">
        <w:rPr>
          <w:lang w:val="es-ES_tradnl"/>
        </w:rPr>
        <w:t xml:space="preserve">una representación </w:t>
      </w:r>
      <w:r w:rsidRPr="008048DD">
        <w:rPr>
          <w:lang w:val="es-ES_tradnl"/>
        </w:rPr>
        <w:t>equilibr</w:t>
      </w:r>
      <w:r w:rsidR="002E7D74" w:rsidRPr="008048DD">
        <w:rPr>
          <w:lang w:val="es-ES_tradnl"/>
        </w:rPr>
        <w:t>ada de hombres y mujeres</w:t>
      </w:r>
      <w:r w:rsidRPr="008048DD">
        <w:rPr>
          <w:lang w:val="es-ES_tradnl"/>
        </w:rPr>
        <w:t xml:space="preserve"> y</w:t>
      </w:r>
      <w:r w:rsidR="00CB5F08">
        <w:rPr>
          <w:lang w:val="es-ES_tradnl"/>
        </w:rPr>
        <w:t> </w:t>
      </w:r>
      <w:r w:rsidRPr="008048DD">
        <w:rPr>
          <w:lang w:val="es-ES_tradnl"/>
        </w:rPr>
        <w:t>diferentes tipos de conocimientos especializados.</w:t>
      </w:r>
    </w:p>
    <w:p w14:paraId="368A5276"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estará integrado por 12 expertos, como se indica a continuación:</w:t>
      </w:r>
    </w:p>
    <w:p w14:paraId="738A59D2" w14:textId="1056276D" w:rsidR="00B1107F" w:rsidRPr="008048DD" w:rsidRDefault="00D04F34" w:rsidP="00362646">
      <w:pPr>
        <w:pStyle w:val="Normalnumber"/>
        <w:numPr>
          <w:ilvl w:val="0"/>
          <w:numId w:val="30"/>
        </w:numPr>
        <w:ind w:left="1247" w:firstLine="624"/>
        <w:rPr>
          <w:lang w:val="es-ES_tradnl"/>
        </w:rPr>
      </w:pPr>
      <w:r w:rsidRPr="008048DD">
        <w:rPr>
          <w:lang w:val="es-ES_tradnl"/>
        </w:rPr>
        <w:t>Dos expertos designados por cada una de las cinco regiones de las Naciones</w:t>
      </w:r>
      <w:r w:rsidR="00CB5F08">
        <w:rPr>
          <w:lang w:val="es-ES_tradnl"/>
        </w:rPr>
        <w:t> </w:t>
      </w:r>
      <w:r w:rsidRPr="008048DD">
        <w:rPr>
          <w:lang w:val="es-ES_tradnl"/>
        </w:rPr>
        <w:t>Unidas y</w:t>
      </w:r>
      <w:r w:rsidR="00CB5F08">
        <w:rPr>
          <w:lang w:val="es-ES_tradnl"/>
        </w:rPr>
        <w:t> </w:t>
      </w:r>
      <w:r w:rsidRPr="008048DD">
        <w:rPr>
          <w:lang w:val="es-ES_tradnl"/>
        </w:rPr>
        <w:t>confirmados por la Conferencia de las Partes;</w:t>
      </w:r>
    </w:p>
    <w:p w14:paraId="1DA4CF24" w14:textId="77777777" w:rsidR="00F0485C" w:rsidRPr="008048DD" w:rsidRDefault="00B1107F" w:rsidP="00362646">
      <w:pPr>
        <w:pStyle w:val="Normalnumber"/>
        <w:numPr>
          <w:ilvl w:val="0"/>
          <w:numId w:val="30"/>
        </w:numPr>
        <w:ind w:left="1247" w:firstLine="624"/>
        <w:rPr>
          <w:lang w:val="es-ES_tradnl"/>
        </w:rPr>
      </w:pPr>
      <w:r w:rsidRPr="008048DD">
        <w:rPr>
          <w:lang w:val="es-ES_tradnl"/>
        </w:rPr>
        <w:t>Un experto en representación de los arreglos de vigilancia</w:t>
      </w:r>
      <w:r w:rsidR="002E7D74" w:rsidRPr="008048DD">
        <w:rPr>
          <w:lang w:val="es-ES_tradnl"/>
        </w:rPr>
        <w:t xml:space="preserve"> a nivel</w:t>
      </w:r>
      <w:r w:rsidRPr="008048DD">
        <w:rPr>
          <w:lang w:val="es-ES_tradnl"/>
        </w:rPr>
        <w:t xml:space="preserve"> mundial;</w:t>
      </w:r>
    </w:p>
    <w:p w14:paraId="56AB69AD" w14:textId="77777777" w:rsidR="00B1107F" w:rsidRPr="008048DD" w:rsidRDefault="00B1107F" w:rsidP="00362646">
      <w:pPr>
        <w:pStyle w:val="Normalnumber"/>
        <w:numPr>
          <w:ilvl w:val="0"/>
          <w:numId w:val="30"/>
        </w:numPr>
        <w:ind w:left="1247" w:firstLine="624"/>
        <w:rPr>
          <w:lang w:val="es-ES_tradnl"/>
        </w:rPr>
      </w:pPr>
      <w:r w:rsidRPr="008048DD">
        <w:rPr>
          <w:lang w:val="es-ES_tradnl"/>
        </w:rPr>
        <w:t>Un experto en representación del Comité de Aplicación y Cumplimiento</w:t>
      </w:r>
      <w:r w:rsidRPr="008048DD">
        <w:rPr>
          <w:rStyle w:val="FootnoteReference"/>
          <w:rFonts w:asciiTheme="majorBidi" w:hAnsiTheme="majorBidi"/>
          <w:szCs w:val="20"/>
          <w:lang w:val="es-ES_tradnl"/>
        </w:rPr>
        <w:footnoteReference w:id="15"/>
      </w:r>
      <w:r w:rsidR="002E7D74" w:rsidRPr="008048DD">
        <w:rPr>
          <w:lang w:val="es-ES_tradnl"/>
        </w:rPr>
        <w:t>.</w:t>
      </w:r>
    </w:p>
    <w:p w14:paraId="0901E446" w14:textId="77777777" w:rsidR="00B1107F" w:rsidRPr="008048DD" w:rsidRDefault="00D04F34" w:rsidP="00362646">
      <w:pPr>
        <w:pStyle w:val="Normalnumber"/>
        <w:numPr>
          <w:ilvl w:val="0"/>
          <w:numId w:val="37"/>
        </w:numPr>
        <w:tabs>
          <w:tab w:val="clear" w:pos="1057"/>
        </w:tabs>
        <w:ind w:left="1247"/>
        <w:rPr>
          <w:lang w:val="es-ES_tradnl"/>
        </w:rPr>
      </w:pPr>
      <w:r w:rsidRPr="008048DD">
        <w:rPr>
          <w:lang w:val="es-ES_tradnl"/>
        </w:rPr>
        <w:t>Los expertos propuestos por las regiones y confirmados por la Conferencia de las Partes deberán tener experiencia en evaluación, presentación de informes y aplicación nacional u otros conocimientos especializados de i</w:t>
      </w:r>
      <w:r w:rsidR="002E7D74" w:rsidRPr="008048DD">
        <w:rPr>
          <w:lang w:val="es-ES_tradnl"/>
        </w:rPr>
        <w:t>mportancia</w:t>
      </w:r>
      <w:r w:rsidRPr="008048DD">
        <w:rPr>
          <w:lang w:val="es-ES_tradnl"/>
        </w:rPr>
        <w:t xml:space="preserve"> para la evaluación. </w:t>
      </w:r>
    </w:p>
    <w:p w14:paraId="289EFD6A"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experto que represente a los arreglos de vigilancia</w:t>
      </w:r>
      <w:r w:rsidR="002E7D74" w:rsidRPr="008048DD">
        <w:rPr>
          <w:lang w:val="es-ES_tradnl"/>
        </w:rPr>
        <w:t xml:space="preserve"> a nivel</w:t>
      </w:r>
      <w:r w:rsidRPr="008048DD">
        <w:rPr>
          <w:lang w:val="es-ES_tradnl"/>
        </w:rPr>
        <w:t xml:space="preserve"> mundial se seleccio</w:t>
      </w:r>
      <w:r w:rsidR="002E7D74" w:rsidRPr="008048DD">
        <w:rPr>
          <w:lang w:val="es-ES_tradnl"/>
        </w:rPr>
        <w:t>nará de entre los miembros del g</w:t>
      </w:r>
      <w:r w:rsidRPr="008048DD">
        <w:rPr>
          <w:lang w:val="es-ES_tradnl"/>
        </w:rPr>
        <w:t xml:space="preserve">rupo </w:t>
      </w:r>
      <w:r w:rsidR="002E7D74" w:rsidRPr="008048DD">
        <w:rPr>
          <w:lang w:val="es-ES_tradnl"/>
        </w:rPr>
        <w:t>sobre</w:t>
      </w:r>
      <w:r w:rsidRPr="008048DD">
        <w:rPr>
          <w:lang w:val="es-ES_tradnl"/>
        </w:rPr>
        <w:t xml:space="preserve"> vigilancia.</w:t>
      </w:r>
    </w:p>
    <w:p w14:paraId="766C96E2" w14:textId="49EA68E5"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experto que represente al Comité de Aplicación y Cumplimiento será seleccionado por los miembros d</w:t>
      </w:r>
      <w:r w:rsidR="00F505E5">
        <w:rPr>
          <w:lang w:val="es-ES_tradnl"/>
        </w:rPr>
        <w:t>e ese Comité y de entre estos.</w:t>
      </w:r>
      <w:r w:rsidRPr="008048DD">
        <w:rPr>
          <w:lang w:val="es-ES_tradnl"/>
        </w:rPr>
        <w:t xml:space="preserve"> </w:t>
      </w:r>
    </w:p>
    <w:p w14:paraId="3EE551F7" w14:textId="38B1F3A2"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Los miembros del Comité desempeñarán sus funciones de manera objetiva y aportarán sus conocimientos especializados con neutralidad e imparcialidad, se atendrán a las pruebas presentadas al</w:t>
      </w:r>
      <w:r w:rsidR="00F505E5">
        <w:rPr>
          <w:lang w:val="es-ES_tradnl"/>
        </w:rPr>
        <w:t> </w:t>
      </w:r>
      <w:r w:rsidRPr="008048DD">
        <w:rPr>
          <w:lang w:val="es-ES_tradnl"/>
        </w:rPr>
        <w:t>Comité y actuarán en el mejor interés del Convenio.</w:t>
      </w:r>
    </w:p>
    <w:p w14:paraId="7E863FED"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mandato de los miembros coincidirá con el ciclo de evaluación de la eficacia que determine la Conferencia de las Partes.</w:t>
      </w:r>
    </w:p>
    <w:p w14:paraId="7F4F6712"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 xml:space="preserve">Si un miembro no estuviera en condiciones de completar su mandato, el grupo regional que lo designó propondrá a otra persona que lleve a término el mandato. </w:t>
      </w:r>
    </w:p>
    <w:p w14:paraId="24322709" w14:textId="77777777" w:rsidR="00B1107F" w:rsidRPr="008048DD" w:rsidRDefault="00F84C0E"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sz w:val="24"/>
          <w:szCs w:val="24"/>
          <w:lang w:val="es-ES_tradnl"/>
        </w:rPr>
        <w:tab/>
      </w:r>
      <w:r w:rsidR="00B1107F" w:rsidRPr="008048DD">
        <w:rPr>
          <w:rFonts w:ascii="Times New Roman" w:hAnsi="Times New Roman" w:cs="Times New Roman"/>
          <w:b/>
          <w:sz w:val="24"/>
          <w:szCs w:val="24"/>
          <w:lang w:val="es-ES_tradnl"/>
        </w:rPr>
        <w:t>C.</w:t>
      </w:r>
      <w:r w:rsidR="00B1107F" w:rsidRPr="008048DD">
        <w:rPr>
          <w:rFonts w:ascii="Times New Roman" w:hAnsi="Times New Roman" w:cs="Times New Roman"/>
          <w:b/>
          <w:sz w:val="24"/>
          <w:szCs w:val="24"/>
          <w:lang w:val="es-ES_tradnl"/>
        </w:rPr>
        <w:tab/>
      </w:r>
      <w:r w:rsidR="00B1107F" w:rsidRPr="008048DD">
        <w:rPr>
          <w:rFonts w:ascii="Times New Roman" w:hAnsi="Times New Roman" w:cs="Times New Roman"/>
          <w:b/>
          <w:bCs/>
          <w:sz w:val="24"/>
          <w:szCs w:val="24"/>
          <w:lang w:val="es-ES_tradnl"/>
        </w:rPr>
        <w:t>Expertos y observadores invitados</w:t>
      </w:r>
    </w:p>
    <w:p w14:paraId="331043BC"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La Secretaría invitará a dos expertos que gocen de reconocimiento internacional en evaluación de la eficacia, teniendo debidamente en cuenta los conocimientos técnicos de que dispon</w:t>
      </w:r>
      <w:r w:rsidR="00A9554F" w:rsidRPr="008048DD">
        <w:rPr>
          <w:lang w:val="es-ES_tradnl"/>
        </w:rPr>
        <w:t>gan</w:t>
      </w:r>
      <w:r w:rsidRPr="008048DD">
        <w:rPr>
          <w:lang w:val="es-ES_tradnl"/>
        </w:rPr>
        <w:t>.</w:t>
      </w:r>
    </w:p>
    <w:p w14:paraId="1203575F"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invitará hasta un máximo de cinco expertos de la sociedad civil, las organizaciones indígenas, las organizaciones intergubernamentales, la industria y la Asociación Mundial sobre el Mercurio del PNUMA, a que participen en calidad de observadores. La participación de observado</w:t>
      </w:r>
      <w:r w:rsidR="00A9554F" w:rsidRPr="008048DD">
        <w:rPr>
          <w:lang w:val="es-ES_tradnl"/>
        </w:rPr>
        <w:t>re</w:t>
      </w:r>
      <w:r w:rsidRPr="008048DD">
        <w:rPr>
          <w:lang w:val="es-ES_tradnl"/>
        </w:rPr>
        <w:t>s deberá ser equilibrada tanto entre todos los grupos antes mencionados como entre géneros.</w:t>
      </w:r>
    </w:p>
    <w:p w14:paraId="253B8359"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podrá permitir a otros observadores dentro de límites razonables.</w:t>
      </w:r>
    </w:p>
    <w:p w14:paraId="772AAAC5"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Se espera que los observadores aporten sus conocimientos técnicos y ayuden a los miembros del Comité a interpretar la información presentada.</w:t>
      </w:r>
      <w:r w:rsidR="00B3310A" w:rsidRPr="008048DD">
        <w:rPr>
          <w:lang w:val="es-ES_tradnl"/>
        </w:rPr>
        <w:t xml:space="preserve"> </w:t>
      </w:r>
    </w:p>
    <w:p w14:paraId="3AE645AC" w14:textId="77777777" w:rsidR="00B1107F" w:rsidRPr="008048DD" w:rsidRDefault="00F84C0E"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b/>
          <w:sz w:val="24"/>
          <w:szCs w:val="24"/>
          <w:lang w:val="es-ES_tradnl"/>
        </w:rPr>
        <w:tab/>
      </w:r>
      <w:r w:rsidR="00B1107F" w:rsidRPr="008048DD">
        <w:rPr>
          <w:rFonts w:ascii="Times New Roman" w:hAnsi="Times New Roman" w:cs="Times New Roman"/>
          <w:b/>
          <w:sz w:val="24"/>
          <w:szCs w:val="24"/>
          <w:lang w:val="es-ES_tradnl"/>
        </w:rPr>
        <w:t>D.</w:t>
      </w:r>
      <w:r w:rsidR="00B1107F" w:rsidRPr="008048DD">
        <w:rPr>
          <w:rFonts w:ascii="Times New Roman" w:hAnsi="Times New Roman" w:cs="Times New Roman"/>
          <w:b/>
          <w:sz w:val="24"/>
          <w:szCs w:val="24"/>
          <w:lang w:val="es-ES_tradnl"/>
        </w:rPr>
        <w:tab/>
      </w:r>
      <w:r w:rsidR="00B1107F" w:rsidRPr="008048DD">
        <w:rPr>
          <w:rFonts w:ascii="Times New Roman" w:hAnsi="Times New Roman" w:cs="Times New Roman"/>
          <w:b/>
          <w:bCs/>
          <w:sz w:val="24"/>
          <w:szCs w:val="24"/>
          <w:lang w:val="es-ES_tradnl"/>
        </w:rPr>
        <w:t>Miembros de la Mesa</w:t>
      </w:r>
      <w:r w:rsidR="00B1107F" w:rsidRPr="008048DD">
        <w:rPr>
          <w:rFonts w:ascii="Times New Roman" w:hAnsi="Times New Roman" w:cs="Times New Roman"/>
          <w:sz w:val="24"/>
          <w:szCs w:val="24"/>
          <w:lang w:val="es-ES_tradnl"/>
        </w:rPr>
        <w:t xml:space="preserve"> </w:t>
      </w:r>
    </w:p>
    <w:p w14:paraId="2F0BA5F0"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elegirá a un presidente y un vicepresidente de entre sus miembros.</w:t>
      </w:r>
    </w:p>
    <w:p w14:paraId="6CE9A27B" w14:textId="77777777" w:rsidR="00B1107F" w:rsidRPr="008048DD" w:rsidRDefault="005A2F1B"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b/>
          <w:sz w:val="24"/>
          <w:szCs w:val="24"/>
          <w:lang w:val="es-ES_tradnl"/>
        </w:rPr>
        <w:tab/>
      </w:r>
      <w:r w:rsidR="00B1107F" w:rsidRPr="008048DD">
        <w:rPr>
          <w:rFonts w:ascii="Times New Roman" w:hAnsi="Times New Roman" w:cs="Times New Roman"/>
          <w:b/>
          <w:sz w:val="24"/>
          <w:szCs w:val="24"/>
          <w:lang w:val="es-ES_tradnl"/>
        </w:rPr>
        <w:t>E.</w:t>
      </w:r>
      <w:r w:rsidR="00B1107F" w:rsidRPr="008048DD">
        <w:rPr>
          <w:rFonts w:ascii="Times New Roman" w:hAnsi="Times New Roman" w:cs="Times New Roman"/>
          <w:b/>
          <w:sz w:val="24"/>
          <w:szCs w:val="24"/>
          <w:lang w:val="es-ES_tradnl"/>
        </w:rPr>
        <w:tab/>
      </w:r>
      <w:r w:rsidR="00B1107F" w:rsidRPr="008048DD">
        <w:rPr>
          <w:rFonts w:ascii="Times New Roman" w:hAnsi="Times New Roman" w:cs="Times New Roman"/>
          <w:b/>
          <w:bCs/>
          <w:sz w:val="24"/>
          <w:szCs w:val="24"/>
          <w:lang w:val="es-ES_tradnl"/>
        </w:rPr>
        <w:t>Cuestiones administrativas y de procedimiento</w:t>
      </w:r>
    </w:p>
    <w:p w14:paraId="5A0B2EA9"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 xml:space="preserve">El Comité aplicará, </w:t>
      </w:r>
      <w:r w:rsidRPr="00F505E5">
        <w:rPr>
          <w:i/>
          <w:lang w:val="es-ES_tradnl"/>
        </w:rPr>
        <w:t>mutatis mutandis</w:t>
      </w:r>
      <w:r w:rsidRPr="008048DD">
        <w:rPr>
          <w:lang w:val="es-ES_tradnl"/>
        </w:rPr>
        <w:t>, el reglamento de la Conferencia de las Partes, a menos que se disponga otra cosa en el presente mandato.</w:t>
      </w:r>
    </w:p>
    <w:p w14:paraId="7A09EB79"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podrá determinar l</w:t>
      </w:r>
      <w:r w:rsidR="00A9554F" w:rsidRPr="008048DD">
        <w:rPr>
          <w:lang w:val="es-ES_tradnl"/>
        </w:rPr>
        <w:t>o</w:t>
      </w:r>
      <w:r w:rsidRPr="008048DD">
        <w:rPr>
          <w:lang w:val="es-ES_tradnl"/>
        </w:rPr>
        <w:t xml:space="preserve">s </w:t>
      </w:r>
      <w:r w:rsidR="00A9554F" w:rsidRPr="008048DD">
        <w:rPr>
          <w:lang w:val="es-ES_tradnl"/>
        </w:rPr>
        <w:t>arreglos</w:t>
      </w:r>
      <w:r w:rsidRPr="008048DD">
        <w:rPr>
          <w:lang w:val="es-ES_tradnl"/>
        </w:rPr>
        <w:t xml:space="preserve"> que sean necesarias para facilitar su labor de conformidad con el presente mandato.</w:t>
      </w:r>
    </w:p>
    <w:p w14:paraId="699B783E"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 xml:space="preserve">Los miembros del Comité procurarán llegar a acuerdo por consenso. Si los miembros no logran el consenso, se dejará constancia </w:t>
      </w:r>
      <w:r w:rsidR="00A9554F" w:rsidRPr="008048DD">
        <w:rPr>
          <w:lang w:val="es-ES_tradnl"/>
        </w:rPr>
        <w:t xml:space="preserve">de las diversas opiniones expresadas </w:t>
      </w:r>
      <w:r w:rsidRPr="008048DD">
        <w:rPr>
          <w:lang w:val="es-ES_tradnl"/>
        </w:rPr>
        <w:t>en el informe pertinente que ha</w:t>
      </w:r>
      <w:r w:rsidR="00A9554F" w:rsidRPr="008048DD">
        <w:rPr>
          <w:lang w:val="es-ES_tradnl"/>
        </w:rPr>
        <w:t>brá</w:t>
      </w:r>
      <w:r w:rsidRPr="008048DD">
        <w:rPr>
          <w:lang w:val="es-ES_tradnl"/>
        </w:rPr>
        <w:t>n de presentar a la Conferencia de las Partes.</w:t>
      </w:r>
    </w:p>
    <w:p w14:paraId="0C60C2F6" w14:textId="77777777" w:rsidR="00B1107F" w:rsidRPr="008048DD" w:rsidRDefault="005A2F1B"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sz w:val="24"/>
          <w:szCs w:val="24"/>
          <w:u w:color="000000"/>
          <w:lang w:val="es-ES_tradnl"/>
        </w:rPr>
      </w:pPr>
      <w:r w:rsidRPr="008048DD">
        <w:rPr>
          <w:sz w:val="24"/>
          <w:szCs w:val="24"/>
          <w:lang w:val="es-ES_tradnl"/>
        </w:rPr>
        <w:tab/>
      </w:r>
      <w:r w:rsidR="00B1107F" w:rsidRPr="008048DD">
        <w:rPr>
          <w:rFonts w:ascii="Times New Roman" w:hAnsi="Times New Roman" w:cs="Times New Roman"/>
          <w:b/>
          <w:sz w:val="24"/>
          <w:szCs w:val="24"/>
          <w:lang w:val="es-ES_tradnl"/>
        </w:rPr>
        <w:t>F.</w:t>
      </w:r>
      <w:r w:rsidR="00B1107F" w:rsidRPr="008048DD">
        <w:rPr>
          <w:rFonts w:ascii="Times New Roman" w:hAnsi="Times New Roman" w:cs="Times New Roman"/>
          <w:sz w:val="24"/>
          <w:szCs w:val="24"/>
          <w:lang w:val="es-ES_tradnl"/>
        </w:rPr>
        <w:tab/>
      </w:r>
      <w:r w:rsidR="00B1107F" w:rsidRPr="008048DD">
        <w:rPr>
          <w:rFonts w:ascii="Times New Roman" w:hAnsi="Times New Roman" w:cs="Times New Roman"/>
          <w:b/>
          <w:bCs/>
          <w:sz w:val="24"/>
          <w:szCs w:val="24"/>
          <w:lang w:val="es-ES_tradnl"/>
        </w:rPr>
        <w:t>Secretaría</w:t>
      </w:r>
    </w:p>
    <w:p w14:paraId="77240213" w14:textId="77777777" w:rsidR="00B1107F" w:rsidRPr="008048DD" w:rsidRDefault="00B1107F" w:rsidP="00362646">
      <w:pPr>
        <w:pStyle w:val="Normalnumber"/>
        <w:numPr>
          <w:ilvl w:val="0"/>
          <w:numId w:val="37"/>
        </w:numPr>
        <w:tabs>
          <w:tab w:val="clear" w:pos="1057"/>
        </w:tabs>
        <w:ind w:left="1247"/>
        <w:rPr>
          <w:rStyle w:val="dn"/>
          <w:rFonts w:ascii="Times New Roman" w:hAnsi="Times New Roman" w:cs="Times New Roman"/>
          <w:lang w:val="es-ES_tradnl"/>
        </w:rPr>
      </w:pPr>
      <w:r w:rsidRPr="008048DD">
        <w:rPr>
          <w:rFonts w:ascii="Times New Roman" w:hAnsi="Times New Roman" w:cs="Times New Roman"/>
          <w:lang w:val="es-ES_tradnl"/>
        </w:rPr>
        <w:t>La Secretaría prestará apoyo administrativo, logístico, programático y sustantivo a las reuniones y a la labor del grupo.</w:t>
      </w:r>
    </w:p>
    <w:p w14:paraId="3B708146" w14:textId="77777777" w:rsidR="00B1107F" w:rsidRPr="008048DD" w:rsidRDefault="005A2F1B"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rFonts w:ascii="Times New Roman" w:hAnsi="Times New Roman" w:cs="Times New Roman"/>
          <w:sz w:val="24"/>
          <w:szCs w:val="24"/>
          <w:lang w:val="es-ES_tradnl"/>
        </w:rPr>
        <w:tab/>
      </w:r>
      <w:r w:rsidR="00B1107F" w:rsidRPr="008048DD">
        <w:rPr>
          <w:rFonts w:ascii="Times New Roman" w:hAnsi="Times New Roman" w:cs="Times New Roman"/>
          <w:b/>
          <w:sz w:val="24"/>
          <w:szCs w:val="24"/>
          <w:lang w:val="es-ES_tradnl"/>
        </w:rPr>
        <w:t>G.</w:t>
      </w:r>
      <w:r w:rsidR="00B1107F" w:rsidRPr="008048DD">
        <w:rPr>
          <w:rFonts w:ascii="Times New Roman" w:hAnsi="Times New Roman" w:cs="Times New Roman"/>
          <w:sz w:val="24"/>
          <w:szCs w:val="24"/>
          <w:lang w:val="es-ES_tradnl"/>
        </w:rPr>
        <w:tab/>
      </w:r>
      <w:r w:rsidR="00B1107F" w:rsidRPr="008048DD">
        <w:rPr>
          <w:rFonts w:ascii="Times New Roman" w:hAnsi="Times New Roman" w:cs="Times New Roman"/>
          <w:b/>
          <w:bCs/>
          <w:sz w:val="24"/>
          <w:szCs w:val="24"/>
          <w:lang w:val="es-ES_tradnl"/>
        </w:rPr>
        <w:t>Reuniones</w:t>
      </w:r>
    </w:p>
    <w:p w14:paraId="661C2355"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Comité celebrará dos reuniones presenciales para examinar la información disponible para cada ciclo de evaluación y elaborará un informe sobre sus conclusiones a la Conferencia de las Partes, con sujeción a la disponibilidad de fondos y a las necesidades de su labor. La frecuencia de las reuniones del Comité podrá modificarse según sea necesario, sobre la base de las decisiones de la Conferencia de las Partes.</w:t>
      </w:r>
    </w:p>
    <w:p w14:paraId="608469F7" w14:textId="784A5C4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 xml:space="preserve">El Comité dará los toques finales a los documentos que se </w:t>
      </w:r>
      <w:r w:rsidR="00C73747" w:rsidRPr="008048DD">
        <w:rPr>
          <w:lang w:val="es-ES_tradnl"/>
        </w:rPr>
        <w:t>transmitirán</w:t>
      </w:r>
      <w:r w:rsidRPr="008048DD">
        <w:rPr>
          <w:lang w:val="es-ES_tradnl"/>
        </w:rPr>
        <w:t xml:space="preserve"> a la Conferencia de las Partes por lo menos con cuatro meses de antelación a la reunión de la Conferencia de las Partes.</w:t>
      </w:r>
    </w:p>
    <w:p w14:paraId="52E20CC2" w14:textId="77777777" w:rsidR="00B1107F" w:rsidRPr="008048DD" w:rsidRDefault="005A2F1B"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sz w:val="24"/>
          <w:szCs w:val="24"/>
          <w:lang w:val="es-ES_tradnl"/>
        </w:rPr>
        <w:tab/>
      </w:r>
      <w:r w:rsidR="00B1107F" w:rsidRPr="008048DD">
        <w:rPr>
          <w:rFonts w:ascii="Times New Roman" w:hAnsi="Times New Roman" w:cs="Times New Roman"/>
          <w:b/>
          <w:sz w:val="24"/>
          <w:szCs w:val="24"/>
          <w:lang w:val="es-ES_tradnl"/>
        </w:rPr>
        <w:t>H.</w:t>
      </w:r>
      <w:r w:rsidR="00B1107F" w:rsidRPr="008048DD">
        <w:rPr>
          <w:rFonts w:ascii="Times New Roman" w:hAnsi="Times New Roman" w:cs="Times New Roman"/>
          <w:sz w:val="24"/>
          <w:szCs w:val="24"/>
          <w:lang w:val="es-ES_tradnl"/>
        </w:rPr>
        <w:tab/>
      </w:r>
      <w:r w:rsidR="00B1107F" w:rsidRPr="008048DD">
        <w:rPr>
          <w:rFonts w:ascii="Times New Roman" w:hAnsi="Times New Roman" w:cs="Times New Roman"/>
          <w:b/>
          <w:bCs/>
          <w:sz w:val="24"/>
          <w:szCs w:val="24"/>
          <w:lang w:val="es-ES_tradnl"/>
        </w:rPr>
        <w:t>Idioma de las reuniones</w:t>
      </w:r>
    </w:p>
    <w:p w14:paraId="45105B1F" w14:textId="77777777" w:rsidR="00B1107F" w:rsidRPr="008048DD" w:rsidRDefault="00B1107F" w:rsidP="00362646">
      <w:pPr>
        <w:pStyle w:val="Normalnumber"/>
        <w:numPr>
          <w:ilvl w:val="0"/>
          <w:numId w:val="37"/>
        </w:numPr>
        <w:tabs>
          <w:tab w:val="clear" w:pos="1057"/>
        </w:tabs>
        <w:ind w:left="1247"/>
        <w:rPr>
          <w:lang w:val="es-ES_tradnl"/>
        </w:rPr>
      </w:pPr>
      <w:r w:rsidRPr="008048DD">
        <w:rPr>
          <w:lang w:val="es-ES_tradnl"/>
        </w:rPr>
        <w:t>El idioma de trabajo del Comité será el inglés.</w:t>
      </w:r>
    </w:p>
    <w:p w14:paraId="1F849CA4" w14:textId="77777777" w:rsidR="00B1107F" w:rsidRPr="008048DD" w:rsidRDefault="005A2F1B" w:rsidP="00EE7D24">
      <w:pPr>
        <w:pStyle w:val="Vchoz"/>
        <w:keepNext/>
        <w:keepLines/>
        <w:tabs>
          <w:tab w:val="right" w:pos="851"/>
          <w:tab w:val="left" w:pos="1247"/>
          <w:tab w:val="left" w:pos="1814"/>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suppressAutoHyphens/>
        <w:spacing w:before="80" w:after="120"/>
        <w:ind w:left="1247" w:right="284" w:hanging="1247"/>
        <w:outlineLvl w:val="0"/>
        <w:rPr>
          <w:rStyle w:val="dn"/>
          <w:rFonts w:ascii="Times New Roman" w:eastAsia="Times New Roman" w:hAnsi="Times New Roman" w:cs="Times New Roman"/>
          <w:b/>
          <w:bCs/>
          <w:sz w:val="24"/>
          <w:szCs w:val="24"/>
          <w:u w:color="000000"/>
          <w:lang w:val="es-ES_tradnl"/>
        </w:rPr>
      </w:pPr>
      <w:r w:rsidRPr="008048DD">
        <w:rPr>
          <w:sz w:val="24"/>
          <w:szCs w:val="24"/>
          <w:lang w:val="es-ES_tradnl"/>
        </w:rPr>
        <w:tab/>
      </w:r>
      <w:r w:rsidR="00B1107F" w:rsidRPr="008048DD">
        <w:rPr>
          <w:rFonts w:ascii="Times New Roman" w:hAnsi="Times New Roman" w:cs="Times New Roman"/>
          <w:b/>
          <w:sz w:val="24"/>
          <w:szCs w:val="24"/>
          <w:lang w:val="es-ES_tradnl"/>
        </w:rPr>
        <w:t>I.</w:t>
      </w:r>
      <w:r w:rsidR="00B1107F" w:rsidRPr="008048DD">
        <w:rPr>
          <w:rFonts w:ascii="Times New Roman" w:hAnsi="Times New Roman" w:cs="Times New Roman"/>
          <w:b/>
          <w:sz w:val="24"/>
          <w:szCs w:val="24"/>
          <w:lang w:val="es-ES_tradnl"/>
        </w:rPr>
        <w:tab/>
      </w:r>
      <w:r w:rsidR="00B1107F" w:rsidRPr="008048DD">
        <w:rPr>
          <w:rFonts w:ascii="Times New Roman" w:hAnsi="Times New Roman" w:cs="Times New Roman"/>
          <w:b/>
          <w:bCs/>
          <w:sz w:val="24"/>
          <w:szCs w:val="24"/>
          <w:lang w:val="es-ES_tradnl"/>
        </w:rPr>
        <w:t>Presupuesto</w:t>
      </w:r>
    </w:p>
    <w:p w14:paraId="3D79F407" w14:textId="587F9444" w:rsidR="00B1107F" w:rsidRPr="008048DD" w:rsidRDefault="000D2531" w:rsidP="00362646">
      <w:pPr>
        <w:pStyle w:val="Normalnumber"/>
        <w:numPr>
          <w:ilvl w:val="0"/>
          <w:numId w:val="37"/>
        </w:numPr>
        <w:tabs>
          <w:tab w:val="clear" w:pos="1057"/>
        </w:tabs>
        <w:ind w:left="1247"/>
        <w:rPr>
          <w:lang w:val="es-ES_tradnl"/>
        </w:rPr>
      </w:pPr>
      <w:r w:rsidRPr="008048DD">
        <w:rPr>
          <w:lang w:val="es-ES_tradnl"/>
        </w:rPr>
        <w:t>Se prestará apoyo financiero para sufragar los gastos de viaje y dietas de los miembros del Comité y de expertos y observadores invitados, con sujeción a la aprobación por la Confere</w:t>
      </w:r>
      <w:r w:rsidR="00A9554F" w:rsidRPr="008048DD">
        <w:rPr>
          <w:lang w:val="es-ES_tradnl"/>
        </w:rPr>
        <w:t>ncia de las</w:t>
      </w:r>
      <w:r w:rsidR="00F505E5">
        <w:rPr>
          <w:lang w:val="es-ES_tradnl"/>
        </w:rPr>
        <w:t> </w:t>
      </w:r>
      <w:r w:rsidR="00A9554F" w:rsidRPr="008048DD">
        <w:rPr>
          <w:lang w:val="es-ES_tradnl"/>
        </w:rPr>
        <w:t>Partes, para q</w:t>
      </w:r>
      <w:r w:rsidRPr="008048DD">
        <w:rPr>
          <w:lang w:val="es-ES_tradnl"/>
        </w:rPr>
        <w:t>u</w:t>
      </w:r>
      <w:r w:rsidR="00A9554F" w:rsidRPr="008048DD">
        <w:rPr>
          <w:lang w:val="es-ES_tradnl"/>
        </w:rPr>
        <w:t>e</w:t>
      </w:r>
      <w:r w:rsidRPr="008048DD">
        <w:rPr>
          <w:lang w:val="es-ES_tradnl"/>
        </w:rPr>
        <w:t xml:space="preserve"> particip</w:t>
      </w:r>
      <w:r w:rsidR="00A9554F" w:rsidRPr="008048DD">
        <w:rPr>
          <w:lang w:val="es-ES_tradnl"/>
        </w:rPr>
        <w:t>e</w:t>
      </w:r>
      <w:r w:rsidRPr="008048DD">
        <w:rPr>
          <w:lang w:val="es-ES_tradnl"/>
        </w:rPr>
        <w:t>n en las reuniones del Comité, de conformidad con el reglamento y la práctica de las Naciones</w:t>
      </w:r>
      <w:r w:rsidR="00F505E5">
        <w:rPr>
          <w:lang w:val="es-ES_tradnl"/>
        </w:rPr>
        <w:t> </w:t>
      </w:r>
      <w:r w:rsidRPr="008048DD">
        <w:rPr>
          <w:lang w:val="es-ES_tradnl"/>
        </w:rPr>
        <w:t>Unidas.</w:t>
      </w:r>
    </w:p>
    <w:p w14:paraId="0A939015" w14:textId="77777777" w:rsidR="00B66A03" w:rsidRPr="008048DD" w:rsidRDefault="00B66A03">
      <w:pPr>
        <w:tabs>
          <w:tab w:val="clear" w:pos="1247"/>
          <w:tab w:val="clear" w:pos="1814"/>
          <w:tab w:val="clear" w:pos="2381"/>
          <w:tab w:val="clear" w:pos="2948"/>
          <w:tab w:val="clear" w:pos="3515"/>
        </w:tabs>
        <w:rPr>
          <w:rFonts w:asciiTheme="majorBidi" w:hAnsiTheme="majorBidi" w:cstheme="majorBidi"/>
          <w:b/>
          <w:bCs/>
          <w:sz w:val="28"/>
          <w:szCs w:val="26"/>
        </w:rPr>
      </w:pPr>
      <w:r w:rsidRPr="008048DD">
        <w:rPr>
          <w:rFonts w:asciiTheme="majorBidi" w:hAnsiTheme="majorBidi" w:cstheme="majorBidi"/>
        </w:rPr>
        <w:br w:type="page"/>
      </w:r>
    </w:p>
    <w:p w14:paraId="5A0B1972" w14:textId="77777777" w:rsidR="00B66A03" w:rsidRPr="008048DD" w:rsidRDefault="00B1107F" w:rsidP="00B66A03">
      <w:pPr>
        <w:pStyle w:val="ZZAnxheader"/>
        <w:rPr>
          <w:lang w:val="es-ES_tradnl"/>
        </w:rPr>
      </w:pPr>
      <w:r w:rsidRPr="008048DD">
        <w:rPr>
          <w:lang w:val="es-ES_tradnl"/>
        </w:rPr>
        <w:t>Apéndice III</w:t>
      </w:r>
    </w:p>
    <w:p w14:paraId="76DBFD82" w14:textId="77777777" w:rsidR="00B1107F" w:rsidRPr="008048DD" w:rsidRDefault="00B1107F" w:rsidP="00B66A03">
      <w:pPr>
        <w:pStyle w:val="ZZAnxtitle"/>
        <w:rPr>
          <w:lang w:val="es-ES_tradnl"/>
        </w:rPr>
      </w:pPr>
      <w:r w:rsidRPr="008048DD">
        <w:rPr>
          <w:lang w:val="es-ES_tradnl"/>
        </w:rPr>
        <w:t>Arreglos de vigilancia</w:t>
      </w:r>
      <w:r w:rsidR="00A9554F" w:rsidRPr="008048DD">
        <w:rPr>
          <w:lang w:val="es-ES_tradnl"/>
        </w:rPr>
        <w:t xml:space="preserve"> a nivel</w:t>
      </w:r>
      <w:r w:rsidRPr="008048DD">
        <w:rPr>
          <w:lang w:val="es-ES_tradnl"/>
        </w:rPr>
        <w:t xml:space="preserve"> mundial propuestos y proyecto de mandato del </w:t>
      </w:r>
      <w:r w:rsidR="00DE5F23" w:rsidRPr="008048DD">
        <w:rPr>
          <w:lang w:val="es-ES_tradnl"/>
        </w:rPr>
        <w:t>g</w:t>
      </w:r>
      <w:r w:rsidRPr="008048DD">
        <w:rPr>
          <w:lang w:val="es-ES_tradnl"/>
        </w:rPr>
        <w:t>rupo sobre vigilancia</w:t>
      </w:r>
    </w:p>
    <w:p w14:paraId="70994EEC" w14:textId="427A410C" w:rsidR="00B1107F" w:rsidRPr="008048DD" w:rsidRDefault="00454F1C" w:rsidP="00454F1C">
      <w:pPr>
        <w:pStyle w:val="CH1"/>
        <w:tabs>
          <w:tab w:val="right" w:pos="851"/>
          <w:tab w:val="left" w:pos="1247"/>
          <w:tab w:val="left" w:pos="1814"/>
          <w:tab w:val="left" w:pos="2381"/>
          <w:tab w:val="left" w:pos="2948"/>
          <w:tab w:val="left" w:pos="3515"/>
          <w:tab w:val="left" w:pos="4082"/>
        </w:tabs>
        <w:ind w:left="1247" w:hanging="1247"/>
        <w:rPr>
          <w:rStyle w:val="dn"/>
          <w:lang w:val="es-ES_tradnl"/>
        </w:rPr>
      </w:pPr>
      <w:r w:rsidRPr="002548B2">
        <w:rPr>
          <w:lang w:val="es-ES"/>
        </w:rPr>
        <w:tab/>
      </w:r>
      <w:r w:rsidRPr="00E52267">
        <w:t>I.</w:t>
      </w:r>
      <w:r w:rsidRPr="00E52267">
        <w:tab/>
      </w:r>
      <w:r w:rsidR="000672E7" w:rsidRPr="00454F1C">
        <w:rPr>
          <w:lang w:val="es-ES"/>
        </w:rPr>
        <w:t>Introducción</w:t>
      </w:r>
    </w:p>
    <w:p w14:paraId="4475A6C0" w14:textId="3B7F842E" w:rsidR="00B1107F" w:rsidRPr="008048DD" w:rsidRDefault="00DE5F23" w:rsidP="00362646">
      <w:pPr>
        <w:pStyle w:val="Normalnumber"/>
        <w:numPr>
          <w:ilvl w:val="0"/>
          <w:numId w:val="34"/>
        </w:numPr>
        <w:tabs>
          <w:tab w:val="clear" w:pos="1057"/>
        </w:tabs>
        <w:ind w:left="1247"/>
        <w:rPr>
          <w:lang w:val="es-ES_tradnl"/>
        </w:rPr>
      </w:pPr>
      <w:r w:rsidRPr="008048DD">
        <w:rPr>
          <w:lang w:val="es-ES_tradnl"/>
        </w:rPr>
        <w:t>En el presente apéndice se describen los arreglos de vigilancia</w:t>
      </w:r>
      <w:r w:rsidR="00A9554F" w:rsidRPr="008048DD">
        <w:rPr>
          <w:lang w:val="es-ES_tradnl"/>
        </w:rPr>
        <w:t xml:space="preserve"> a nivel</w:t>
      </w:r>
      <w:r w:rsidRPr="008048DD">
        <w:rPr>
          <w:lang w:val="es-ES_tradnl"/>
        </w:rPr>
        <w:t xml:space="preserve"> mundial propuestos para apoyar la evaluación de la eficacia del Convenio de</w:t>
      </w:r>
      <w:r w:rsidR="00B1107F" w:rsidRPr="008048DD">
        <w:rPr>
          <w:lang w:val="es-ES_tradnl"/>
        </w:rPr>
        <w:t xml:space="preserve"> Minamata. </w:t>
      </w:r>
      <w:r w:rsidRPr="008048DD">
        <w:rPr>
          <w:lang w:val="es-ES_tradnl"/>
        </w:rPr>
        <w:t xml:space="preserve">Los arreglos propuestos se </w:t>
      </w:r>
      <w:r w:rsidR="00A9554F" w:rsidRPr="008048DD">
        <w:rPr>
          <w:lang w:val="es-ES_tradnl"/>
        </w:rPr>
        <w:t>b</w:t>
      </w:r>
      <w:r w:rsidRPr="008048DD">
        <w:rPr>
          <w:lang w:val="es-ES_tradnl"/>
        </w:rPr>
        <w:t>a</w:t>
      </w:r>
      <w:r w:rsidR="00A9554F" w:rsidRPr="008048DD">
        <w:rPr>
          <w:lang w:val="es-ES_tradnl"/>
        </w:rPr>
        <w:t>s</w:t>
      </w:r>
      <w:r w:rsidRPr="008048DD">
        <w:rPr>
          <w:lang w:val="es-ES_tradnl"/>
        </w:rPr>
        <w:t>an en las actividades</w:t>
      </w:r>
      <w:r w:rsidR="00317337" w:rsidRPr="008048DD">
        <w:rPr>
          <w:lang w:val="es-ES_tradnl"/>
        </w:rPr>
        <w:t xml:space="preserve"> de vigilancia y </w:t>
      </w:r>
      <w:r w:rsidRPr="008048DD">
        <w:rPr>
          <w:lang w:val="es-ES_tradnl"/>
        </w:rPr>
        <w:t xml:space="preserve">los conocimientos y la experiencia </w:t>
      </w:r>
      <w:r w:rsidR="00317337" w:rsidRPr="008048DD">
        <w:rPr>
          <w:lang w:val="es-ES_tradnl"/>
        </w:rPr>
        <w:t>existentes</w:t>
      </w:r>
      <w:r w:rsidR="00B1107F" w:rsidRPr="008048DD">
        <w:rPr>
          <w:lang w:val="es-ES_tradnl"/>
        </w:rPr>
        <w:t>.</w:t>
      </w:r>
    </w:p>
    <w:p w14:paraId="708AE6B1" w14:textId="77777777" w:rsidR="00B1107F" w:rsidRPr="008048DD" w:rsidRDefault="00DE5F23" w:rsidP="00362646">
      <w:pPr>
        <w:pStyle w:val="Normalnumber"/>
        <w:numPr>
          <w:ilvl w:val="0"/>
          <w:numId w:val="34"/>
        </w:numPr>
        <w:tabs>
          <w:tab w:val="clear" w:pos="1057"/>
        </w:tabs>
        <w:ind w:left="1247"/>
        <w:rPr>
          <w:lang w:val="es-ES_tradnl"/>
        </w:rPr>
      </w:pPr>
      <w:r w:rsidRPr="008048DD">
        <w:rPr>
          <w:lang w:val="es-ES_tradnl"/>
        </w:rPr>
        <w:t>En el presente apéndice figura también el mandato propuesto del grupo sobre vigilancia que desempeñaría las tareas de vigilancia señaladas en los niveles</w:t>
      </w:r>
      <w:r w:rsidR="00B1107F" w:rsidRPr="008048DD">
        <w:rPr>
          <w:lang w:val="es-ES_tradnl"/>
        </w:rPr>
        <w:t xml:space="preserve"> 1, 2, </w:t>
      </w:r>
      <w:r w:rsidRPr="008048DD">
        <w:rPr>
          <w:lang w:val="es-ES_tradnl"/>
        </w:rPr>
        <w:t>y</w:t>
      </w:r>
      <w:r w:rsidR="00B1107F" w:rsidRPr="008048DD">
        <w:rPr>
          <w:lang w:val="es-ES_tradnl"/>
        </w:rPr>
        <w:t xml:space="preserve"> 3 </w:t>
      </w:r>
      <w:r w:rsidRPr="008048DD">
        <w:rPr>
          <w:lang w:val="es-ES_tradnl"/>
        </w:rPr>
        <w:t xml:space="preserve">de la metodología para la evaluación de la eficacia y </w:t>
      </w:r>
      <w:r w:rsidR="00CB0CCA" w:rsidRPr="008048DD">
        <w:rPr>
          <w:lang w:val="es-ES_tradnl"/>
        </w:rPr>
        <w:t>prepar</w:t>
      </w:r>
      <w:r w:rsidRPr="008048DD">
        <w:rPr>
          <w:lang w:val="es-ES_tradnl"/>
        </w:rPr>
        <w:t xml:space="preserve">aría un </w:t>
      </w:r>
      <w:r w:rsidR="00F43A19" w:rsidRPr="008048DD">
        <w:rPr>
          <w:lang w:val="es-ES_tradnl"/>
        </w:rPr>
        <w:t>informe de vigilancia</w:t>
      </w:r>
      <w:r w:rsidRPr="008048DD">
        <w:rPr>
          <w:lang w:val="es-ES_tradnl"/>
        </w:rPr>
        <w:t xml:space="preserve"> </w:t>
      </w:r>
      <w:r w:rsidR="00317337" w:rsidRPr="008048DD">
        <w:rPr>
          <w:lang w:val="es-ES_tradnl"/>
        </w:rPr>
        <w:t xml:space="preserve">a nivel </w:t>
      </w:r>
      <w:r w:rsidRPr="008048DD">
        <w:rPr>
          <w:lang w:val="es-ES_tradnl"/>
        </w:rPr>
        <w:t>mundial</w:t>
      </w:r>
      <w:r w:rsidR="00B1107F" w:rsidRPr="008048DD">
        <w:rPr>
          <w:lang w:val="es-ES_tradnl"/>
        </w:rPr>
        <w:t xml:space="preserve">. </w:t>
      </w:r>
    </w:p>
    <w:p w14:paraId="1BC1176E" w14:textId="77777777" w:rsidR="00B1107F" w:rsidRPr="008048DD" w:rsidRDefault="00DE5F23" w:rsidP="00362646">
      <w:pPr>
        <w:pStyle w:val="Normalnumber"/>
        <w:numPr>
          <w:ilvl w:val="0"/>
          <w:numId w:val="34"/>
        </w:numPr>
        <w:tabs>
          <w:tab w:val="clear" w:pos="1057"/>
        </w:tabs>
        <w:ind w:left="1247"/>
        <w:rPr>
          <w:lang w:val="es-ES_tradnl"/>
        </w:rPr>
      </w:pPr>
      <w:r w:rsidRPr="008048DD">
        <w:rPr>
          <w:lang w:val="es-ES_tradnl"/>
        </w:rPr>
        <w:t xml:space="preserve">Los elementos fundamentales de los arreglos de vigilancia </w:t>
      </w:r>
      <w:r w:rsidR="00317337" w:rsidRPr="008048DD">
        <w:rPr>
          <w:lang w:val="es-ES_tradnl"/>
        </w:rPr>
        <w:t xml:space="preserve">a nivel </w:t>
      </w:r>
      <w:r w:rsidRPr="008048DD">
        <w:rPr>
          <w:lang w:val="es-ES_tradnl"/>
        </w:rPr>
        <w:t>mundial son</w:t>
      </w:r>
      <w:r w:rsidR="00B1107F" w:rsidRPr="008048DD">
        <w:rPr>
          <w:lang w:val="es-ES_tradnl"/>
        </w:rPr>
        <w:t xml:space="preserve">: </w:t>
      </w:r>
    </w:p>
    <w:p w14:paraId="59AC85A4" w14:textId="77777777" w:rsidR="00EC3CC3" w:rsidRPr="008048DD" w:rsidRDefault="00DE5F23" w:rsidP="00362646">
      <w:pPr>
        <w:pStyle w:val="Normalnumber"/>
        <w:numPr>
          <w:ilvl w:val="0"/>
          <w:numId w:val="31"/>
        </w:numPr>
        <w:ind w:left="1247" w:firstLine="624"/>
        <w:rPr>
          <w:lang w:val="es-ES_tradnl"/>
        </w:rPr>
      </w:pPr>
      <w:r w:rsidRPr="008048DD">
        <w:rPr>
          <w:lang w:val="es-ES_tradnl"/>
        </w:rPr>
        <w:t>Datos sobre el mercurio y su disponibilidad mediante programas de vigilancia de la salud humana y el medio ambiente, que logr</w:t>
      </w:r>
      <w:r w:rsidR="00317337" w:rsidRPr="008048DD">
        <w:rPr>
          <w:lang w:val="es-ES_tradnl"/>
        </w:rPr>
        <w:t>en cobertura mundial y cont</w:t>
      </w:r>
      <w:r w:rsidRPr="008048DD">
        <w:rPr>
          <w:lang w:val="es-ES_tradnl"/>
        </w:rPr>
        <w:t>en</w:t>
      </w:r>
      <w:r w:rsidR="00317337" w:rsidRPr="008048DD">
        <w:rPr>
          <w:lang w:val="es-ES_tradnl"/>
        </w:rPr>
        <w:t>ga</w:t>
      </w:r>
      <w:r w:rsidRPr="008048DD">
        <w:rPr>
          <w:lang w:val="es-ES_tradnl"/>
        </w:rPr>
        <w:t>n al menos datos básicos representativos de todas las regiones</w:t>
      </w:r>
      <w:r w:rsidR="00DE6966" w:rsidRPr="008048DD">
        <w:rPr>
          <w:lang w:val="es-ES_tradnl"/>
        </w:rPr>
        <w:t>;</w:t>
      </w:r>
      <w:r w:rsidR="00B1107F" w:rsidRPr="008048DD">
        <w:rPr>
          <w:lang w:val="es-ES_tradnl"/>
        </w:rPr>
        <w:t xml:space="preserve"> </w:t>
      </w:r>
    </w:p>
    <w:p w14:paraId="4A8FC4A3" w14:textId="77777777" w:rsidR="00B1107F" w:rsidRPr="008048DD" w:rsidRDefault="00E27FF0" w:rsidP="00362646">
      <w:pPr>
        <w:pStyle w:val="Normalnumber"/>
        <w:numPr>
          <w:ilvl w:val="0"/>
          <w:numId w:val="31"/>
        </w:numPr>
        <w:ind w:left="1247" w:firstLine="624"/>
        <w:rPr>
          <w:lang w:val="es-ES_tradnl"/>
        </w:rPr>
      </w:pPr>
      <w:r w:rsidRPr="008048DD">
        <w:rPr>
          <w:lang w:val="es-ES_tradnl"/>
        </w:rPr>
        <w:t>Herramientas</w:t>
      </w:r>
      <w:r w:rsidR="00317337" w:rsidRPr="008048DD">
        <w:rPr>
          <w:lang w:val="es-ES_tradnl"/>
        </w:rPr>
        <w:t xml:space="preserve"> que apoye</w:t>
      </w:r>
      <w:r w:rsidR="00DE5F23" w:rsidRPr="008048DD">
        <w:rPr>
          <w:lang w:val="es-ES_tradnl"/>
        </w:rPr>
        <w:t xml:space="preserve">n la armonización de los datos, </w:t>
      </w:r>
      <w:r w:rsidRPr="008048DD">
        <w:rPr>
          <w:lang w:val="es-ES_tradnl"/>
        </w:rPr>
        <w:t>como los procedimientos operativos estándar y el documento de orientación sobre vigilancia</w:t>
      </w:r>
      <w:r w:rsidR="00DE6966" w:rsidRPr="008048DD">
        <w:rPr>
          <w:lang w:val="es-ES_tradnl"/>
        </w:rPr>
        <w:t>;</w:t>
      </w:r>
      <w:r w:rsidR="00B1107F" w:rsidRPr="008048DD">
        <w:rPr>
          <w:lang w:val="es-ES_tradnl"/>
        </w:rPr>
        <w:t xml:space="preserve"> </w:t>
      </w:r>
    </w:p>
    <w:p w14:paraId="087775D0" w14:textId="77777777" w:rsidR="00B1107F" w:rsidRPr="008048DD" w:rsidRDefault="00DE5F23" w:rsidP="00362646">
      <w:pPr>
        <w:pStyle w:val="Normalnumber"/>
        <w:numPr>
          <w:ilvl w:val="0"/>
          <w:numId w:val="31"/>
        </w:numPr>
        <w:ind w:left="1247" w:firstLine="624"/>
        <w:rPr>
          <w:lang w:val="es-ES_tradnl"/>
        </w:rPr>
      </w:pPr>
      <w:r w:rsidRPr="008048DD">
        <w:rPr>
          <w:lang w:val="es-ES_tradnl"/>
        </w:rPr>
        <w:t>Conocimientos especializados para reunir y consolidar la información que garantice la comparabilidad y coher</w:t>
      </w:r>
      <w:r w:rsidR="00317337" w:rsidRPr="008048DD">
        <w:rPr>
          <w:lang w:val="es-ES_tradnl"/>
        </w:rPr>
        <w:t>encia de los datos de vigilancia</w:t>
      </w:r>
      <w:r w:rsidRPr="008048DD">
        <w:rPr>
          <w:lang w:val="es-ES_tradnl"/>
        </w:rPr>
        <w:t xml:space="preserve"> del mercurio a largo plazo</w:t>
      </w:r>
      <w:r w:rsidR="00DE6966" w:rsidRPr="008048DD">
        <w:rPr>
          <w:lang w:val="es-ES_tradnl"/>
        </w:rPr>
        <w:t>;</w:t>
      </w:r>
      <w:r w:rsidR="00B1107F" w:rsidRPr="008048DD">
        <w:rPr>
          <w:lang w:val="es-ES_tradnl"/>
        </w:rPr>
        <w:t xml:space="preserve"> </w:t>
      </w:r>
    </w:p>
    <w:p w14:paraId="69EF62CF" w14:textId="64BB1E42" w:rsidR="00B1107F" w:rsidRPr="008048DD" w:rsidRDefault="00F505E5" w:rsidP="00362646">
      <w:pPr>
        <w:pStyle w:val="Normalnumber"/>
        <w:numPr>
          <w:ilvl w:val="0"/>
          <w:numId w:val="31"/>
        </w:numPr>
        <w:ind w:left="1247" w:firstLine="624"/>
        <w:rPr>
          <w:lang w:val="es-ES_tradnl"/>
        </w:rPr>
      </w:pPr>
      <w:r>
        <w:rPr>
          <w:lang w:val="es-ES_tradnl"/>
        </w:rPr>
        <w:t>Capacid</w:t>
      </w:r>
      <w:r w:rsidR="00317337" w:rsidRPr="008048DD">
        <w:rPr>
          <w:lang w:val="es-ES_tradnl"/>
        </w:rPr>
        <w:t>ad</w:t>
      </w:r>
      <w:r w:rsidR="00C73747" w:rsidRPr="008048DD">
        <w:rPr>
          <w:lang w:val="es-ES_tradnl"/>
        </w:rPr>
        <w:t>es</w:t>
      </w:r>
      <w:r w:rsidR="00DE5F23" w:rsidRPr="008048DD">
        <w:rPr>
          <w:lang w:val="es-ES_tradnl"/>
        </w:rPr>
        <w:t xml:space="preserve"> de modelización</w:t>
      </w:r>
      <w:r w:rsidR="00DE6966" w:rsidRPr="008048DD">
        <w:rPr>
          <w:lang w:val="es-ES_tradnl"/>
        </w:rPr>
        <w:t>;</w:t>
      </w:r>
    </w:p>
    <w:p w14:paraId="1FAE8C86" w14:textId="3529A96F" w:rsidR="00B1107F" w:rsidRPr="008048DD" w:rsidRDefault="00E27FF0" w:rsidP="00362646">
      <w:pPr>
        <w:pStyle w:val="Normalnumber"/>
        <w:numPr>
          <w:ilvl w:val="0"/>
          <w:numId w:val="31"/>
        </w:numPr>
        <w:ind w:left="1247" w:firstLine="624"/>
        <w:rPr>
          <w:lang w:val="es-ES_tradnl"/>
        </w:rPr>
      </w:pPr>
      <w:r w:rsidRPr="008048DD">
        <w:rPr>
          <w:lang w:val="es-ES_tradnl"/>
        </w:rPr>
        <w:t>Un informe periódico de vigilancia mundial sobre los niveles y las tendencias del</w:t>
      </w:r>
      <w:r w:rsidR="00F505E5">
        <w:rPr>
          <w:lang w:val="es-ES_tradnl"/>
        </w:rPr>
        <w:t> </w:t>
      </w:r>
      <w:r w:rsidRPr="008048DD">
        <w:rPr>
          <w:lang w:val="es-ES_tradnl"/>
        </w:rPr>
        <w:t>mercurio</w:t>
      </w:r>
      <w:r w:rsidR="00B1107F" w:rsidRPr="008048DD">
        <w:rPr>
          <w:lang w:val="es-ES_tradnl"/>
        </w:rPr>
        <w:t>.</w:t>
      </w:r>
    </w:p>
    <w:p w14:paraId="0651A4AF" w14:textId="0AB9C359" w:rsidR="00B1107F" w:rsidRPr="008048DD" w:rsidRDefault="00E27FF0" w:rsidP="00362646">
      <w:pPr>
        <w:pStyle w:val="Normalnumber"/>
        <w:numPr>
          <w:ilvl w:val="0"/>
          <w:numId w:val="34"/>
        </w:numPr>
        <w:tabs>
          <w:tab w:val="clear" w:pos="1057"/>
        </w:tabs>
        <w:ind w:left="1247"/>
        <w:rPr>
          <w:lang w:val="es-ES_tradnl"/>
        </w:rPr>
      </w:pPr>
      <w:r w:rsidRPr="008048DD">
        <w:rPr>
          <w:lang w:val="es-ES_tradnl"/>
        </w:rPr>
        <w:t>La información técnica sobre vigilancia</w:t>
      </w:r>
      <w:r w:rsidR="00B1107F" w:rsidRPr="008048DD">
        <w:rPr>
          <w:lang w:val="es-ES_tradnl"/>
        </w:rPr>
        <w:t xml:space="preserve"> (</w:t>
      </w:r>
      <w:r w:rsidRPr="008048DD">
        <w:rPr>
          <w:lang w:val="es-ES_tradnl"/>
        </w:rPr>
        <w:t>que incluye la propuesta para tres medios básicos</w:t>
      </w:r>
      <w:r w:rsidR="00B1107F" w:rsidRPr="008048DD">
        <w:rPr>
          <w:lang w:val="es-ES_tradnl"/>
        </w:rPr>
        <w:t>)</w:t>
      </w:r>
      <w:r w:rsidR="00F505E5">
        <w:rPr>
          <w:lang w:val="es-ES_tradnl"/>
        </w:rPr>
        <w:t> </w:t>
      </w:r>
      <w:r w:rsidRPr="008048DD">
        <w:rPr>
          <w:lang w:val="es-ES_tradnl"/>
        </w:rPr>
        <w:t>se</w:t>
      </w:r>
      <w:r w:rsidR="00D71891" w:rsidRPr="008048DD">
        <w:rPr>
          <w:lang w:val="es-ES_tradnl"/>
        </w:rPr>
        <w:t> </w:t>
      </w:r>
      <w:r w:rsidRPr="008048DD">
        <w:rPr>
          <w:lang w:val="es-ES_tradnl"/>
        </w:rPr>
        <w:t>presenta en el apéndice</w:t>
      </w:r>
      <w:r w:rsidR="00B1107F" w:rsidRPr="008048DD">
        <w:rPr>
          <w:lang w:val="es-ES_tradnl"/>
        </w:rPr>
        <w:t xml:space="preserve"> I </w:t>
      </w:r>
      <w:r w:rsidRPr="008048DD">
        <w:rPr>
          <w:lang w:val="es-ES_tradnl"/>
        </w:rPr>
        <w:t xml:space="preserve">del informe del </w:t>
      </w:r>
      <w:r w:rsidR="00F505E5">
        <w:rPr>
          <w:lang w:val="es-ES_tradnl"/>
        </w:rPr>
        <w:t>G</w:t>
      </w:r>
      <w:r w:rsidRPr="008048DD">
        <w:rPr>
          <w:lang w:val="es-ES_tradnl"/>
        </w:rPr>
        <w:t>rupo especial de expertos técnicos</w:t>
      </w:r>
      <w:r w:rsidR="00B1107F" w:rsidRPr="008048DD">
        <w:rPr>
          <w:lang w:val="es-ES_tradnl"/>
        </w:rPr>
        <w:t xml:space="preserve"> (UNEP/MC/COP.3</w:t>
      </w:r>
      <w:r w:rsidR="00464CAF" w:rsidRPr="008048DD">
        <w:rPr>
          <w:lang w:val="es-ES_tradnl"/>
        </w:rPr>
        <w:t>/</w:t>
      </w:r>
      <w:r w:rsidR="00B1107F" w:rsidRPr="008048DD">
        <w:rPr>
          <w:lang w:val="es-ES_tradnl"/>
        </w:rPr>
        <w:t>14</w:t>
      </w:r>
      <w:r w:rsidR="002D1263" w:rsidRPr="008048DD">
        <w:rPr>
          <w:lang w:val="es-ES_tradnl"/>
        </w:rPr>
        <w:t>/</w:t>
      </w:r>
      <w:r w:rsidR="00B1107F" w:rsidRPr="008048DD">
        <w:rPr>
          <w:lang w:val="es-ES_tradnl"/>
        </w:rPr>
        <w:t xml:space="preserve">Add.1). </w:t>
      </w:r>
      <w:r w:rsidRPr="008048DD">
        <w:rPr>
          <w:lang w:val="es-ES_tradnl"/>
        </w:rPr>
        <w:t xml:space="preserve">En el documento UNEP/MC/COP.3/INF/15 se ofrece información </w:t>
      </w:r>
      <w:r w:rsidR="00317337" w:rsidRPr="008048DD">
        <w:rPr>
          <w:lang w:val="es-ES_tradnl"/>
        </w:rPr>
        <w:t>pormenorizada</w:t>
      </w:r>
      <w:r w:rsidRPr="008048DD">
        <w:rPr>
          <w:lang w:val="es-ES_tradnl"/>
        </w:rPr>
        <w:t xml:space="preserve"> sobre vigilancia, más información de antecedentes y nueva información sobre las capacidades de modelización existentes</w:t>
      </w:r>
      <w:r w:rsidR="00B1107F" w:rsidRPr="008048DD">
        <w:rPr>
          <w:lang w:val="es-ES_tradnl"/>
        </w:rPr>
        <w:t xml:space="preserve">. </w:t>
      </w:r>
    </w:p>
    <w:p w14:paraId="0527834D"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Re</w:t>
      </w:r>
      <w:r w:rsidR="00E27FF0" w:rsidRPr="008048DD">
        <w:rPr>
          <w:lang w:val="es-ES_tradnl"/>
        </w:rPr>
        <w:t>specto de la disponibilidad de datos sobre el mercurio</w:t>
      </w:r>
      <w:r w:rsidR="003E7212" w:rsidRPr="008048DD">
        <w:rPr>
          <w:lang w:val="es-ES_tradnl"/>
        </w:rPr>
        <w:t xml:space="preserve">, en </w:t>
      </w:r>
      <w:r w:rsidR="00E27FF0" w:rsidRPr="008048DD">
        <w:rPr>
          <w:lang w:val="es-ES_tradnl"/>
        </w:rPr>
        <w:t>una reseña que figura en el apéndice</w:t>
      </w:r>
      <w:r w:rsidRPr="008048DD">
        <w:rPr>
          <w:lang w:val="es-ES_tradnl"/>
        </w:rPr>
        <w:t xml:space="preserve"> I </w:t>
      </w:r>
      <w:r w:rsidR="003E7212" w:rsidRPr="008048DD">
        <w:rPr>
          <w:lang w:val="es-ES_tradnl"/>
        </w:rPr>
        <w:t>se muestra que, pese a que el mercurio cuenta con uno de los conjuntos de datos colectivos sobre los contaminantes ambientales reconocidos más accesibles</w:t>
      </w:r>
      <w:r w:rsidRPr="008048DD">
        <w:rPr>
          <w:lang w:val="es-ES_tradnl"/>
        </w:rPr>
        <w:t xml:space="preserve">, </w:t>
      </w:r>
      <w:r w:rsidR="0001366C" w:rsidRPr="008048DD">
        <w:rPr>
          <w:lang w:val="es-ES_tradnl"/>
        </w:rPr>
        <w:t>existen importantes lagunas en esos datos</w:t>
      </w:r>
      <w:r w:rsidRPr="008048DD">
        <w:rPr>
          <w:lang w:val="es-ES_tradnl"/>
        </w:rPr>
        <w:t xml:space="preserve">. </w:t>
      </w:r>
      <w:r w:rsidR="0001366C" w:rsidRPr="008048DD">
        <w:rPr>
          <w:lang w:val="es-ES_tradnl"/>
        </w:rPr>
        <w:t>Las Partes podrían eliminar esa falta de datos fácilmente prestando apoyo a actividades científicas conexas y usando los materiales que ya se han preparado</w:t>
      </w:r>
      <w:r w:rsidRPr="008048DD">
        <w:rPr>
          <w:lang w:val="es-ES_tradnl"/>
        </w:rPr>
        <w:t>.</w:t>
      </w:r>
    </w:p>
    <w:p w14:paraId="57E4DD83" w14:textId="77777777" w:rsidR="00B1107F" w:rsidRPr="008048DD" w:rsidRDefault="00C70DB7" w:rsidP="00362646">
      <w:pPr>
        <w:pStyle w:val="Normalnumber"/>
        <w:numPr>
          <w:ilvl w:val="0"/>
          <w:numId w:val="34"/>
        </w:numPr>
        <w:tabs>
          <w:tab w:val="clear" w:pos="1057"/>
        </w:tabs>
        <w:ind w:left="1247"/>
        <w:rPr>
          <w:lang w:val="es-ES_tradnl"/>
        </w:rPr>
      </w:pPr>
      <w:r w:rsidRPr="008048DD">
        <w:rPr>
          <w:lang w:val="es-ES_tradnl"/>
        </w:rPr>
        <w:t xml:space="preserve">Partiendo del supuesto de </w:t>
      </w:r>
      <w:r w:rsidR="0001366C" w:rsidRPr="008048DD">
        <w:rPr>
          <w:lang w:val="es-ES_tradnl"/>
        </w:rPr>
        <w:t xml:space="preserve">que las actuales actividades de vigilancia del mercurio continúen de manera armonizada y se complementen con esfuerzos para </w:t>
      </w:r>
      <w:r w:rsidR="007F5769" w:rsidRPr="008048DD">
        <w:rPr>
          <w:lang w:val="es-ES_tradnl"/>
        </w:rPr>
        <w:t xml:space="preserve">subsanar la ausencia de datos de determinadas zonas geográficas, </w:t>
      </w:r>
      <w:r w:rsidR="0001366C" w:rsidRPr="008048DD">
        <w:rPr>
          <w:lang w:val="es-ES_tradnl"/>
        </w:rPr>
        <w:t>los datos sobre los niveles de mercurio y compuestos de mercurio en el aire, los medios bióticos y las poblaciones vulnerables deberían ser asequibles u obtenibles y comparables a nivel mundial</w:t>
      </w:r>
      <w:r w:rsidR="00B1107F" w:rsidRPr="008048DD">
        <w:rPr>
          <w:lang w:val="es-ES_tradnl"/>
        </w:rPr>
        <w:t xml:space="preserve">. </w:t>
      </w:r>
    </w:p>
    <w:p w14:paraId="0212E1CE" w14:textId="08B352C9" w:rsidR="00B1107F" w:rsidRPr="003974D7" w:rsidRDefault="00454F1C" w:rsidP="00454F1C">
      <w:pPr>
        <w:pStyle w:val="CH1"/>
        <w:tabs>
          <w:tab w:val="right" w:pos="851"/>
          <w:tab w:val="left" w:pos="1247"/>
          <w:tab w:val="left" w:pos="1814"/>
          <w:tab w:val="left" w:pos="2381"/>
          <w:tab w:val="left" w:pos="2948"/>
          <w:tab w:val="left" w:pos="3515"/>
          <w:tab w:val="left" w:pos="4082"/>
        </w:tabs>
        <w:ind w:left="1247" w:hanging="1247"/>
        <w:rPr>
          <w:sz w:val="24"/>
          <w:szCs w:val="24"/>
          <w:lang w:val="es-ES"/>
        </w:rPr>
      </w:pPr>
      <w:r w:rsidRPr="002548B2">
        <w:rPr>
          <w:lang w:val="es-ES"/>
        </w:rPr>
        <w:tab/>
      </w:r>
      <w:r w:rsidRPr="00454F1C">
        <w:rPr>
          <w:lang w:val="es-ES"/>
        </w:rPr>
        <w:t>II.</w:t>
      </w:r>
      <w:r w:rsidRPr="00454F1C">
        <w:rPr>
          <w:lang w:val="es-ES"/>
        </w:rPr>
        <w:tab/>
      </w:r>
      <w:r w:rsidR="004377A7" w:rsidRPr="003974D7">
        <w:rPr>
          <w:lang w:val="es-ES"/>
        </w:rPr>
        <w:t>Herramientas que apoyan la armonización de los datos</w:t>
      </w:r>
    </w:p>
    <w:p w14:paraId="296D4EF0" w14:textId="77777777" w:rsidR="00B1107F" w:rsidRPr="008048DD" w:rsidRDefault="00C70DB7" w:rsidP="00362646">
      <w:pPr>
        <w:pStyle w:val="Normalnumber"/>
        <w:numPr>
          <w:ilvl w:val="0"/>
          <w:numId w:val="34"/>
        </w:numPr>
        <w:tabs>
          <w:tab w:val="clear" w:pos="1057"/>
        </w:tabs>
        <w:ind w:left="1247"/>
        <w:rPr>
          <w:lang w:val="es-ES_tradnl"/>
        </w:rPr>
      </w:pPr>
      <w:r w:rsidRPr="008048DD">
        <w:rPr>
          <w:lang w:val="es-ES_tradnl"/>
        </w:rPr>
        <w:t>Es prudente cont</w:t>
      </w:r>
      <w:r w:rsidR="0001366C" w:rsidRPr="008048DD">
        <w:rPr>
          <w:lang w:val="es-ES_tradnl"/>
        </w:rPr>
        <w:t>a</w:t>
      </w:r>
      <w:r w:rsidRPr="008048DD">
        <w:rPr>
          <w:lang w:val="es-ES_tradnl"/>
        </w:rPr>
        <w:t>r</w:t>
      </w:r>
      <w:r w:rsidR="0001366C" w:rsidRPr="008048DD">
        <w:rPr>
          <w:lang w:val="es-ES_tradnl"/>
        </w:rPr>
        <w:t xml:space="preserve"> con herramientas que apoyen la</w:t>
      </w:r>
      <w:r w:rsidRPr="008048DD">
        <w:rPr>
          <w:lang w:val="es-ES_tradnl"/>
        </w:rPr>
        <w:t xml:space="preserve"> armonización de datos a fin de</w:t>
      </w:r>
      <w:r w:rsidR="0001366C" w:rsidRPr="008048DD">
        <w:rPr>
          <w:lang w:val="es-ES_tradnl"/>
        </w:rPr>
        <w:t xml:space="preserve"> asegurar la comparabilidad</w:t>
      </w:r>
      <w:r w:rsidR="00B1107F" w:rsidRPr="008048DD">
        <w:rPr>
          <w:lang w:val="es-ES_tradnl"/>
        </w:rPr>
        <w:t xml:space="preserve">. </w:t>
      </w:r>
      <w:r w:rsidR="0001366C" w:rsidRPr="008048DD">
        <w:rPr>
          <w:lang w:val="es-ES_tradnl"/>
        </w:rPr>
        <w:t>Esas herramientas son los procedimientos operativos estándar</w:t>
      </w:r>
      <w:r w:rsidR="00B1107F" w:rsidRPr="008048DD">
        <w:rPr>
          <w:lang w:val="es-ES_tradnl"/>
        </w:rPr>
        <w:t xml:space="preserve">, </w:t>
      </w:r>
      <w:r w:rsidR="0001366C" w:rsidRPr="008048DD">
        <w:rPr>
          <w:lang w:val="es-ES_tradnl"/>
        </w:rPr>
        <w:t>la orientación sobre la vigilancia mundial del mercurio</w:t>
      </w:r>
      <w:r w:rsidRPr="008048DD">
        <w:rPr>
          <w:lang w:val="es-ES_tradnl"/>
        </w:rPr>
        <w:t>,</w:t>
      </w:r>
      <w:r w:rsidR="0001366C" w:rsidRPr="008048DD">
        <w:rPr>
          <w:lang w:val="es-ES_tradnl"/>
        </w:rPr>
        <w:t xml:space="preserve"> que periódicamente se actualiza a medida que se dispone de nueva información y nuevas tecnologías, y </w:t>
      </w:r>
      <w:r w:rsidRPr="008048DD">
        <w:rPr>
          <w:lang w:val="es-ES_tradnl"/>
        </w:rPr>
        <w:t>los</w:t>
      </w:r>
      <w:r w:rsidR="0001366C" w:rsidRPr="008048DD">
        <w:rPr>
          <w:lang w:val="es-ES_tradnl"/>
        </w:rPr>
        <w:t xml:space="preserve"> estudios de intercalibración</w:t>
      </w:r>
      <w:r w:rsidR="00B1107F" w:rsidRPr="008048DD">
        <w:rPr>
          <w:lang w:val="es-ES_tradnl"/>
        </w:rPr>
        <w:t>.</w:t>
      </w:r>
    </w:p>
    <w:p w14:paraId="617A2262" w14:textId="7AB776AA" w:rsidR="00B1107F" w:rsidRPr="008048DD" w:rsidRDefault="0001366C" w:rsidP="00362646">
      <w:pPr>
        <w:pStyle w:val="Normalnumber"/>
        <w:numPr>
          <w:ilvl w:val="0"/>
          <w:numId w:val="34"/>
        </w:numPr>
        <w:tabs>
          <w:tab w:val="clear" w:pos="1057"/>
        </w:tabs>
        <w:ind w:left="1247"/>
        <w:rPr>
          <w:lang w:val="es-ES_tradnl"/>
        </w:rPr>
      </w:pPr>
      <w:r w:rsidRPr="008048DD">
        <w:rPr>
          <w:lang w:val="es-ES_tradnl"/>
        </w:rPr>
        <w:t>La elaboración de una orientación sobre la vigilancia mundial del mercurio será una necesidad imperiosa para garantizar y mantener la información armonizada y comparable sobre los niveles de mercurio en el medio ambiente</w:t>
      </w:r>
      <w:r w:rsidR="00B1107F" w:rsidRPr="008048DD">
        <w:rPr>
          <w:lang w:val="es-ES_tradnl"/>
        </w:rPr>
        <w:t xml:space="preserve">. </w:t>
      </w:r>
      <w:r w:rsidR="00C1717F" w:rsidRPr="008048DD">
        <w:rPr>
          <w:lang w:val="es-ES_tradnl"/>
        </w:rPr>
        <w:t>Pese a que la elaboración de esa orientación se</w:t>
      </w:r>
      <w:r w:rsidR="00F505E5">
        <w:rPr>
          <w:lang w:val="es-ES_tradnl"/>
        </w:rPr>
        <w:t xml:space="preserve"> ha incluido en el mandato del G</w:t>
      </w:r>
      <w:r w:rsidR="00C1717F" w:rsidRPr="008048DD">
        <w:rPr>
          <w:lang w:val="es-ES_tradnl"/>
        </w:rPr>
        <w:t xml:space="preserve">rupo especial de expertos técnicos, esa labor se ha aplazado hasta que la </w:t>
      </w:r>
      <w:r w:rsidR="00894E54" w:rsidRPr="008048DD">
        <w:rPr>
          <w:lang w:val="es-ES_tradnl"/>
        </w:rPr>
        <w:t>Conferencia de las Partes</w:t>
      </w:r>
      <w:r w:rsidR="00B1107F" w:rsidRPr="008048DD">
        <w:rPr>
          <w:lang w:val="es-ES_tradnl"/>
        </w:rPr>
        <w:t xml:space="preserve"> </w:t>
      </w:r>
      <w:r w:rsidR="00C1717F" w:rsidRPr="008048DD">
        <w:rPr>
          <w:lang w:val="es-ES_tradnl"/>
        </w:rPr>
        <w:t>adopte una decisión sobre los arreglos de vigilancia</w:t>
      </w:r>
      <w:r w:rsidR="00B1107F" w:rsidRPr="008048DD">
        <w:rPr>
          <w:lang w:val="es-ES_tradnl"/>
        </w:rPr>
        <w:t>,</w:t>
      </w:r>
      <w:r w:rsidR="00C1717F" w:rsidRPr="008048DD">
        <w:rPr>
          <w:lang w:val="es-ES_tradnl"/>
        </w:rPr>
        <w:t xml:space="preserve"> tras lo cual se podrá preparar rápidamente esa orientación sobre la base de las matrices básicas y los conocimientos disponibles</w:t>
      </w:r>
      <w:r w:rsidR="00B1107F" w:rsidRPr="008048DD">
        <w:rPr>
          <w:lang w:val="es-ES_tradnl"/>
        </w:rPr>
        <w:t>. Se</w:t>
      </w:r>
      <w:r w:rsidR="00D71891" w:rsidRPr="008048DD">
        <w:rPr>
          <w:lang w:val="es-ES_tradnl"/>
        </w:rPr>
        <w:t> </w:t>
      </w:r>
      <w:r w:rsidR="00B1107F" w:rsidRPr="008048DD">
        <w:rPr>
          <w:lang w:val="es-ES_tradnl"/>
        </w:rPr>
        <w:t xml:space="preserve">ha elaborado un proyecto de estructura para esa orientación, que figura en el documento UNEP/MC/COP.3/INF/15. </w:t>
      </w:r>
    </w:p>
    <w:p w14:paraId="2585E83D" w14:textId="0137A618" w:rsidR="00B1107F" w:rsidRPr="008048DD" w:rsidRDefault="00454F1C" w:rsidP="00454F1C">
      <w:pPr>
        <w:pStyle w:val="CH1"/>
        <w:tabs>
          <w:tab w:val="right" w:pos="851"/>
          <w:tab w:val="left" w:pos="1247"/>
          <w:tab w:val="left" w:pos="1814"/>
          <w:tab w:val="left" w:pos="2381"/>
          <w:tab w:val="left" w:pos="2948"/>
          <w:tab w:val="left" w:pos="3515"/>
          <w:tab w:val="left" w:pos="4082"/>
        </w:tabs>
        <w:ind w:left="1247" w:hanging="1247"/>
        <w:rPr>
          <w:rStyle w:val="dn"/>
          <w:lang w:val="es-ES_tradnl"/>
        </w:rPr>
      </w:pPr>
      <w:r w:rsidRPr="002548B2">
        <w:rPr>
          <w:lang w:val="es-ES"/>
        </w:rPr>
        <w:tab/>
      </w:r>
      <w:r w:rsidRPr="00454F1C">
        <w:rPr>
          <w:lang w:val="es-ES"/>
        </w:rPr>
        <w:t>III.</w:t>
      </w:r>
      <w:r w:rsidRPr="00454F1C">
        <w:rPr>
          <w:lang w:val="es-ES"/>
        </w:rPr>
        <w:tab/>
      </w:r>
      <w:r w:rsidR="005A2F1B" w:rsidRPr="003974D7">
        <w:rPr>
          <w:lang w:val="es-ES"/>
        </w:rPr>
        <w:t>E</w:t>
      </w:r>
      <w:r w:rsidR="000672E7" w:rsidRPr="003974D7">
        <w:rPr>
          <w:lang w:val="es-ES"/>
        </w:rPr>
        <w:t>laboración de un informe periódico sobre vigilancia mundial del</w:t>
      </w:r>
      <w:r w:rsidR="00F505E5" w:rsidRPr="003974D7">
        <w:rPr>
          <w:lang w:val="es-ES"/>
        </w:rPr>
        <w:t> </w:t>
      </w:r>
      <w:r w:rsidR="000672E7" w:rsidRPr="003974D7">
        <w:rPr>
          <w:lang w:val="es-ES"/>
        </w:rPr>
        <w:t>mercurio</w:t>
      </w:r>
    </w:p>
    <w:p w14:paraId="1D2B2F73" w14:textId="77777777" w:rsidR="00B1107F" w:rsidRPr="008048DD" w:rsidRDefault="00133D4F" w:rsidP="00362646">
      <w:pPr>
        <w:pStyle w:val="Normalnumber"/>
        <w:numPr>
          <w:ilvl w:val="0"/>
          <w:numId w:val="34"/>
        </w:numPr>
        <w:tabs>
          <w:tab w:val="clear" w:pos="1057"/>
        </w:tabs>
        <w:ind w:left="1247"/>
        <w:rPr>
          <w:lang w:val="es-ES_tradnl"/>
        </w:rPr>
      </w:pPr>
      <w:r w:rsidRPr="008048DD">
        <w:rPr>
          <w:lang w:val="es-ES_tradnl"/>
        </w:rPr>
        <w:t xml:space="preserve">El grupo sobre vigilancia preparará un </w:t>
      </w:r>
      <w:r w:rsidR="00F43A19" w:rsidRPr="008048DD">
        <w:rPr>
          <w:lang w:val="es-ES_tradnl"/>
        </w:rPr>
        <w:t>informe de vigilancia</w:t>
      </w:r>
      <w:r w:rsidR="00C70DB7" w:rsidRPr="008048DD">
        <w:rPr>
          <w:lang w:val="es-ES_tradnl"/>
        </w:rPr>
        <w:t xml:space="preserve"> mundial del mercurio</w:t>
      </w:r>
      <w:r w:rsidRPr="008048DD">
        <w:rPr>
          <w:lang w:val="es-ES_tradnl"/>
        </w:rPr>
        <w:t xml:space="preserve"> para cada ciclo de evaluación de la eficacia. </w:t>
      </w:r>
    </w:p>
    <w:p w14:paraId="1CC8069A"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La preparación del </w:t>
      </w:r>
      <w:r w:rsidR="00F43A19" w:rsidRPr="008048DD">
        <w:rPr>
          <w:lang w:val="es-ES_tradnl"/>
        </w:rPr>
        <w:t>informe de vigilancia</w:t>
      </w:r>
      <w:r w:rsidRPr="008048DD">
        <w:rPr>
          <w:lang w:val="es-ES_tradnl"/>
        </w:rPr>
        <w:t xml:space="preserve"> requerirá de amplios conocimientos especializados para recopilar, evaluar y resumir los datos de vigilancia. </w:t>
      </w:r>
    </w:p>
    <w:p w14:paraId="40B201C9" w14:textId="77777777" w:rsidR="00B1107F" w:rsidRPr="008048DD" w:rsidRDefault="00F43A19" w:rsidP="00362646">
      <w:pPr>
        <w:pStyle w:val="Normalnumber"/>
        <w:numPr>
          <w:ilvl w:val="0"/>
          <w:numId w:val="34"/>
        </w:numPr>
        <w:tabs>
          <w:tab w:val="clear" w:pos="1057"/>
        </w:tabs>
        <w:ind w:left="1247"/>
        <w:rPr>
          <w:lang w:val="es-ES_tradnl"/>
        </w:rPr>
      </w:pPr>
      <w:r w:rsidRPr="008048DD">
        <w:rPr>
          <w:lang w:val="es-ES_tradnl"/>
        </w:rPr>
        <w:t>Se organizará un</w:t>
      </w:r>
      <w:r w:rsidR="00B1107F" w:rsidRPr="008048DD">
        <w:rPr>
          <w:lang w:val="es-ES_tradnl"/>
        </w:rPr>
        <w:t xml:space="preserve"> </w:t>
      </w:r>
      <w:r w:rsidRPr="008048DD">
        <w:rPr>
          <w:lang w:val="es-ES_tradnl"/>
        </w:rPr>
        <w:t>informe de vigilancia</w:t>
      </w:r>
      <w:r w:rsidR="00B1107F" w:rsidRPr="008048DD">
        <w:rPr>
          <w:lang w:val="es-ES_tradnl"/>
        </w:rPr>
        <w:t xml:space="preserve"> </w:t>
      </w:r>
      <w:r w:rsidRPr="008048DD">
        <w:rPr>
          <w:lang w:val="es-ES_tradnl"/>
        </w:rPr>
        <w:t>por cada medio, que</w:t>
      </w:r>
      <w:r w:rsidR="00B1107F" w:rsidRPr="008048DD">
        <w:rPr>
          <w:lang w:val="es-ES_tradnl"/>
        </w:rPr>
        <w:t xml:space="preserve"> mostrará los datos de vigilancia disponibles y las tendencias en los niveles de mercurio en el medio ambiente, los medios bióticos y las poblaciones vulnerables. Siempre que sea posible, se utilizarán modelos para pronosticar la evolución de las tendencias en el futuro.</w:t>
      </w:r>
    </w:p>
    <w:p w14:paraId="07FB4C92" w14:textId="5461DFA0"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Durante la primera reu</w:t>
      </w:r>
      <w:r w:rsidR="005A2F1B" w:rsidRPr="008048DD">
        <w:rPr>
          <w:lang w:val="es-ES_tradnl"/>
        </w:rPr>
        <w:t>n</w:t>
      </w:r>
      <w:r w:rsidRPr="008048DD">
        <w:rPr>
          <w:lang w:val="es-ES_tradnl"/>
        </w:rPr>
        <w:t xml:space="preserve">ión del </w:t>
      </w:r>
      <w:r w:rsidR="007E1766">
        <w:rPr>
          <w:lang w:val="es-ES_tradnl"/>
        </w:rPr>
        <w:t>Comité de Evaluación de la E</w:t>
      </w:r>
      <w:r w:rsidR="00E006FC" w:rsidRPr="008048DD">
        <w:rPr>
          <w:lang w:val="es-ES_tradnl"/>
        </w:rPr>
        <w:t>ficacia</w:t>
      </w:r>
      <w:r w:rsidRPr="008048DD">
        <w:rPr>
          <w:lang w:val="es-ES_tradnl"/>
        </w:rPr>
        <w:t xml:space="preserve"> se podrá disponer </w:t>
      </w:r>
      <w:r w:rsidR="00F43A19" w:rsidRPr="008048DD">
        <w:rPr>
          <w:lang w:val="es-ES_tradnl"/>
        </w:rPr>
        <w:t>d</w:t>
      </w:r>
      <w:r w:rsidRPr="008048DD">
        <w:rPr>
          <w:lang w:val="es-ES_tradnl"/>
        </w:rPr>
        <w:t xml:space="preserve">el primer </w:t>
      </w:r>
      <w:r w:rsidR="00F43A19" w:rsidRPr="008048DD">
        <w:rPr>
          <w:lang w:val="es-ES_tradnl"/>
        </w:rPr>
        <w:t>informe de vigilancia</w:t>
      </w:r>
      <w:r w:rsidRPr="008048DD">
        <w:rPr>
          <w:lang w:val="es-ES_tradnl"/>
        </w:rPr>
        <w:t xml:space="preserve"> del estado del mercurio en el medio ambiente.</w:t>
      </w:r>
    </w:p>
    <w:p w14:paraId="4EB53AA1" w14:textId="6201D00B"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El </w:t>
      </w:r>
      <w:r w:rsidR="007E1766">
        <w:rPr>
          <w:lang w:val="es-ES_tradnl"/>
        </w:rPr>
        <w:t>G</w:t>
      </w:r>
      <w:r w:rsidR="00891F8B" w:rsidRPr="008048DD">
        <w:rPr>
          <w:lang w:val="es-ES_tradnl"/>
        </w:rPr>
        <w:t>rupo especial de expertos</w:t>
      </w:r>
      <w:r w:rsidRPr="008048DD">
        <w:rPr>
          <w:lang w:val="es-ES_tradnl"/>
        </w:rPr>
        <w:t xml:space="preserve"> también espera que la información contenida en los informes de</w:t>
      </w:r>
      <w:r w:rsidR="007E1766">
        <w:rPr>
          <w:lang w:val="es-ES_tradnl"/>
        </w:rPr>
        <w:t> </w:t>
      </w:r>
      <w:r w:rsidRPr="008048DD">
        <w:rPr>
          <w:lang w:val="es-ES_tradnl"/>
        </w:rPr>
        <w:t xml:space="preserve">vigilancia se utilice para la contextualización de la información en un modelo de compartimientos múltiples </w:t>
      </w:r>
      <w:r w:rsidR="00C73747" w:rsidRPr="008048DD">
        <w:rPr>
          <w:lang w:val="es-ES_tradnl"/>
        </w:rPr>
        <w:t>que</w:t>
      </w:r>
      <w:r w:rsidRPr="008048DD">
        <w:rPr>
          <w:lang w:val="es-ES_tradnl"/>
        </w:rPr>
        <w:t xml:space="preserve"> capte la situación hipotética socioeconómica, los parámetros de referencia y las alternativas en materia de políticas. Un subgrupo encargado de la modelización podría encargarse de esta tarea.</w:t>
      </w:r>
    </w:p>
    <w:p w14:paraId="1997182B" w14:textId="0D01017F" w:rsidR="00B1107F" w:rsidRPr="008048DD" w:rsidRDefault="00454F1C" w:rsidP="00454F1C">
      <w:pPr>
        <w:pStyle w:val="CH1"/>
        <w:tabs>
          <w:tab w:val="right" w:pos="851"/>
          <w:tab w:val="left" w:pos="1247"/>
          <w:tab w:val="left" w:pos="1814"/>
          <w:tab w:val="left" w:pos="2381"/>
          <w:tab w:val="left" w:pos="2948"/>
          <w:tab w:val="left" w:pos="3515"/>
          <w:tab w:val="left" w:pos="4082"/>
        </w:tabs>
        <w:ind w:left="1247" w:hanging="1247"/>
        <w:rPr>
          <w:rStyle w:val="dn"/>
          <w:lang w:val="es-ES_tradnl"/>
        </w:rPr>
      </w:pPr>
      <w:r>
        <w:rPr>
          <w:lang w:val="es-ES"/>
        </w:rPr>
        <w:tab/>
      </w:r>
      <w:r w:rsidR="000672E7" w:rsidRPr="003974D7">
        <w:rPr>
          <w:lang w:val="es-ES"/>
        </w:rPr>
        <w:t>IV.</w:t>
      </w:r>
      <w:r w:rsidR="000672E7" w:rsidRPr="003974D7">
        <w:rPr>
          <w:lang w:val="es-ES"/>
        </w:rPr>
        <w:tab/>
        <w:t>Proyecto de mandato del Grupo sobre vigilancia</w:t>
      </w:r>
    </w:p>
    <w:p w14:paraId="5486EFC1" w14:textId="77777777" w:rsidR="00B1107F" w:rsidRPr="008048DD" w:rsidRDefault="005A2F1B" w:rsidP="000672E7">
      <w:pPr>
        <w:pStyle w:val="CH2"/>
        <w:rPr>
          <w:bCs/>
          <w:lang w:val="es-ES_tradnl"/>
        </w:rPr>
      </w:pPr>
      <w:r w:rsidRPr="008048DD">
        <w:rPr>
          <w:lang w:val="es-ES_tradnl"/>
        </w:rPr>
        <w:tab/>
      </w:r>
      <w:r w:rsidR="000672E7" w:rsidRPr="008048DD">
        <w:rPr>
          <w:lang w:val="es-ES_tradnl"/>
        </w:rPr>
        <w:t>A.</w:t>
      </w:r>
      <w:r w:rsidR="000672E7" w:rsidRPr="008048DD">
        <w:rPr>
          <w:lang w:val="es-ES_tradnl"/>
        </w:rPr>
        <w:tab/>
      </w:r>
      <w:r w:rsidR="000672E7" w:rsidRPr="008048DD">
        <w:rPr>
          <w:bCs/>
          <w:lang w:val="es-ES_tradnl"/>
        </w:rPr>
        <w:t>Mandato</w:t>
      </w:r>
    </w:p>
    <w:p w14:paraId="57A8998D" w14:textId="6814D3A9" w:rsidR="00B1107F" w:rsidRPr="008048DD" w:rsidRDefault="00F43A19" w:rsidP="00362646">
      <w:pPr>
        <w:pStyle w:val="Normalnumber"/>
        <w:numPr>
          <w:ilvl w:val="0"/>
          <w:numId w:val="34"/>
        </w:numPr>
        <w:tabs>
          <w:tab w:val="clear" w:pos="1057"/>
        </w:tabs>
        <w:ind w:left="1247"/>
        <w:rPr>
          <w:lang w:val="es-ES_tradnl"/>
        </w:rPr>
      </w:pPr>
      <w:r w:rsidRPr="008048DD">
        <w:rPr>
          <w:lang w:val="es-ES_tradnl"/>
        </w:rPr>
        <w:t>El g</w:t>
      </w:r>
      <w:r w:rsidR="00B1107F" w:rsidRPr="008048DD">
        <w:rPr>
          <w:lang w:val="es-ES_tradnl"/>
        </w:rPr>
        <w:t>rupo sob</w:t>
      </w:r>
      <w:r w:rsidRPr="008048DD">
        <w:rPr>
          <w:lang w:val="es-ES_tradnl"/>
        </w:rPr>
        <w:t>re vigilancia (en adelante el “g</w:t>
      </w:r>
      <w:r w:rsidR="00B1107F" w:rsidRPr="008048DD">
        <w:rPr>
          <w:lang w:val="es-ES_tradnl"/>
        </w:rPr>
        <w:t>rupo”) llevará a cabo las tareas</w:t>
      </w:r>
      <w:r w:rsidRPr="008048DD">
        <w:rPr>
          <w:lang w:val="es-ES_tradnl"/>
        </w:rPr>
        <w:t xml:space="preserve"> relacionadas con la</w:t>
      </w:r>
      <w:r w:rsidR="002548B2">
        <w:rPr>
          <w:lang w:val="es-ES_tradnl"/>
        </w:rPr>
        <w:t> </w:t>
      </w:r>
      <w:r w:rsidRPr="008048DD">
        <w:rPr>
          <w:lang w:val="es-ES_tradnl"/>
        </w:rPr>
        <w:t>vigilancia</w:t>
      </w:r>
      <w:r w:rsidR="00B1107F" w:rsidRPr="008048DD">
        <w:rPr>
          <w:lang w:val="es-ES_tradnl"/>
        </w:rPr>
        <w:t xml:space="preserve"> que se </w:t>
      </w:r>
      <w:r w:rsidRPr="008048DD">
        <w:rPr>
          <w:lang w:val="es-ES_tradnl"/>
        </w:rPr>
        <w:t>indic</w:t>
      </w:r>
      <w:r w:rsidR="00B1107F" w:rsidRPr="008048DD">
        <w:rPr>
          <w:lang w:val="es-ES_tradnl"/>
        </w:rPr>
        <w:t>an en los niveles 1, 2 y 3 de la metodología propuesta para la evaluación de la</w:t>
      </w:r>
      <w:r w:rsidR="002548B2">
        <w:rPr>
          <w:lang w:val="es-ES_tradnl"/>
        </w:rPr>
        <w:t> </w:t>
      </w:r>
      <w:r w:rsidR="00B1107F" w:rsidRPr="008048DD">
        <w:rPr>
          <w:lang w:val="es-ES_tradnl"/>
        </w:rPr>
        <w:t xml:space="preserve">eficacia. </w:t>
      </w:r>
    </w:p>
    <w:p w14:paraId="7A179946" w14:textId="2524FA95"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El </w:t>
      </w:r>
      <w:r w:rsidR="00F43A19" w:rsidRPr="008048DD">
        <w:rPr>
          <w:lang w:val="es-ES_tradnl"/>
        </w:rPr>
        <w:t>g</w:t>
      </w:r>
      <w:r w:rsidRPr="008048DD">
        <w:rPr>
          <w:lang w:val="es-ES_tradnl"/>
        </w:rPr>
        <w:t xml:space="preserve">rupo </w:t>
      </w:r>
      <w:r w:rsidR="00F43A19" w:rsidRPr="008048DD">
        <w:rPr>
          <w:lang w:val="es-ES_tradnl"/>
        </w:rPr>
        <w:t>tiene a su cargo</w:t>
      </w:r>
      <w:r w:rsidRPr="008048DD">
        <w:rPr>
          <w:lang w:val="es-ES_tradnl"/>
        </w:rPr>
        <w:t xml:space="preserve"> la elaboración del </w:t>
      </w:r>
      <w:r w:rsidR="00F43A19" w:rsidRPr="008048DD">
        <w:rPr>
          <w:lang w:val="es-ES_tradnl"/>
        </w:rPr>
        <w:t>informe de vigilancia</w:t>
      </w:r>
      <w:r w:rsidRPr="008048DD">
        <w:rPr>
          <w:lang w:val="es-ES_tradnl"/>
        </w:rPr>
        <w:t xml:space="preserve">, en que se reúnen, analizan y sintetizan los datos de vigilancia del mercurio relacionados con los cambios en las concentraciones de mercurio en el transcurso del tiempo y se formulan conclusiones al respecto para su examen por el </w:t>
      </w:r>
      <w:r w:rsidR="007E1766">
        <w:rPr>
          <w:lang w:val="es-ES_tradnl"/>
        </w:rPr>
        <w:t>Comité de Evaluación de la E</w:t>
      </w:r>
      <w:r w:rsidR="00E006FC" w:rsidRPr="008048DD">
        <w:rPr>
          <w:lang w:val="es-ES_tradnl"/>
        </w:rPr>
        <w:t>ficacia</w:t>
      </w:r>
      <w:r w:rsidRPr="008048DD">
        <w:rPr>
          <w:lang w:val="es-ES_tradnl"/>
        </w:rPr>
        <w:t xml:space="preserve">, el cual, a su vez, formula sus conclusiones para que sean examinadas por la Conferencia de las Partes. </w:t>
      </w:r>
    </w:p>
    <w:p w14:paraId="76601793"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El informe de vigilancia incluirá una sección sobre la</w:t>
      </w:r>
      <w:r w:rsidR="00F43A19" w:rsidRPr="008048DD">
        <w:rPr>
          <w:lang w:val="es-ES_tradnl"/>
        </w:rPr>
        <w:t xml:space="preserve"> determinación de las lagunas</w:t>
      </w:r>
      <w:r w:rsidRPr="008048DD">
        <w:rPr>
          <w:lang w:val="es-ES_tradnl"/>
        </w:rPr>
        <w:t xml:space="preserve"> en la información y los conocimientos, si procede, así como propuestas para eliminar</w:t>
      </w:r>
      <w:r w:rsidR="00F43A19" w:rsidRPr="008048DD">
        <w:rPr>
          <w:lang w:val="es-ES_tradnl"/>
        </w:rPr>
        <w:t>l</w:t>
      </w:r>
      <w:r w:rsidRPr="008048DD">
        <w:rPr>
          <w:lang w:val="es-ES_tradnl"/>
        </w:rPr>
        <w:t xml:space="preserve">as en ciclos futuros. </w:t>
      </w:r>
    </w:p>
    <w:p w14:paraId="5F755A10"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El grupo también elaborará un documento de orientación sobre la vigilancia a fin de garantizar y mantener la información armonizada y comparable sobre los niveles de mercurio en el medio ambiente. Se ha elaborado un proyecto de estructura para esa orientación, que figura en el documento UNEP/MC/COP.3/INF/15. </w:t>
      </w:r>
    </w:p>
    <w:p w14:paraId="340CF4CD" w14:textId="4BB3C594"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El grupo comenzará su labor inmediatamente después de la tercera reunión de la Conferencia de las Partes y preparará el </w:t>
      </w:r>
      <w:r w:rsidR="00F43A19" w:rsidRPr="008048DD">
        <w:rPr>
          <w:lang w:val="es-ES_tradnl"/>
        </w:rPr>
        <w:t>informe de vigilancia</w:t>
      </w:r>
      <w:r w:rsidRPr="008048DD">
        <w:rPr>
          <w:lang w:val="es-ES_tradnl"/>
        </w:rPr>
        <w:t xml:space="preserve"> para su examen por el </w:t>
      </w:r>
      <w:r w:rsidR="007E1766">
        <w:rPr>
          <w:lang w:val="es-ES_tradnl"/>
        </w:rPr>
        <w:t>Comité de Evaluación de la E</w:t>
      </w:r>
      <w:r w:rsidR="00E006FC" w:rsidRPr="008048DD">
        <w:rPr>
          <w:lang w:val="es-ES_tradnl"/>
        </w:rPr>
        <w:t>ficacia</w:t>
      </w:r>
      <w:r w:rsidRPr="008048DD">
        <w:rPr>
          <w:lang w:val="es-ES_tradnl"/>
        </w:rPr>
        <w:t xml:space="preserve"> en su primera reunión, que se celebrará en 2022. </w:t>
      </w:r>
    </w:p>
    <w:p w14:paraId="70181FE8" w14:textId="0208E7B8" w:rsidR="00B1107F" w:rsidRPr="008048DD" w:rsidRDefault="005A2F1B" w:rsidP="000672E7">
      <w:pPr>
        <w:pStyle w:val="CH2"/>
        <w:rPr>
          <w:lang w:val="es-ES_tradnl"/>
        </w:rPr>
      </w:pPr>
      <w:r w:rsidRPr="008048DD">
        <w:rPr>
          <w:lang w:val="es-ES_tradnl"/>
        </w:rPr>
        <w:tab/>
      </w:r>
      <w:r w:rsidR="000672E7" w:rsidRPr="008048DD">
        <w:rPr>
          <w:lang w:val="es-ES_tradnl"/>
        </w:rPr>
        <w:t>B.</w:t>
      </w:r>
      <w:r w:rsidR="000672E7" w:rsidRPr="008048DD">
        <w:rPr>
          <w:lang w:val="es-ES_tradnl"/>
        </w:rPr>
        <w:tab/>
      </w:r>
      <w:r w:rsidR="000672E7" w:rsidRPr="008048DD">
        <w:rPr>
          <w:bCs/>
          <w:lang w:val="es-ES_tradnl"/>
        </w:rPr>
        <w:t>Composición</w:t>
      </w:r>
    </w:p>
    <w:p w14:paraId="688CF367" w14:textId="77BB078E"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Los miembros del grupo serán nombrados sobre la base de una distribución geográfica equitativa, teniendo en cuenta la necesidad de un</w:t>
      </w:r>
      <w:r w:rsidR="00F43A19" w:rsidRPr="008048DD">
        <w:rPr>
          <w:lang w:val="es-ES_tradnl"/>
        </w:rPr>
        <w:t xml:space="preserve">a representación equitativa de hombres y mujeres </w:t>
      </w:r>
      <w:r w:rsidRPr="008048DD">
        <w:rPr>
          <w:lang w:val="es-ES_tradnl"/>
        </w:rPr>
        <w:t>y</w:t>
      </w:r>
      <w:r w:rsidR="002548B2">
        <w:rPr>
          <w:lang w:val="es-ES_tradnl"/>
        </w:rPr>
        <w:t> </w:t>
      </w:r>
      <w:r w:rsidRPr="008048DD">
        <w:rPr>
          <w:lang w:val="es-ES_tradnl"/>
        </w:rPr>
        <w:t xml:space="preserve">diferentes tipos de conocimientos especializados. </w:t>
      </w:r>
    </w:p>
    <w:p w14:paraId="02629475"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Cada una de las cinco regiones de las Naciones Unidas propondrá la candidatura de dos expertos en vigilancia y modelización (expertos </w:t>
      </w:r>
      <w:r w:rsidR="00F43A19" w:rsidRPr="008048DD">
        <w:rPr>
          <w:lang w:val="es-ES_tradnl"/>
        </w:rPr>
        <w:t>en</w:t>
      </w:r>
      <w:r w:rsidRPr="008048DD">
        <w:rPr>
          <w:lang w:val="es-ES_tradnl"/>
        </w:rPr>
        <w:t xml:space="preserve"> vigilancia del mercurio en </w:t>
      </w:r>
      <w:r w:rsidR="00F43A19" w:rsidRPr="008048DD">
        <w:rPr>
          <w:lang w:val="es-ES_tradnl"/>
        </w:rPr>
        <w:t xml:space="preserve">los </w:t>
      </w:r>
      <w:r w:rsidRPr="008048DD">
        <w:rPr>
          <w:lang w:val="es-ES_tradnl"/>
        </w:rPr>
        <w:t>medios básicos, expertos que participen en las redes de vigilancia de mercurio existentes, expertos en la modelización de las tendencias ambientales)</w:t>
      </w:r>
      <w:r w:rsidR="00F43A19" w:rsidRPr="008048DD">
        <w:rPr>
          <w:lang w:val="es-ES_tradnl"/>
        </w:rPr>
        <w:t>,</w:t>
      </w:r>
      <w:r w:rsidRPr="008048DD">
        <w:rPr>
          <w:lang w:val="es-ES_tradnl"/>
        </w:rPr>
        <w:t xml:space="preserve"> para que participen </w:t>
      </w:r>
      <w:r w:rsidR="00F43A19" w:rsidRPr="008048DD">
        <w:rPr>
          <w:lang w:val="es-ES_tradnl"/>
        </w:rPr>
        <w:t>en calidad de</w:t>
      </w:r>
      <w:r w:rsidRPr="008048DD">
        <w:rPr>
          <w:lang w:val="es-ES_tradnl"/>
        </w:rPr>
        <w:t xml:space="preserve"> miembros.</w:t>
      </w:r>
    </w:p>
    <w:p w14:paraId="1AE5FE69" w14:textId="77777777" w:rsidR="00DC3C48" w:rsidRPr="008048DD" w:rsidRDefault="00DC3C48" w:rsidP="00362646">
      <w:pPr>
        <w:pStyle w:val="Normalnumber"/>
        <w:numPr>
          <w:ilvl w:val="0"/>
          <w:numId w:val="34"/>
        </w:numPr>
        <w:tabs>
          <w:tab w:val="clear" w:pos="1057"/>
        </w:tabs>
        <w:ind w:left="1247"/>
        <w:rPr>
          <w:lang w:val="es-ES_tradnl"/>
        </w:rPr>
      </w:pPr>
      <w:r w:rsidRPr="008048DD">
        <w:rPr>
          <w:lang w:val="es-ES_tradnl"/>
        </w:rPr>
        <w:t xml:space="preserve">La Secretaría invitará a dos expertos que gocen de prestigio internacional y tengan experiencia en la elaboración de modelos de las tendencias ambientales o de modelos de compartimientos múltiples para que participen </w:t>
      </w:r>
      <w:r w:rsidR="00F43A19" w:rsidRPr="008048DD">
        <w:rPr>
          <w:lang w:val="es-ES_tradnl"/>
        </w:rPr>
        <w:t>en calidad de</w:t>
      </w:r>
      <w:r w:rsidRPr="008048DD">
        <w:rPr>
          <w:lang w:val="es-ES_tradnl"/>
        </w:rPr>
        <w:t xml:space="preserve"> miembros.</w:t>
      </w:r>
    </w:p>
    <w:p w14:paraId="045DB494"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El grupo podrá invitar hasta cinco expertos de la sociedad civil, las comunidades indígenas, las</w:t>
      </w:r>
      <w:r w:rsidR="00D71891" w:rsidRPr="008048DD">
        <w:rPr>
          <w:lang w:val="es-ES_tradnl"/>
        </w:rPr>
        <w:t> </w:t>
      </w:r>
      <w:r w:rsidRPr="008048DD">
        <w:rPr>
          <w:lang w:val="es-ES_tradnl"/>
        </w:rPr>
        <w:t xml:space="preserve">organizaciones intergubernamentales, la investigación y la comunidad académica, la Asociación Mundial sobre el Mercurio y </w:t>
      </w:r>
      <w:r w:rsidR="00F43A19" w:rsidRPr="008048DD">
        <w:rPr>
          <w:lang w:val="es-ES_tradnl"/>
        </w:rPr>
        <w:t xml:space="preserve">las </w:t>
      </w:r>
      <w:r w:rsidRPr="008048DD">
        <w:rPr>
          <w:lang w:val="es-ES_tradnl"/>
        </w:rPr>
        <w:t xml:space="preserve">redes de vigilancia existentes, para que participen en calidad de observadores, </w:t>
      </w:r>
      <w:r w:rsidR="00F43A19" w:rsidRPr="008048DD">
        <w:rPr>
          <w:lang w:val="es-ES_tradnl"/>
        </w:rPr>
        <w:t>y aporten</w:t>
      </w:r>
      <w:r w:rsidRPr="008048DD">
        <w:rPr>
          <w:lang w:val="es-ES_tradnl"/>
        </w:rPr>
        <w:t xml:space="preserve"> información actualizada, conocimientos científicos y otros</w:t>
      </w:r>
      <w:r w:rsidR="00F43A19" w:rsidRPr="008048DD">
        <w:rPr>
          <w:lang w:val="es-ES_tradnl"/>
        </w:rPr>
        <w:t xml:space="preserve"> conocimientos</w:t>
      </w:r>
      <w:r w:rsidRPr="008048DD">
        <w:rPr>
          <w:lang w:val="es-ES_tradnl"/>
        </w:rPr>
        <w:t xml:space="preserve"> especializados pertinentes, que ayude</w:t>
      </w:r>
      <w:r w:rsidR="00F43A19" w:rsidRPr="008048DD">
        <w:rPr>
          <w:lang w:val="es-ES_tradnl"/>
        </w:rPr>
        <w:t>n</w:t>
      </w:r>
      <w:r w:rsidRPr="008048DD">
        <w:rPr>
          <w:lang w:val="es-ES_tradnl"/>
        </w:rPr>
        <w:t xml:space="preserve"> al grupo en la preparación del informe de vigilancia. Además, el grupo podrá convocar a otros expertos, </w:t>
      </w:r>
      <w:r w:rsidR="00F43A19" w:rsidRPr="008048DD">
        <w:rPr>
          <w:lang w:val="es-ES_tradnl"/>
        </w:rPr>
        <w:t>en caso</w:t>
      </w:r>
      <w:r w:rsidRPr="008048DD">
        <w:rPr>
          <w:lang w:val="es-ES_tradnl"/>
        </w:rPr>
        <w:t xml:space="preserve"> necesario. </w:t>
      </w:r>
    </w:p>
    <w:p w14:paraId="19E53F40"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Los conocimientos especializados del grupo en general abarcarán por lo menos uno de cada tipo de especialización/grupo de interesados. </w:t>
      </w:r>
    </w:p>
    <w:p w14:paraId="0AB8378C"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El man</w:t>
      </w:r>
      <w:r w:rsidR="00F43A19" w:rsidRPr="008048DD">
        <w:rPr>
          <w:lang w:val="es-ES_tradnl"/>
        </w:rPr>
        <w:t>dato de los miembros coincidirá</w:t>
      </w:r>
      <w:r w:rsidRPr="008048DD">
        <w:rPr>
          <w:lang w:val="es-ES_tradnl"/>
        </w:rPr>
        <w:t xml:space="preserve"> con el ciclo de evaluación de la eficacia que determine la Conferencia de las Partes. A fin de velar por la continuidad, la Conferencia de las Partes podrá renovar el mandato de los miembros durante futuras evaluaciones. Si un miembro no estuviera en condiciones de completar su mandato, el grupo regional o interesado que lo propuso presentará la candidatura de otra persona que lleve a término el mandato. </w:t>
      </w:r>
    </w:p>
    <w:p w14:paraId="5837994D" w14:textId="77777777" w:rsidR="00B1107F" w:rsidRPr="008048DD" w:rsidRDefault="005A2F1B" w:rsidP="000672E7">
      <w:pPr>
        <w:pStyle w:val="CH2"/>
        <w:rPr>
          <w:lang w:val="es-ES_tradnl"/>
        </w:rPr>
      </w:pPr>
      <w:r w:rsidRPr="008048DD">
        <w:rPr>
          <w:lang w:val="es-ES_tradnl"/>
        </w:rPr>
        <w:tab/>
      </w:r>
      <w:r w:rsidR="000672E7" w:rsidRPr="008048DD">
        <w:rPr>
          <w:lang w:val="es-ES_tradnl"/>
        </w:rPr>
        <w:t>C.</w:t>
      </w:r>
      <w:r w:rsidR="000672E7" w:rsidRPr="008048DD">
        <w:rPr>
          <w:lang w:val="es-ES_tradnl"/>
        </w:rPr>
        <w:tab/>
      </w:r>
      <w:r w:rsidR="000672E7" w:rsidRPr="008048DD">
        <w:rPr>
          <w:bCs/>
          <w:lang w:val="es-ES_tradnl"/>
        </w:rPr>
        <w:t>Miembros de la Mesa</w:t>
      </w:r>
    </w:p>
    <w:p w14:paraId="6800F596" w14:textId="77777777" w:rsidR="00B1107F" w:rsidRPr="008048DD" w:rsidRDefault="008870B7" w:rsidP="00362646">
      <w:pPr>
        <w:pStyle w:val="Normalnumber"/>
        <w:numPr>
          <w:ilvl w:val="0"/>
          <w:numId w:val="34"/>
        </w:numPr>
        <w:tabs>
          <w:tab w:val="clear" w:pos="1057"/>
        </w:tabs>
        <w:ind w:left="1247"/>
        <w:rPr>
          <w:lang w:val="es-ES_tradnl"/>
        </w:rPr>
      </w:pPr>
      <w:r w:rsidRPr="008048DD">
        <w:rPr>
          <w:lang w:val="es-ES_tradnl"/>
        </w:rPr>
        <w:t xml:space="preserve">El grupo elegirá a dos copresidentes para facilitar su labor y sus reuniones. </w:t>
      </w:r>
    </w:p>
    <w:p w14:paraId="07DA7ACD" w14:textId="77777777" w:rsidR="00B1107F" w:rsidRPr="008048DD" w:rsidRDefault="005A2F1B" w:rsidP="000672E7">
      <w:pPr>
        <w:pStyle w:val="CH2"/>
        <w:rPr>
          <w:lang w:val="es-ES_tradnl"/>
        </w:rPr>
      </w:pPr>
      <w:r w:rsidRPr="008048DD">
        <w:rPr>
          <w:lang w:val="es-ES_tradnl"/>
        </w:rPr>
        <w:tab/>
      </w:r>
      <w:r w:rsidR="000672E7" w:rsidRPr="008048DD">
        <w:rPr>
          <w:lang w:val="es-ES_tradnl"/>
        </w:rPr>
        <w:t>D.</w:t>
      </w:r>
      <w:r w:rsidR="000672E7" w:rsidRPr="008048DD">
        <w:rPr>
          <w:lang w:val="es-ES_tradnl"/>
        </w:rPr>
        <w:tab/>
      </w:r>
      <w:r w:rsidR="000672E7" w:rsidRPr="008048DD">
        <w:rPr>
          <w:bCs/>
          <w:lang w:val="es-ES_tradnl"/>
        </w:rPr>
        <w:t>Secretaría</w:t>
      </w:r>
    </w:p>
    <w:p w14:paraId="63A5AEE3"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La Secretaría prestará apoyo administrativo, logístico, programático y sustantivo a las reuniones y la labor del grupo.</w:t>
      </w:r>
    </w:p>
    <w:p w14:paraId="66331EF1" w14:textId="77777777" w:rsidR="00B1107F" w:rsidRPr="008048DD" w:rsidRDefault="005A2F1B" w:rsidP="000672E7">
      <w:pPr>
        <w:pStyle w:val="CH2"/>
        <w:rPr>
          <w:lang w:val="es-ES_tradnl"/>
        </w:rPr>
      </w:pPr>
      <w:r w:rsidRPr="008048DD">
        <w:rPr>
          <w:lang w:val="es-ES_tradnl"/>
        </w:rPr>
        <w:tab/>
      </w:r>
      <w:r w:rsidR="000672E7" w:rsidRPr="008048DD">
        <w:rPr>
          <w:lang w:val="es-ES_tradnl"/>
        </w:rPr>
        <w:t>E.</w:t>
      </w:r>
      <w:r w:rsidR="000672E7" w:rsidRPr="008048DD">
        <w:rPr>
          <w:lang w:val="es-ES_tradnl"/>
        </w:rPr>
        <w:tab/>
      </w:r>
      <w:r w:rsidR="000672E7" w:rsidRPr="008048DD">
        <w:rPr>
          <w:bCs/>
          <w:lang w:val="es-ES_tradnl"/>
        </w:rPr>
        <w:t>Reuniones</w:t>
      </w:r>
    </w:p>
    <w:p w14:paraId="5236F3A5" w14:textId="1FA4FF9D"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 xml:space="preserve">El grupo de expertos celebrará reuniones presenciales, al menos en tres ocasiones durante un ciclo de evaluación de la eficacia para coordinar las actividades de vigilancia del mercurio y preparar el informe </w:t>
      </w:r>
      <w:r w:rsidR="00F43A19" w:rsidRPr="008048DD">
        <w:rPr>
          <w:lang w:val="es-ES_tradnl"/>
        </w:rPr>
        <w:t>d</w:t>
      </w:r>
      <w:r w:rsidRPr="008048DD">
        <w:rPr>
          <w:lang w:val="es-ES_tradnl"/>
        </w:rPr>
        <w:t>e vigilancia sobre el estado de</w:t>
      </w:r>
      <w:r w:rsidR="007C24CE" w:rsidRPr="008048DD">
        <w:rPr>
          <w:lang w:val="es-ES_tradnl"/>
        </w:rPr>
        <w:t>l</w:t>
      </w:r>
      <w:r w:rsidRPr="008048DD">
        <w:rPr>
          <w:lang w:val="es-ES_tradnl"/>
        </w:rPr>
        <w:t xml:space="preserve"> mercurio en el medio ambiente p</w:t>
      </w:r>
      <w:r w:rsidR="007E1766">
        <w:rPr>
          <w:lang w:val="es-ES_tradnl"/>
        </w:rPr>
        <w:t>ara el C</w:t>
      </w:r>
      <w:r w:rsidRPr="008048DD">
        <w:rPr>
          <w:lang w:val="es-ES_tradnl"/>
        </w:rPr>
        <w:t xml:space="preserve">omité de </w:t>
      </w:r>
      <w:r w:rsidR="007E1766">
        <w:rPr>
          <w:lang w:val="es-ES_tradnl"/>
        </w:rPr>
        <w:t>Evaluación de la E</w:t>
      </w:r>
      <w:r w:rsidRPr="008048DD">
        <w:rPr>
          <w:lang w:val="es-ES_tradnl"/>
        </w:rPr>
        <w:t>ficacia.</w:t>
      </w:r>
    </w:p>
    <w:p w14:paraId="212DD098" w14:textId="77777777" w:rsidR="00B1107F" w:rsidRPr="008048DD" w:rsidRDefault="005A2F1B" w:rsidP="000672E7">
      <w:pPr>
        <w:pStyle w:val="CH2"/>
        <w:rPr>
          <w:lang w:val="es-ES_tradnl"/>
        </w:rPr>
      </w:pPr>
      <w:r w:rsidRPr="008048DD">
        <w:rPr>
          <w:lang w:val="es-ES_tradnl"/>
        </w:rPr>
        <w:tab/>
      </w:r>
      <w:r w:rsidR="000672E7" w:rsidRPr="008048DD">
        <w:rPr>
          <w:lang w:val="es-ES_tradnl"/>
        </w:rPr>
        <w:t>F.</w:t>
      </w:r>
      <w:r w:rsidR="000672E7" w:rsidRPr="008048DD">
        <w:rPr>
          <w:lang w:val="es-ES_tradnl"/>
        </w:rPr>
        <w:tab/>
      </w:r>
      <w:r w:rsidR="000672E7" w:rsidRPr="008048DD">
        <w:rPr>
          <w:bCs/>
          <w:lang w:val="es-ES_tradnl"/>
        </w:rPr>
        <w:t>Idioma</w:t>
      </w:r>
    </w:p>
    <w:p w14:paraId="75A80DEA" w14:textId="77777777" w:rsidR="00B1107F" w:rsidRPr="008048DD" w:rsidRDefault="00B1107F" w:rsidP="00362646">
      <w:pPr>
        <w:pStyle w:val="Normalnumber"/>
        <w:numPr>
          <w:ilvl w:val="0"/>
          <w:numId w:val="34"/>
        </w:numPr>
        <w:tabs>
          <w:tab w:val="clear" w:pos="1057"/>
        </w:tabs>
        <w:ind w:left="1247"/>
        <w:rPr>
          <w:lang w:val="es-ES_tradnl"/>
        </w:rPr>
      </w:pPr>
      <w:r w:rsidRPr="008048DD">
        <w:rPr>
          <w:lang w:val="es-ES_tradnl"/>
        </w:rPr>
        <w:t>El inglés será el idioma de trabajo del grupo.</w:t>
      </w:r>
    </w:p>
    <w:p w14:paraId="4B2ABAC6" w14:textId="77777777" w:rsidR="000672E7" w:rsidRPr="008048DD" w:rsidRDefault="000672E7">
      <w:pPr>
        <w:tabs>
          <w:tab w:val="clear" w:pos="1247"/>
          <w:tab w:val="clear" w:pos="1814"/>
          <w:tab w:val="clear" w:pos="2381"/>
          <w:tab w:val="clear" w:pos="2948"/>
          <w:tab w:val="clear" w:pos="3515"/>
        </w:tabs>
        <w:rPr>
          <w:rFonts w:asciiTheme="majorBidi" w:hAnsiTheme="majorBidi" w:cstheme="majorBidi"/>
          <w:b/>
          <w:bCs/>
          <w:sz w:val="28"/>
          <w:szCs w:val="26"/>
        </w:rPr>
      </w:pPr>
      <w:r w:rsidRPr="008048DD">
        <w:rPr>
          <w:rFonts w:asciiTheme="majorBidi" w:hAnsiTheme="majorBidi" w:cstheme="majorBidi"/>
        </w:rPr>
        <w:br w:type="page"/>
      </w:r>
    </w:p>
    <w:p w14:paraId="414C2601" w14:textId="77777777" w:rsidR="000672E7" w:rsidRPr="008048DD" w:rsidRDefault="00CC7E80" w:rsidP="000672E7">
      <w:pPr>
        <w:pStyle w:val="ZZAnxheader"/>
        <w:rPr>
          <w:lang w:val="es-ES_tradnl"/>
        </w:rPr>
      </w:pPr>
      <w:r w:rsidRPr="008048DD">
        <w:rPr>
          <w:lang w:val="es-ES_tradnl"/>
        </w:rPr>
        <w:t>Apéndice IV</w:t>
      </w:r>
    </w:p>
    <w:p w14:paraId="215AD9AB" w14:textId="3D6DF42D" w:rsidR="00B1107F" w:rsidRPr="002548B2" w:rsidRDefault="00B1107F" w:rsidP="002548B2">
      <w:pPr>
        <w:spacing w:before="320" w:after="240"/>
        <w:ind w:left="1247"/>
        <w:rPr>
          <w:b/>
          <w:bCs/>
          <w:sz w:val="28"/>
          <w:szCs w:val="28"/>
        </w:rPr>
      </w:pPr>
      <w:r w:rsidRPr="002548B2">
        <w:rPr>
          <w:b/>
          <w:bCs/>
          <w:sz w:val="28"/>
          <w:szCs w:val="28"/>
        </w:rPr>
        <w:t xml:space="preserve">Descripción de los informes que ha de preparar el </w:t>
      </w:r>
      <w:r w:rsidR="00715339" w:rsidRPr="002548B2">
        <w:rPr>
          <w:b/>
          <w:bCs/>
          <w:sz w:val="28"/>
          <w:szCs w:val="28"/>
        </w:rPr>
        <w:t>Comité de Evaluación de la E</w:t>
      </w:r>
      <w:r w:rsidR="00E006FC" w:rsidRPr="002548B2">
        <w:rPr>
          <w:b/>
          <w:bCs/>
          <w:sz w:val="28"/>
          <w:szCs w:val="28"/>
        </w:rPr>
        <w:t>ficacia</w:t>
      </w:r>
    </w:p>
    <w:p w14:paraId="355D3EC7" w14:textId="4B210119" w:rsidR="00B1107F" w:rsidRPr="008048DD" w:rsidRDefault="00B1107F" w:rsidP="00362646">
      <w:pPr>
        <w:pStyle w:val="Normalnumber"/>
        <w:numPr>
          <w:ilvl w:val="0"/>
          <w:numId w:val="35"/>
        </w:numPr>
        <w:tabs>
          <w:tab w:val="clear" w:pos="1057"/>
        </w:tabs>
        <w:ind w:left="1247"/>
        <w:rPr>
          <w:lang w:val="es-ES_tradnl"/>
        </w:rPr>
      </w:pPr>
      <w:r w:rsidRPr="008048DD">
        <w:rPr>
          <w:lang w:val="es-ES_tradnl"/>
        </w:rPr>
        <w:t>E</w:t>
      </w:r>
      <w:r w:rsidR="0061383C" w:rsidRPr="008048DD">
        <w:rPr>
          <w:lang w:val="es-ES_tradnl"/>
        </w:rPr>
        <w:t>n e</w:t>
      </w:r>
      <w:r w:rsidRPr="008048DD">
        <w:rPr>
          <w:lang w:val="es-ES_tradnl"/>
        </w:rPr>
        <w:t xml:space="preserve">l marco </w:t>
      </w:r>
      <w:r w:rsidR="0061383C" w:rsidRPr="008048DD">
        <w:rPr>
          <w:lang w:val="es-ES_tradnl"/>
        </w:rPr>
        <w:t xml:space="preserve">se </w:t>
      </w:r>
      <w:r w:rsidRPr="008048DD">
        <w:rPr>
          <w:lang w:val="es-ES_tradnl"/>
        </w:rPr>
        <w:t xml:space="preserve">prevé la </w:t>
      </w:r>
      <w:r w:rsidR="0061383C" w:rsidRPr="008048DD">
        <w:rPr>
          <w:lang w:val="es-ES_tradnl"/>
        </w:rPr>
        <w:t>elabo</w:t>
      </w:r>
      <w:r w:rsidRPr="008048DD">
        <w:rPr>
          <w:lang w:val="es-ES_tradnl"/>
        </w:rPr>
        <w:t xml:space="preserve">ración de cinco a seis informes que utilizará el </w:t>
      </w:r>
      <w:r w:rsidR="00AD604D">
        <w:rPr>
          <w:lang w:val="es-ES_tradnl"/>
        </w:rPr>
        <w:t>Comité de E</w:t>
      </w:r>
      <w:r w:rsidR="00E006FC" w:rsidRPr="008048DD">
        <w:rPr>
          <w:lang w:val="es-ES_tradnl"/>
        </w:rPr>
        <w:t xml:space="preserve">valuación de la </w:t>
      </w:r>
      <w:r w:rsidR="00AD604D">
        <w:rPr>
          <w:lang w:val="es-ES_tradnl"/>
        </w:rPr>
        <w:t>E</w:t>
      </w:r>
      <w:r w:rsidR="00E006FC" w:rsidRPr="008048DD">
        <w:rPr>
          <w:lang w:val="es-ES_tradnl"/>
        </w:rPr>
        <w:t>ficacia</w:t>
      </w:r>
      <w:r w:rsidRPr="008048DD">
        <w:rPr>
          <w:lang w:val="es-ES_tradnl"/>
        </w:rPr>
        <w:t xml:space="preserve"> en su examen de las cuatro cuestiones normativas. Se </w:t>
      </w:r>
      <w:r w:rsidR="0061383C" w:rsidRPr="008048DD">
        <w:rPr>
          <w:lang w:val="es-ES_tradnl"/>
        </w:rPr>
        <w:t>elabora</w:t>
      </w:r>
      <w:r w:rsidRPr="008048DD">
        <w:rPr>
          <w:lang w:val="es-ES_tradnl"/>
        </w:rPr>
        <w:t>rán cinco informes de síntesis como los descritos para los niveles 1 a 3</w:t>
      </w:r>
      <w:r w:rsidR="0061383C" w:rsidRPr="008048DD">
        <w:rPr>
          <w:lang w:val="es-ES_tradnl"/>
        </w:rPr>
        <w:t>,</w:t>
      </w:r>
      <w:r w:rsidRPr="008048DD">
        <w:rPr>
          <w:lang w:val="es-ES_tradnl"/>
        </w:rPr>
        <w:t xml:space="preserve"> a fin de dar respuesta a las tres p</w:t>
      </w:r>
      <w:r w:rsidR="0061383C" w:rsidRPr="008048DD">
        <w:rPr>
          <w:lang w:val="es-ES_tradnl"/>
        </w:rPr>
        <w:t xml:space="preserve">rimeras cuestiones normativas. </w:t>
      </w:r>
      <w:r w:rsidR="0061383C" w:rsidRPr="0085267C">
        <w:rPr>
          <w:highlight w:val="lightGray"/>
          <w:u w:color="4F81BD"/>
          <w:lang w:val="es-ES"/>
        </w:rPr>
        <w:t>En</w:t>
      </w:r>
      <w:r w:rsidRPr="0085267C">
        <w:rPr>
          <w:highlight w:val="lightGray"/>
          <w:u w:color="4F81BD"/>
          <w:lang w:val="es-ES"/>
        </w:rPr>
        <w:t xml:space="preserve"> el nivel 4, momento en que esa información estará lista y disponible, </w:t>
      </w:r>
      <w:r w:rsidR="0061383C" w:rsidRPr="0085267C">
        <w:rPr>
          <w:highlight w:val="lightGray"/>
          <w:u w:color="4F81BD"/>
          <w:lang w:val="es-ES"/>
        </w:rPr>
        <w:t>se prevé la presentación d</w:t>
      </w:r>
      <w:r w:rsidRPr="0085267C">
        <w:rPr>
          <w:highlight w:val="lightGray"/>
          <w:u w:color="4F81BD"/>
          <w:lang w:val="es-ES"/>
        </w:rPr>
        <w:t xml:space="preserve">el sexto informe sobre </w:t>
      </w:r>
      <w:r w:rsidR="0061383C" w:rsidRPr="0085267C">
        <w:rPr>
          <w:highlight w:val="lightGray"/>
          <w:u w:color="4F81BD"/>
          <w:lang w:val="es-ES"/>
        </w:rPr>
        <w:t xml:space="preserve">la </w:t>
      </w:r>
      <w:r w:rsidRPr="0085267C">
        <w:rPr>
          <w:highlight w:val="lightGray"/>
          <w:u w:color="4F81BD"/>
          <w:lang w:val="es-ES"/>
        </w:rPr>
        <w:t xml:space="preserve">atribución, </w:t>
      </w:r>
      <w:r w:rsidR="0061383C" w:rsidRPr="0085267C">
        <w:rPr>
          <w:highlight w:val="lightGray"/>
          <w:u w:color="4F81BD"/>
          <w:lang w:val="es-ES"/>
        </w:rPr>
        <w:t xml:space="preserve">en el </w:t>
      </w:r>
      <w:r w:rsidRPr="0085267C">
        <w:rPr>
          <w:highlight w:val="lightGray"/>
          <w:u w:color="4F81BD"/>
          <w:lang w:val="es-ES"/>
        </w:rPr>
        <w:t xml:space="preserve">que </w:t>
      </w:r>
      <w:r w:rsidR="0061383C" w:rsidRPr="0085267C">
        <w:rPr>
          <w:highlight w:val="lightGray"/>
          <w:u w:color="4F81BD"/>
          <w:lang w:val="es-ES"/>
        </w:rPr>
        <w:t xml:space="preserve">se </w:t>
      </w:r>
      <w:r w:rsidRPr="0085267C">
        <w:rPr>
          <w:highlight w:val="lightGray"/>
          <w:u w:color="4F81BD"/>
          <w:lang w:val="es-ES"/>
        </w:rPr>
        <w:t>dará respuesta a la cuestión normativa 4</w:t>
      </w:r>
      <w:r w:rsidRPr="008048DD">
        <w:rPr>
          <w:rStyle w:val="FootnoteReference"/>
          <w:rFonts w:asciiTheme="majorBidi" w:hAnsiTheme="majorBidi"/>
          <w:iCs/>
          <w:szCs w:val="20"/>
          <w:u w:color="4F81BD"/>
          <w:lang w:val="es-ES_tradnl"/>
        </w:rPr>
        <w:footnoteReference w:id="16"/>
      </w:r>
      <w:r w:rsidR="00D71891" w:rsidRPr="008048DD">
        <w:rPr>
          <w:lang w:val="es-ES_tradnl"/>
        </w:rPr>
        <w:t>.</w:t>
      </w:r>
    </w:p>
    <w:p w14:paraId="553E20F9" w14:textId="77777777" w:rsidR="00B1107F" w:rsidRPr="008048DD" w:rsidRDefault="0061383C" w:rsidP="00362646">
      <w:pPr>
        <w:pStyle w:val="Normalnumber"/>
        <w:numPr>
          <w:ilvl w:val="0"/>
          <w:numId w:val="35"/>
        </w:numPr>
        <w:ind w:left="1247"/>
        <w:rPr>
          <w:lang w:val="es-ES_tradnl"/>
        </w:rPr>
      </w:pPr>
      <w:r w:rsidRPr="008048DD">
        <w:rPr>
          <w:lang w:val="es-ES_tradnl"/>
        </w:rPr>
        <w:t>Los informes se prepararán sobre la base de la información proporcionada, como se explica en el párrafo 3 a) a d) del artículo 22, y se presenta esquemáticamente en la figura 1</w:t>
      </w:r>
      <w:r w:rsidR="00B1107F" w:rsidRPr="008048DD">
        <w:rPr>
          <w:lang w:val="es-ES_tradnl"/>
        </w:rPr>
        <w:t xml:space="preserve"> del presente informe</w:t>
      </w:r>
      <w:r w:rsidRPr="008048DD">
        <w:rPr>
          <w:lang w:val="es-ES_tradnl"/>
        </w:rPr>
        <w:t xml:space="preserve">, en que se </w:t>
      </w:r>
      <w:r w:rsidR="00B1107F" w:rsidRPr="008048DD">
        <w:rPr>
          <w:lang w:val="es-ES_tradnl"/>
        </w:rPr>
        <w:t>muestra el flujo de información y análisis.</w:t>
      </w:r>
    </w:p>
    <w:p w14:paraId="4B83D1A3" w14:textId="10F7AD59" w:rsidR="002739D3" w:rsidRPr="002548B2" w:rsidRDefault="002739D3" w:rsidP="002548B2">
      <w:pPr>
        <w:spacing w:after="120"/>
        <w:ind w:left="1247"/>
        <w:rPr>
          <w:b/>
          <w:bCs/>
          <w:sz w:val="28"/>
          <w:szCs w:val="28"/>
        </w:rPr>
      </w:pPr>
      <w:r w:rsidRPr="002548B2">
        <w:rPr>
          <w:b/>
          <w:bCs/>
          <w:sz w:val="28"/>
          <w:szCs w:val="28"/>
        </w:rPr>
        <w:t>Informes de síntesis</w:t>
      </w:r>
    </w:p>
    <w:p w14:paraId="1B0E4A9C" w14:textId="77777777" w:rsidR="00B1107F" w:rsidRPr="008048DD" w:rsidRDefault="006139F0" w:rsidP="00362646">
      <w:pPr>
        <w:pStyle w:val="Normalnumber"/>
        <w:numPr>
          <w:ilvl w:val="0"/>
          <w:numId w:val="35"/>
        </w:numPr>
        <w:ind w:left="1247"/>
        <w:rPr>
          <w:lang w:val="es-ES_tradnl"/>
        </w:rPr>
      </w:pPr>
      <w:r w:rsidRPr="008048DD">
        <w:rPr>
          <w:lang w:val="es-ES_tradnl"/>
        </w:rPr>
        <w:t>A continuación se indica el</w:t>
      </w:r>
      <w:r w:rsidR="00B1107F" w:rsidRPr="008048DD">
        <w:rPr>
          <w:lang w:val="es-ES_tradnl"/>
        </w:rPr>
        <w:t xml:space="preserve"> contenido que se describirá en los cinco informes de síntesis, así como las</w:t>
      </w:r>
      <w:r w:rsidR="00B3310A" w:rsidRPr="008048DD">
        <w:rPr>
          <w:lang w:val="es-ES_tradnl"/>
        </w:rPr>
        <w:t xml:space="preserve"> </w:t>
      </w:r>
      <w:r w:rsidR="00B1107F" w:rsidRPr="008048DD">
        <w:rPr>
          <w:lang w:val="es-ES_tradnl"/>
        </w:rPr>
        <w:t>tareas que deben completarse y los conocimientos especializados requeridos:</w:t>
      </w:r>
    </w:p>
    <w:p w14:paraId="0E5107D6" w14:textId="5F195687" w:rsidR="00B1107F" w:rsidRPr="008048DD" w:rsidRDefault="00B1107F" w:rsidP="00AD604D">
      <w:pPr>
        <w:pStyle w:val="Subparagraph"/>
        <w:numPr>
          <w:ilvl w:val="0"/>
          <w:numId w:val="0"/>
        </w:numPr>
        <w:tabs>
          <w:tab w:val="clear" w:pos="1247"/>
          <w:tab w:val="clear" w:pos="1814"/>
          <w:tab w:val="clear" w:pos="2381"/>
          <w:tab w:val="clear" w:pos="2948"/>
          <w:tab w:val="clear" w:pos="3515"/>
        </w:tabs>
        <w:spacing w:after="120"/>
        <w:ind w:left="1871" w:firstLine="624"/>
      </w:pPr>
      <w:r w:rsidRPr="008048DD">
        <w:t>El informe de síntesis previsto en el artículo 21 reunirá, analizará y sintetizará la información pertinente extraída de los informes presentados por las Partes de conformidad con los artículos 3,</w:t>
      </w:r>
      <w:r w:rsidR="005A2F1B" w:rsidRPr="008048DD">
        <w:t xml:space="preserve"> </w:t>
      </w:r>
      <w:r w:rsidRPr="008048DD">
        <w:t>5,</w:t>
      </w:r>
      <w:r w:rsidR="005A2F1B" w:rsidRPr="008048DD">
        <w:t xml:space="preserve"> </w:t>
      </w:r>
      <w:r w:rsidRPr="008048DD">
        <w:t>7, 8 y 9</w:t>
      </w:r>
      <w:r w:rsidR="00451ED9">
        <w:t>.</w:t>
      </w:r>
    </w:p>
    <w:p w14:paraId="55A642F4" w14:textId="649A7322" w:rsidR="00B1107F" w:rsidRPr="008048DD" w:rsidRDefault="00806321" w:rsidP="00AD604D">
      <w:pPr>
        <w:pStyle w:val="Subparagraph"/>
        <w:numPr>
          <w:ilvl w:val="0"/>
          <w:numId w:val="0"/>
        </w:numPr>
        <w:tabs>
          <w:tab w:val="clear" w:pos="1247"/>
          <w:tab w:val="clear" w:pos="1814"/>
          <w:tab w:val="clear" w:pos="2381"/>
          <w:tab w:val="clear" w:pos="2948"/>
          <w:tab w:val="clear" w:pos="3515"/>
        </w:tabs>
        <w:spacing w:after="120"/>
        <w:ind w:left="1871" w:firstLine="624"/>
      </w:pPr>
      <w:r w:rsidRPr="008048DD">
        <w:t>En el informe sobre las emisiones y liberaciones se reunirá, analizará y sintetizará la información pertinente sobre los inventarios de emisiones y liberaciones procedentes de las fuentes correspondientes, como se especifica en los artículos</w:t>
      </w:r>
      <w:r w:rsidR="00B1107F" w:rsidRPr="008048DD">
        <w:t xml:space="preserve"> 8 </w:t>
      </w:r>
      <w:r w:rsidRPr="008048DD">
        <w:t>y</w:t>
      </w:r>
      <w:r w:rsidR="00B1107F" w:rsidRPr="008048DD">
        <w:t xml:space="preserve"> 9, </w:t>
      </w:r>
      <w:r w:rsidRPr="008048DD">
        <w:t>así como la información acerca de la</w:t>
      </w:r>
      <w:r w:rsidR="00D71891" w:rsidRPr="008048DD">
        <w:t>s</w:t>
      </w:r>
      <w:r w:rsidRPr="008048DD">
        <w:t xml:space="preserve"> medidas adoptadas por las Partes para controlar las emisiones y liberaciones de mercurio</w:t>
      </w:r>
      <w:r w:rsidR="00B1107F" w:rsidRPr="008048DD">
        <w:t>,</w:t>
      </w:r>
      <w:r w:rsidR="006139F0" w:rsidRPr="008048DD">
        <w:t xml:space="preserve"> y los cambios</w:t>
      </w:r>
      <w:r w:rsidR="00B1107F" w:rsidRPr="008048DD">
        <w:t xml:space="preserve"> </w:t>
      </w:r>
      <w:r w:rsidRPr="008048DD">
        <w:t>observados en las emisiones y liberaciones</w:t>
      </w:r>
      <w:r w:rsidR="00B1107F" w:rsidRPr="008048DD">
        <w:t xml:space="preserve">. </w:t>
      </w:r>
      <w:r w:rsidR="00420116" w:rsidRPr="008048DD">
        <w:t xml:space="preserve">Esta tarea requiere </w:t>
      </w:r>
      <w:r w:rsidRPr="008048DD">
        <w:t xml:space="preserve">conocimientos especializados </w:t>
      </w:r>
      <w:r w:rsidR="00420116" w:rsidRPr="008048DD">
        <w:t>e</w:t>
      </w:r>
      <w:r w:rsidRPr="008048DD">
        <w:t xml:space="preserve">n </w:t>
      </w:r>
      <w:r w:rsidR="00420116" w:rsidRPr="008048DD">
        <w:t>inventarios de emisiones/liberaciones</w:t>
      </w:r>
      <w:r w:rsidR="006139F0" w:rsidRPr="008048DD">
        <w:t xml:space="preserve">; </w:t>
      </w:r>
      <w:r w:rsidR="00420116" w:rsidRPr="008048DD">
        <w:t>formulación y aplicación de medidas para controlar las emisiones y liberaciones de mercurio procedente de las fuentes</w:t>
      </w:r>
      <w:r w:rsidR="006139F0" w:rsidRPr="008048DD">
        <w:t xml:space="preserve"> pertinentes</w:t>
      </w:r>
      <w:r w:rsidR="00B1107F" w:rsidRPr="008048DD">
        <w:t xml:space="preserve">, </w:t>
      </w:r>
      <w:r w:rsidR="00420116" w:rsidRPr="008048DD">
        <w:t>en particular las mejores técnicas disponibles y las mejores prácticas ambientales</w:t>
      </w:r>
      <w:r w:rsidR="006139F0" w:rsidRPr="008048DD">
        <w:t>;</w:t>
      </w:r>
      <w:r w:rsidR="00B1107F" w:rsidRPr="008048DD">
        <w:t xml:space="preserve"> </w:t>
      </w:r>
      <w:r w:rsidR="00420116" w:rsidRPr="008048DD">
        <w:t>modelización</w:t>
      </w:r>
      <w:r w:rsidR="006139F0" w:rsidRPr="008048DD">
        <w:t>,</w:t>
      </w:r>
      <w:r w:rsidR="00420116" w:rsidRPr="008048DD">
        <w:t xml:space="preserve"> </w:t>
      </w:r>
      <w:r w:rsidR="006139F0" w:rsidRPr="008048DD">
        <w:t>e</w:t>
      </w:r>
      <w:r w:rsidR="00420116" w:rsidRPr="008048DD">
        <w:t xml:space="preserve"> inventarios de las tendencias temporales y espaciales</w:t>
      </w:r>
      <w:r w:rsidR="0082452F" w:rsidRPr="008048DD">
        <w:t xml:space="preserve"> y su variabilidad</w:t>
      </w:r>
      <w:r w:rsidR="00451ED9">
        <w:t>.</w:t>
      </w:r>
    </w:p>
    <w:p w14:paraId="66637CE7" w14:textId="3F4C3A2A" w:rsidR="00B1107F" w:rsidRPr="008048DD" w:rsidRDefault="00806321" w:rsidP="00AD604D">
      <w:pPr>
        <w:pStyle w:val="Subparagraph"/>
        <w:numPr>
          <w:ilvl w:val="0"/>
          <w:numId w:val="0"/>
        </w:numPr>
        <w:tabs>
          <w:tab w:val="clear" w:pos="1247"/>
          <w:tab w:val="clear" w:pos="1814"/>
          <w:tab w:val="clear" w:pos="2381"/>
          <w:tab w:val="clear" w:pos="2948"/>
          <w:tab w:val="clear" w:pos="3515"/>
        </w:tabs>
        <w:spacing w:after="120"/>
        <w:ind w:left="1871" w:firstLine="624"/>
      </w:pPr>
      <w:r w:rsidRPr="008048DD">
        <w:t xml:space="preserve">En el informe sobre comercio, </w:t>
      </w:r>
      <w:r w:rsidR="006139F0" w:rsidRPr="008048DD">
        <w:t>suministro</w:t>
      </w:r>
      <w:r w:rsidRPr="008048DD">
        <w:t xml:space="preserve"> y demanda se reunirá, analizará y sintetizará la información pertinente sobre l</w:t>
      </w:r>
      <w:r w:rsidR="006139F0" w:rsidRPr="008048DD">
        <w:t>o</w:t>
      </w:r>
      <w:r w:rsidRPr="008048DD">
        <w:t xml:space="preserve">s </w:t>
      </w:r>
      <w:r w:rsidR="006139F0" w:rsidRPr="008048DD">
        <w:t xml:space="preserve">flujos </w:t>
      </w:r>
      <w:r w:rsidRPr="008048DD">
        <w:t>y las existencias de mercurio en la sociedad</w:t>
      </w:r>
      <w:r w:rsidR="00B1107F" w:rsidRPr="008048DD">
        <w:t xml:space="preserve">, </w:t>
      </w:r>
      <w:r w:rsidRPr="008048DD">
        <w:t xml:space="preserve">las tendencias en el comercio, </w:t>
      </w:r>
      <w:r w:rsidR="00E0374C" w:rsidRPr="008048DD">
        <w:t>el suministro</w:t>
      </w:r>
      <w:r w:rsidRPr="008048DD">
        <w:t xml:space="preserve"> y la demanda de mercurio</w:t>
      </w:r>
      <w:r w:rsidR="00B1107F" w:rsidRPr="008048DD">
        <w:t xml:space="preserve">, </w:t>
      </w:r>
      <w:r w:rsidRPr="008048DD">
        <w:t>y l</w:t>
      </w:r>
      <w:r w:rsidR="00420116" w:rsidRPr="008048DD">
        <w:t>a</w:t>
      </w:r>
      <w:r w:rsidRPr="008048DD">
        <w:t xml:space="preserve">s </w:t>
      </w:r>
      <w:r w:rsidR="00420116" w:rsidRPr="008048DD">
        <w:t>normativas y la aplicación</w:t>
      </w:r>
      <w:r w:rsidR="00B1107F" w:rsidRPr="008048DD">
        <w:t xml:space="preserve">. </w:t>
      </w:r>
      <w:r w:rsidR="00420116" w:rsidRPr="008048DD">
        <w:t>Esta tarea requiere conocimientos especializados en analítica comercial, análisis sectorial</w:t>
      </w:r>
      <w:r w:rsidR="00B1107F" w:rsidRPr="008048DD">
        <w:t xml:space="preserve">, </w:t>
      </w:r>
      <w:r w:rsidR="00420116" w:rsidRPr="008048DD">
        <w:t>extracción de oro art</w:t>
      </w:r>
      <w:r w:rsidR="006139F0" w:rsidRPr="008048DD">
        <w:t xml:space="preserve">esanal y en pequeña escala y </w:t>
      </w:r>
      <w:r w:rsidR="00420116" w:rsidRPr="008048DD">
        <w:t>uso de</w:t>
      </w:r>
      <w:r w:rsidR="006139F0" w:rsidRPr="008048DD">
        <w:t>l</w:t>
      </w:r>
      <w:r w:rsidR="00420116" w:rsidRPr="008048DD">
        <w:t xml:space="preserve"> mercurio en productos y procesos, junto con cambios en ese uso</w:t>
      </w:r>
      <w:r w:rsidR="006139F0" w:rsidRPr="008048DD">
        <w:t>,</w:t>
      </w:r>
      <w:r w:rsidR="00420116" w:rsidRPr="008048DD">
        <w:t xml:space="preserve"> y alternativas de uso</w:t>
      </w:r>
      <w:r w:rsidR="00451ED9">
        <w:t>.</w:t>
      </w:r>
    </w:p>
    <w:p w14:paraId="11BBAA33" w14:textId="5578A022" w:rsidR="00B1107F" w:rsidRPr="008048DD" w:rsidRDefault="00420116" w:rsidP="00AD604D">
      <w:pPr>
        <w:pStyle w:val="Subparagraph"/>
        <w:numPr>
          <w:ilvl w:val="0"/>
          <w:numId w:val="0"/>
        </w:numPr>
        <w:tabs>
          <w:tab w:val="clear" w:pos="1247"/>
          <w:tab w:val="clear" w:pos="1814"/>
          <w:tab w:val="clear" w:pos="2381"/>
          <w:tab w:val="clear" w:pos="2948"/>
          <w:tab w:val="clear" w:pos="3515"/>
        </w:tabs>
        <w:spacing w:after="120"/>
        <w:ind w:left="1871" w:firstLine="624"/>
      </w:pPr>
      <w:r w:rsidRPr="008048DD">
        <w:t xml:space="preserve">En el </w:t>
      </w:r>
      <w:r w:rsidRPr="0085267C">
        <w:rPr>
          <w:highlight w:val="lightGray"/>
          <w:lang w:val="es-ES"/>
        </w:rPr>
        <w:t>informe sobre los desechos</w:t>
      </w:r>
      <w:r w:rsidRPr="008048DD">
        <w:t xml:space="preserve"> se reunirá, analizará y sintetizará la información pertinente sobre l</w:t>
      </w:r>
      <w:r w:rsidR="006139F0" w:rsidRPr="008048DD">
        <w:t>o</w:t>
      </w:r>
      <w:r w:rsidRPr="008048DD">
        <w:t xml:space="preserve">s </w:t>
      </w:r>
      <w:r w:rsidR="006139F0" w:rsidRPr="008048DD">
        <w:t xml:space="preserve">flujos </w:t>
      </w:r>
      <w:r w:rsidRPr="008048DD">
        <w:t>y las existencias de desechos de mercurio, las prácticas de gestión de los desechos de mercurio y su reciclado</w:t>
      </w:r>
      <w:r w:rsidR="00B1107F" w:rsidRPr="008048DD">
        <w:t xml:space="preserve">, </w:t>
      </w:r>
      <w:r w:rsidRPr="008048DD">
        <w:t>y las normativas y la aplicación, así como las deficiencias</w:t>
      </w:r>
      <w:r w:rsidR="00B1107F" w:rsidRPr="008048DD">
        <w:t xml:space="preserve">. </w:t>
      </w:r>
      <w:r w:rsidRPr="008048DD">
        <w:t xml:space="preserve">Los conocimientos especializados requeridos para esta tarea son </w:t>
      </w:r>
      <w:r w:rsidR="006139F0" w:rsidRPr="008048DD">
        <w:t xml:space="preserve">el </w:t>
      </w:r>
      <w:r w:rsidRPr="008048DD">
        <w:t>análisis de las relaciones entre industrias, política</w:t>
      </w:r>
      <w:r w:rsidR="006139F0" w:rsidRPr="008048DD">
        <w:t>s</w:t>
      </w:r>
      <w:r w:rsidRPr="008048DD">
        <w:t xml:space="preserve"> y prácticas de gestión y técnicas de eliminación de los desechos</w:t>
      </w:r>
      <w:r w:rsidR="00451ED9">
        <w:t>.</w:t>
      </w:r>
    </w:p>
    <w:p w14:paraId="677D18CD" w14:textId="77777777" w:rsidR="00B1107F" w:rsidRPr="008048DD" w:rsidRDefault="00B1107F" w:rsidP="006D260D">
      <w:pPr>
        <w:pStyle w:val="Subparagraph"/>
        <w:numPr>
          <w:ilvl w:val="0"/>
          <w:numId w:val="0"/>
        </w:numPr>
        <w:tabs>
          <w:tab w:val="clear" w:pos="1247"/>
          <w:tab w:val="clear" w:pos="1814"/>
          <w:tab w:val="clear" w:pos="2381"/>
          <w:tab w:val="clear" w:pos="2948"/>
          <w:tab w:val="clear" w:pos="3515"/>
        </w:tabs>
        <w:spacing w:after="120"/>
        <w:ind w:left="1871" w:firstLine="624"/>
      </w:pPr>
      <w:r w:rsidRPr="008048DD">
        <w:t>En el apéndice III relativo a los arreglos de vigilancia a nivel mundial y el proyecto de</w:t>
      </w:r>
      <w:r w:rsidR="00D71891" w:rsidRPr="008048DD">
        <w:t> </w:t>
      </w:r>
      <w:r w:rsidRPr="008048DD">
        <w:t>mandato del grupo sobre vigilancia</w:t>
      </w:r>
      <w:r w:rsidR="002C1604" w:rsidRPr="008048DD">
        <w:t>,</w:t>
      </w:r>
      <w:r w:rsidRPr="008048DD">
        <w:t xml:space="preserve"> que se proponen</w:t>
      </w:r>
      <w:r w:rsidR="002C1604" w:rsidRPr="008048DD">
        <w:t>,</w:t>
      </w:r>
      <w:r w:rsidRPr="008048DD">
        <w:t xml:space="preserve"> se describe el contenido del </w:t>
      </w:r>
      <w:r w:rsidR="00F43A19" w:rsidRPr="008048DD">
        <w:t>informe de vigilancia</w:t>
      </w:r>
      <w:r w:rsidRPr="008048DD">
        <w:t>.</w:t>
      </w:r>
    </w:p>
    <w:p w14:paraId="452D6C1B" w14:textId="054EC92E" w:rsidR="00B1107F" w:rsidRPr="002548B2" w:rsidRDefault="00B1107F" w:rsidP="002548B2">
      <w:pPr>
        <w:spacing w:after="120"/>
        <w:ind w:left="1247"/>
        <w:rPr>
          <w:b/>
          <w:bCs/>
          <w:sz w:val="28"/>
          <w:szCs w:val="28"/>
        </w:rPr>
      </w:pPr>
      <w:r w:rsidRPr="002548B2">
        <w:rPr>
          <w:b/>
          <w:bCs/>
          <w:sz w:val="28"/>
          <w:szCs w:val="28"/>
        </w:rPr>
        <w:t>Informe sobre la atribución</w:t>
      </w:r>
    </w:p>
    <w:p w14:paraId="7A991668" w14:textId="3AE0CCF7" w:rsidR="00B1107F" w:rsidRPr="008048DD" w:rsidRDefault="0082452F" w:rsidP="00362646">
      <w:pPr>
        <w:pStyle w:val="Normalnumber"/>
        <w:numPr>
          <w:ilvl w:val="0"/>
          <w:numId w:val="35"/>
        </w:numPr>
        <w:ind w:left="1247"/>
        <w:rPr>
          <w:lang w:val="es-ES_tradnl"/>
        </w:rPr>
      </w:pPr>
      <w:r w:rsidRPr="008048DD">
        <w:rPr>
          <w:lang w:val="es-ES_tradnl"/>
        </w:rPr>
        <w:t>A partir de los informes de síntesis y otra información, se pueden establecer vínculos entre las medidas normativas, las reducciones de las emisiones y los niveles de mercurio</w:t>
      </w:r>
      <w:r w:rsidR="00B1107F" w:rsidRPr="008048DD">
        <w:rPr>
          <w:lang w:val="es-ES_tradnl"/>
        </w:rPr>
        <w:t xml:space="preserve">, </w:t>
      </w:r>
      <w:r w:rsidR="002C1604" w:rsidRPr="008048DD">
        <w:rPr>
          <w:lang w:val="es-ES_tradnl"/>
        </w:rPr>
        <w:t>sobre la base de l</w:t>
      </w:r>
      <w:r w:rsidRPr="008048DD">
        <w:rPr>
          <w:lang w:val="es-ES_tradnl"/>
        </w:rPr>
        <w:t>as fuentes de datos disponibles, las técnicas de modelización y los instrumentos analíticos que aportan las ciencias naturales y sociales</w:t>
      </w:r>
      <w:r w:rsidR="00B1107F" w:rsidRPr="008048DD">
        <w:rPr>
          <w:lang w:val="es-ES_tradnl"/>
        </w:rPr>
        <w:t xml:space="preserve">. </w:t>
      </w:r>
      <w:r w:rsidRPr="008048DD">
        <w:rPr>
          <w:lang w:val="es-ES_tradnl"/>
        </w:rPr>
        <w:t>Llegado el momento, esto se podrá hacer en un informe sobre la atribución preparado por un subgrupo encargado de la modelización</w:t>
      </w:r>
      <w:r w:rsidR="00B1107F" w:rsidRPr="008048DD">
        <w:rPr>
          <w:lang w:val="es-ES_tradnl"/>
        </w:rPr>
        <w:t>.</w:t>
      </w:r>
      <w:r w:rsidR="00B3310A" w:rsidRPr="008048DD">
        <w:rPr>
          <w:lang w:val="es-ES_tradnl"/>
        </w:rPr>
        <w:t xml:space="preserve"> </w:t>
      </w:r>
      <w:r w:rsidRPr="008048DD">
        <w:rPr>
          <w:lang w:val="es-ES_tradnl"/>
        </w:rPr>
        <w:t xml:space="preserve">Este subgrupo estará integrado por cinco expertos </w:t>
      </w:r>
      <w:r w:rsidR="002C1604" w:rsidRPr="008048DD">
        <w:rPr>
          <w:lang w:val="es-ES_tradnl"/>
        </w:rPr>
        <w:t>con</w:t>
      </w:r>
      <w:r w:rsidRPr="008048DD">
        <w:rPr>
          <w:lang w:val="es-ES_tradnl"/>
        </w:rPr>
        <w:t xml:space="preserve"> experiencia en técnicas de modelización de compartimientos múltiples</w:t>
      </w:r>
      <w:r w:rsidR="00B1107F" w:rsidRPr="008048DD">
        <w:rPr>
          <w:lang w:val="es-ES_tradnl"/>
        </w:rPr>
        <w:t xml:space="preserve">, </w:t>
      </w:r>
      <w:r w:rsidRPr="008048DD">
        <w:rPr>
          <w:lang w:val="es-ES_tradnl"/>
        </w:rPr>
        <w:t>determinación de los ciclos del mercurio en el medio ambiente</w:t>
      </w:r>
      <w:r w:rsidR="00B3310A" w:rsidRPr="008048DD">
        <w:rPr>
          <w:lang w:val="es-ES_tradnl"/>
        </w:rPr>
        <w:t xml:space="preserve"> </w:t>
      </w:r>
      <w:r w:rsidRPr="008048DD">
        <w:rPr>
          <w:lang w:val="es-ES_tradnl"/>
        </w:rPr>
        <w:t>y tendencias y usos del mercurio</w:t>
      </w:r>
      <w:r w:rsidR="00B1107F" w:rsidRPr="008048DD">
        <w:rPr>
          <w:lang w:val="es-ES_tradnl"/>
        </w:rPr>
        <w:t xml:space="preserve">. </w:t>
      </w:r>
      <w:r w:rsidRPr="008048DD">
        <w:rPr>
          <w:lang w:val="es-ES_tradnl"/>
        </w:rPr>
        <w:t>Si</w:t>
      </w:r>
      <w:r w:rsidR="007D6D67">
        <w:rPr>
          <w:lang w:val="es-ES_tradnl"/>
        </w:rPr>
        <w:t> </w:t>
      </w:r>
      <w:r w:rsidRPr="008048DD">
        <w:rPr>
          <w:lang w:val="es-ES_tradnl"/>
        </w:rPr>
        <w:t>bien gran parte de la labor de ese subgrupo podría hacerse a distancia</w:t>
      </w:r>
      <w:r w:rsidR="00B1107F" w:rsidRPr="008048DD">
        <w:rPr>
          <w:lang w:val="es-ES_tradnl"/>
        </w:rPr>
        <w:t xml:space="preserve">, </w:t>
      </w:r>
      <w:r w:rsidRPr="008048DD">
        <w:rPr>
          <w:lang w:val="es-ES_tradnl"/>
        </w:rPr>
        <w:t>se prevé la celebración de una reunión para redactar el informe sobre la atribución</w:t>
      </w:r>
      <w:r w:rsidR="00B1107F" w:rsidRPr="008048DD">
        <w:rPr>
          <w:lang w:val="es-ES_tradnl"/>
        </w:rPr>
        <w:t xml:space="preserve">. </w:t>
      </w:r>
    </w:p>
    <w:p w14:paraId="5DFD8260" w14:textId="77777777" w:rsidR="00B1107F" w:rsidRPr="008048DD" w:rsidRDefault="00B1107F" w:rsidP="00362646">
      <w:pPr>
        <w:pStyle w:val="Normalnumber"/>
        <w:numPr>
          <w:ilvl w:val="0"/>
          <w:numId w:val="35"/>
        </w:numPr>
        <w:ind w:left="1247"/>
        <w:rPr>
          <w:lang w:val="es-ES_tradnl"/>
        </w:rPr>
      </w:pPr>
      <w:r w:rsidRPr="008048DD">
        <w:rPr>
          <w:lang w:val="es-ES_tradnl"/>
        </w:rPr>
        <w:t>Cabe señalar que la función de atribución evolucionará a medida que el co</w:t>
      </w:r>
      <w:r w:rsidR="002C1604" w:rsidRPr="008048DD">
        <w:rPr>
          <w:lang w:val="es-ES_tradnl"/>
        </w:rPr>
        <w:t>nocimiento del mercurio y de la</w:t>
      </w:r>
      <w:r w:rsidRPr="008048DD">
        <w:rPr>
          <w:lang w:val="es-ES_tradnl"/>
        </w:rPr>
        <w:t xml:space="preserve"> modelización vaya aumentando con el tiempo. </w:t>
      </w:r>
    </w:p>
    <w:p w14:paraId="617F7A9C" w14:textId="77777777" w:rsidR="00B1107F" w:rsidRPr="008048DD" w:rsidRDefault="002739D3" w:rsidP="00362646">
      <w:pPr>
        <w:pStyle w:val="Normalnumber"/>
        <w:numPr>
          <w:ilvl w:val="0"/>
          <w:numId w:val="35"/>
        </w:numPr>
        <w:ind w:left="1247"/>
        <w:rPr>
          <w:lang w:val="es-ES_tradnl"/>
        </w:rPr>
      </w:pPr>
      <w:r w:rsidRPr="008048DD">
        <w:rPr>
          <w:lang w:val="es-ES_tradnl"/>
        </w:rPr>
        <w:t xml:space="preserve">Tan pronto se disponga del informe de atribución, cabría esperar que contenga: </w:t>
      </w:r>
    </w:p>
    <w:p w14:paraId="728F956D" w14:textId="77777777" w:rsidR="00B1107F" w:rsidRPr="008048DD" w:rsidRDefault="00B1107F" w:rsidP="00362646">
      <w:pPr>
        <w:pStyle w:val="Normalnumber"/>
        <w:numPr>
          <w:ilvl w:val="0"/>
          <w:numId w:val="32"/>
        </w:numPr>
        <w:ind w:left="1247" w:firstLine="624"/>
        <w:rPr>
          <w:lang w:val="es-ES_tradnl"/>
        </w:rPr>
      </w:pPr>
      <w:r w:rsidRPr="008048DD">
        <w:rPr>
          <w:lang w:val="es-ES_tradnl"/>
        </w:rPr>
        <w:t xml:space="preserve">Un examen de los </w:t>
      </w:r>
      <w:r w:rsidR="00D953CF" w:rsidRPr="008048DD">
        <w:rPr>
          <w:lang w:val="es-ES_tradnl"/>
        </w:rPr>
        <w:t xml:space="preserve">intervalos </w:t>
      </w:r>
      <w:r w:rsidRPr="008048DD">
        <w:rPr>
          <w:lang w:val="es-ES_tradnl"/>
        </w:rPr>
        <w:t>de tiempo que median entre las medidas aplicadas y los resultados observados en las evaluaciones subsiguientes;</w:t>
      </w:r>
    </w:p>
    <w:p w14:paraId="09645FE0" w14:textId="77777777" w:rsidR="00B1107F" w:rsidRPr="008048DD" w:rsidRDefault="00D953CF" w:rsidP="00362646">
      <w:pPr>
        <w:pStyle w:val="Normalnumber"/>
        <w:numPr>
          <w:ilvl w:val="0"/>
          <w:numId w:val="32"/>
        </w:numPr>
        <w:ind w:left="1247" w:firstLine="624"/>
        <w:rPr>
          <w:lang w:val="es-ES_tradnl"/>
        </w:rPr>
      </w:pPr>
      <w:r w:rsidRPr="008048DD">
        <w:rPr>
          <w:lang w:val="es-ES_tradnl"/>
        </w:rPr>
        <w:t>Un examen de la</w:t>
      </w:r>
      <w:r w:rsidR="00E561F3" w:rsidRPr="008048DD">
        <w:rPr>
          <w:lang w:val="es-ES_tradnl"/>
        </w:rPr>
        <w:t xml:space="preserve"> hipótesis </w:t>
      </w:r>
      <w:r w:rsidR="0077029B" w:rsidRPr="008048DD">
        <w:rPr>
          <w:lang w:val="es-ES_tradnl"/>
        </w:rPr>
        <w:t>básica</w:t>
      </w:r>
      <w:r w:rsidRPr="008048DD">
        <w:rPr>
          <w:lang w:val="es-ES_tradnl"/>
        </w:rPr>
        <w:t xml:space="preserve">, </w:t>
      </w:r>
      <w:r w:rsidR="0077029B" w:rsidRPr="008048DD">
        <w:rPr>
          <w:lang w:val="es-ES_tradnl"/>
        </w:rPr>
        <w:t>que parta d</w:t>
      </w:r>
      <w:r w:rsidRPr="008048DD">
        <w:rPr>
          <w:lang w:val="es-ES_tradnl"/>
        </w:rPr>
        <w:t xml:space="preserve">el supuesto de que “todo sigue igual”, </w:t>
      </w:r>
      <w:r w:rsidR="0077029B" w:rsidRPr="008048DD">
        <w:rPr>
          <w:lang w:val="es-ES_tradnl"/>
        </w:rPr>
        <w:t xml:space="preserve">y </w:t>
      </w:r>
      <w:r w:rsidRPr="008048DD">
        <w:rPr>
          <w:lang w:val="es-ES_tradnl"/>
        </w:rPr>
        <w:t>represente el período anterior a la aplicación del Convenio</w:t>
      </w:r>
      <w:r w:rsidR="00E561F3" w:rsidRPr="008048DD">
        <w:rPr>
          <w:lang w:val="es-ES_tradnl"/>
        </w:rPr>
        <w:t>;</w:t>
      </w:r>
    </w:p>
    <w:p w14:paraId="6ABECFCA" w14:textId="77777777" w:rsidR="00B1107F" w:rsidRPr="008048DD" w:rsidRDefault="00B1107F" w:rsidP="00362646">
      <w:pPr>
        <w:pStyle w:val="Normalnumber"/>
        <w:numPr>
          <w:ilvl w:val="0"/>
          <w:numId w:val="32"/>
        </w:numPr>
        <w:ind w:left="1247" w:firstLine="624"/>
        <w:rPr>
          <w:lang w:val="es-ES_tradnl"/>
        </w:rPr>
      </w:pPr>
      <w:r w:rsidRPr="008048DD">
        <w:rPr>
          <w:lang w:val="es-ES_tradnl"/>
        </w:rPr>
        <w:t>Una evaluación de las cuatro cu</w:t>
      </w:r>
      <w:r w:rsidR="002C1604" w:rsidRPr="008048DD">
        <w:rPr>
          <w:lang w:val="es-ES_tradnl"/>
        </w:rPr>
        <w:t>estiones normativas, que podría</w:t>
      </w:r>
      <w:r w:rsidRPr="008048DD">
        <w:rPr>
          <w:lang w:val="es-ES_tradnl"/>
        </w:rPr>
        <w:t xml:space="preserve"> llegar hasta hacer un pronóstico basado en una extrapolación apropiada;</w:t>
      </w:r>
    </w:p>
    <w:p w14:paraId="35367A29" w14:textId="77777777" w:rsidR="00B1107F" w:rsidRPr="008048DD" w:rsidRDefault="00E561F3" w:rsidP="00362646">
      <w:pPr>
        <w:pStyle w:val="Normalnumber"/>
        <w:numPr>
          <w:ilvl w:val="0"/>
          <w:numId w:val="32"/>
        </w:numPr>
        <w:ind w:left="1247" w:firstLine="624"/>
        <w:rPr>
          <w:lang w:val="es-ES_tradnl"/>
        </w:rPr>
      </w:pPr>
      <w:r w:rsidRPr="008048DD">
        <w:rPr>
          <w:lang w:val="es-ES_tradnl"/>
        </w:rPr>
        <w:t>Un análisis exhaustivo de la interacción entre los distintos indicadores para determinar importantes sinergias y co</w:t>
      </w:r>
      <w:r w:rsidR="002C1604" w:rsidRPr="008048DD">
        <w:rPr>
          <w:lang w:val="es-ES_tradnl"/>
        </w:rPr>
        <w:t>mpensaciones</w:t>
      </w:r>
      <w:r w:rsidRPr="008048DD">
        <w:rPr>
          <w:lang w:val="es-ES_tradnl"/>
        </w:rPr>
        <w:t>.</w:t>
      </w:r>
    </w:p>
    <w:p w14:paraId="05F94174" w14:textId="77777777" w:rsidR="00B1107F" w:rsidRPr="008048DD" w:rsidRDefault="0077029B" w:rsidP="00362646">
      <w:pPr>
        <w:pStyle w:val="Normalnumber"/>
        <w:numPr>
          <w:ilvl w:val="0"/>
          <w:numId w:val="35"/>
        </w:numPr>
        <w:ind w:left="1247"/>
        <w:rPr>
          <w:lang w:val="es-ES_tradnl"/>
        </w:rPr>
      </w:pPr>
      <w:r w:rsidRPr="008048DD">
        <w:rPr>
          <w:lang w:val="es-ES_tradnl"/>
        </w:rPr>
        <w:t>L</w:t>
      </w:r>
      <w:r w:rsidR="00B1107F" w:rsidRPr="008048DD">
        <w:rPr>
          <w:lang w:val="es-ES_tradnl"/>
        </w:rPr>
        <w:t>os capítulos de un informe sobre la atribución podría</w:t>
      </w:r>
      <w:r w:rsidRPr="008048DD">
        <w:rPr>
          <w:lang w:val="es-ES_tradnl"/>
        </w:rPr>
        <w:t>n tratar sobre</w:t>
      </w:r>
      <w:r w:rsidR="00B1107F" w:rsidRPr="008048DD">
        <w:rPr>
          <w:lang w:val="es-ES_tradnl"/>
        </w:rPr>
        <w:t>:</w:t>
      </w:r>
    </w:p>
    <w:p w14:paraId="4650A85A" w14:textId="77777777" w:rsidR="00B1107F" w:rsidRPr="008048DD" w:rsidRDefault="002C1604" w:rsidP="00362646">
      <w:pPr>
        <w:pStyle w:val="Normalnumber"/>
        <w:numPr>
          <w:ilvl w:val="0"/>
          <w:numId w:val="33"/>
        </w:numPr>
        <w:ind w:left="1247" w:firstLine="624"/>
        <w:rPr>
          <w:lang w:val="es-ES_tradnl"/>
        </w:rPr>
      </w:pPr>
      <w:r w:rsidRPr="008048DD">
        <w:rPr>
          <w:lang w:val="es-ES_tradnl"/>
        </w:rPr>
        <w:t xml:space="preserve">Las sinergias y </w:t>
      </w:r>
      <w:r w:rsidR="00B1107F" w:rsidRPr="008048DD">
        <w:rPr>
          <w:lang w:val="es-ES_tradnl"/>
        </w:rPr>
        <w:t>compensaciones entre los indicadores, a fin de aumentar la eficacia de la aplicación;</w:t>
      </w:r>
    </w:p>
    <w:p w14:paraId="1F575ACA" w14:textId="77777777" w:rsidR="00B1107F" w:rsidRPr="008048DD" w:rsidRDefault="0077029B" w:rsidP="00362646">
      <w:pPr>
        <w:pStyle w:val="Normalnumber"/>
        <w:numPr>
          <w:ilvl w:val="0"/>
          <w:numId w:val="33"/>
        </w:numPr>
        <w:ind w:left="1247" w:firstLine="624"/>
        <w:rPr>
          <w:lang w:val="es-ES_tradnl"/>
        </w:rPr>
      </w:pPr>
      <w:r w:rsidRPr="008048DD">
        <w:rPr>
          <w:lang w:val="es-ES_tradnl"/>
        </w:rPr>
        <w:t>Los d</w:t>
      </w:r>
      <w:r w:rsidR="00B1107F" w:rsidRPr="008048DD">
        <w:rPr>
          <w:lang w:val="es-ES_tradnl"/>
        </w:rPr>
        <w:t>esfases entre las medidas y los resultados;</w:t>
      </w:r>
    </w:p>
    <w:p w14:paraId="7542C5E8" w14:textId="77777777" w:rsidR="00B1107F" w:rsidRPr="008048DD" w:rsidRDefault="0077029B" w:rsidP="00362646">
      <w:pPr>
        <w:pStyle w:val="Normalnumber"/>
        <w:numPr>
          <w:ilvl w:val="0"/>
          <w:numId w:val="33"/>
        </w:numPr>
        <w:ind w:left="1247" w:firstLine="624"/>
        <w:rPr>
          <w:lang w:val="es-ES_tradnl"/>
        </w:rPr>
      </w:pPr>
      <w:r w:rsidRPr="008048DD">
        <w:rPr>
          <w:lang w:val="es-ES_tradnl"/>
        </w:rPr>
        <w:t>Las c</w:t>
      </w:r>
      <w:r w:rsidR="00B1107F" w:rsidRPr="008048DD">
        <w:rPr>
          <w:lang w:val="es-ES_tradnl"/>
        </w:rPr>
        <w:t>onclusiones;</w:t>
      </w:r>
    </w:p>
    <w:p w14:paraId="1DAF3CE9" w14:textId="77777777" w:rsidR="00B1107F" w:rsidRPr="008048DD" w:rsidRDefault="00A53BC5" w:rsidP="00362646">
      <w:pPr>
        <w:pStyle w:val="Normalnumber"/>
        <w:numPr>
          <w:ilvl w:val="0"/>
          <w:numId w:val="33"/>
        </w:numPr>
        <w:ind w:left="1247" w:firstLine="624"/>
        <w:rPr>
          <w:lang w:val="es-ES_tradnl"/>
        </w:rPr>
      </w:pPr>
      <w:r w:rsidRPr="008048DD">
        <w:rPr>
          <w:lang w:val="es-ES_tradnl"/>
        </w:rPr>
        <w:t>Un anexo</w:t>
      </w:r>
      <w:r w:rsidR="00D815EA" w:rsidRPr="008048DD">
        <w:rPr>
          <w:lang w:val="es-ES_tradnl"/>
        </w:rPr>
        <w:t>,</w:t>
      </w:r>
      <w:r w:rsidRPr="008048DD">
        <w:rPr>
          <w:lang w:val="es-ES_tradnl"/>
        </w:rPr>
        <w:t xml:space="preserve"> en el que figure un “tablero” de resultados que ofrezca un panorama general de los progresos realizados con respecto a los indicadores en el marco de evaluación de la eficacia.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83"/>
        <w:gridCol w:w="1583"/>
        <w:gridCol w:w="1582"/>
        <w:gridCol w:w="1582"/>
        <w:gridCol w:w="1583"/>
        <w:gridCol w:w="1583"/>
      </w:tblGrid>
      <w:tr w:rsidR="009552C2" w:rsidRPr="008048DD" w14:paraId="50FEF63B" w14:textId="77777777" w:rsidTr="009552C2">
        <w:tc>
          <w:tcPr>
            <w:tcW w:w="1583" w:type="dxa"/>
          </w:tcPr>
          <w:p w14:paraId="66C07236" w14:textId="77777777" w:rsidR="009552C2" w:rsidRPr="008048DD" w:rsidRDefault="009552C2" w:rsidP="00362646">
            <w:pPr>
              <w:pStyle w:val="Normalpool"/>
              <w:numPr>
                <w:ilvl w:val="0"/>
                <w:numId w:val="33"/>
              </w:numPr>
              <w:spacing w:before="520"/>
              <w:rPr>
                <w:sz w:val="18"/>
                <w:szCs w:val="18"/>
                <w:lang w:val="es-ES_tradnl"/>
              </w:rPr>
            </w:pPr>
          </w:p>
        </w:tc>
        <w:tc>
          <w:tcPr>
            <w:tcW w:w="1583" w:type="dxa"/>
          </w:tcPr>
          <w:p w14:paraId="7FEA6AF6" w14:textId="77777777" w:rsidR="009552C2" w:rsidRPr="008048DD" w:rsidRDefault="009552C2" w:rsidP="003E15B3">
            <w:pPr>
              <w:pStyle w:val="Normalpool"/>
              <w:spacing w:before="520"/>
              <w:rPr>
                <w:sz w:val="18"/>
                <w:szCs w:val="18"/>
                <w:lang w:val="es-ES_tradnl"/>
              </w:rPr>
            </w:pPr>
          </w:p>
        </w:tc>
        <w:tc>
          <w:tcPr>
            <w:tcW w:w="1582" w:type="dxa"/>
            <w:tcBorders>
              <w:bottom w:val="single" w:sz="4" w:space="0" w:color="auto"/>
            </w:tcBorders>
          </w:tcPr>
          <w:p w14:paraId="5F166E67" w14:textId="77777777" w:rsidR="009552C2" w:rsidRPr="008048DD" w:rsidRDefault="009552C2" w:rsidP="003E15B3">
            <w:pPr>
              <w:pStyle w:val="Normalpool"/>
              <w:spacing w:before="520"/>
              <w:rPr>
                <w:sz w:val="18"/>
                <w:szCs w:val="18"/>
                <w:lang w:val="es-ES_tradnl"/>
              </w:rPr>
            </w:pPr>
          </w:p>
        </w:tc>
        <w:tc>
          <w:tcPr>
            <w:tcW w:w="1582" w:type="dxa"/>
          </w:tcPr>
          <w:p w14:paraId="7A965C2D" w14:textId="77777777" w:rsidR="009552C2" w:rsidRPr="008048DD" w:rsidRDefault="009552C2" w:rsidP="003E15B3">
            <w:pPr>
              <w:pStyle w:val="Normalpool"/>
              <w:spacing w:before="520"/>
              <w:rPr>
                <w:sz w:val="18"/>
                <w:szCs w:val="18"/>
                <w:lang w:val="es-ES_tradnl"/>
              </w:rPr>
            </w:pPr>
          </w:p>
        </w:tc>
        <w:tc>
          <w:tcPr>
            <w:tcW w:w="1583" w:type="dxa"/>
          </w:tcPr>
          <w:p w14:paraId="755B26BA" w14:textId="77777777" w:rsidR="009552C2" w:rsidRPr="008048DD" w:rsidRDefault="009552C2" w:rsidP="003E15B3">
            <w:pPr>
              <w:pStyle w:val="Normalpool"/>
              <w:spacing w:before="520"/>
              <w:rPr>
                <w:sz w:val="18"/>
                <w:szCs w:val="18"/>
                <w:lang w:val="es-ES_tradnl"/>
              </w:rPr>
            </w:pPr>
          </w:p>
        </w:tc>
        <w:tc>
          <w:tcPr>
            <w:tcW w:w="1583" w:type="dxa"/>
          </w:tcPr>
          <w:p w14:paraId="44E99B7D" w14:textId="77777777" w:rsidR="009552C2" w:rsidRPr="008048DD" w:rsidRDefault="009552C2" w:rsidP="003E15B3">
            <w:pPr>
              <w:pStyle w:val="Normalpool"/>
              <w:spacing w:before="520"/>
              <w:rPr>
                <w:sz w:val="18"/>
                <w:szCs w:val="18"/>
                <w:lang w:val="es-ES_tradnl"/>
              </w:rPr>
            </w:pPr>
          </w:p>
        </w:tc>
      </w:tr>
    </w:tbl>
    <w:p w14:paraId="60391DE2" w14:textId="77777777" w:rsidR="001B2062" w:rsidRPr="008048DD" w:rsidRDefault="001B2062" w:rsidP="00E8438C">
      <w:pPr>
        <w:pStyle w:val="Normalnumber"/>
        <w:ind w:left="1871"/>
        <w:rPr>
          <w:lang w:val="es-ES_tradnl"/>
        </w:rPr>
      </w:pPr>
    </w:p>
    <w:sectPr w:rsidR="001B2062" w:rsidRPr="008048DD" w:rsidSect="00AA0417">
      <w:type w:val="nextColumn"/>
      <w:pgSz w:w="11907" w:h="16840" w:code="9"/>
      <w:pgMar w:top="907" w:right="992" w:bottom="1559"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827BE" w14:textId="77777777" w:rsidR="003A6617" w:rsidRDefault="003A6617">
      <w:r>
        <w:separator/>
      </w:r>
    </w:p>
  </w:endnote>
  <w:endnote w:type="continuationSeparator" w:id="0">
    <w:p w14:paraId="6B2EC4C8" w14:textId="77777777" w:rsidR="003A6617" w:rsidRDefault="003A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Robot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7180693"/>
      <w:docPartObj>
        <w:docPartGallery w:val="Page Numbers (Bottom of Page)"/>
        <w:docPartUnique/>
      </w:docPartObj>
    </w:sdtPr>
    <w:sdtEndPr>
      <w:rPr>
        <w:b/>
        <w:noProof/>
      </w:rPr>
    </w:sdtEndPr>
    <w:sdtContent>
      <w:p w14:paraId="0E69E24C" w14:textId="220E72BF" w:rsidR="003A6617" w:rsidRPr="006E798D" w:rsidRDefault="003A6617">
        <w:pPr>
          <w:pStyle w:val="Footer"/>
          <w:rPr>
            <w:b/>
          </w:rPr>
        </w:pPr>
        <w:r w:rsidRPr="006E798D">
          <w:rPr>
            <w:b/>
          </w:rPr>
          <w:fldChar w:fldCharType="begin"/>
        </w:r>
        <w:r w:rsidRPr="006E798D">
          <w:rPr>
            <w:b/>
          </w:rPr>
          <w:instrText xml:space="preserve"> PAGE   \* MERGEFORMAT </w:instrText>
        </w:r>
        <w:r w:rsidRPr="006E798D">
          <w:rPr>
            <w:b/>
          </w:rPr>
          <w:fldChar w:fldCharType="separate"/>
        </w:r>
        <w:r w:rsidR="002D27BB">
          <w:rPr>
            <w:b/>
            <w:noProof/>
          </w:rPr>
          <w:t>14</w:t>
        </w:r>
        <w:r w:rsidRPr="006E798D">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191249"/>
      <w:docPartObj>
        <w:docPartGallery w:val="Page Numbers (Bottom of Page)"/>
        <w:docPartUnique/>
      </w:docPartObj>
    </w:sdtPr>
    <w:sdtEndPr>
      <w:rPr>
        <w:b/>
        <w:noProof/>
      </w:rPr>
    </w:sdtEndPr>
    <w:sdtContent>
      <w:p w14:paraId="0E492BE7" w14:textId="47DFAFA3" w:rsidR="003A6617" w:rsidRPr="006E798D" w:rsidRDefault="003A6617" w:rsidP="006E798D">
        <w:pPr>
          <w:pStyle w:val="Footer"/>
          <w:jc w:val="right"/>
          <w:rPr>
            <w:b/>
          </w:rPr>
        </w:pPr>
        <w:r w:rsidRPr="006E798D">
          <w:rPr>
            <w:b/>
          </w:rPr>
          <w:fldChar w:fldCharType="begin"/>
        </w:r>
        <w:r w:rsidRPr="006E798D">
          <w:rPr>
            <w:b/>
          </w:rPr>
          <w:instrText xml:space="preserve"> PAGE   \* MERGEFORMAT </w:instrText>
        </w:r>
        <w:r w:rsidRPr="006E798D">
          <w:rPr>
            <w:b/>
          </w:rPr>
          <w:fldChar w:fldCharType="separate"/>
        </w:r>
        <w:r w:rsidR="002D27BB">
          <w:rPr>
            <w:b/>
            <w:noProof/>
          </w:rPr>
          <w:t>13</w:t>
        </w:r>
        <w:r w:rsidRPr="006E798D">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F46F" w14:textId="5A6E1399" w:rsidR="003A6617" w:rsidRPr="000F3C80" w:rsidRDefault="003A6617" w:rsidP="000F3C80">
    <w:pPr>
      <w:pStyle w:val="Footer"/>
      <w:rPr>
        <w:sz w:val="20"/>
        <w:lang w:val="es-ES"/>
      </w:rPr>
    </w:pPr>
    <w:r w:rsidRPr="000F3C80">
      <w:rPr>
        <w:sz w:val="20"/>
        <w:lang w:val="es-ES"/>
      </w:rPr>
      <w:t>K1904294</w:t>
    </w:r>
    <w:r w:rsidRPr="000F3C80">
      <w:rPr>
        <w:sz w:val="20"/>
        <w:lang w:val="es-ES"/>
      </w:rPr>
      <w:tab/>
      <w:t>221119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553291"/>
      <w:docPartObj>
        <w:docPartGallery w:val="Page Numbers (Bottom of Page)"/>
        <w:docPartUnique/>
      </w:docPartObj>
    </w:sdtPr>
    <w:sdtEndPr>
      <w:rPr>
        <w:noProof/>
      </w:rPr>
    </w:sdtEndPr>
    <w:sdtContent>
      <w:p w14:paraId="4C409C81" w14:textId="41A9C8CB" w:rsidR="003A6617" w:rsidRDefault="003A6617">
        <w:pPr>
          <w:pStyle w:val="Footer"/>
        </w:pPr>
        <w:r w:rsidRPr="00AC24DE">
          <w:rPr>
            <w:b/>
          </w:rPr>
          <w:fldChar w:fldCharType="begin"/>
        </w:r>
        <w:r w:rsidRPr="00AC24DE">
          <w:rPr>
            <w:b/>
          </w:rPr>
          <w:instrText xml:space="preserve"> PAGE   \* MERGEFORMAT </w:instrText>
        </w:r>
        <w:r w:rsidRPr="00AC24DE">
          <w:rPr>
            <w:b/>
          </w:rPr>
          <w:fldChar w:fldCharType="separate"/>
        </w:r>
        <w:r w:rsidR="002D27BB">
          <w:rPr>
            <w:b/>
            <w:noProof/>
          </w:rPr>
          <w:t>20</w:t>
        </w:r>
        <w:r w:rsidRPr="00AC24DE">
          <w:rPr>
            <w:b/>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rPr>
      <w:id w:val="713246108"/>
      <w:docPartObj>
        <w:docPartGallery w:val="Page Numbers (Bottom of Page)"/>
        <w:docPartUnique/>
      </w:docPartObj>
    </w:sdtPr>
    <w:sdtContent>
      <w:p w14:paraId="3CB7FD0D" w14:textId="30C70184" w:rsidR="003A6617" w:rsidRPr="00A05FB3" w:rsidRDefault="003A6617" w:rsidP="00432816">
        <w:pPr>
          <w:pStyle w:val="Footer"/>
          <w:jc w:val="right"/>
          <w:rPr>
            <w:rFonts w:asciiTheme="majorBidi" w:hAnsiTheme="majorBidi" w:cstheme="majorBidi"/>
          </w:rPr>
        </w:pPr>
        <w:r w:rsidRPr="00621BC8">
          <w:rPr>
            <w:rFonts w:asciiTheme="majorBidi" w:hAnsiTheme="majorBidi" w:cstheme="majorBidi"/>
            <w:b/>
          </w:rPr>
          <w:fldChar w:fldCharType="begin"/>
        </w:r>
        <w:r w:rsidRPr="00621BC8">
          <w:rPr>
            <w:rFonts w:asciiTheme="majorBidi" w:hAnsiTheme="majorBidi" w:cstheme="majorBidi"/>
            <w:b/>
          </w:rPr>
          <w:instrText xml:space="preserve"> PAGE   \* MERGEFORMAT </w:instrText>
        </w:r>
        <w:r w:rsidRPr="00621BC8">
          <w:rPr>
            <w:rFonts w:asciiTheme="majorBidi" w:hAnsiTheme="majorBidi" w:cstheme="majorBidi"/>
            <w:b/>
          </w:rPr>
          <w:fldChar w:fldCharType="separate"/>
        </w:r>
        <w:r w:rsidR="002D27BB">
          <w:rPr>
            <w:rFonts w:asciiTheme="majorBidi" w:hAnsiTheme="majorBidi" w:cstheme="majorBidi"/>
            <w:b/>
            <w:noProof/>
          </w:rPr>
          <w:t>19</w:t>
        </w:r>
        <w:r w:rsidRPr="00621BC8">
          <w:rPr>
            <w:rFonts w:asciiTheme="majorBidi" w:hAnsiTheme="majorBidi" w:cstheme="majorBidi"/>
            <w:b/>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5641"/>
      <w:docPartObj>
        <w:docPartGallery w:val="Page Numbers (Bottom of Page)"/>
        <w:docPartUnique/>
      </w:docPartObj>
    </w:sdtPr>
    <w:sdtEndPr>
      <w:rPr>
        <w:b/>
        <w:bCs/>
      </w:rPr>
    </w:sdtEndPr>
    <w:sdtContent>
      <w:p w14:paraId="77BB3FD9" w14:textId="124E2B68" w:rsidR="003A6617" w:rsidRPr="00286A78" w:rsidRDefault="003A6617" w:rsidP="00646B4C">
        <w:pPr>
          <w:pStyle w:val="Footer"/>
          <w:jc w:val="right"/>
          <w:rPr>
            <w:b/>
            <w:bCs/>
          </w:rPr>
        </w:pPr>
        <w:r w:rsidRPr="00286A78">
          <w:rPr>
            <w:b/>
            <w:bCs/>
          </w:rPr>
          <w:fldChar w:fldCharType="begin"/>
        </w:r>
        <w:r w:rsidRPr="00286A78">
          <w:rPr>
            <w:b/>
            <w:bCs/>
          </w:rPr>
          <w:instrText>PAGE   \* MERGEFORMAT</w:instrText>
        </w:r>
        <w:r w:rsidRPr="00286A78">
          <w:rPr>
            <w:b/>
            <w:bCs/>
          </w:rPr>
          <w:fldChar w:fldCharType="separate"/>
        </w:r>
        <w:r w:rsidR="002D27BB">
          <w:rPr>
            <w:b/>
            <w:bCs/>
            <w:noProof/>
          </w:rPr>
          <w:t>15</w:t>
        </w:r>
        <w:r w:rsidRPr="00286A78">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6BBAF" w14:textId="77777777" w:rsidR="003A6617" w:rsidRPr="00C50DC0" w:rsidRDefault="003A6617" w:rsidP="00CA6C55">
      <w:pPr>
        <w:pStyle w:val="NormalNonumber"/>
        <w:tabs>
          <w:tab w:val="clear" w:pos="1247"/>
          <w:tab w:val="clear" w:pos="1814"/>
          <w:tab w:val="clear" w:pos="2381"/>
          <w:tab w:val="clear" w:pos="2948"/>
          <w:tab w:val="clear" w:pos="3515"/>
          <w:tab w:val="clear" w:pos="4082"/>
          <w:tab w:val="left" w:pos="624"/>
        </w:tabs>
        <w:spacing w:before="20" w:after="40"/>
        <w:ind w:left="624"/>
        <w:rPr>
          <w:sz w:val="18"/>
          <w:szCs w:val="18"/>
        </w:rPr>
      </w:pPr>
      <w:r w:rsidRPr="00C50DC0">
        <w:rPr>
          <w:sz w:val="18"/>
          <w:szCs w:val="18"/>
        </w:rPr>
        <w:separator/>
      </w:r>
    </w:p>
  </w:footnote>
  <w:footnote w:type="continuationSeparator" w:id="0">
    <w:p w14:paraId="5685B591" w14:textId="77777777" w:rsidR="003A6617" w:rsidRDefault="003A6617">
      <w:r>
        <w:continuationSeparator/>
      </w:r>
    </w:p>
  </w:footnote>
  <w:footnote w:id="1">
    <w:p w14:paraId="3F376DFC" w14:textId="77777777" w:rsidR="003A6617" w:rsidRPr="00947ECB" w:rsidRDefault="003A6617" w:rsidP="00C50DC0">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947ECB">
        <w:rPr>
          <w:sz w:val="18"/>
          <w:szCs w:val="18"/>
          <w:lang w:val="en-US"/>
        </w:rPr>
        <w:t>* UNEP/MC/COP.3/1.</w:t>
      </w:r>
    </w:p>
  </w:footnote>
  <w:footnote w:id="2">
    <w:p w14:paraId="4C833483" w14:textId="77777777" w:rsidR="003A6617" w:rsidRPr="00947ECB" w:rsidRDefault="003A6617" w:rsidP="00B17856">
      <w:pPr>
        <w:pStyle w:val="FootnoteText"/>
        <w:rPr>
          <w:szCs w:val="18"/>
          <w:lang w:val="en-US"/>
        </w:rPr>
      </w:pPr>
      <w:r w:rsidRPr="00947ECB">
        <w:rPr>
          <w:rStyle w:val="FootnoteReference"/>
          <w:sz w:val="18"/>
          <w:lang w:val="es-ES_tradnl"/>
        </w:rPr>
        <w:footnoteRef/>
      </w:r>
      <w:r w:rsidRPr="00947ECB">
        <w:rPr>
          <w:szCs w:val="18"/>
          <w:lang w:val="en-US"/>
        </w:rPr>
        <w:t xml:space="preserve"> UNEP/MC/COP.3/14.</w:t>
      </w:r>
    </w:p>
  </w:footnote>
  <w:footnote w:id="3">
    <w:p w14:paraId="608268DE" w14:textId="77777777" w:rsidR="003A6617" w:rsidRPr="00947ECB" w:rsidRDefault="003A6617" w:rsidP="003B4C6C">
      <w:pPr>
        <w:pStyle w:val="FootnoteText"/>
        <w:rPr>
          <w:szCs w:val="18"/>
          <w:lang w:val="es-ES_tradnl"/>
        </w:rPr>
      </w:pPr>
      <w:r w:rsidRPr="00947ECB">
        <w:rPr>
          <w:rStyle w:val="FootnoteReference"/>
          <w:sz w:val="18"/>
          <w:lang w:val="es-ES_tradnl"/>
        </w:rPr>
        <w:footnoteRef/>
      </w:r>
      <w:r w:rsidRPr="00947ECB">
        <w:rPr>
          <w:szCs w:val="18"/>
          <w:lang w:val="es-ES_tradnl"/>
        </w:rPr>
        <w:t xml:space="preserve"> UNEP/MC/COP.3/INF/15.</w:t>
      </w:r>
    </w:p>
  </w:footnote>
  <w:footnote w:id="4">
    <w:p w14:paraId="05FE0057" w14:textId="77777777" w:rsidR="003A6617" w:rsidRPr="00947ECB" w:rsidRDefault="003A6617" w:rsidP="000A2084">
      <w:pPr>
        <w:pStyle w:val="FootnoteText"/>
        <w:rPr>
          <w:szCs w:val="18"/>
          <w:lang w:val="es-ES_tradnl"/>
        </w:rPr>
      </w:pPr>
      <w:r w:rsidRPr="00947ECB">
        <w:rPr>
          <w:rStyle w:val="FootnoteReference"/>
          <w:sz w:val="18"/>
          <w:lang w:val="es-ES_tradnl"/>
        </w:rPr>
        <w:footnoteRef/>
      </w:r>
      <w:r w:rsidRPr="00947ECB">
        <w:rPr>
          <w:szCs w:val="18"/>
          <w:lang w:val="es-ES_tradnl"/>
        </w:rPr>
        <w:t xml:space="preserve"> UNEP/MC/COP.3/14, anexo II, secciones II y III.</w:t>
      </w:r>
    </w:p>
  </w:footnote>
  <w:footnote w:id="5">
    <w:p w14:paraId="7C5FCE76" w14:textId="77777777" w:rsidR="003A6617" w:rsidRPr="00947ECB" w:rsidRDefault="003A6617" w:rsidP="003B4C6C">
      <w:pPr>
        <w:pStyle w:val="FootnoteText"/>
        <w:rPr>
          <w:szCs w:val="18"/>
          <w:lang w:val="es-ES_tradnl"/>
        </w:rPr>
      </w:pPr>
      <w:r w:rsidRPr="00947ECB">
        <w:rPr>
          <w:rStyle w:val="FootnoteReference"/>
          <w:sz w:val="18"/>
          <w:lang w:val="es-ES_tradnl"/>
        </w:rPr>
        <w:footnoteRef/>
      </w:r>
      <w:r w:rsidRPr="00947ECB">
        <w:rPr>
          <w:szCs w:val="18"/>
          <w:lang w:val="es-ES_tradnl"/>
        </w:rPr>
        <w:t xml:space="preserve"> UNEP/MC/COP.3/14, anexo II, apéndice II.</w:t>
      </w:r>
    </w:p>
  </w:footnote>
  <w:footnote w:id="6">
    <w:p w14:paraId="0280824D" w14:textId="77777777" w:rsidR="003A6617" w:rsidRPr="00947ECB" w:rsidRDefault="003A6617" w:rsidP="00871D14">
      <w:pPr>
        <w:pStyle w:val="FootnoteText"/>
        <w:rPr>
          <w:szCs w:val="18"/>
          <w:lang w:val="es-ES_tradnl"/>
        </w:rPr>
      </w:pPr>
      <w:r w:rsidRPr="00947ECB">
        <w:rPr>
          <w:rStyle w:val="FootnoteReference"/>
          <w:sz w:val="18"/>
          <w:lang w:val="es-ES_tradnl"/>
        </w:rPr>
        <w:footnoteRef/>
      </w:r>
      <w:r w:rsidRPr="00947ECB">
        <w:rPr>
          <w:szCs w:val="18"/>
          <w:lang w:val="es-ES_tradnl"/>
        </w:rPr>
        <w:t xml:space="preserve"> UNEP/MC/COP.3/14, anexo II, apéndice III.</w:t>
      </w:r>
    </w:p>
  </w:footnote>
  <w:footnote w:id="7">
    <w:p w14:paraId="281969C5" w14:textId="77777777" w:rsidR="003A6617" w:rsidRPr="00947ECB" w:rsidRDefault="003A6617">
      <w:pPr>
        <w:pStyle w:val="FootnoteText"/>
        <w:rPr>
          <w:szCs w:val="18"/>
        </w:rPr>
      </w:pPr>
      <w:r w:rsidRPr="00947ECB">
        <w:rPr>
          <w:rStyle w:val="FootnoteReference"/>
          <w:sz w:val="18"/>
        </w:rPr>
        <w:footnoteRef/>
      </w:r>
      <w:r w:rsidRPr="00947ECB">
        <w:rPr>
          <w:szCs w:val="18"/>
        </w:rPr>
        <w:t xml:space="preserve"> </w:t>
      </w:r>
      <w:r w:rsidRPr="00947ECB">
        <w:rPr>
          <w:szCs w:val="18"/>
          <w:lang w:val="es-ES_tradnl"/>
        </w:rPr>
        <w:t xml:space="preserve">Programa de las Naciones Unidas para el Medio Ambiente, 2018. </w:t>
      </w:r>
      <w:r w:rsidRPr="00947ECB">
        <w:rPr>
          <w:i/>
          <w:iCs/>
          <w:szCs w:val="18"/>
          <w:lang w:val="es-ES_tradnl"/>
        </w:rPr>
        <w:t>Evaluación Mundial del Mercurio 2018.</w:t>
      </w:r>
      <w:r w:rsidRPr="00947ECB">
        <w:rPr>
          <w:szCs w:val="18"/>
          <w:lang w:val="es-ES_tradnl"/>
        </w:rPr>
        <w:t xml:space="preserve"> https://wedocs.unep.org/handle/20.500.11822/27579.</w:t>
      </w:r>
    </w:p>
  </w:footnote>
  <w:footnote w:id="8">
    <w:p w14:paraId="71FB8288" w14:textId="77777777" w:rsidR="003A6617" w:rsidRPr="00947ECB" w:rsidRDefault="003A6617">
      <w:pPr>
        <w:pStyle w:val="FootnoteText"/>
        <w:rPr>
          <w:szCs w:val="18"/>
          <w:lang w:val="en-US"/>
        </w:rPr>
      </w:pPr>
      <w:r w:rsidRPr="00947ECB">
        <w:rPr>
          <w:rStyle w:val="FootnoteReference"/>
          <w:sz w:val="18"/>
          <w:lang w:val="es-ES_tradnl"/>
        </w:rPr>
        <w:footnoteRef/>
      </w:r>
      <w:r w:rsidRPr="00947ECB">
        <w:rPr>
          <w:szCs w:val="18"/>
          <w:lang w:val="es-ES_tradnl"/>
        </w:rPr>
        <w:t xml:space="preserve"> Programa de las Naciones Unidas para el Medio Ambiente, 2017. </w:t>
      </w:r>
      <w:r w:rsidRPr="00947ECB">
        <w:rPr>
          <w:i/>
          <w:iCs/>
          <w:szCs w:val="18"/>
          <w:lang w:val="en-US"/>
        </w:rPr>
        <w:t>Global Mercury: Supply, Trade and Demand.</w:t>
      </w:r>
      <w:r w:rsidRPr="00947ECB">
        <w:rPr>
          <w:szCs w:val="18"/>
          <w:lang w:val="en-US"/>
        </w:rPr>
        <w:t xml:space="preserve"> https://wedocs.unep.org/handle/20.500.11822/21725. </w:t>
      </w:r>
    </w:p>
  </w:footnote>
  <w:footnote w:id="9">
    <w:p w14:paraId="58CB7EAF" w14:textId="77777777" w:rsidR="003A6617" w:rsidRPr="00947ECB" w:rsidRDefault="003A6617" w:rsidP="00B1107F">
      <w:pPr>
        <w:pStyle w:val="FootnoteText"/>
        <w:rPr>
          <w:szCs w:val="18"/>
          <w:lang w:val="es-ES_tradnl"/>
        </w:rPr>
      </w:pPr>
      <w:r w:rsidRPr="00947ECB">
        <w:rPr>
          <w:rStyle w:val="FootnoteReference"/>
          <w:sz w:val="18"/>
          <w:lang w:val="es-ES_tradnl"/>
        </w:rPr>
        <w:footnoteRef/>
      </w:r>
      <w:r w:rsidRPr="00947ECB">
        <w:rPr>
          <w:szCs w:val="18"/>
          <w:lang w:val="es-ES_tradnl"/>
        </w:rPr>
        <w:t xml:space="preserve"> Programa de las Naciones Unidas para el Medio Ambiente, 2018. </w:t>
      </w:r>
      <w:r w:rsidRPr="00947ECB">
        <w:rPr>
          <w:i/>
          <w:iCs/>
          <w:szCs w:val="18"/>
          <w:lang w:val="es-ES_tradnl"/>
        </w:rPr>
        <w:t>Evaluación mundial de los desechos de mercurio: examen de las medidas nacionales</w:t>
      </w:r>
      <w:r w:rsidRPr="00947ECB">
        <w:rPr>
          <w:szCs w:val="18"/>
          <w:lang w:val="es-ES_tradnl"/>
        </w:rPr>
        <w:t xml:space="preserve">. https://wedocs.unep.org/handle/20.500.11822/22766. </w:t>
      </w:r>
    </w:p>
  </w:footnote>
  <w:footnote w:id="10">
    <w:p w14:paraId="11C7F357" w14:textId="77777777" w:rsidR="003A6617" w:rsidRPr="00947ECB" w:rsidRDefault="003A6617">
      <w:pPr>
        <w:pStyle w:val="FootnoteText"/>
        <w:rPr>
          <w:szCs w:val="18"/>
          <w:lang w:val="es-ES_tradnl"/>
        </w:rPr>
      </w:pPr>
      <w:r w:rsidRPr="00947ECB">
        <w:rPr>
          <w:rStyle w:val="FootnoteReference"/>
          <w:sz w:val="18"/>
          <w:lang w:val="es-ES_tradnl"/>
        </w:rPr>
        <w:footnoteRef/>
      </w:r>
      <w:r w:rsidRPr="00947ECB">
        <w:rPr>
          <w:szCs w:val="18"/>
          <w:lang w:val="es-ES_tradnl"/>
        </w:rPr>
        <w:t xml:space="preserve"> En el presente informe se ha utilizado el color gris para denotar que ha habido divergencia de opiniones entre los que han formulado observaciones con respecto a la inclusión del texto sombreado.</w:t>
      </w:r>
    </w:p>
  </w:footnote>
  <w:footnote w:id="11">
    <w:p w14:paraId="3ECF1C6F" w14:textId="77777777" w:rsidR="003A6617" w:rsidRPr="00947ECB" w:rsidRDefault="003A6617" w:rsidP="00000632">
      <w:pPr>
        <w:pStyle w:val="FootnoteText"/>
        <w:rPr>
          <w:rFonts w:asciiTheme="majorBidi" w:hAnsiTheme="majorBidi" w:cstheme="majorBidi"/>
          <w:szCs w:val="18"/>
          <w:lang w:val="es-ES_tradnl"/>
        </w:rPr>
      </w:pPr>
      <w:r w:rsidRPr="00947ECB">
        <w:rPr>
          <w:rStyle w:val="FootnoteReference"/>
          <w:rFonts w:asciiTheme="majorBidi" w:hAnsiTheme="majorBidi" w:cstheme="majorBidi"/>
          <w:sz w:val="18"/>
          <w:lang w:val="es-ES_tradnl"/>
        </w:rPr>
        <w:footnoteRef/>
      </w:r>
      <w:r w:rsidRPr="00947ECB">
        <w:rPr>
          <w:szCs w:val="18"/>
          <w:lang w:val="es-ES_tradnl"/>
        </w:rPr>
        <w:t xml:space="preserve"> En la decisión MC-1/9 sobre el establecimiento de los arreglos relativos a la evaluación de la eficacia, la Conferencia de las Partes estableció un Grupo especial de expertos en arreglos para proveer a la Conferencia de las Partes de datos monitorizados comparables, y elementos de un marco de evaluación de la eficacia con arreglo al artículo 22 del Convenio de Minamata, y establecer una hoja de ruta a esos efectos. El Grupo especial de expertos elaboró un informe que se presentó a la segunda reunión de la Conferencia de las Partes (véanse los documentos UNEP/MC/COP.2/13 y UNEP/MC/COP.INF/8). Posteriormente, en la decisión MC-2/10 sobre la evaluación de la eficacia, la Conferencia de las Partes prorrogó el mandato del Grupo especial de expertos técnicos, aprobó una hoja de ruta para su labor ulterior, pidió al Grupo que elaborase el mandato para los arreglos de vigilancia mundial, y también le pidió que le informara sobre los progresos realizados a la tercera reunión de la Conferencia de las Partes. </w:t>
      </w:r>
    </w:p>
  </w:footnote>
  <w:footnote w:id="12">
    <w:p w14:paraId="2A82A145" w14:textId="77777777" w:rsidR="003A6617" w:rsidRPr="00947ECB" w:rsidRDefault="003A6617" w:rsidP="005B4165">
      <w:pPr>
        <w:pStyle w:val="FootnoteText"/>
        <w:rPr>
          <w:rFonts w:asciiTheme="majorBidi" w:hAnsiTheme="majorBidi" w:cstheme="majorBidi"/>
          <w:szCs w:val="18"/>
          <w:lang w:val="es-ES_tradnl"/>
        </w:rPr>
      </w:pPr>
      <w:r w:rsidRPr="00947ECB">
        <w:rPr>
          <w:rStyle w:val="FootnoteReference"/>
          <w:rFonts w:asciiTheme="majorBidi" w:hAnsiTheme="majorBidi" w:cstheme="majorBidi"/>
          <w:sz w:val="18"/>
          <w:lang w:val="es-ES_tradnl"/>
        </w:rPr>
        <w:footnoteRef/>
      </w:r>
      <w:r w:rsidRPr="00947ECB">
        <w:rPr>
          <w:szCs w:val="18"/>
          <w:lang w:val="es-ES_tradnl"/>
        </w:rPr>
        <w:t xml:space="preserve"> Pese a que la primera evaluación de la eficacia del Convenio de Minamata sobre el Mercurio se llevará a cabo antes de que transcurran seis años a partir de la entrada en vigor del Convenio, la Conferencia de las Partes deberá adoptar una decisión sobre los intervalos futuros entre evaluaciones de la eficacia. </w:t>
      </w:r>
    </w:p>
  </w:footnote>
  <w:footnote w:id="13">
    <w:p w14:paraId="7071B0D3" w14:textId="77777777" w:rsidR="003A6617" w:rsidRPr="00947ECB" w:rsidRDefault="003A6617" w:rsidP="004C2444">
      <w:pPr>
        <w:pStyle w:val="FootnoteText"/>
        <w:rPr>
          <w:rFonts w:asciiTheme="majorBidi" w:hAnsiTheme="majorBidi" w:cstheme="majorBidi"/>
          <w:szCs w:val="18"/>
          <w:lang w:val="es-ES_tradnl"/>
        </w:rPr>
      </w:pPr>
      <w:r w:rsidRPr="00947ECB">
        <w:rPr>
          <w:rStyle w:val="FootnoteReference"/>
          <w:rFonts w:asciiTheme="majorBidi" w:hAnsiTheme="majorBidi" w:cstheme="majorBidi"/>
          <w:sz w:val="18"/>
          <w:lang w:val="es-ES_tradnl"/>
        </w:rPr>
        <w:footnoteRef/>
      </w:r>
      <w:r w:rsidRPr="00947ECB">
        <w:rPr>
          <w:szCs w:val="18"/>
          <w:lang w:val="es-ES_tradnl"/>
        </w:rPr>
        <w:t xml:space="preserve"> En la reunión, el Grupo especial de expertos técnicos tuvo ante sí una recopilación de observaciones sobre el marco de evaluación de la eficacia (UNEP/MC/EE.2/5), una sinopsis de la información presentada por las Partes y otros interesados (UNEP/MC/EE.2/3) y la recopilación de observaciones sobre el informe presentada por el Grupo a la Conferencia de las Partes en su segunda reunión (UNEP/MC/EE.2/4)</w:t>
      </w:r>
    </w:p>
  </w:footnote>
  <w:footnote w:id="14">
    <w:p w14:paraId="45BC0459" w14:textId="0E4DAA0C" w:rsidR="003A6617" w:rsidRPr="00947ECB" w:rsidRDefault="003A6617" w:rsidP="00B1107F">
      <w:pPr>
        <w:pStyle w:val="FootnoteText"/>
        <w:rPr>
          <w:szCs w:val="18"/>
          <w:lang w:val="es-ES_tradnl"/>
        </w:rPr>
      </w:pPr>
      <w:r w:rsidRPr="00947ECB">
        <w:rPr>
          <w:rStyle w:val="FootnoteReference"/>
          <w:sz w:val="18"/>
          <w:lang w:val="es-ES_tradnl"/>
        </w:rPr>
        <w:footnoteRef/>
      </w:r>
      <w:r w:rsidRPr="00947ECB">
        <w:rPr>
          <w:szCs w:val="18"/>
          <w:lang w:val="es-ES_tradnl"/>
        </w:rPr>
        <w:t xml:space="preserve"> Acerca de la elaboración de informes, se formuló también una propuesta de organizar procesos de licitación para seleccionar los asociados que colaborarán. La propuesta se basaría en una convocatoria a presentar propuestas, que incluirá el enfoque y la metodología para la tarea señalada, la estructura que se necesita para llevar a cabo la tarea y los costos relacionados con su realización. Cualquier proceso de licitación que lleve a cabo la Secretaría se regirá por el reglamento y los procedimientos de las Naciones Unidas. Toda la información sobre dicho procedimiento se comunicará a la Conferencia de las Partes. </w:t>
      </w:r>
    </w:p>
  </w:footnote>
  <w:footnote w:id="15">
    <w:p w14:paraId="58FFABE3" w14:textId="77777777" w:rsidR="003A6617" w:rsidRPr="00947ECB" w:rsidRDefault="003A6617" w:rsidP="00B1107F">
      <w:pPr>
        <w:pStyle w:val="FootnoteText"/>
        <w:rPr>
          <w:rFonts w:asciiTheme="majorBidi" w:hAnsiTheme="majorBidi" w:cstheme="majorBidi"/>
          <w:szCs w:val="18"/>
          <w:lang w:val="es-ES_tradnl"/>
        </w:rPr>
      </w:pPr>
      <w:r w:rsidRPr="00947ECB">
        <w:rPr>
          <w:rStyle w:val="FootnoteReference"/>
          <w:rFonts w:asciiTheme="majorBidi" w:hAnsiTheme="majorBidi" w:cstheme="majorBidi"/>
          <w:sz w:val="18"/>
          <w:lang w:val="es-ES_tradnl"/>
        </w:rPr>
        <w:footnoteRef/>
      </w:r>
      <w:r w:rsidRPr="00947ECB">
        <w:rPr>
          <w:szCs w:val="18"/>
          <w:lang w:val="es-ES_tradnl"/>
        </w:rPr>
        <w:t xml:space="preserve"> En el presente informe se ha utilizado el color gris para denotar que ha habido divergencia de opiniones entre los que han formulado observaciones con respecto a la inclusión del texto sombreado.</w:t>
      </w:r>
    </w:p>
  </w:footnote>
  <w:footnote w:id="16">
    <w:p w14:paraId="63721055" w14:textId="77777777" w:rsidR="003A6617" w:rsidRPr="00947ECB" w:rsidRDefault="003A6617" w:rsidP="00B1107F">
      <w:pPr>
        <w:pStyle w:val="FootnoteText"/>
        <w:rPr>
          <w:szCs w:val="18"/>
          <w:lang w:val="es-ES_tradnl"/>
        </w:rPr>
      </w:pPr>
      <w:r w:rsidRPr="00947ECB">
        <w:rPr>
          <w:rStyle w:val="FootnoteReference"/>
          <w:sz w:val="18"/>
          <w:lang w:val="es-ES_tradnl"/>
        </w:rPr>
        <w:footnoteRef/>
      </w:r>
      <w:r w:rsidRPr="00947ECB">
        <w:rPr>
          <w:szCs w:val="18"/>
          <w:lang w:val="es-ES_tradnl"/>
        </w:rPr>
        <w:t xml:space="preserve"> En el presente informe se ha utilizado el color gris para denotar que ha habido divergencia de opiniones entre los que han formulado observaciones con respecto a la inclusión del texto sombreado.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D658" w14:textId="77777777" w:rsidR="003A6617" w:rsidRPr="004676B8" w:rsidRDefault="003A6617" w:rsidP="003974D7">
    <w:pPr>
      <w:pBdr>
        <w:bottom w:val="single" w:sz="4" w:space="1" w:color="auto"/>
      </w:pBdr>
      <w:rPr>
        <w:b/>
        <w:bCs/>
        <w:sz w:val="18"/>
        <w:szCs w:val="18"/>
      </w:rPr>
    </w:pPr>
    <w:r w:rsidRPr="004676B8">
      <w:rPr>
        <w:b/>
        <w:bCs/>
        <w:sz w:val="18"/>
        <w:szCs w:val="18"/>
      </w:rP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7A457" w14:textId="77777777" w:rsidR="003A6617" w:rsidRPr="004676B8" w:rsidRDefault="003A6617" w:rsidP="003974D7">
    <w:pPr>
      <w:pBdr>
        <w:bottom w:val="single" w:sz="4" w:space="1" w:color="auto"/>
      </w:pBdr>
      <w:jc w:val="right"/>
      <w:rPr>
        <w:b/>
        <w:bCs/>
        <w:sz w:val="18"/>
        <w:szCs w:val="18"/>
      </w:rPr>
    </w:pPr>
    <w:r w:rsidRPr="004676B8">
      <w:rPr>
        <w:b/>
        <w:bCs/>
        <w:sz w:val="18"/>
        <w:szCs w:val="18"/>
      </w:rP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F3C45" w14:textId="373C8ACF" w:rsidR="003A6617" w:rsidRPr="006E798D" w:rsidRDefault="003A6617" w:rsidP="006E798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3082" w14:textId="77777777" w:rsidR="003A6617" w:rsidRPr="004676B8" w:rsidRDefault="003A6617" w:rsidP="00781EF1">
    <w:pPr>
      <w:pBdr>
        <w:bottom w:val="single" w:sz="4" w:space="1" w:color="auto"/>
      </w:pBdr>
      <w:jc w:val="right"/>
      <w:rPr>
        <w:b/>
        <w:bCs/>
        <w:sz w:val="18"/>
        <w:szCs w:val="18"/>
      </w:rPr>
    </w:pPr>
    <w:r w:rsidRPr="004676B8">
      <w:rPr>
        <w:b/>
        <w:bCs/>
        <w:sz w:val="18"/>
        <w:szCs w:val="18"/>
      </w:rPr>
      <w:t>UNEP/MC/COP.3/14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48DE" w14:textId="77777777" w:rsidR="003A6617" w:rsidRPr="004676B8" w:rsidRDefault="003A6617" w:rsidP="00781EF1">
    <w:pPr>
      <w:pBdr>
        <w:bottom w:val="single" w:sz="4" w:space="1" w:color="auto"/>
      </w:pBdr>
      <w:rPr>
        <w:b/>
        <w:bCs/>
        <w:sz w:val="18"/>
        <w:szCs w:val="18"/>
      </w:rPr>
    </w:pPr>
    <w:r w:rsidRPr="004676B8">
      <w:rPr>
        <w:b/>
        <w:bCs/>
        <w:sz w:val="18"/>
        <w:szCs w:val="18"/>
      </w:rPr>
      <w:t>UNEP/MC/COP.3/14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3699" w14:textId="77777777" w:rsidR="003A6617" w:rsidRPr="00621BC8" w:rsidRDefault="003A6617">
    <w:pPr>
      <w:pStyle w:val="Header"/>
    </w:pPr>
    <w:r w:rsidRPr="00621BC8">
      <w:t>UNEP/MC/COP.3/14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E3A97" w14:textId="77777777" w:rsidR="003A6617" w:rsidRPr="00621BC8" w:rsidRDefault="003A6617" w:rsidP="00621BC8">
    <w:pPr>
      <w:pStyle w:val="Header"/>
      <w:jc w:val="right"/>
    </w:pPr>
    <w:r w:rsidRPr="00621BC8">
      <w:t>UNEP/MC/COP.3/14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160DC" w14:textId="77777777" w:rsidR="003A6617" w:rsidRPr="00774A74" w:rsidRDefault="003A6617" w:rsidP="00646B4C">
    <w:pPr>
      <w:pBdr>
        <w:bottom w:val="single" w:sz="4" w:space="1" w:color="auto"/>
      </w:pBdr>
      <w:jc w:val="right"/>
      <w:rPr>
        <w:b/>
        <w:bCs/>
      </w:rPr>
    </w:pPr>
    <w:r w:rsidRPr="00774A74">
      <w:rPr>
        <w:b/>
        <w:bCs/>
      </w:rPr>
      <w:t>UNEP/MC/COP.3/14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3144F80"/>
    <w:multiLevelType w:val="hybridMultilevel"/>
    <w:tmpl w:val="58A40E66"/>
    <w:lvl w:ilvl="0" w:tplc="A844B488">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 w15:restartNumberingAfterBreak="0">
    <w:nsid w:val="0544388F"/>
    <w:multiLevelType w:val="hybridMultilevel"/>
    <w:tmpl w:val="0408E60A"/>
    <w:styleLink w:val="Importovanstyl4"/>
    <w:lvl w:ilvl="0" w:tplc="9412F3FC">
      <w:start w:val="1"/>
      <w:numFmt w:val="lowerLetter"/>
      <w:lvlText w:val="%1."/>
      <w:lvlJc w:val="left"/>
      <w:pPr>
        <w:tabs>
          <w:tab w:val="num" w:pos="1440"/>
        </w:tabs>
        <w:ind w:left="1786"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C6A5EA">
      <w:start w:val="1"/>
      <w:numFmt w:val="lowerRoman"/>
      <w:suff w:val="nothing"/>
      <w:lvlText w:val="%2."/>
      <w:lvlJc w:val="left"/>
      <w:pPr>
        <w:ind w:left="2160" w:hanging="4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9A66B6">
      <w:start w:val="1"/>
      <w:numFmt w:val="lowerRoman"/>
      <w:lvlText w:val="%3."/>
      <w:lvlJc w:val="left"/>
      <w:pPr>
        <w:tabs>
          <w:tab w:val="num" w:pos="2880"/>
        </w:tabs>
        <w:ind w:left="3226"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922EFE">
      <w:start w:val="1"/>
      <w:numFmt w:val="decimal"/>
      <w:lvlText w:val="%4."/>
      <w:lvlJc w:val="left"/>
      <w:pPr>
        <w:tabs>
          <w:tab w:val="num" w:pos="3515"/>
        </w:tabs>
        <w:ind w:left="3861" w:hanging="6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E2E300">
      <w:start w:val="1"/>
      <w:numFmt w:val="lowerLetter"/>
      <w:lvlText w:val="%5."/>
      <w:lvlJc w:val="left"/>
      <w:pPr>
        <w:tabs>
          <w:tab w:val="num" w:pos="4320"/>
        </w:tabs>
        <w:ind w:left="4666"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683CDE">
      <w:start w:val="1"/>
      <w:numFmt w:val="lowerRoman"/>
      <w:lvlText w:val="%6."/>
      <w:lvlJc w:val="left"/>
      <w:pPr>
        <w:tabs>
          <w:tab w:val="num" w:pos="5040"/>
        </w:tabs>
        <w:ind w:left="5386"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86E180">
      <w:start w:val="1"/>
      <w:numFmt w:val="decimal"/>
      <w:lvlText w:val="%7."/>
      <w:lvlJc w:val="left"/>
      <w:pPr>
        <w:tabs>
          <w:tab w:val="num" w:pos="5760"/>
        </w:tabs>
        <w:ind w:left="6106"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F6D208">
      <w:start w:val="1"/>
      <w:numFmt w:val="lowerLetter"/>
      <w:lvlText w:val="%8."/>
      <w:lvlJc w:val="left"/>
      <w:pPr>
        <w:tabs>
          <w:tab w:val="num" w:pos="6480"/>
        </w:tabs>
        <w:ind w:left="6826"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F0C4F2">
      <w:start w:val="1"/>
      <w:numFmt w:val="lowerRoman"/>
      <w:lvlText w:val="%9."/>
      <w:lvlJc w:val="left"/>
      <w:pPr>
        <w:tabs>
          <w:tab w:val="num" w:pos="7200"/>
        </w:tabs>
        <w:ind w:left="7546"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9ED7D9C"/>
    <w:multiLevelType w:val="hybridMultilevel"/>
    <w:tmpl w:val="111CC40A"/>
    <w:lvl w:ilvl="0" w:tplc="2EA02082">
      <w:start w:val="1"/>
      <w:numFmt w:val="lowerLetter"/>
      <w:lvlText w:val="(%1)"/>
      <w:lvlJc w:val="left"/>
      <w:pPr>
        <w:ind w:left="2591" w:hanging="360"/>
      </w:pPr>
      <w:rPr>
        <w:rFonts w:hint="default"/>
      </w:rPr>
    </w:lvl>
    <w:lvl w:ilvl="1" w:tplc="29FAD3DE">
      <w:start w:val="1"/>
      <w:numFmt w:val="lowerLetter"/>
      <w:lvlText w:val="%2)"/>
      <w:lvlJc w:val="left"/>
      <w:pPr>
        <w:ind w:left="3311" w:hanging="360"/>
      </w:pPr>
      <w:rPr>
        <w:rFonts w:asciiTheme="majorBidi" w:eastAsia="Times New Roman" w:hAnsiTheme="majorBidi" w:cstheme="majorBidi"/>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F886ADE"/>
    <w:multiLevelType w:val="multilevel"/>
    <w:tmpl w:val="BEFEA9A2"/>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1A863F1"/>
    <w:multiLevelType w:val="hybridMultilevel"/>
    <w:tmpl w:val="50E0F532"/>
    <w:lvl w:ilvl="0" w:tplc="41A47B4E">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7" w15:restartNumberingAfterBreak="0">
    <w:nsid w:val="231E6EEE"/>
    <w:multiLevelType w:val="hybridMultilevel"/>
    <w:tmpl w:val="EFD454D8"/>
    <w:styleLink w:val="Importovanstyl1"/>
    <w:lvl w:ilvl="0" w:tplc="4038FB9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6E4CC8">
      <w:start w:val="1"/>
      <w:numFmt w:val="lowerLetter"/>
      <w:suff w:val="nothing"/>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9C9E56">
      <w:start w:val="1"/>
      <w:numFmt w:val="lowerRoman"/>
      <w:lvlText w:val="%3."/>
      <w:lvlJc w:val="left"/>
      <w:pPr>
        <w:tabs>
          <w:tab w:val="num" w:pos="2160"/>
        </w:tabs>
        <w:ind w:left="235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5277AE">
      <w:start w:val="1"/>
      <w:numFmt w:val="lowerLetter"/>
      <w:lvlText w:val="(%4)"/>
      <w:lvlJc w:val="left"/>
      <w:pPr>
        <w:tabs>
          <w:tab w:val="num" w:pos="2880"/>
        </w:tabs>
        <w:ind w:left="307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4EE106">
      <w:start w:val="1"/>
      <w:numFmt w:val="lowerLetter"/>
      <w:lvlText w:val="%5."/>
      <w:lvlJc w:val="left"/>
      <w:pPr>
        <w:tabs>
          <w:tab w:val="num" w:pos="3515"/>
        </w:tabs>
        <w:ind w:left="3708"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2007E">
      <w:start w:val="1"/>
      <w:numFmt w:val="lowerRoman"/>
      <w:lvlText w:val="%6."/>
      <w:lvlJc w:val="left"/>
      <w:pPr>
        <w:tabs>
          <w:tab w:val="num" w:pos="4320"/>
        </w:tabs>
        <w:ind w:left="451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E85380">
      <w:start w:val="1"/>
      <w:numFmt w:val="decimal"/>
      <w:lvlText w:val="%7."/>
      <w:lvlJc w:val="left"/>
      <w:pPr>
        <w:tabs>
          <w:tab w:val="num" w:pos="5040"/>
        </w:tabs>
        <w:ind w:left="523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3A2B02">
      <w:start w:val="1"/>
      <w:numFmt w:val="lowerLetter"/>
      <w:lvlText w:val="%8."/>
      <w:lvlJc w:val="left"/>
      <w:pPr>
        <w:tabs>
          <w:tab w:val="num" w:pos="5760"/>
        </w:tabs>
        <w:ind w:left="595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EAD162">
      <w:start w:val="1"/>
      <w:numFmt w:val="lowerRoman"/>
      <w:lvlText w:val="%9."/>
      <w:lvlJc w:val="left"/>
      <w:pPr>
        <w:tabs>
          <w:tab w:val="num" w:pos="6480"/>
        </w:tabs>
        <w:ind w:left="667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262CC"/>
    <w:multiLevelType w:val="hybridMultilevel"/>
    <w:tmpl w:val="ED64C6FC"/>
    <w:lvl w:ilvl="0" w:tplc="566E0D34">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0" w15:restartNumberingAfterBreak="0">
    <w:nsid w:val="34B12B6F"/>
    <w:multiLevelType w:val="hybridMultilevel"/>
    <w:tmpl w:val="B0EE3E46"/>
    <w:lvl w:ilvl="0" w:tplc="8B107AEC">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1" w15:restartNumberingAfterBreak="0">
    <w:nsid w:val="354967AF"/>
    <w:multiLevelType w:val="hybridMultilevel"/>
    <w:tmpl w:val="F3664BC0"/>
    <w:styleLink w:val="Importovanstyl3"/>
    <w:lvl w:ilvl="0" w:tplc="999A58CC">
      <w:start w:val="1"/>
      <w:numFmt w:val="lowerLetter"/>
      <w:suff w:val="nothing"/>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C80656">
      <w:start w:val="1"/>
      <w:numFmt w:val="lowerLetter"/>
      <w:lvlText w:val="%2."/>
      <w:lvlJc w:val="left"/>
      <w:pPr>
        <w:tabs>
          <w:tab w:val="num" w:pos="2160"/>
        </w:tabs>
        <w:ind w:left="235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A87AF0">
      <w:start w:val="1"/>
      <w:numFmt w:val="lowerRoman"/>
      <w:lvlText w:val="%3."/>
      <w:lvlJc w:val="left"/>
      <w:pPr>
        <w:tabs>
          <w:tab w:val="num" w:pos="2880"/>
        </w:tabs>
        <w:ind w:left="307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EC0044">
      <w:start w:val="1"/>
      <w:numFmt w:val="decimal"/>
      <w:lvlText w:val="%4."/>
      <w:lvlJc w:val="left"/>
      <w:pPr>
        <w:tabs>
          <w:tab w:val="num" w:pos="3515"/>
        </w:tabs>
        <w:ind w:left="3708"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D0C4FC">
      <w:start w:val="1"/>
      <w:numFmt w:val="lowerLetter"/>
      <w:lvlText w:val="%5."/>
      <w:lvlJc w:val="left"/>
      <w:pPr>
        <w:tabs>
          <w:tab w:val="num" w:pos="4320"/>
        </w:tabs>
        <w:ind w:left="451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2E998">
      <w:start w:val="1"/>
      <w:numFmt w:val="lowerRoman"/>
      <w:lvlText w:val="%6."/>
      <w:lvlJc w:val="left"/>
      <w:pPr>
        <w:tabs>
          <w:tab w:val="num" w:pos="5040"/>
        </w:tabs>
        <w:ind w:left="523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ECE55A">
      <w:start w:val="1"/>
      <w:numFmt w:val="decimal"/>
      <w:lvlText w:val="%7."/>
      <w:lvlJc w:val="left"/>
      <w:pPr>
        <w:tabs>
          <w:tab w:val="num" w:pos="5760"/>
        </w:tabs>
        <w:ind w:left="595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F04304">
      <w:start w:val="1"/>
      <w:numFmt w:val="lowerLetter"/>
      <w:lvlText w:val="%8."/>
      <w:lvlJc w:val="left"/>
      <w:pPr>
        <w:tabs>
          <w:tab w:val="num" w:pos="6480"/>
        </w:tabs>
        <w:ind w:left="6673" w:hanging="5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70F954">
      <w:start w:val="1"/>
      <w:numFmt w:val="lowerRoman"/>
      <w:lvlText w:val="%9."/>
      <w:lvlJc w:val="left"/>
      <w:pPr>
        <w:tabs>
          <w:tab w:val="num" w:pos="7200"/>
        </w:tabs>
        <w:ind w:left="7393" w:hanging="4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374223A1"/>
    <w:multiLevelType w:val="hybridMultilevel"/>
    <w:tmpl w:val="12360778"/>
    <w:styleLink w:val="Importovanstyl2"/>
    <w:lvl w:ilvl="0" w:tplc="E0441F5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EE9AAE">
      <w:start w:val="1"/>
      <w:numFmt w:val="lowerLetter"/>
      <w:suff w:val="nothing"/>
      <w:lvlText w:val="%2."/>
      <w:lvlJc w:val="left"/>
      <w:pPr>
        <w:ind w:left="1247" w:hanging="1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88BE26">
      <w:start w:val="1"/>
      <w:numFmt w:val="lowerRoman"/>
      <w:lvlText w:val="%3."/>
      <w:lvlJc w:val="left"/>
      <w:pPr>
        <w:ind w:left="216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8A013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127BD8">
      <w:start w:val="1"/>
      <w:numFmt w:val="lowerLetter"/>
      <w:lvlText w:val="%5."/>
      <w:lvlJc w:val="left"/>
      <w:pPr>
        <w:ind w:left="3515" w:hanging="2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469224">
      <w:start w:val="1"/>
      <w:numFmt w:val="lowerRoman"/>
      <w:lvlText w:val="%6."/>
      <w:lvlJc w:val="left"/>
      <w:pPr>
        <w:ind w:left="432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80A17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76463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50DFE8">
      <w:start w:val="1"/>
      <w:numFmt w:val="lowerRoman"/>
      <w:lvlText w:val="%9."/>
      <w:lvlJc w:val="left"/>
      <w:pPr>
        <w:ind w:left="648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C70C94"/>
    <w:multiLevelType w:val="hybridMultilevel"/>
    <w:tmpl w:val="A706FDE0"/>
    <w:lvl w:ilvl="0" w:tplc="34D2C2C0">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7" w15:restartNumberingAfterBreak="0">
    <w:nsid w:val="41005A6B"/>
    <w:multiLevelType w:val="hybridMultilevel"/>
    <w:tmpl w:val="8CE258C0"/>
    <w:lvl w:ilvl="0" w:tplc="0F0A4DB4">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64468E6"/>
    <w:multiLevelType w:val="hybridMultilevel"/>
    <w:tmpl w:val="3508E94A"/>
    <w:styleLink w:val="Importovanstyl7"/>
    <w:lvl w:ilvl="0" w:tplc="5FAEEF74">
      <w:start w:val="1"/>
      <w:numFmt w:val="decimal"/>
      <w:lvlText w:val="%1."/>
      <w:lvlJc w:val="left"/>
      <w:pPr>
        <w:tabs>
          <w:tab w:val="left" w:pos="624"/>
          <w:tab w:val="left" w:pos="1247"/>
          <w:tab w:val="num" w:pos="1814"/>
          <w:tab w:val="left" w:pos="1872"/>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56B4DA">
      <w:start w:val="1"/>
      <w:numFmt w:val="lowerLetter"/>
      <w:lvlText w:val="%2."/>
      <w:lvlJc w:val="left"/>
      <w:pPr>
        <w:tabs>
          <w:tab w:val="left" w:pos="624"/>
          <w:tab w:val="left" w:pos="1247"/>
          <w:tab w:val="left" w:pos="1814"/>
          <w:tab w:val="left" w:pos="1872"/>
          <w:tab w:val="num" w:pos="2534"/>
          <w:tab w:val="left" w:pos="2948"/>
          <w:tab w:val="left" w:pos="3515"/>
          <w:tab w:val="left" w:pos="4082"/>
          <w:tab w:val="left" w:pos="4368"/>
          <w:tab w:val="left" w:pos="4992"/>
          <w:tab w:val="left" w:pos="5616"/>
          <w:tab w:val="left" w:pos="6240"/>
          <w:tab w:val="left" w:pos="6864"/>
          <w:tab w:val="left" w:pos="7488"/>
          <w:tab w:val="left" w:pos="8112"/>
          <w:tab w:val="left" w:pos="8736"/>
        </w:tabs>
        <w:ind w:left="1967" w:firstLine="2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8C3058">
      <w:start w:val="1"/>
      <w:numFmt w:val="lowerRoman"/>
      <w:lvlText w:val="%3."/>
      <w:lvlJc w:val="left"/>
      <w:pPr>
        <w:tabs>
          <w:tab w:val="left" w:pos="624"/>
          <w:tab w:val="left" w:pos="1247"/>
          <w:tab w:val="left" w:pos="1814"/>
          <w:tab w:val="left" w:pos="1872"/>
          <w:tab w:val="left" w:pos="2381"/>
          <w:tab w:val="left" w:pos="2948"/>
          <w:tab w:val="num" w:pos="3254"/>
          <w:tab w:val="left" w:pos="3515"/>
          <w:tab w:val="left" w:pos="4082"/>
          <w:tab w:val="left" w:pos="4368"/>
          <w:tab w:val="left" w:pos="4992"/>
          <w:tab w:val="left" w:pos="5616"/>
          <w:tab w:val="left" w:pos="6240"/>
          <w:tab w:val="left" w:pos="6864"/>
          <w:tab w:val="left" w:pos="7488"/>
          <w:tab w:val="left" w:pos="8112"/>
          <w:tab w:val="left" w:pos="8736"/>
        </w:tabs>
        <w:ind w:left="2687" w:firstLine="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AEB576">
      <w:start w:val="1"/>
      <w:numFmt w:val="decimal"/>
      <w:lvlText w:val="%4."/>
      <w:lvlJc w:val="left"/>
      <w:pPr>
        <w:tabs>
          <w:tab w:val="left" w:pos="624"/>
          <w:tab w:val="left" w:pos="1247"/>
          <w:tab w:val="left" w:pos="1814"/>
          <w:tab w:val="left" w:pos="1872"/>
          <w:tab w:val="left" w:pos="2381"/>
          <w:tab w:val="left" w:pos="2948"/>
          <w:tab w:val="left" w:pos="3515"/>
          <w:tab w:val="num" w:pos="3974"/>
          <w:tab w:val="left" w:pos="4082"/>
          <w:tab w:val="left" w:pos="4368"/>
          <w:tab w:val="left" w:pos="4992"/>
          <w:tab w:val="left" w:pos="5616"/>
          <w:tab w:val="left" w:pos="6240"/>
          <w:tab w:val="left" w:pos="6864"/>
          <w:tab w:val="left" w:pos="7488"/>
          <w:tab w:val="left" w:pos="8112"/>
          <w:tab w:val="left" w:pos="8736"/>
        </w:tabs>
        <w:ind w:left="3407" w:firstLine="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B43460">
      <w:start w:val="1"/>
      <w:numFmt w:val="lowerLetter"/>
      <w:lvlText w:val="%5."/>
      <w:lvlJc w:val="left"/>
      <w:pPr>
        <w:tabs>
          <w:tab w:val="left" w:pos="624"/>
          <w:tab w:val="left" w:pos="1247"/>
          <w:tab w:val="left" w:pos="1814"/>
          <w:tab w:val="left" w:pos="1872"/>
          <w:tab w:val="left" w:pos="2381"/>
          <w:tab w:val="left" w:pos="2948"/>
          <w:tab w:val="left" w:pos="3515"/>
          <w:tab w:val="left" w:pos="4082"/>
          <w:tab w:val="left" w:pos="4368"/>
          <w:tab w:val="num" w:pos="4694"/>
          <w:tab w:val="left" w:pos="4992"/>
          <w:tab w:val="left" w:pos="5616"/>
          <w:tab w:val="left" w:pos="6240"/>
          <w:tab w:val="left" w:pos="6864"/>
          <w:tab w:val="left" w:pos="7488"/>
          <w:tab w:val="left" w:pos="8112"/>
          <w:tab w:val="left" w:pos="8736"/>
        </w:tabs>
        <w:ind w:left="4127" w:firstLine="3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2D4CC">
      <w:start w:val="1"/>
      <w:numFmt w:val="lowerRoman"/>
      <w:lvlText w:val="%6."/>
      <w:lvlJc w:val="left"/>
      <w:pPr>
        <w:tabs>
          <w:tab w:val="left" w:pos="624"/>
          <w:tab w:val="left" w:pos="1247"/>
          <w:tab w:val="left" w:pos="1814"/>
          <w:tab w:val="left" w:pos="1872"/>
          <w:tab w:val="left" w:pos="2381"/>
          <w:tab w:val="left" w:pos="2948"/>
          <w:tab w:val="left" w:pos="3515"/>
          <w:tab w:val="left" w:pos="4082"/>
          <w:tab w:val="left" w:pos="4368"/>
          <w:tab w:val="num" w:pos="5414"/>
          <w:tab w:val="left" w:pos="5616"/>
          <w:tab w:val="left" w:pos="6240"/>
          <w:tab w:val="left" w:pos="6864"/>
          <w:tab w:val="left" w:pos="7488"/>
          <w:tab w:val="left" w:pos="8112"/>
          <w:tab w:val="left" w:pos="8736"/>
        </w:tabs>
        <w:ind w:left="4847"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68CB3E">
      <w:start w:val="1"/>
      <w:numFmt w:val="decimal"/>
      <w:lvlText w:val="%7."/>
      <w:lvlJc w:val="left"/>
      <w:pPr>
        <w:tabs>
          <w:tab w:val="left" w:pos="624"/>
          <w:tab w:val="left" w:pos="1247"/>
          <w:tab w:val="left" w:pos="1814"/>
          <w:tab w:val="left" w:pos="1872"/>
          <w:tab w:val="left" w:pos="2381"/>
          <w:tab w:val="left" w:pos="2948"/>
          <w:tab w:val="left" w:pos="3515"/>
          <w:tab w:val="left" w:pos="4082"/>
          <w:tab w:val="left" w:pos="4368"/>
          <w:tab w:val="left" w:pos="4992"/>
          <w:tab w:val="num" w:pos="6134"/>
          <w:tab w:val="left" w:pos="6240"/>
          <w:tab w:val="left" w:pos="6864"/>
          <w:tab w:val="left" w:pos="7488"/>
          <w:tab w:val="left" w:pos="8112"/>
          <w:tab w:val="left" w:pos="8736"/>
        </w:tabs>
        <w:ind w:left="5567" w:hanging="1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3896F6">
      <w:start w:val="1"/>
      <w:numFmt w:val="lowerLetter"/>
      <w:lvlText w:val="%8."/>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num" w:pos="6854"/>
          <w:tab w:val="left" w:pos="6864"/>
          <w:tab w:val="left" w:pos="7488"/>
          <w:tab w:val="left" w:pos="8112"/>
          <w:tab w:val="left" w:pos="8736"/>
        </w:tabs>
        <w:ind w:left="6287" w:hanging="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AC2610">
      <w:start w:val="1"/>
      <w:numFmt w:val="lowerRoman"/>
      <w:lvlText w:val="%9."/>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left" w:pos="6864"/>
          <w:tab w:val="num" w:pos="7574"/>
          <w:tab w:val="left" w:pos="8112"/>
          <w:tab w:val="left" w:pos="8736"/>
        </w:tabs>
        <w:ind w:left="7007" w:firstLine="1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15310B5"/>
    <w:multiLevelType w:val="hybridMultilevel"/>
    <w:tmpl w:val="B23636F0"/>
    <w:lvl w:ilvl="0" w:tplc="276A931C">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3" w15:restartNumberingAfterBreak="0">
    <w:nsid w:val="52A66A9D"/>
    <w:multiLevelType w:val="multilevel"/>
    <w:tmpl w:val="01D6DE2E"/>
    <w:styleLink w:val="Normallist"/>
    <w:lvl w:ilvl="0">
      <w:start w:val="1"/>
      <w:numFmt w:val="decimal"/>
      <w:lvlText w:val="%1."/>
      <w:lvlJc w:val="left"/>
      <w:pPr>
        <w:tabs>
          <w:tab w:val="num" w:pos="1057"/>
        </w:tabs>
        <w:ind w:left="1170" w:firstLine="0"/>
      </w:pPr>
      <w:rPr>
        <w:rFonts w:hint="default"/>
      </w:rPr>
    </w:lvl>
    <w:lvl w:ilvl="1">
      <w:start w:val="1"/>
      <w:numFmt w:val="lowerLetter"/>
      <w:lvlText w:val="%2)"/>
      <w:lvlJc w:val="left"/>
      <w:pPr>
        <w:tabs>
          <w:tab w:val="num" w:pos="1057"/>
        </w:tabs>
        <w:ind w:left="1170" w:firstLine="567"/>
      </w:pPr>
      <w:rPr>
        <w:rFonts w:asciiTheme="majorBidi" w:eastAsia="Times New Roman" w:hAnsiTheme="majorBidi" w:cstheme="majorBidi"/>
      </w:rPr>
    </w:lvl>
    <w:lvl w:ilvl="2">
      <w:start w:val="1"/>
      <w:numFmt w:val="lowerRoman"/>
      <w:lvlText w:val="(%3)"/>
      <w:lvlJc w:val="left"/>
      <w:pPr>
        <w:tabs>
          <w:tab w:val="num" w:pos="1057"/>
        </w:tabs>
        <w:ind w:left="2871" w:hanging="567"/>
      </w:pPr>
      <w:rPr>
        <w:rFonts w:hint="default"/>
      </w:rPr>
    </w:lvl>
    <w:lvl w:ilvl="3">
      <w:start w:val="1"/>
      <w:numFmt w:val="lowerLetter"/>
      <w:lvlText w:val="%4."/>
      <w:lvlJc w:val="left"/>
      <w:pPr>
        <w:tabs>
          <w:tab w:val="num" w:pos="1057"/>
        </w:tabs>
        <w:ind w:left="3438" w:hanging="567"/>
      </w:pPr>
      <w:rPr>
        <w:rFonts w:hint="default"/>
      </w:rPr>
    </w:lvl>
    <w:lvl w:ilvl="4">
      <w:start w:val="1"/>
      <w:numFmt w:val="lowerRoman"/>
      <w:lvlText w:val="%5."/>
      <w:lvlJc w:val="left"/>
      <w:pPr>
        <w:tabs>
          <w:tab w:val="num" w:pos="1057"/>
        </w:tabs>
        <w:ind w:left="4005" w:hanging="567"/>
      </w:pPr>
      <w:rPr>
        <w:rFonts w:hint="default"/>
      </w:rPr>
    </w:lvl>
    <w:lvl w:ilvl="5">
      <w:start w:val="1"/>
      <w:numFmt w:val="lowerRoman"/>
      <w:lvlText w:val="%6."/>
      <w:lvlJc w:val="right"/>
      <w:pPr>
        <w:tabs>
          <w:tab w:val="num" w:pos="7758"/>
        </w:tabs>
        <w:ind w:left="7758" w:hanging="180"/>
      </w:pPr>
      <w:rPr>
        <w:rFonts w:hint="default"/>
      </w:rPr>
    </w:lvl>
    <w:lvl w:ilvl="6">
      <w:start w:val="1"/>
      <w:numFmt w:val="decimal"/>
      <w:lvlText w:val="%7."/>
      <w:lvlJc w:val="left"/>
      <w:pPr>
        <w:tabs>
          <w:tab w:val="num" w:pos="8478"/>
        </w:tabs>
        <w:ind w:left="8478" w:hanging="360"/>
      </w:pPr>
      <w:rPr>
        <w:rFonts w:hint="default"/>
      </w:rPr>
    </w:lvl>
    <w:lvl w:ilvl="7">
      <w:start w:val="1"/>
      <w:numFmt w:val="lowerLetter"/>
      <w:lvlText w:val="%8."/>
      <w:lvlJc w:val="left"/>
      <w:pPr>
        <w:tabs>
          <w:tab w:val="num" w:pos="9198"/>
        </w:tabs>
        <w:ind w:left="9198" w:hanging="360"/>
      </w:pPr>
      <w:rPr>
        <w:rFonts w:hint="default"/>
      </w:rPr>
    </w:lvl>
    <w:lvl w:ilvl="8">
      <w:start w:val="1"/>
      <w:numFmt w:val="lowerRoman"/>
      <w:lvlText w:val="%9."/>
      <w:lvlJc w:val="right"/>
      <w:pPr>
        <w:tabs>
          <w:tab w:val="num" w:pos="9918"/>
        </w:tabs>
        <w:ind w:left="9918" w:hanging="180"/>
      </w:pPr>
      <w:rPr>
        <w:rFonts w:hint="default"/>
      </w:rPr>
    </w:lvl>
  </w:abstractNum>
  <w:abstractNum w:abstractNumId="24" w15:restartNumberingAfterBreak="0">
    <w:nsid w:val="5B616B0E"/>
    <w:multiLevelType w:val="hybridMultilevel"/>
    <w:tmpl w:val="B85AEFA2"/>
    <w:lvl w:ilvl="0" w:tplc="C3EE29EC">
      <w:start w:val="1"/>
      <w:numFmt w:val="decimal"/>
      <w:lvlText w:val="%1."/>
      <w:lvlJc w:val="left"/>
      <w:pPr>
        <w:ind w:left="1607" w:hanging="360"/>
      </w:pPr>
      <w:rPr>
        <w:rFonts w:hint="default"/>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25" w15:restartNumberingAfterBreak="0">
    <w:nsid w:val="5CB4301B"/>
    <w:multiLevelType w:val="hybridMultilevel"/>
    <w:tmpl w:val="6A70E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103A86"/>
    <w:multiLevelType w:val="hybridMultilevel"/>
    <w:tmpl w:val="B6D6A768"/>
    <w:styleLink w:val="Importovanstyl40"/>
    <w:lvl w:ilvl="0" w:tplc="B972F866">
      <w:start w:val="1"/>
      <w:numFmt w:val="bullet"/>
      <w:lvlText w:val="·"/>
      <w:lvlJc w:val="left"/>
      <w:pPr>
        <w:tabs>
          <w:tab w:val="num"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8A8338">
      <w:start w:val="1"/>
      <w:numFmt w:val="bullet"/>
      <w:lvlText w:val="o"/>
      <w:lvlJc w:val="left"/>
      <w:pPr>
        <w:tabs>
          <w:tab w:val="left" w:pos="624"/>
          <w:tab w:val="num"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53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129948">
      <w:start w:val="1"/>
      <w:numFmt w:val="bullet"/>
      <w:lvlText w:val="▪"/>
      <w:lvlJc w:val="left"/>
      <w:pPr>
        <w:tabs>
          <w:tab w:val="left" w:pos="624"/>
          <w:tab w:val="left" w:pos="1248"/>
          <w:tab w:val="left" w:pos="1872"/>
          <w:tab w:val="num" w:pos="2160"/>
          <w:tab w:val="left" w:pos="2496"/>
          <w:tab w:val="left" w:pos="3120"/>
          <w:tab w:val="left" w:pos="3744"/>
          <w:tab w:val="left" w:pos="4368"/>
          <w:tab w:val="left" w:pos="4992"/>
          <w:tab w:val="left" w:pos="5616"/>
          <w:tab w:val="left" w:pos="6240"/>
          <w:tab w:val="left" w:pos="6864"/>
          <w:tab w:val="left" w:pos="7488"/>
          <w:tab w:val="left" w:pos="8112"/>
          <w:tab w:val="left" w:pos="8736"/>
        </w:tabs>
        <w:ind w:left="225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3012AA">
      <w:start w:val="1"/>
      <w:numFmt w:val="bullet"/>
      <w:lvlText w:val="·"/>
      <w:lvlJc w:val="left"/>
      <w:pPr>
        <w:tabs>
          <w:tab w:val="left" w:pos="624"/>
          <w:tab w:val="left" w:pos="1248"/>
          <w:tab w:val="left" w:pos="1872"/>
          <w:tab w:val="left" w:pos="2496"/>
          <w:tab w:val="num" w:pos="2880"/>
          <w:tab w:val="left" w:pos="3120"/>
          <w:tab w:val="left" w:pos="3744"/>
          <w:tab w:val="left" w:pos="4368"/>
          <w:tab w:val="left" w:pos="4992"/>
          <w:tab w:val="left" w:pos="5616"/>
          <w:tab w:val="left" w:pos="6240"/>
          <w:tab w:val="left" w:pos="6864"/>
          <w:tab w:val="left" w:pos="7488"/>
          <w:tab w:val="left" w:pos="8112"/>
          <w:tab w:val="left" w:pos="8736"/>
        </w:tabs>
        <w:ind w:left="2976" w:hanging="45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D2B684">
      <w:start w:val="1"/>
      <w:numFmt w:val="bullet"/>
      <w:lvlText w:val="o"/>
      <w:lvlJc w:val="left"/>
      <w:pPr>
        <w:tabs>
          <w:tab w:val="left" w:pos="624"/>
          <w:tab w:val="left" w:pos="1248"/>
          <w:tab w:val="left" w:pos="1872"/>
          <w:tab w:val="left" w:pos="2496"/>
          <w:tab w:val="left" w:pos="3120"/>
          <w:tab w:val="num" w:pos="3600"/>
          <w:tab w:val="left" w:pos="3744"/>
          <w:tab w:val="left" w:pos="4368"/>
          <w:tab w:val="left" w:pos="4992"/>
          <w:tab w:val="left" w:pos="5616"/>
          <w:tab w:val="left" w:pos="6240"/>
          <w:tab w:val="left" w:pos="6864"/>
          <w:tab w:val="left" w:pos="7488"/>
          <w:tab w:val="left" w:pos="8112"/>
          <w:tab w:val="left" w:pos="8736"/>
        </w:tabs>
        <w:ind w:left="369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E25E0A">
      <w:start w:val="1"/>
      <w:numFmt w:val="bullet"/>
      <w:lvlText w:val="▪"/>
      <w:lvlJc w:val="left"/>
      <w:pPr>
        <w:tabs>
          <w:tab w:val="left" w:pos="624"/>
          <w:tab w:val="left" w:pos="1248"/>
          <w:tab w:val="left" w:pos="1872"/>
          <w:tab w:val="left" w:pos="2496"/>
          <w:tab w:val="left" w:pos="3120"/>
          <w:tab w:val="left" w:pos="3744"/>
          <w:tab w:val="num" w:pos="4320"/>
          <w:tab w:val="left" w:pos="4368"/>
          <w:tab w:val="left" w:pos="4992"/>
          <w:tab w:val="left" w:pos="5616"/>
          <w:tab w:val="left" w:pos="6240"/>
          <w:tab w:val="left" w:pos="6864"/>
          <w:tab w:val="left" w:pos="7488"/>
          <w:tab w:val="left" w:pos="8112"/>
          <w:tab w:val="left" w:pos="8736"/>
        </w:tabs>
        <w:ind w:left="441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AC2C9E">
      <w:start w:val="1"/>
      <w:numFmt w:val="bullet"/>
      <w:lvlText w:val="·"/>
      <w:lvlJc w:val="left"/>
      <w:pPr>
        <w:tabs>
          <w:tab w:val="left" w:pos="624"/>
          <w:tab w:val="left" w:pos="1248"/>
          <w:tab w:val="left" w:pos="1872"/>
          <w:tab w:val="left" w:pos="2496"/>
          <w:tab w:val="left" w:pos="3120"/>
          <w:tab w:val="left" w:pos="3744"/>
          <w:tab w:val="left" w:pos="4368"/>
          <w:tab w:val="num" w:pos="5040"/>
          <w:tab w:val="left" w:pos="5616"/>
          <w:tab w:val="left" w:pos="6240"/>
          <w:tab w:val="left" w:pos="6864"/>
          <w:tab w:val="left" w:pos="7488"/>
          <w:tab w:val="left" w:pos="8112"/>
          <w:tab w:val="left" w:pos="8736"/>
        </w:tabs>
        <w:ind w:left="5136" w:hanging="45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14D5A6">
      <w:start w:val="1"/>
      <w:numFmt w:val="bullet"/>
      <w:lvlText w:val="o"/>
      <w:lvlJc w:val="left"/>
      <w:pPr>
        <w:tabs>
          <w:tab w:val="left" w:pos="624"/>
          <w:tab w:val="left" w:pos="1248"/>
          <w:tab w:val="left" w:pos="1872"/>
          <w:tab w:val="left" w:pos="2496"/>
          <w:tab w:val="left" w:pos="3120"/>
          <w:tab w:val="left" w:pos="3744"/>
          <w:tab w:val="left" w:pos="4368"/>
          <w:tab w:val="left" w:pos="4992"/>
          <w:tab w:val="num" w:pos="5760"/>
          <w:tab w:val="left" w:pos="6240"/>
          <w:tab w:val="left" w:pos="6864"/>
          <w:tab w:val="left" w:pos="7488"/>
          <w:tab w:val="left" w:pos="8112"/>
          <w:tab w:val="left" w:pos="8736"/>
        </w:tabs>
        <w:ind w:left="585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FC9EF4">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num" w:pos="6480"/>
          <w:tab w:val="left" w:pos="6864"/>
          <w:tab w:val="left" w:pos="7488"/>
          <w:tab w:val="left" w:pos="8112"/>
          <w:tab w:val="left" w:pos="8736"/>
        </w:tabs>
        <w:ind w:left="6576" w:hanging="45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695F26"/>
    <w:multiLevelType w:val="hybridMultilevel"/>
    <w:tmpl w:val="E9F4FA48"/>
    <w:styleLink w:val="Importovanstyl11"/>
    <w:lvl w:ilvl="0" w:tplc="20BAD746">
      <w:start w:val="1"/>
      <w:numFmt w:val="decimal"/>
      <w:suff w:val="nothing"/>
      <w:lvlText w:val="%1."/>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8E30B6">
      <w:start w:val="1"/>
      <w:numFmt w:val="lowerLetter"/>
      <w:suff w:val="nothing"/>
      <w:lvlText w:val="%2."/>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A49142">
      <w:start w:val="1"/>
      <w:numFmt w:val="lowerRoman"/>
      <w:lvlText w:val="%3."/>
      <w:lvlJc w:val="left"/>
      <w:pPr>
        <w:tabs>
          <w:tab w:val="left" w:pos="624"/>
          <w:tab w:val="left" w:pos="1247"/>
          <w:tab w:val="left" w:pos="1814"/>
          <w:tab w:val="left" w:pos="2160"/>
          <w:tab w:val="left" w:pos="2381"/>
          <w:tab w:val="left" w:pos="2948"/>
          <w:tab w:val="left" w:pos="3515"/>
          <w:tab w:val="left" w:pos="4082"/>
          <w:tab w:val="num" w:pos="4260"/>
          <w:tab w:val="left" w:pos="4368"/>
          <w:tab w:val="left" w:pos="4992"/>
          <w:tab w:val="left" w:pos="5616"/>
          <w:tab w:val="left" w:pos="6240"/>
          <w:tab w:val="left" w:pos="6864"/>
          <w:tab w:val="left" w:pos="7488"/>
          <w:tab w:val="left" w:pos="8112"/>
          <w:tab w:val="left" w:pos="8736"/>
        </w:tabs>
        <w:ind w:left="3347" w:firstLine="74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DA7866">
      <w:start w:val="1"/>
      <w:numFmt w:val="decimal"/>
      <w:lvlText w:val="%4."/>
      <w:lvlJc w:val="left"/>
      <w:pPr>
        <w:tabs>
          <w:tab w:val="left" w:pos="624"/>
          <w:tab w:val="left" w:pos="1247"/>
          <w:tab w:val="left" w:pos="1814"/>
          <w:tab w:val="num" w:pos="2128"/>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15" w:firstLine="7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42738C">
      <w:start w:val="1"/>
      <w:numFmt w:val="lowerLetter"/>
      <w:lvlText w:val="(%5)"/>
      <w:lvlJc w:val="left"/>
      <w:pPr>
        <w:tabs>
          <w:tab w:val="left" w:pos="624"/>
          <w:tab w:val="left" w:pos="1247"/>
          <w:tab w:val="left" w:pos="1814"/>
          <w:tab w:val="num"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E691E8">
      <w:start w:val="1"/>
      <w:numFmt w:val="lowerRoman"/>
      <w:lvlText w:val="%6."/>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F61142">
      <w:start w:val="1"/>
      <w:numFmt w:val="decimal"/>
      <w:lvlText w:val="%7."/>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3AAB78">
      <w:start w:val="1"/>
      <w:numFmt w:val="lowerLetter"/>
      <w:suff w:val="nothing"/>
      <w:lvlText w:val="%8."/>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381" w:firstLine="7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A4EE7E">
      <w:start w:val="1"/>
      <w:numFmt w:val="lowerRoman"/>
      <w:lvlText w:val="%9."/>
      <w:lvlJc w:val="left"/>
      <w:pPr>
        <w:tabs>
          <w:tab w:val="left" w:pos="624"/>
          <w:tab w:val="left" w:pos="1247"/>
          <w:tab w:val="left" w:pos="1814"/>
          <w:tab w:val="left" w:pos="2160"/>
          <w:tab w:val="left" w:pos="2381"/>
          <w:tab w:val="left" w:pos="2948"/>
          <w:tab w:val="left" w:pos="3515"/>
          <w:tab w:val="left" w:pos="4082"/>
          <w:tab w:val="num" w:pos="4428"/>
          <w:tab w:val="left" w:pos="4992"/>
          <w:tab w:val="left" w:pos="5616"/>
          <w:tab w:val="left" w:pos="6240"/>
          <w:tab w:val="left" w:pos="6864"/>
          <w:tab w:val="left" w:pos="7488"/>
          <w:tab w:val="left" w:pos="8112"/>
          <w:tab w:val="left" w:pos="8736"/>
        </w:tabs>
        <w:ind w:left="3515" w:firstLine="4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B6F6149"/>
    <w:multiLevelType w:val="hybridMultilevel"/>
    <w:tmpl w:val="4E3CDEC0"/>
    <w:lvl w:ilvl="0" w:tplc="02664EB2">
      <w:start w:val="1"/>
      <w:numFmt w:val="lowerRoman"/>
      <w:lvlText w:val="%1)"/>
      <w:lvlJc w:val="left"/>
      <w:pPr>
        <w:ind w:left="3311" w:hanging="360"/>
      </w:pPr>
      <w:rPr>
        <w:rFonts w:asciiTheme="majorBidi" w:eastAsia="Times New Roman" w:hAnsiTheme="majorBidi" w:cstheme="majorBidi"/>
        <w:caps w:val="0"/>
        <w:strike w:val="0"/>
        <w:dstrike w:val="0"/>
        <w:vanish w:val="0"/>
        <w:vertAlign w:val="baseline"/>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0" w15:restartNumberingAfterBreak="0">
    <w:nsid w:val="6D2E5757"/>
    <w:multiLevelType w:val="hybridMultilevel"/>
    <w:tmpl w:val="469A1298"/>
    <w:lvl w:ilvl="0" w:tplc="AB14A2D2">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1" w15:restartNumberingAfterBreak="0">
    <w:nsid w:val="6DD1335B"/>
    <w:multiLevelType w:val="hybridMultilevel"/>
    <w:tmpl w:val="AB6CC48C"/>
    <w:lvl w:ilvl="0" w:tplc="B9102866">
      <w:start w:val="1"/>
      <w:numFmt w:val="lowerLetter"/>
      <w:lvlText w:val="%1)"/>
      <w:lvlJc w:val="left"/>
      <w:pPr>
        <w:ind w:left="3311" w:hanging="360"/>
      </w:pPr>
      <w:rPr>
        <w:rFonts w:asciiTheme="majorBidi" w:eastAsia="Times New Roman" w:hAnsiTheme="majorBidi" w:cstheme="majorBidi"/>
        <w:lang w:val="es-ES"/>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2" w15:restartNumberingAfterBreak="0">
    <w:nsid w:val="6F097094"/>
    <w:multiLevelType w:val="hybridMultilevel"/>
    <w:tmpl w:val="3FC6F656"/>
    <w:styleLink w:val="Importovanstyl10"/>
    <w:lvl w:ilvl="0" w:tplc="DED069C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CE05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493B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EE261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58FF5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E5FF6">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AFDA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6A755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64351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4DC7D49"/>
    <w:multiLevelType w:val="hybridMultilevel"/>
    <w:tmpl w:val="EB00F90C"/>
    <w:lvl w:ilvl="0" w:tplc="F80C9252">
      <w:start w:val="1"/>
      <w:numFmt w:val="lowerLetter"/>
      <w:lvlText w:val="%1)"/>
      <w:lvlJc w:val="left"/>
      <w:pPr>
        <w:ind w:left="3311" w:hanging="360"/>
      </w:pPr>
      <w:rPr>
        <w:rFonts w:asciiTheme="majorBidi" w:eastAsia="Times New Roman" w:hAnsiTheme="majorBidi" w:cstheme="majorBidi"/>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5"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6" w15:restartNumberingAfterBreak="0">
    <w:nsid w:val="7C0C2742"/>
    <w:multiLevelType w:val="hybridMultilevel"/>
    <w:tmpl w:val="B1906DA0"/>
    <w:styleLink w:val="Importovanstyl9"/>
    <w:lvl w:ilvl="0" w:tplc="EE780ACA">
      <w:start w:val="1"/>
      <w:numFmt w:val="bullet"/>
      <w:lvlText w:val="·"/>
      <w:lvlJc w:val="left"/>
      <w:pPr>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C05CA8">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247" w:hanging="1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C8DE5E">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92E3D0">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08CBF4">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3515" w:hanging="2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0E9FCC">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7661EE">
      <w:start w:val="1"/>
      <w:numFmt w:val="bullet"/>
      <w:lvlText w:val="·"/>
      <w:lvlJc w:val="left"/>
      <w:pPr>
        <w:tabs>
          <w:tab w:val="left" w:pos="624"/>
          <w:tab w:val="left" w:pos="1248"/>
          <w:tab w:val="left" w:pos="1872"/>
          <w:tab w:val="left" w:pos="2496"/>
          <w:tab w:val="left" w:pos="3120"/>
          <w:tab w:val="left" w:pos="3744"/>
          <w:tab w:val="left" w:pos="4368"/>
          <w:tab w:val="left" w:pos="5616"/>
          <w:tab w:val="left" w:pos="6240"/>
          <w:tab w:val="left" w:pos="6864"/>
          <w:tab w:val="left" w:pos="7488"/>
          <w:tab w:val="left" w:pos="8112"/>
          <w:tab w:val="left" w:pos="8736"/>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762F10">
      <w:start w:val="1"/>
      <w:numFmt w:val="bullet"/>
      <w:lvlText w:val="o"/>
      <w:lvlJc w:val="left"/>
      <w:pPr>
        <w:tabs>
          <w:tab w:val="left" w:pos="624"/>
          <w:tab w:val="left" w:pos="1248"/>
          <w:tab w:val="left" w:pos="1872"/>
          <w:tab w:val="left" w:pos="2496"/>
          <w:tab w:val="left" w:pos="3120"/>
          <w:tab w:val="left" w:pos="3744"/>
          <w:tab w:val="left" w:pos="4368"/>
          <w:tab w:val="left" w:pos="4992"/>
          <w:tab w:val="left" w:pos="6240"/>
          <w:tab w:val="left" w:pos="6864"/>
          <w:tab w:val="left" w:pos="7488"/>
          <w:tab w:val="left" w:pos="8112"/>
          <w:tab w:val="left" w:pos="8736"/>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626FC2">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864"/>
          <w:tab w:val="left" w:pos="7488"/>
          <w:tab w:val="left" w:pos="8112"/>
          <w:tab w:val="left" w:pos="8736"/>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12"/>
  </w:num>
  <w:num w:numId="3">
    <w:abstractNumId w:val="23"/>
    <w:lvlOverride w:ilvl="0">
      <w:lvl w:ilvl="0">
        <w:start w:val="1"/>
        <w:numFmt w:val="decimal"/>
        <w:lvlText w:val="%1."/>
        <w:lvlJc w:val="left"/>
        <w:pPr>
          <w:tabs>
            <w:tab w:val="num" w:pos="1057"/>
          </w:tabs>
          <w:ind w:left="1170" w:firstLine="0"/>
        </w:pPr>
        <w:rPr>
          <w:rFonts w:hint="default"/>
          <w:lang w:val="es-ES"/>
        </w:rPr>
      </w:lvl>
    </w:lvlOverride>
  </w:num>
  <w:num w:numId="4">
    <w:abstractNumId w:val="0"/>
  </w:num>
  <w:num w:numId="5">
    <w:abstractNumId w:val="35"/>
  </w:num>
  <w:num w:numId="6">
    <w:abstractNumId w:val="13"/>
  </w:num>
  <w:num w:numId="7">
    <w:abstractNumId w:val="32"/>
  </w:num>
  <w:num w:numId="8">
    <w:abstractNumId w:val="18"/>
  </w:num>
  <w:num w:numId="9">
    <w:abstractNumId w:val="11"/>
  </w:num>
  <w:num w:numId="10">
    <w:abstractNumId w:val="7"/>
  </w:num>
  <w:num w:numId="11">
    <w:abstractNumId w:val="2"/>
  </w:num>
  <w:num w:numId="12">
    <w:abstractNumId w:val="26"/>
  </w:num>
  <w:num w:numId="13">
    <w:abstractNumId w:val="20"/>
  </w:num>
  <w:num w:numId="14">
    <w:abstractNumId w:val="28"/>
  </w:num>
  <w:num w:numId="15">
    <w:abstractNumId w:val="36"/>
  </w:num>
  <w:num w:numId="16">
    <w:abstractNumId w:val="8"/>
    <w:lvlOverride w:ilvl="0">
      <w:lvl w:ilvl="0" w:tplc="04090003">
        <w:start w:val="1"/>
        <w:numFmt w:val="bullet"/>
        <w:lvlText w:val="o"/>
        <w:lvlJc w:val="left"/>
        <w:pPr>
          <w:ind w:left="720" w:hanging="360"/>
        </w:pPr>
        <w:rPr>
          <w:rFonts w:ascii="Courier New" w:hAnsi="Courier New" w:cs="Courier New" w:hint="default"/>
        </w:rPr>
      </w:lvl>
    </w:lvlOverride>
  </w:num>
  <w:num w:numId="17">
    <w:abstractNumId w:val="27"/>
    <w:lvlOverride w:ilvl="0">
      <w:lvl w:ilvl="0" w:tplc="04090003">
        <w:start w:val="1"/>
        <w:numFmt w:val="bullet"/>
        <w:lvlText w:val="o"/>
        <w:lvlJc w:val="left"/>
        <w:pPr>
          <w:ind w:left="720" w:hanging="360"/>
        </w:pPr>
        <w:rPr>
          <w:rFonts w:ascii="Courier New" w:hAnsi="Courier New" w:cs="Courier New" w:hint="default"/>
        </w:rPr>
      </w:lvl>
    </w:lvlOverride>
  </w:num>
  <w:num w:numId="18">
    <w:abstractNumId w:val="25"/>
    <w:lvlOverride w:ilvl="0">
      <w:lvl w:ilvl="0" w:tplc="04090003">
        <w:start w:val="1"/>
        <w:numFmt w:val="bullet"/>
        <w:lvlText w:val="o"/>
        <w:lvlJc w:val="left"/>
        <w:pPr>
          <w:ind w:left="720" w:hanging="360"/>
        </w:pPr>
        <w:rPr>
          <w:rFonts w:ascii="Courier New" w:hAnsi="Courier New" w:cs="Courier New" w:hint="default"/>
        </w:rPr>
      </w:lvl>
    </w:lvlOverride>
  </w:num>
  <w:num w:numId="19">
    <w:abstractNumId w:val="19"/>
    <w:lvlOverride w:ilvl="0">
      <w:lvl w:ilvl="0" w:tplc="04090005">
        <w:start w:val="1"/>
        <w:numFmt w:val="bullet"/>
        <w:lvlText w:val=""/>
        <w:lvlJc w:val="left"/>
        <w:pPr>
          <w:ind w:left="360" w:hanging="360"/>
        </w:pPr>
        <w:rPr>
          <w:rFonts w:ascii="Wingdings" w:hAnsi="Wingdings" w:hint="default"/>
        </w:rPr>
      </w:lvl>
    </w:lvlOverride>
  </w:num>
  <w:num w:numId="20">
    <w:abstractNumId w:val="33"/>
    <w:lvlOverride w:ilvl="0">
      <w:lvl w:ilvl="0" w:tplc="04090005">
        <w:start w:val="1"/>
        <w:numFmt w:val="bullet"/>
        <w:lvlText w:val=""/>
        <w:lvlJc w:val="left"/>
        <w:pPr>
          <w:ind w:left="360" w:hanging="360"/>
        </w:pPr>
        <w:rPr>
          <w:rFonts w:ascii="Wingdings" w:hAnsi="Wingdings" w:hint="default"/>
        </w:rPr>
      </w:lvl>
    </w:lvlOverride>
  </w:num>
  <w:num w:numId="21">
    <w:abstractNumId w:val="15"/>
    <w:lvlOverride w:ilvl="0">
      <w:lvl w:ilvl="0" w:tplc="04090005">
        <w:start w:val="1"/>
        <w:numFmt w:val="bullet"/>
        <w:lvlText w:val=""/>
        <w:lvlJc w:val="left"/>
        <w:pPr>
          <w:ind w:left="360" w:hanging="360"/>
        </w:pPr>
        <w:rPr>
          <w:rFonts w:ascii="Wingdings" w:hAnsi="Wingdings" w:hint="default"/>
        </w:rPr>
      </w:lvl>
    </w:lvlOverride>
  </w:num>
  <w:num w:numId="22">
    <w:abstractNumId w:val="14"/>
  </w:num>
  <w:num w:numId="23">
    <w:abstractNumId w:val="21"/>
  </w:num>
  <w:num w:numId="24">
    <w:abstractNumId w:val="3"/>
  </w:num>
  <w:num w:numId="25">
    <w:abstractNumId w:val="16"/>
  </w:num>
  <w:num w:numId="26">
    <w:abstractNumId w:val="1"/>
  </w:num>
  <w:num w:numId="27">
    <w:abstractNumId w:val="30"/>
  </w:num>
  <w:num w:numId="28">
    <w:abstractNumId w:val="17"/>
  </w:num>
  <w:num w:numId="29">
    <w:abstractNumId w:val="6"/>
  </w:num>
  <w:num w:numId="30">
    <w:abstractNumId w:val="10"/>
  </w:num>
  <w:num w:numId="31">
    <w:abstractNumId w:val="31"/>
  </w:num>
  <w:num w:numId="32">
    <w:abstractNumId w:val="9"/>
  </w:num>
  <w:num w:numId="33">
    <w:abstractNumId w:val="34"/>
  </w:num>
  <w:num w:numId="34">
    <w:abstractNumId w:val="23"/>
    <w:lvlOverride w:ilvl="0">
      <w:startOverride w:val="1"/>
      <w:lvl w:ilvl="0">
        <w:start w:val="1"/>
        <w:numFmt w:val="decimal"/>
        <w:lvlText w:val="%1."/>
        <w:lvlJc w:val="left"/>
        <w:pPr>
          <w:tabs>
            <w:tab w:val="num" w:pos="1057"/>
          </w:tabs>
          <w:ind w:left="1170" w:firstLine="0"/>
        </w:pPr>
        <w:rPr>
          <w:rFonts w:hint="default"/>
          <w:lang w:val="es-ES"/>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lvl w:ilvl="0">
        <w:start w:val="1"/>
        <w:numFmt w:val="lowerLetter"/>
        <w:pStyle w:val="Subparagraph"/>
        <w:lvlText w:val="%1)"/>
        <w:lvlJc w:val="left"/>
        <w:pPr>
          <w:tabs>
            <w:tab w:val="num" w:pos="1134"/>
          </w:tabs>
          <w:ind w:left="1247" w:firstLine="0"/>
        </w:pPr>
        <w:rPr>
          <w:rFonts w:hint="default"/>
          <w:lang w:val="es-ES"/>
        </w:rPr>
      </w:lvl>
    </w:lvlOverride>
  </w:num>
  <w:num w:numId="39">
    <w:abstractNumId w:val="29"/>
  </w:num>
  <w:num w:numId="40">
    <w:abstractNumId w:val="23"/>
    <w:lvlOverride w:ilvl="0">
      <w:startOverride w:val="1"/>
      <w:lvl w:ilvl="0">
        <w:start w:val="1"/>
        <w:numFmt w:val="decimal"/>
        <w:lvlText w:val="%1."/>
        <w:lvlJc w:val="left"/>
        <w:pPr>
          <w:tabs>
            <w:tab w:val="num" w:pos="1057"/>
          </w:tabs>
          <w:ind w:left="1170" w:firstLine="0"/>
        </w:pPr>
        <w:rPr>
          <w:rFonts w:hint="default"/>
          <w:b w:val="0"/>
        </w:rPr>
      </w:lvl>
    </w:lvlOverride>
  </w:num>
  <w:num w:numId="41">
    <w:abstractNumId w:val="23"/>
  </w:num>
  <w:num w:numId="42">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en-CA" w:vendorID="64" w:dllVersion="0" w:nlCheck="1" w:checkStyle="1"/>
  <w:activeWritingStyle w:appName="MSWord" w:lang="fr-CA"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0DC"/>
    <w:rsid w:val="00000632"/>
    <w:rsid w:val="00000E4A"/>
    <w:rsid w:val="00001201"/>
    <w:rsid w:val="00001203"/>
    <w:rsid w:val="000024A3"/>
    <w:rsid w:val="0000311E"/>
    <w:rsid w:val="000036E7"/>
    <w:rsid w:val="000036FF"/>
    <w:rsid w:val="000037FB"/>
    <w:rsid w:val="000057BB"/>
    <w:rsid w:val="000070C6"/>
    <w:rsid w:val="0000753A"/>
    <w:rsid w:val="000077AD"/>
    <w:rsid w:val="00011195"/>
    <w:rsid w:val="00011A16"/>
    <w:rsid w:val="000122C6"/>
    <w:rsid w:val="0001366C"/>
    <w:rsid w:val="000149E6"/>
    <w:rsid w:val="00021D8A"/>
    <w:rsid w:val="00023DA9"/>
    <w:rsid w:val="000247B0"/>
    <w:rsid w:val="00025EEA"/>
    <w:rsid w:val="00026997"/>
    <w:rsid w:val="00026A08"/>
    <w:rsid w:val="00031D51"/>
    <w:rsid w:val="00031FB4"/>
    <w:rsid w:val="00032E4E"/>
    <w:rsid w:val="00033E0B"/>
    <w:rsid w:val="00035D43"/>
    <w:rsid w:val="00035EDE"/>
    <w:rsid w:val="000372AE"/>
    <w:rsid w:val="00037D6E"/>
    <w:rsid w:val="00042403"/>
    <w:rsid w:val="00042BD2"/>
    <w:rsid w:val="00045118"/>
    <w:rsid w:val="000469C5"/>
    <w:rsid w:val="00050198"/>
    <w:rsid w:val="000509B4"/>
    <w:rsid w:val="000520BB"/>
    <w:rsid w:val="00053FAF"/>
    <w:rsid w:val="0005484A"/>
    <w:rsid w:val="000552EC"/>
    <w:rsid w:val="0005595B"/>
    <w:rsid w:val="00057607"/>
    <w:rsid w:val="0006035B"/>
    <w:rsid w:val="0006096F"/>
    <w:rsid w:val="00061AD2"/>
    <w:rsid w:val="00063402"/>
    <w:rsid w:val="000646D6"/>
    <w:rsid w:val="000649C5"/>
    <w:rsid w:val="00064D68"/>
    <w:rsid w:val="00065AE4"/>
    <w:rsid w:val="00065B65"/>
    <w:rsid w:val="000661F5"/>
    <w:rsid w:val="000672E7"/>
    <w:rsid w:val="0006745A"/>
    <w:rsid w:val="000704ED"/>
    <w:rsid w:val="00070DB5"/>
    <w:rsid w:val="0007122C"/>
    <w:rsid w:val="000715BF"/>
    <w:rsid w:val="00071886"/>
    <w:rsid w:val="000719AF"/>
    <w:rsid w:val="00071E7C"/>
    <w:rsid w:val="00072949"/>
    <w:rsid w:val="00072BEF"/>
    <w:rsid w:val="00073B4A"/>
    <w:rsid w:val="00073DF4"/>
    <w:rsid w:val="000742BC"/>
    <w:rsid w:val="000747DC"/>
    <w:rsid w:val="00075CA5"/>
    <w:rsid w:val="00076B69"/>
    <w:rsid w:val="00076CC6"/>
    <w:rsid w:val="00077DF3"/>
    <w:rsid w:val="00081EE1"/>
    <w:rsid w:val="000826D4"/>
    <w:rsid w:val="00082A0C"/>
    <w:rsid w:val="00083504"/>
    <w:rsid w:val="00084E3C"/>
    <w:rsid w:val="00085A59"/>
    <w:rsid w:val="00086D76"/>
    <w:rsid w:val="00090991"/>
    <w:rsid w:val="00091911"/>
    <w:rsid w:val="00091CFB"/>
    <w:rsid w:val="00092851"/>
    <w:rsid w:val="00092A5D"/>
    <w:rsid w:val="000931C4"/>
    <w:rsid w:val="0009640C"/>
    <w:rsid w:val="000A1C24"/>
    <w:rsid w:val="000A2084"/>
    <w:rsid w:val="000A70B5"/>
    <w:rsid w:val="000A7A6F"/>
    <w:rsid w:val="000B07BD"/>
    <w:rsid w:val="000B189F"/>
    <w:rsid w:val="000B22A2"/>
    <w:rsid w:val="000B541B"/>
    <w:rsid w:val="000B73F9"/>
    <w:rsid w:val="000C2A52"/>
    <w:rsid w:val="000C2A88"/>
    <w:rsid w:val="000C2F3B"/>
    <w:rsid w:val="000C34E1"/>
    <w:rsid w:val="000C7164"/>
    <w:rsid w:val="000D0C86"/>
    <w:rsid w:val="000D13A2"/>
    <w:rsid w:val="000D2531"/>
    <w:rsid w:val="000D3019"/>
    <w:rsid w:val="000D31ED"/>
    <w:rsid w:val="000D33C0"/>
    <w:rsid w:val="000D4992"/>
    <w:rsid w:val="000D4CF6"/>
    <w:rsid w:val="000D5641"/>
    <w:rsid w:val="000D6941"/>
    <w:rsid w:val="000D754C"/>
    <w:rsid w:val="000E0696"/>
    <w:rsid w:val="000E18D1"/>
    <w:rsid w:val="000E2A73"/>
    <w:rsid w:val="000E35E5"/>
    <w:rsid w:val="000E68C5"/>
    <w:rsid w:val="000F29C6"/>
    <w:rsid w:val="000F2BA4"/>
    <w:rsid w:val="000F38EF"/>
    <w:rsid w:val="000F3C80"/>
    <w:rsid w:val="000F3DCD"/>
    <w:rsid w:val="000F4740"/>
    <w:rsid w:val="000F4829"/>
    <w:rsid w:val="000F552F"/>
    <w:rsid w:val="000F5FAF"/>
    <w:rsid w:val="000F6B21"/>
    <w:rsid w:val="000F6B31"/>
    <w:rsid w:val="000F7198"/>
    <w:rsid w:val="000F747D"/>
    <w:rsid w:val="001027D3"/>
    <w:rsid w:val="0010293D"/>
    <w:rsid w:val="00102A3D"/>
    <w:rsid w:val="00102EFB"/>
    <w:rsid w:val="00104FEA"/>
    <w:rsid w:val="001060F8"/>
    <w:rsid w:val="0010665A"/>
    <w:rsid w:val="00106767"/>
    <w:rsid w:val="00107C89"/>
    <w:rsid w:val="001109F0"/>
    <w:rsid w:val="00110CD6"/>
    <w:rsid w:val="00110F2F"/>
    <w:rsid w:val="001112AE"/>
    <w:rsid w:val="00111814"/>
    <w:rsid w:val="001140D2"/>
    <w:rsid w:val="00114F9D"/>
    <w:rsid w:val="001202E3"/>
    <w:rsid w:val="00120AA5"/>
    <w:rsid w:val="00120FD3"/>
    <w:rsid w:val="00123699"/>
    <w:rsid w:val="001241FB"/>
    <w:rsid w:val="001246EE"/>
    <w:rsid w:val="00126C0D"/>
    <w:rsid w:val="00127CC5"/>
    <w:rsid w:val="0013059D"/>
    <w:rsid w:val="00131C08"/>
    <w:rsid w:val="00133D4F"/>
    <w:rsid w:val="001345D8"/>
    <w:rsid w:val="00134632"/>
    <w:rsid w:val="00136187"/>
    <w:rsid w:val="001372BF"/>
    <w:rsid w:val="00141A55"/>
    <w:rsid w:val="00141CFA"/>
    <w:rsid w:val="001422D6"/>
    <w:rsid w:val="001423CF"/>
    <w:rsid w:val="0014293F"/>
    <w:rsid w:val="0014397D"/>
    <w:rsid w:val="0014407E"/>
    <w:rsid w:val="00144358"/>
    <w:rsid w:val="001446A3"/>
    <w:rsid w:val="00152B6B"/>
    <w:rsid w:val="0015478A"/>
    <w:rsid w:val="00155395"/>
    <w:rsid w:val="00155A2F"/>
    <w:rsid w:val="00156B6B"/>
    <w:rsid w:val="00157C6B"/>
    <w:rsid w:val="00160D74"/>
    <w:rsid w:val="001621E4"/>
    <w:rsid w:val="00162B18"/>
    <w:rsid w:val="00162BB8"/>
    <w:rsid w:val="00162D6D"/>
    <w:rsid w:val="001646EA"/>
    <w:rsid w:val="001648BD"/>
    <w:rsid w:val="0016535D"/>
    <w:rsid w:val="0016586F"/>
    <w:rsid w:val="00166ECF"/>
    <w:rsid w:val="00167D02"/>
    <w:rsid w:val="001700CC"/>
    <w:rsid w:val="001702CC"/>
    <w:rsid w:val="0017173B"/>
    <w:rsid w:val="001728D4"/>
    <w:rsid w:val="001730EF"/>
    <w:rsid w:val="0017328E"/>
    <w:rsid w:val="001759D8"/>
    <w:rsid w:val="001777EB"/>
    <w:rsid w:val="00177D7F"/>
    <w:rsid w:val="00180C3F"/>
    <w:rsid w:val="00181EC8"/>
    <w:rsid w:val="00184271"/>
    <w:rsid w:val="00184349"/>
    <w:rsid w:val="001869BC"/>
    <w:rsid w:val="00187678"/>
    <w:rsid w:val="001902A7"/>
    <w:rsid w:val="00192427"/>
    <w:rsid w:val="00193398"/>
    <w:rsid w:val="001936B3"/>
    <w:rsid w:val="001943E5"/>
    <w:rsid w:val="001943FF"/>
    <w:rsid w:val="00195F33"/>
    <w:rsid w:val="001A0BD4"/>
    <w:rsid w:val="001A0FDF"/>
    <w:rsid w:val="001A160B"/>
    <w:rsid w:val="001A47E5"/>
    <w:rsid w:val="001A63F4"/>
    <w:rsid w:val="001B0016"/>
    <w:rsid w:val="001B0685"/>
    <w:rsid w:val="001B1617"/>
    <w:rsid w:val="001B2062"/>
    <w:rsid w:val="001B258D"/>
    <w:rsid w:val="001B36F7"/>
    <w:rsid w:val="001B5022"/>
    <w:rsid w:val="001B504B"/>
    <w:rsid w:val="001B6F98"/>
    <w:rsid w:val="001B70C0"/>
    <w:rsid w:val="001C02DD"/>
    <w:rsid w:val="001C0675"/>
    <w:rsid w:val="001C15F2"/>
    <w:rsid w:val="001C191A"/>
    <w:rsid w:val="001C1F3B"/>
    <w:rsid w:val="001C4146"/>
    <w:rsid w:val="001C4163"/>
    <w:rsid w:val="001D15F2"/>
    <w:rsid w:val="001D1E83"/>
    <w:rsid w:val="001D2394"/>
    <w:rsid w:val="001D256E"/>
    <w:rsid w:val="001D2C11"/>
    <w:rsid w:val="001D3874"/>
    <w:rsid w:val="001D412C"/>
    <w:rsid w:val="001D4B38"/>
    <w:rsid w:val="001D5DDB"/>
    <w:rsid w:val="001D642C"/>
    <w:rsid w:val="001D64C0"/>
    <w:rsid w:val="001D6692"/>
    <w:rsid w:val="001D682D"/>
    <w:rsid w:val="001D7E75"/>
    <w:rsid w:val="001E0D73"/>
    <w:rsid w:val="001E45BD"/>
    <w:rsid w:val="001E5528"/>
    <w:rsid w:val="001E56D2"/>
    <w:rsid w:val="001E6467"/>
    <w:rsid w:val="001E7D56"/>
    <w:rsid w:val="001F0066"/>
    <w:rsid w:val="001F0FFC"/>
    <w:rsid w:val="001F260E"/>
    <w:rsid w:val="001F302D"/>
    <w:rsid w:val="001F4DAE"/>
    <w:rsid w:val="001F5186"/>
    <w:rsid w:val="001F63D6"/>
    <w:rsid w:val="001F7075"/>
    <w:rsid w:val="001F75DE"/>
    <w:rsid w:val="001F7A11"/>
    <w:rsid w:val="00200817"/>
    <w:rsid w:val="00200D58"/>
    <w:rsid w:val="002011C1"/>
    <w:rsid w:val="002013BE"/>
    <w:rsid w:val="00201EDC"/>
    <w:rsid w:val="00202017"/>
    <w:rsid w:val="00202952"/>
    <w:rsid w:val="00202BAB"/>
    <w:rsid w:val="00203354"/>
    <w:rsid w:val="00203B08"/>
    <w:rsid w:val="00204F7D"/>
    <w:rsid w:val="002063A4"/>
    <w:rsid w:val="00206438"/>
    <w:rsid w:val="0021145B"/>
    <w:rsid w:val="0021728D"/>
    <w:rsid w:val="002200EC"/>
    <w:rsid w:val="00220C23"/>
    <w:rsid w:val="002227BC"/>
    <w:rsid w:val="002227C4"/>
    <w:rsid w:val="002247F6"/>
    <w:rsid w:val="00224D60"/>
    <w:rsid w:val="00225BD8"/>
    <w:rsid w:val="00225E21"/>
    <w:rsid w:val="00225E44"/>
    <w:rsid w:val="00225E9C"/>
    <w:rsid w:val="0022791A"/>
    <w:rsid w:val="00227FB1"/>
    <w:rsid w:val="00230051"/>
    <w:rsid w:val="00231732"/>
    <w:rsid w:val="00232941"/>
    <w:rsid w:val="00232FD3"/>
    <w:rsid w:val="00234050"/>
    <w:rsid w:val="00234E78"/>
    <w:rsid w:val="002405B2"/>
    <w:rsid w:val="00240A85"/>
    <w:rsid w:val="00240DE9"/>
    <w:rsid w:val="00242422"/>
    <w:rsid w:val="00242C63"/>
    <w:rsid w:val="00243815"/>
    <w:rsid w:val="00243D36"/>
    <w:rsid w:val="00245FF0"/>
    <w:rsid w:val="00246151"/>
    <w:rsid w:val="00246BA1"/>
    <w:rsid w:val="002471A7"/>
    <w:rsid w:val="00247707"/>
    <w:rsid w:val="0025005D"/>
    <w:rsid w:val="00250709"/>
    <w:rsid w:val="00251309"/>
    <w:rsid w:val="00251884"/>
    <w:rsid w:val="00252456"/>
    <w:rsid w:val="002526A4"/>
    <w:rsid w:val="00252B16"/>
    <w:rsid w:val="002546DE"/>
    <w:rsid w:val="002548B2"/>
    <w:rsid w:val="0025634B"/>
    <w:rsid w:val="00257B17"/>
    <w:rsid w:val="0026018E"/>
    <w:rsid w:val="002608C2"/>
    <w:rsid w:val="00262426"/>
    <w:rsid w:val="002639BD"/>
    <w:rsid w:val="0026409E"/>
    <w:rsid w:val="002651EE"/>
    <w:rsid w:val="00266601"/>
    <w:rsid w:val="002677DD"/>
    <w:rsid w:val="00270A72"/>
    <w:rsid w:val="00270AE8"/>
    <w:rsid w:val="0027235D"/>
    <w:rsid w:val="0027268E"/>
    <w:rsid w:val="00272EB8"/>
    <w:rsid w:val="00273774"/>
    <w:rsid w:val="002739D3"/>
    <w:rsid w:val="0027457B"/>
    <w:rsid w:val="0027553A"/>
    <w:rsid w:val="00275B63"/>
    <w:rsid w:val="00281BA3"/>
    <w:rsid w:val="00284BB2"/>
    <w:rsid w:val="00285DA7"/>
    <w:rsid w:val="00286740"/>
    <w:rsid w:val="00286A78"/>
    <w:rsid w:val="0028782E"/>
    <w:rsid w:val="002910D8"/>
    <w:rsid w:val="00291719"/>
    <w:rsid w:val="00291EAE"/>
    <w:rsid w:val="002929D8"/>
    <w:rsid w:val="0029697C"/>
    <w:rsid w:val="002978D6"/>
    <w:rsid w:val="00297ED4"/>
    <w:rsid w:val="002A00AC"/>
    <w:rsid w:val="002A0B1D"/>
    <w:rsid w:val="002A0B81"/>
    <w:rsid w:val="002A0FF9"/>
    <w:rsid w:val="002A237D"/>
    <w:rsid w:val="002A267A"/>
    <w:rsid w:val="002A2D72"/>
    <w:rsid w:val="002A4C53"/>
    <w:rsid w:val="002A4F76"/>
    <w:rsid w:val="002A6F2C"/>
    <w:rsid w:val="002A760E"/>
    <w:rsid w:val="002A7B6E"/>
    <w:rsid w:val="002A7CFE"/>
    <w:rsid w:val="002B0672"/>
    <w:rsid w:val="002B1DCB"/>
    <w:rsid w:val="002B247F"/>
    <w:rsid w:val="002B28FC"/>
    <w:rsid w:val="002B2C65"/>
    <w:rsid w:val="002B4663"/>
    <w:rsid w:val="002B50D4"/>
    <w:rsid w:val="002B53ED"/>
    <w:rsid w:val="002B58BF"/>
    <w:rsid w:val="002C103B"/>
    <w:rsid w:val="002C145D"/>
    <w:rsid w:val="002C1604"/>
    <w:rsid w:val="002C2C3E"/>
    <w:rsid w:val="002C33CB"/>
    <w:rsid w:val="002C533E"/>
    <w:rsid w:val="002C64B5"/>
    <w:rsid w:val="002C6C95"/>
    <w:rsid w:val="002C7AF1"/>
    <w:rsid w:val="002D027F"/>
    <w:rsid w:val="002D1263"/>
    <w:rsid w:val="002D189F"/>
    <w:rsid w:val="002D27BB"/>
    <w:rsid w:val="002D3E15"/>
    <w:rsid w:val="002D4357"/>
    <w:rsid w:val="002D4485"/>
    <w:rsid w:val="002D7A85"/>
    <w:rsid w:val="002D7B60"/>
    <w:rsid w:val="002E01BC"/>
    <w:rsid w:val="002E1211"/>
    <w:rsid w:val="002E1230"/>
    <w:rsid w:val="002E23C3"/>
    <w:rsid w:val="002E30A2"/>
    <w:rsid w:val="002E363B"/>
    <w:rsid w:val="002E4109"/>
    <w:rsid w:val="002E5627"/>
    <w:rsid w:val="002E7A5A"/>
    <w:rsid w:val="002E7D74"/>
    <w:rsid w:val="002F099A"/>
    <w:rsid w:val="002F0E48"/>
    <w:rsid w:val="002F1B55"/>
    <w:rsid w:val="002F4761"/>
    <w:rsid w:val="002F51AE"/>
    <w:rsid w:val="002F58E7"/>
    <w:rsid w:val="002F5C79"/>
    <w:rsid w:val="002F68EE"/>
    <w:rsid w:val="002F6CA8"/>
    <w:rsid w:val="002F756C"/>
    <w:rsid w:val="003019E2"/>
    <w:rsid w:val="00301E5D"/>
    <w:rsid w:val="00304824"/>
    <w:rsid w:val="00304B54"/>
    <w:rsid w:val="0030592B"/>
    <w:rsid w:val="00305D35"/>
    <w:rsid w:val="00306717"/>
    <w:rsid w:val="00310BEB"/>
    <w:rsid w:val="0031166A"/>
    <w:rsid w:val="003125D2"/>
    <w:rsid w:val="00312956"/>
    <w:rsid w:val="0031413F"/>
    <w:rsid w:val="00314854"/>
    <w:rsid w:val="003148BB"/>
    <w:rsid w:val="0031656C"/>
    <w:rsid w:val="00316B81"/>
    <w:rsid w:val="00317337"/>
    <w:rsid w:val="00317976"/>
    <w:rsid w:val="00320F2F"/>
    <w:rsid w:val="00321309"/>
    <w:rsid w:val="00321CF5"/>
    <w:rsid w:val="00322099"/>
    <w:rsid w:val="0032457E"/>
    <w:rsid w:val="003247CB"/>
    <w:rsid w:val="00325086"/>
    <w:rsid w:val="00325D38"/>
    <w:rsid w:val="003275CD"/>
    <w:rsid w:val="00330050"/>
    <w:rsid w:val="003304C0"/>
    <w:rsid w:val="00330B20"/>
    <w:rsid w:val="003347C5"/>
    <w:rsid w:val="00335BBC"/>
    <w:rsid w:val="00336528"/>
    <w:rsid w:val="00336C73"/>
    <w:rsid w:val="003379E2"/>
    <w:rsid w:val="00340F36"/>
    <w:rsid w:val="003415F6"/>
    <w:rsid w:val="00341A29"/>
    <w:rsid w:val="00341F7D"/>
    <w:rsid w:val="00342254"/>
    <w:rsid w:val="0034334A"/>
    <w:rsid w:val="00343BFC"/>
    <w:rsid w:val="00346010"/>
    <w:rsid w:val="003476CC"/>
    <w:rsid w:val="00350B57"/>
    <w:rsid w:val="00352636"/>
    <w:rsid w:val="0035277E"/>
    <w:rsid w:val="00352E61"/>
    <w:rsid w:val="003542E3"/>
    <w:rsid w:val="0035477F"/>
    <w:rsid w:val="00354E33"/>
    <w:rsid w:val="00355EA9"/>
    <w:rsid w:val="003570F7"/>
    <w:rsid w:val="00357627"/>
    <w:rsid w:val="003578DE"/>
    <w:rsid w:val="00361688"/>
    <w:rsid w:val="003617F8"/>
    <w:rsid w:val="00362646"/>
    <w:rsid w:val="00362859"/>
    <w:rsid w:val="00365180"/>
    <w:rsid w:val="00366DBE"/>
    <w:rsid w:val="00367FD2"/>
    <w:rsid w:val="003712B9"/>
    <w:rsid w:val="0037411A"/>
    <w:rsid w:val="00375E80"/>
    <w:rsid w:val="00376334"/>
    <w:rsid w:val="00380921"/>
    <w:rsid w:val="00380FC1"/>
    <w:rsid w:val="00382EF4"/>
    <w:rsid w:val="003836EE"/>
    <w:rsid w:val="00385026"/>
    <w:rsid w:val="003873AA"/>
    <w:rsid w:val="003877D5"/>
    <w:rsid w:val="00390A98"/>
    <w:rsid w:val="00390E22"/>
    <w:rsid w:val="00390E35"/>
    <w:rsid w:val="003929B8"/>
    <w:rsid w:val="00392B9A"/>
    <w:rsid w:val="0039306C"/>
    <w:rsid w:val="00393432"/>
    <w:rsid w:val="00394339"/>
    <w:rsid w:val="00394FAA"/>
    <w:rsid w:val="0039609C"/>
    <w:rsid w:val="00396257"/>
    <w:rsid w:val="00396D6A"/>
    <w:rsid w:val="003974D7"/>
    <w:rsid w:val="003974EB"/>
    <w:rsid w:val="00397A6D"/>
    <w:rsid w:val="00397EB8"/>
    <w:rsid w:val="003A2909"/>
    <w:rsid w:val="003A330E"/>
    <w:rsid w:val="003A4FD0"/>
    <w:rsid w:val="003A6617"/>
    <w:rsid w:val="003A6732"/>
    <w:rsid w:val="003A69D1"/>
    <w:rsid w:val="003A6FC9"/>
    <w:rsid w:val="003A75A0"/>
    <w:rsid w:val="003A7705"/>
    <w:rsid w:val="003A77F1"/>
    <w:rsid w:val="003B02C8"/>
    <w:rsid w:val="003B1545"/>
    <w:rsid w:val="003B16C1"/>
    <w:rsid w:val="003B3534"/>
    <w:rsid w:val="003B4C6C"/>
    <w:rsid w:val="003B7751"/>
    <w:rsid w:val="003B7AB6"/>
    <w:rsid w:val="003C0EC0"/>
    <w:rsid w:val="003C1126"/>
    <w:rsid w:val="003C1853"/>
    <w:rsid w:val="003C2854"/>
    <w:rsid w:val="003C3010"/>
    <w:rsid w:val="003C3219"/>
    <w:rsid w:val="003C3511"/>
    <w:rsid w:val="003C409D"/>
    <w:rsid w:val="003C4544"/>
    <w:rsid w:val="003C4F5E"/>
    <w:rsid w:val="003C4FEC"/>
    <w:rsid w:val="003C5109"/>
    <w:rsid w:val="003C5583"/>
    <w:rsid w:val="003C5BA6"/>
    <w:rsid w:val="003C6542"/>
    <w:rsid w:val="003C71C6"/>
    <w:rsid w:val="003C74CF"/>
    <w:rsid w:val="003D1816"/>
    <w:rsid w:val="003D3752"/>
    <w:rsid w:val="003D57E3"/>
    <w:rsid w:val="003D7069"/>
    <w:rsid w:val="003E15B3"/>
    <w:rsid w:val="003E1ED6"/>
    <w:rsid w:val="003E2415"/>
    <w:rsid w:val="003E35DA"/>
    <w:rsid w:val="003E455D"/>
    <w:rsid w:val="003E7212"/>
    <w:rsid w:val="003F0E85"/>
    <w:rsid w:val="003F2B2E"/>
    <w:rsid w:val="003F33D5"/>
    <w:rsid w:val="003F37A6"/>
    <w:rsid w:val="003F3983"/>
    <w:rsid w:val="003F41CF"/>
    <w:rsid w:val="003F424B"/>
    <w:rsid w:val="003F4DDD"/>
    <w:rsid w:val="003F66EC"/>
    <w:rsid w:val="00400CDF"/>
    <w:rsid w:val="00402309"/>
    <w:rsid w:val="0040261A"/>
    <w:rsid w:val="00402697"/>
    <w:rsid w:val="00402E91"/>
    <w:rsid w:val="00403F8A"/>
    <w:rsid w:val="004051FC"/>
    <w:rsid w:val="00405461"/>
    <w:rsid w:val="00410C55"/>
    <w:rsid w:val="004114B4"/>
    <w:rsid w:val="00412AB9"/>
    <w:rsid w:val="004132A8"/>
    <w:rsid w:val="00413478"/>
    <w:rsid w:val="00413F4F"/>
    <w:rsid w:val="00414F03"/>
    <w:rsid w:val="00415067"/>
    <w:rsid w:val="00415A75"/>
    <w:rsid w:val="00415F8B"/>
    <w:rsid w:val="0041621B"/>
    <w:rsid w:val="00416854"/>
    <w:rsid w:val="00417138"/>
    <w:rsid w:val="00417725"/>
    <w:rsid w:val="00420116"/>
    <w:rsid w:val="00420504"/>
    <w:rsid w:val="00420EFF"/>
    <w:rsid w:val="0042145C"/>
    <w:rsid w:val="00421D8C"/>
    <w:rsid w:val="0042266F"/>
    <w:rsid w:val="004247BF"/>
    <w:rsid w:val="00424B90"/>
    <w:rsid w:val="0042507A"/>
    <w:rsid w:val="00426EDE"/>
    <w:rsid w:val="0042702F"/>
    <w:rsid w:val="004300C7"/>
    <w:rsid w:val="004305FE"/>
    <w:rsid w:val="00430FFF"/>
    <w:rsid w:val="004312D4"/>
    <w:rsid w:val="00431324"/>
    <w:rsid w:val="00431332"/>
    <w:rsid w:val="00432756"/>
    <w:rsid w:val="00432816"/>
    <w:rsid w:val="00434321"/>
    <w:rsid w:val="00434AD2"/>
    <w:rsid w:val="0043548F"/>
    <w:rsid w:val="00435932"/>
    <w:rsid w:val="004377A7"/>
    <w:rsid w:val="00437D9C"/>
    <w:rsid w:val="00437F26"/>
    <w:rsid w:val="00441988"/>
    <w:rsid w:val="00442E2C"/>
    <w:rsid w:val="00443215"/>
    <w:rsid w:val="00444097"/>
    <w:rsid w:val="00444C98"/>
    <w:rsid w:val="00445487"/>
    <w:rsid w:val="00447AC6"/>
    <w:rsid w:val="00447E0D"/>
    <w:rsid w:val="00451D0C"/>
    <w:rsid w:val="00451ED9"/>
    <w:rsid w:val="00453EA8"/>
    <w:rsid w:val="00454769"/>
    <w:rsid w:val="00454F1C"/>
    <w:rsid w:val="00456E90"/>
    <w:rsid w:val="004573B3"/>
    <w:rsid w:val="00457BAD"/>
    <w:rsid w:val="00460F09"/>
    <w:rsid w:val="004616FA"/>
    <w:rsid w:val="00462A0E"/>
    <w:rsid w:val="00464CAF"/>
    <w:rsid w:val="00466920"/>
    <w:rsid w:val="00466991"/>
    <w:rsid w:val="004676B8"/>
    <w:rsid w:val="00467C6D"/>
    <w:rsid w:val="00467D4C"/>
    <w:rsid w:val="0047064C"/>
    <w:rsid w:val="00471404"/>
    <w:rsid w:val="00471735"/>
    <w:rsid w:val="00472C6F"/>
    <w:rsid w:val="00473F4D"/>
    <w:rsid w:val="0047594B"/>
    <w:rsid w:val="004822B7"/>
    <w:rsid w:val="004823E9"/>
    <w:rsid w:val="0048284A"/>
    <w:rsid w:val="0048336A"/>
    <w:rsid w:val="00483B21"/>
    <w:rsid w:val="00484BDA"/>
    <w:rsid w:val="00485239"/>
    <w:rsid w:val="004862DC"/>
    <w:rsid w:val="00487987"/>
    <w:rsid w:val="00490F85"/>
    <w:rsid w:val="00492BE5"/>
    <w:rsid w:val="0049469E"/>
    <w:rsid w:val="0049608E"/>
    <w:rsid w:val="00496BD0"/>
    <w:rsid w:val="004A0678"/>
    <w:rsid w:val="004A1AD8"/>
    <w:rsid w:val="004A2217"/>
    <w:rsid w:val="004A24F9"/>
    <w:rsid w:val="004A2E61"/>
    <w:rsid w:val="004A42E1"/>
    <w:rsid w:val="004A6C92"/>
    <w:rsid w:val="004B09D7"/>
    <w:rsid w:val="004B162C"/>
    <w:rsid w:val="004B1DA7"/>
    <w:rsid w:val="004B29B1"/>
    <w:rsid w:val="004B2ABE"/>
    <w:rsid w:val="004B2CAC"/>
    <w:rsid w:val="004B5046"/>
    <w:rsid w:val="004C01B2"/>
    <w:rsid w:val="004C2444"/>
    <w:rsid w:val="004C2AE3"/>
    <w:rsid w:val="004C3405"/>
    <w:rsid w:val="004C35C1"/>
    <w:rsid w:val="004C3DBE"/>
    <w:rsid w:val="004C415B"/>
    <w:rsid w:val="004C4B12"/>
    <w:rsid w:val="004C5C96"/>
    <w:rsid w:val="004C6306"/>
    <w:rsid w:val="004D06A4"/>
    <w:rsid w:val="004D22A0"/>
    <w:rsid w:val="004D3F15"/>
    <w:rsid w:val="004D4146"/>
    <w:rsid w:val="004D467D"/>
    <w:rsid w:val="004D51E9"/>
    <w:rsid w:val="004D5EE4"/>
    <w:rsid w:val="004D7243"/>
    <w:rsid w:val="004D78F9"/>
    <w:rsid w:val="004E0CF6"/>
    <w:rsid w:val="004E1675"/>
    <w:rsid w:val="004E2BAB"/>
    <w:rsid w:val="004E769D"/>
    <w:rsid w:val="004F1A81"/>
    <w:rsid w:val="004F32D5"/>
    <w:rsid w:val="004F5D88"/>
    <w:rsid w:val="004F6BAB"/>
    <w:rsid w:val="00501354"/>
    <w:rsid w:val="0050193C"/>
    <w:rsid w:val="005039FC"/>
    <w:rsid w:val="00505018"/>
    <w:rsid w:val="005050D2"/>
    <w:rsid w:val="00507025"/>
    <w:rsid w:val="00507230"/>
    <w:rsid w:val="00507B22"/>
    <w:rsid w:val="00511201"/>
    <w:rsid w:val="00511C32"/>
    <w:rsid w:val="00512F75"/>
    <w:rsid w:val="005144DE"/>
    <w:rsid w:val="00520902"/>
    <w:rsid w:val="005218D9"/>
    <w:rsid w:val="00525143"/>
    <w:rsid w:val="00526CFB"/>
    <w:rsid w:val="00526F1F"/>
    <w:rsid w:val="00527A65"/>
    <w:rsid w:val="0053048D"/>
    <w:rsid w:val="00531450"/>
    <w:rsid w:val="005318B2"/>
    <w:rsid w:val="00531937"/>
    <w:rsid w:val="0053235C"/>
    <w:rsid w:val="00535A3B"/>
    <w:rsid w:val="00535FC9"/>
    <w:rsid w:val="00536186"/>
    <w:rsid w:val="005372D9"/>
    <w:rsid w:val="00537D22"/>
    <w:rsid w:val="005410EC"/>
    <w:rsid w:val="00543AAF"/>
    <w:rsid w:val="00544CBB"/>
    <w:rsid w:val="005512AB"/>
    <w:rsid w:val="00551B65"/>
    <w:rsid w:val="00553233"/>
    <w:rsid w:val="005544D9"/>
    <w:rsid w:val="005550C4"/>
    <w:rsid w:val="00555D09"/>
    <w:rsid w:val="00555EC3"/>
    <w:rsid w:val="00556704"/>
    <w:rsid w:val="00556C20"/>
    <w:rsid w:val="00557273"/>
    <w:rsid w:val="005656D7"/>
    <w:rsid w:val="00566005"/>
    <w:rsid w:val="005663E2"/>
    <w:rsid w:val="0057315F"/>
    <w:rsid w:val="00573427"/>
    <w:rsid w:val="005738B8"/>
    <w:rsid w:val="005743CC"/>
    <w:rsid w:val="00576104"/>
    <w:rsid w:val="005767F7"/>
    <w:rsid w:val="00576B21"/>
    <w:rsid w:val="00581F92"/>
    <w:rsid w:val="00582543"/>
    <w:rsid w:val="005840B4"/>
    <w:rsid w:val="00584204"/>
    <w:rsid w:val="00584E56"/>
    <w:rsid w:val="00586055"/>
    <w:rsid w:val="00586418"/>
    <w:rsid w:val="00587B40"/>
    <w:rsid w:val="00587F60"/>
    <w:rsid w:val="00592ACD"/>
    <w:rsid w:val="00592B21"/>
    <w:rsid w:val="0059603E"/>
    <w:rsid w:val="00596AFF"/>
    <w:rsid w:val="00597076"/>
    <w:rsid w:val="005A2F1B"/>
    <w:rsid w:val="005A3D16"/>
    <w:rsid w:val="005A5FF3"/>
    <w:rsid w:val="005B2DF4"/>
    <w:rsid w:val="005B4165"/>
    <w:rsid w:val="005B44BF"/>
    <w:rsid w:val="005B588D"/>
    <w:rsid w:val="005B5CE6"/>
    <w:rsid w:val="005B6B78"/>
    <w:rsid w:val="005C0022"/>
    <w:rsid w:val="005C0C69"/>
    <w:rsid w:val="005C353A"/>
    <w:rsid w:val="005C54DB"/>
    <w:rsid w:val="005C641C"/>
    <w:rsid w:val="005C67C8"/>
    <w:rsid w:val="005C7097"/>
    <w:rsid w:val="005D0249"/>
    <w:rsid w:val="005D1000"/>
    <w:rsid w:val="005D1005"/>
    <w:rsid w:val="005D137A"/>
    <w:rsid w:val="005D18FA"/>
    <w:rsid w:val="005D1A76"/>
    <w:rsid w:val="005D1E4A"/>
    <w:rsid w:val="005D2985"/>
    <w:rsid w:val="005D2CBB"/>
    <w:rsid w:val="005D4FD4"/>
    <w:rsid w:val="005D5A7B"/>
    <w:rsid w:val="005D608B"/>
    <w:rsid w:val="005D6D69"/>
    <w:rsid w:val="005D6E8C"/>
    <w:rsid w:val="005E2970"/>
    <w:rsid w:val="005E3004"/>
    <w:rsid w:val="005E4DC7"/>
    <w:rsid w:val="005E532E"/>
    <w:rsid w:val="005E702D"/>
    <w:rsid w:val="005F100C"/>
    <w:rsid w:val="005F2AF3"/>
    <w:rsid w:val="005F3897"/>
    <w:rsid w:val="005F4EB8"/>
    <w:rsid w:val="005F68DA"/>
    <w:rsid w:val="005F7419"/>
    <w:rsid w:val="005F7687"/>
    <w:rsid w:val="005F7DAB"/>
    <w:rsid w:val="00601BC9"/>
    <w:rsid w:val="00601CA3"/>
    <w:rsid w:val="00602CB8"/>
    <w:rsid w:val="00603502"/>
    <w:rsid w:val="0060377A"/>
    <w:rsid w:val="006053AF"/>
    <w:rsid w:val="0060773B"/>
    <w:rsid w:val="006111FE"/>
    <w:rsid w:val="006113D0"/>
    <w:rsid w:val="00612331"/>
    <w:rsid w:val="00612F58"/>
    <w:rsid w:val="0061383C"/>
    <w:rsid w:val="006138C1"/>
    <w:rsid w:val="006139F0"/>
    <w:rsid w:val="00613A89"/>
    <w:rsid w:val="00613FD6"/>
    <w:rsid w:val="00614F00"/>
    <w:rsid w:val="006157B5"/>
    <w:rsid w:val="00617224"/>
    <w:rsid w:val="006207A4"/>
    <w:rsid w:val="006212A9"/>
    <w:rsid w:val="00621BC8"/>
    <w:rsid w:val="00622605"/>
    <w:rsid w:val="0062373F"/>
    <w:rsid w:val="00624BB6"/>
    <w:rsid w:val="0062589A"/>
    <w:rsid w:val="00626919"/>
    <w:rsid w:val="00626FC6"/>
    <w:rsid w:val="006279C8"/>
    <w:rsid w:val="006302E4"/>
    <w:rsid w:val="006303B4"/>
    <w:rsid w:val="00630ADC"/>
    <w:rsid w:val="00631600"/>
    <w:rsid w:val="00631F1F"/>
    <w:rsid w:val="0063248A"/>
    <w:rsid w:val="0063284D"/>
    <w:rsid w:val="00632CEA"/>
    <w:rsid w:val="006332F8"/>
    <w:rsid w:val="00633D3D"/>
    <w:rsid w:val="00634380"/>
    <w:rsid w:val="0063660C"/>
    <w:rsid w:val="00637B0A"/>
    <w:rsid w:val="00641703"/>
    <w:rsid w:val="006431A6"/>
    <w:rsid w:val="00643E3A"/>
    <w:rsid w:val="00644988"/>
    <w:rsid w:val="006459F6"/>
    <w:rsid w:val="00646B4C"/>
    <w:rsid w:val="00646B7E"/>
    <w:rsid w:val="006501AD"/>
    <w:rsid w:val="00650D54"/>
    <w:rsid w:val="0065125C"/>
    <w:rsid w:val="00651BFA"/>
    <w:rsid w:val="00651EFE"/>
    <w:rsid w:val="006531FE"/>
    <w:rsid w:val="006536CC"/>
    <w:rsid w:val="00654475"/>
    <w:rsid w:val="00656DF0"/>
    <w:rsid w:val="00660975"/>
    <w:rsid w:val="00662434"/>
    <w:rsid w:val="0066267B"/>
    <w:rsid w:val="00662708"/>
    <w:rsid w:val="006645CD"/>
    <w:rsid w:val="00665A4B"/>
    <w:rsid w:val="0066671A"/>
    <w:rsid w:val="00670FAE"/>
    <w:rsid w:val="006765E2"/>
    <w:rsid w:val="00676B36"/>
    <w:rsid w:val="00676CA7"/>
    <w:rsid w:val="0068525D"/>
    <w:rsid w:val="00687623"/>
    <w:rsid w:val="006876CD"/>
    <w:rsid w:val="006907E5"/>
    <w:rsid w:val="00692E2A"/>
    <w:rsid w:val="0069496A"/>
    <w:rsid w:val="00696C1C"/>
    <w:rsid w:val="006A08EA"/>
    <w:rsid w:val="006A10B9"/>
    <w:rsid w:val="006A1927"/>
    <w:rsid w:val="006A4CF9"/>
    <w:rsid w:val="006A5A0B"/>
    <w:rsid w:val="006A5D6F"/>
    <w:rsid w:val="006A61B7"/>
    <w:rsid w:val="006A6E07"/>
    <w:rsid w:val="006A76F2"/>
    <w:rsid w:val="006B02FE"/>
    <w:rsid w:val="006B0778"/>
    <w:rsid w:val="006B5275"/>
    <w:rsid w:val="006B61D9"/>
    <w:rsid w:val="006B65F6"/>
    <w:rsid w:val="006B7D29"/>
    <w:rsid w:val="006C0253"/>
    <w:rsid w:val="006C1798"/>
    <w:rsid w:val="006C3D7D"/>
    <w:rsid w:val="006C5116"/>
    <w:rsid w:val="006C69A6"/>
    <w:rsid w:val="006C75E5"/>
    <w:rsid w:val="006D19D4"/>
    <w:rsid w:val="006D260D"/>
    <w:rsid w:val="006D4723"/>
    <w:rsid w:val="006D5644"/>
    <w:rsid w:val="006D5C95"/>
    <w:rsid w:val="006D5F3D"/>
    <w:rsid w:val="006D7EFB"/>
    <w:rsid w:val="006E1536"/>
    <w:rsid w:val="006E474E"/>
    <w:rsid w:val="006E5A03"/>
    <w:rsid w:val="006E6672"/>
    <w:rsid w:val="006E6722"/>
    <w:rsid w:val="006E6CF2"/>
    <w:rsid w:val="006E73D8"/>
    <w:rsid w:val="006E7830"/>
    <w:rsid w:val="006E798D"/>
    <w:rsid w:val="006E7D41"/>
    <w:rsid w:val="006F26FC"/>
    <w:rsid w:val="006F3218"/>
    <w:rsid w:val="006F3227"/>
    <w:rsid w:val="006F344B"/>
    <w:rsid w:val="006F345D"/>
    <w:rsid w:val="006F3A58"/>
    <w:rsid w:val="006F66A2"/>
    <w:rsid w:val="006F70B0"/>
    <w:rsid w:val="006F7558"/>
    <w:rsid w:val="006F7AFF"/>
    <w:rsid w:val="00700E93"/>
    <w:rsid w:val="0070107F"/>
    <w:rsid w:val="007027B9"/>
    <w:rsid w:val="007066B5"/>
    <w:rsid w:val="00706CD7"/>
    <w:rsid w:val="007104D6"/>
    <w:rsid w:val="00710FCF"/>
    <w:rsid w:val="0071167F"/>
    <w:rsid w:val="00711B94"/>
    <w:rsid w:val="00712076"/>
    <w:rsid w:val="007129E3"/>
    <w:rsid w:val="007134C8"/>
    <w:rsid w:val="00713DAC"/>
    <w:rsid w:val="007145DA"/>
    <w:rsid w:val="007148E4"/>
    <w:rsid w:val="00714E9E"/>
    <w:rsid w:val="00715339"/>
    <w:rsid w:val="00715C2B"/>
    <w:rsid w:val="00715E88"/>
    <w:rsid w:val="00716D8B"/>
    <w:rsid w:val="00717E7D"/>
    <w:rsid w:val="00722952"/>
    <w:rsid w:val="00723CBD"/>
    <w:rsid w:val="00723F5D"/>
    <w:rsid w:val="00730BB6"/>
    <w:rsid w:val="00733954"/>
    <w:rsid w:val="007342FE"/>
    <w:rsid w:val="00734CAA"/>
    <w:rsid w:val="007352DC"/>
    <w:rsid w:val="00735C03"/>
    <w:rsid w:val="0073702E"/>
    <w:rsid w:val="00740EE2"/>
    <w:rsid w:val="007411DD"/>
    <w:rsid w:val="007414A0"/>
    <w:rsid w:val="00741D33"/>
    <w:rsid w:val="00742106"/>
    <w:rsid w:val="00742680"/>
    <w:rsid w:val="00743484"/>
    <w:rsid w:val="00744534"/>
    <w:rsid w:val="00744E65"/>
    <w:rsid w:val="007453EA"/>
    <w:rsid w:val="00745572"/>
    <w:rsid w:val="00747219"/>
    <w:rsid w:val="00747A61"/>
    <w:rsid w:val="007524EE"/>
    <w:rsid w:val="0075533C"/>
    <w:rsid w:val="00755A18"/>
    <w:rsid w:val="00756D60"/>
    <w:rsid w:val="00757581"/>
    <w:rsid w:val="007602F5"/>
    <w:rsid w:val="00760D36"/>
    <w:rsid w:val="007611A0"/>
    <w:rsid w:val="00764034"/>
    <w:rsid w:val="00765113"/>
    <w:rsid w:val="00765151"/>
    <w:rsid w:val="00767F0C"/>
    <w:rsid w:val="0077029B"/>
    <w:rsid w:val="00772574"/>
    <w:rsid w:val="00772D69"/>
    <w:rsid w:val="00773E54"/>
    <w:rsid w:val="007747A8"/>
    <w:rsid w:val="00774A74"/>
    <w:rsid w:val="00775598"/>
    <w:rsid w:val="00775DB2"/>
    <w:rsid w:val="00776223"/>
    <w:rsid w:val="007772C4"/>
    <w:rsid w:val="00780EA2"/>
    <w:rsid w:val="00781EF1"/>
    <w:rsid w:val="00782448"/>
    <w:rsid w:val="00785769"/>
    <w:rsid w:val="00785ACA"/>
    <w:rsid w:val="007861A9"/>
    <w:rsid w:val="007865CB"/>
    <w:rsid w:val="00787688"/>
    <w:rsid w:val="00787801"/>
    <w:rsid w:val="0079131D"/>
    <w:rsid w:val="00792429"/>
    <w:rsid w:val="00792A01"/>
    <w:rsid w:val="007935E6"/>
    <w:rsid w:val="00794CF1"/>
    <w:rsid w:val="00795CC6"/>
    <w:rsid w:val="007968FF"/>
    <w:rsid w:val="00796CFA"/>
    <w:rsid w:val="00796D3F"/>
    <w:rsid w:val="00796FAE"/>
    <w:rsid w:val="00797100"/>
    <w:rsid w:val="00797FA4"/>
    <w:rsid w:val="007A023C"/>
    <w:rsid w:val="007A074C"/>
    <w:rsid w:val="007A1683"/>
    <w:rsid w:val="007A18BB"/>
    <w:rsid w:val="007A41E9"/>
    <w:rsid w:val="007A5C12"/>
    <w:rsid w:val="007A6DEC"/>
    <w:rsid w:val="007A716D"/>
    <w:rsid w:val="007A7CB0"/>
    <w:rsid w:val="007B20DF"/>
    <w:rsid w:val="007B2729"/>
    <w:rsid w:val="007B3630"/>
    <w:rsid w:val="007B3B25"/>
    <w:rsid w:val="007B4B14"/>
    <w:rsid w:val="007B4C40"/>
    <w:rsid w:val="007B5987"/>
    <w:rsid w:val="007B68A3"/>
    <w:rsid w:val="007C24CE"/>
    <w:rsid w:val="007C2541"/>
    <w:rsid w:val="007C37AD"/>
    <w:rsid w:val="007C37D3"/>
    <w:rsid w:val="007C4CC7"/>
    <w:rsid w:val="007C4D86"/>
    <w:rsid w:val="007C66B8"/>
    <w:rsid w:val="007D0E9D"/>
    <w:rsid w:val="007D188B"/>
    <w:rsid w:val="007D55BB"/>
    <w:rsid w:val="007D5610"/>
    <w:rsid w:val="007D60FA"/>
    <w:rsid w:val="007D66A8"/>
    <w:rsid w:val="007D681A"/>
    <w:rsid w:val="007D6D67"/>
    <w:rsid w:val="007D7CD3"/>
    <w:rsid w:val="007E003F"/>
    <w:rsid w:val="007E07D4"/>
    <w:rsid w:val="007E07DA"/>
    <w:rsid w:val="007E0F90"/>
    <w:rsid w:val="007E1766"/>
    <w:rsid w:val="007E1E66"/>
    <w:rsid w:val="007E795F"/>
    <w:rsid w:val="007F0CF8"/>
    <w:rsid w:val="007F1AF0"/>
    <w:rsid w:val="007F29E3"/>
    <w:rsid w:val="007F45A9"/>
    <w:rsid w:val="007F4CA3"/>
    <w:rsid w:val="007F4DA2"/>
    <w:rsid w:val="007F5769"/>
    <w:rsid w:val="007F5E1B"/>
    <w:rsid w:val="007F62CB"/>
    <w:rsid w:val="007F691B"/>
    <w:rsid w:val="007F76F1"/>
    <w:rsid w:val="00800EE1"/>
    <w:rsid w:val="00801144"/>
    <w:rsid w:val="00802A98"/>
    <w:rsid w:val="00803B6C"/>
    <w:rsid w:val="00803E10"/>
    <w:rsid w:val="00804878"/>
    <w:rsid w:val="008048DD"/>
    <w:rsid w:val="0080620A"/>
    <w:rsid w:val="00806321"/>
    <w:rsid w:val="00806FDA"/>
    <w:rsid w:val="008070CC"/>
    <w:rsid w:val="0080722F"/>
    <w:rsid w:val="00811159"/>
    <w:rsid w:val="008122B1"/>
    <w:rsid w:val="00813D9C"/>
    <w:rsid w:val="008142EC"/>
    <w:rsid w:val="00814443"/>
    <w:rsid w:val="0081493D"/>
    <w:rsid w:val="00815105"/>
    <w:rsid w:val="008164F2"/>
    <w:rsid w:val="00817D1C"/>
    <w:rsid w:val="00817DB0"/>
    <w:rsid w:val="00821395"/>
    <w:rsid w:val="00822AB0"/>
    <w:rsid w:val="00822FFF"/>
    <w:rsid w:val="008244FA"/>
    <w:rsid w:val="0082452F"/>
    <w:rsid w:val="008248D9"/>
    <w:rsid w:val="00824FF8"/>
    <w:rsid w:val="00825DF7"/>
    <w:rsid w:val="00830E26"/>
    <w:rsid w:val="00830EA4"/>
    <w:rsid w:val="00832630"/>
    <w:rsid w:val="008330FC"/>
    <w:rsid w:val="00833217"/>
    <w:rsid w:val="00833C95"/>
    <w:rsid w:val="008340AE"/>
    <w:rsid w:val="00834368"/>
    <w:rsid w:val="0083441A"/>
    <w:rsid w:val="008345E4"/>
    <w:rsid w:val="0083774B"/>
    <w:rsid w:val="00840E72"/>
    <w:rsid w:val="00843576"/>
    <w:rsid w:val="00843A05"/>
    <w:rsid w:val="00843B64"/>
    <w:rsid w:val="00843F1A"/>
    <w:rsid w:val="008440E0"/>
    <w:rsid w:val="00845261"/>
    <w:rsid w:val="008478FC"/>
    <w:rsid w:val="00851861"/>
    <w:rsid w:val="00851C51"/>
    <w:rsid w:val="0085267C"/>
    <w:rsid w:val="00852E94"/>
    <w:rsid w:val="008538F7"/>
    <w:rsid w:val="00856047"/>
    <w:rsid w:val="00860880"/>
    <w:rsid w:val="00860BCE"/>
    <w:rsid w:val="00861732"/>
    <w:rsid w:val="008639DA"/>
    <w:rsid w:val="00865EB2"/>
    <w:rsid w:val="00866C59"/>
    <w:rsid w:val="0086797F"/>
    <w:rsid w:val="00867BFF"/>
    <w:rsid w:val="00870FF6"/>
    <w:rsid w:val="00871542"/>
    <w:rsid w:val="00871D14"/>
    <w:rsid w:val="008724DA"/>
    <w:rsid w:val="00872BF6"/>
    <w:rsid w:val="00873276"/>
    <w:rsid w:val="008747DD"/>
    <w:rsid w:val="00874CDF"/>
    <w:rsid w:val="00875121"/>
    <w:rsid w:val="00875ED5"/>
    <w:rsid w:val="00876610"/>
    <w:rsid w:val="00877007"/>
    <w:rsid w:val="00877D9D"/>
    <w:rsid w:val="008806E3"/>
    <w:rsid w:val="0088213A"/>
    <w:rsid w:val="00883B5B"/>
    <w:rsid w:val="008842DC"/>
    <w:rsid w:val="0088480A"/>
    <w:rsid w:val="008868C9"/>
    <w:rsid w:val="008870B7"/>
    <w:rsid w:val="0088757A"/>
    <w:rsid w:val="00891028"/>
    <w:rsid w:val="008914D0"/>
    <w:rsid w:val="00891F8B"/>
    <w:rsid w:val="008921C9"/>
    <w:rsid w:val="00892D93"/>
    <w:rsid w:val="0089431B"/>
    <w:rsid w:val="00894E54"/>
    <w:rsid w:val="00895668"/>
    <w:rsid w:val="008957DD"/>
    <w:rsid w:val="008959AF"/>
    <w:rsid w:val="00895ADD"/>
    <w:rsid w:val="00897D98"/>
    <w:rsid w:val="008A03A5"/>
    <w:rsid w:val="008A0544"/>
    <w:rsid w:val="008A077E"/>
    <w:rsid w:val="008A323F"/>
    <w:rsid w:val="008A4503"/>
    <w:rsid w:val="008A5BC1"/>
    <w:rsid w:val="008A6DF2"/>
    <w:rsid w:val="008A7807"/>
    <w:rsid w:val="008B016B"/>
    <w:rsid w:val="008B0573"/>
    <w:rsid w:val="008B09D4"/>
    <w:rsid w:val="008B13C9"/>
    <w:rsid w:val="008B1DD0"/>
    <w:rsid w:val="008B4CC9"/>
    <w:rsid w:val="008B54D8"/>
    <w:rsid w:val="008B7397"/>
    <w:rsid w:val="008C08EB"/>
    <w:rsid w:val="008C0B15"/>
    <w:rsid w:val="008C160B"/>
    <w:rsid w:val="008C197A"/>
    <w:rsid w:val="008C199A"/>
    <w:rsid w:val="008C55E6"/>
    <w:rsid w:val="008C6A06"/>
    <w:rsid w:val="008C7032"/>
    <w:rsid w:val="008C70E5"/>
    <w:rsid w:val="008C7468"/>
    <w:rsid w:val="008C7CCD"/>
    <w:rsid w:val="008D1332"/>
    <w:rsid w:val="008D14DE"/>
    <w:rsid w:val="008D15C3"/>
    <w:rsid w:val="008D1777"/>
    <w:rsid w:val="008D676F"/>
    <w:rsid w:val="008D6DA4"/>
    <w:rsid w:val="008D75E4"/>
    <w:rsid w:val="008D7C99"/>
    <w:rsid w:val="008E092F"/>
    <w:rsid w:val="008E0AF0"/>
    <w:rsid w:val="008E0FCB"/>
    <w:rsid w:val="008E1B97"/>
    <w:rsid w:val="008E2CA8"/>
    <w:rsid w:val="008E2E5D"/>
    <w:rsid w:val="008E5CF7"/>
    <w:rsid w:val="008E5F37"/>
    <w:rsid w:val="008F330E"/>
    <w:rsid w:val="008F3A39"/>
    <w:rsid w:val="008F40B3"/>
    <w:rsid w:val="008F47AB"/>
    <w:rsid w:val="008F54DB"/>
    <w:rsid w:val="008F6DFE"/>
    <w:rsid w:val="00902F3B"/>
    <w:rsid w:val="00903405"/>
    <w:rsid w:val="0090361B"/>
    <w:rsid w:val="00903CE8"/>
    <w:rsid w:val="009048BC"/>
    <w:rsid w:val="009049FE"/>
    <w:rsid w:val="0090529F"/>
    <w:rsid w:val="00905307"/>
    <w:rsid w:val="00906BA0"/>
    <w:rsid w:val="009074CE"/>
    <w:rsid w:val="009076C3"/>
    <w:rsid w:val="00910D82"/>
    <w:rsid w:val="00911622"/>
    <w:rsid w:val="00911D39"/>
    <w:rsid w:val="009125C3"/>
    <w:rsid w:val="0091584C"/>
    <w:rsid w:val="0091711D"/>
    <w:rsid w:val="00917442"/>
    <w:rsid w:val="00917EE1"/>
    <w:rsid w:val="0092178C"/>
    <w:rsid w:val="00921BB1"/>
    <w:rsid w:val="00922A40"/>
    <w:rsid w:val="00923B8C"/>
    <w:rsid w:val="00925051"/>
    <w:rsid w:val="00930B88"/>
    <w:rsid w:val="0093215E"/>
    <w:rsid w:val="00933C1C"/>
    <w:rsid w:val="009342CB"/>
    <w:rsid w:val="0093466D"/>
    <w:rsid w:val="00934E23"/>
    <w:rsid w:val="00935376"/>
    <w:rsid w:val="009378CB"/>
    <w:rsid w:val="00937A3E"/>
    <w:rsid w:val="00940DCC"/>
    <w:rsid w:val="0094179A"/>
    <w:rsid w:val="009421C4"/>
    <w:rsid w:val="00943BBF"/>
    <w:rsid w:val="0094459E"/>
    <w:rsid w:val="00944DBC"/>
    <w:rsid w:val="009470B7"/>
    <w:rsid w:val="00947BE0"/>
    <w:rsid w:val="00947ECB"/>
    <w:rsid w:val="00950848"/>
    <w:rsid w:val="00950977"/>
    <w:rsid w:val="00950A8C"/>
    <w:rsid w:val="00951A7B"/>
    <w:rsid w:val="00951C4A"/>
    <w:rsid w:val="00952BA1"/>
    <w:rsid w:val="00953357"/>
    <w:rsid w:val="0095406D"/>
    <w:rsid w:val="0095516A"/>
    <w:rsid w:val="009552C2"/>
    <w:rsid w:val="00955512"/>
    <w:rsid w:val="009564A6"/>
    <w:rsid w:val="0095659B"/>
    <w:rsid w:val="009565E6"/>
    <w:rsid w:val="00957B60"/>
    <w:rsid w:val="00957EF8"/>
    <w:rsid w:val="009606C1"/>
    <w:rsid w:val="00960C3C"/>
    <w:rsid w:val="00962961"/>
    <w:rsid w:val="009643BE"/>
    <w:rsid w:val="00964A38"/>
    <w:rsid w:val="00964C16"/>
    <w:rsid w:val="009658FC"/>
    <w:rsid w:val="009662E9"/>
    <w:rsid w:val="009666CD"/>
    <w:rsid w:val="00966A53"/>
    <w:rsid w:val="00967621"/>
    <w:rsid w:val="00967E6A"/>
    <w:rsid w:val="00971B3F"/>
    <w:rsid w:val="00971D2C"/>
    <w:rsid w:val="00972652"/>
    <w:rsid w:val="009726D4"/>
    <w:rsid w:val="00974941"/>
    <w:rsid w:val="00975816"/>
    <w:rsid w:val="0097631A"/>
    <w:rsid w:val="00976470"/>
    <w:rsid w:val="009819C3"/>
    <w:rsid w:val="009853BB"/>
    <w:rsid w:val="009907B9"/>
    <w:rsid w:val="00990918"/>
    <w:rsid w:val="00991161"/>
    <w:rsid w:val="0099132D"/>
    <w:rsid w:val="009923F3"/>
    <w:rsid w:val="00992546"/>
    <w:rsid w:val="00992554"/>
    <w:rsid w:val="00993BE5"/>
    <w:rsid w:val="009949B3"/>
    <w:rsid w:val="00995AE9"/>
    <w:rsid w:val="009979A6"/>
    <w:rsid w:val="009A3A83"/>
    <w:rsid w:val="009A42C9"/>
    <w:rsid w:val="009A46E6"/>
    <w:rsid w:val="009A4CA4"/>
    <w:rsid w:val="009A6095"/>
    <w:rsid w:val="009A759A"/>
    <w:rsid w:val="009B12BF"/>
    <w:rsid w:val="009B2230"/>
    <w:rsid w:val="009B49C5"/>
    <w:rsid w:val="009B4A0F"/>
    <w:rsid w:val="009B5CC5"/>
    <w:rsid w:val="009C10DF"/>
    <w:rsid w:val="009C11D2"/>
    <w:rsid w:val="009C3FA9"/>
    <w:rsid w:val="009C4436"/>
    <w:rsid w:val="009C529F"/>
    <w:rsid w:val="009C6C70"/>
    <w:rsid w:val="009C6D79"/>
    <w:rsid w:val="009C7B0A"/>
    <w:rsid w:val="009D0B63"/>
    <w:rsid w:val="009D174B"/>
    <w:rsid w:val="009D1795"/>
    <w:rsid w:val="009D3D1F"/>
    <w:rsid w:val="009D5CB8"/>
    <w:rsid w:val="009D6B5E"/>
    <w:rsid w:val="009E1686"/>
    <w:rsid w:val="009E1FCA"/>
    <w:rsid w:val="009E249F"/>
    <w:rsid w:val="009E307E"/>
    <w:rsid w:val="009E42B3"/>
    <w:rsid w:val="009E4B17"/>
    <w:rsid w:val="009E62A8"/>
    <w:rsid w:val="009E77FB"/>
    <w:rsid w:val="009F0EB7"/>
    <w:rsid w:val="009F13E2"/>
    <w:rsid w:val="009F2AE4"/>
    <w:rsid w:val="009F2B24"/>
    <w:rsid w:val="009F2C7B"/>
    <w:rsid w:val="009F3971"/>
    <w:rsid w:val="009F412C"/>
    <w:rsid w:val="009F44C0"/>
    <w:rsid w:val="009F586E"/>
    <w:rsid w:val="009F7AF5"/>
    <w:rsid w:val="00A00B9F"/>
    <w:rsid w:val="00A03C6A"/>
    <w:rsid w:val="00A06B25"/>
    <w:rsid w:val="00A07870"/>
    <w:rsid w:val="00A07BAB"/>
    <w:rsid w:val="00A07C54"/>
    <w:rsid w:val="00A07F19"/>
    <w:rsid w:val="00A10424"/>
    <w:rsid w:val="00A124BB"/>
    <w:rsid w:val="00A1348D"/>
    <w:rsid w:val="00A13C99"/>
    <w:rsid w:val="00A13D73"/>
    <w:rsid w:val="00A14C07"/>
    <w:rsid w:val="00A23213"/>
    <w:rsid w:val="00A232EE"/>
    <w:rsid w:val="00A243C6"/>
    <w:rsid w:val="00A2664A"/>
    <w:rsid w:val="00A272A2"/>
    <w:rsid w:val="00A33EA9"/>
    <w:rsid w:val="00A4053D"/>
    <w:rsid w:val="00A4175F"/>
    <w:rsid w:val="00A41FC2"/>
    <w:rsid w:val="00A44411"/>
    <w:rsid w:val="00A44C6D"/>
    <w:rsid w:val="00A44D26"/>
    <w:rsid w:val="00A469FA"/>
    <w:rsid w:val="00A46B89"/>
    <w:rsid w:val="00A47406"/>
    <w:rsid w:val="00A47A6E"/>
    <w:rsid w:val="00A50785"/>
    <w:rsid w:val="00A52429"/>
    <w:rsid w:val="00A52DB9"/>
    <w:rsid w:val="00A53662"/>
    <w:rsid w:val="00A53BC5"/>
    <w:rsid w:val="00A54B1B"/>
    <w:rsid w:val="00A558FE"/>
    <w:rsid w:val="00A55B01"/>
    <w:rsid w:val="00A56B5B"/>
    <w:rsid w:val="00A56EC0"/>
    <w:rsid w:val="00A60032"/>
    <w:rsid w:val="00A603FF"/>
    <w:rsid w:val="00A614F6"/>
    <w:rsid w:val="00A619B6"/>
    <w:rsid w:val="00A61F00"/>
    <w:rsid w:val="00A63BE0"/>
    <w:rsid w:val="00A648CA"/>
    <w:rsid w:val="00A657DD"/>
    <w:rsid w:val="00A660E2"/>
    <w:rsid w:val="00A666A6"/>
    <w:rsid w:val="00A675FD"/>
    <w:rsid w:val="00A7022A"/>
    <w:rsid w:val="00A72437"/>
    <w:rsid w:val="00A731D4"/>
    <w:rsid w:val="00A742A9"/>
    <w:rsid w:val="00A7564F"/>
    <w:rsid w:val="00A77552"/>
    <w:rsid w:val="00A8048B"/>
    <w:rsid w:val="00A80611"/>
    <w:rsid w:val="00A817D4"/>
    <w:rsid w:val="00A83481"/>
    <w:rsid w:val="00A83FB8"/>
    <w:rsid w:val="00A84BFD"/>
    <w:rsid w:val="00A85F90"/>
    <w:rsid w:val="00A873D4"/>
    <w:rsid w:val="00A90C40"/>
    <w:rsid w:val="00A910A3"/>
    <w:rsid w:val="00A92C2B"/>
    <w:rsid w:val="00A94B2F"/>
    <w:rsid w:val="00A9554F"/>
    <w:rsid w:val="00A969E5"/>
    <w:rsid w:val="00AA0417"/>
    <w:rsid w:val="00AA0C03"/>
    <w:rsid w:val="00AA5799"/>
    <w:rsid w:val="00AA5BF4"/>
    <w:rsid w:val="00AA7A89"/>
    <w:rsid w:val="00AB1875"/>
    <w:rsid w:val="00AB3FD0"/>
    <w:rsid w:val="00AB4810"/>
    <w:rsid w:val="00AB5340"/>
    <w:rsid w:val="00AB7910"/>
    <w:rsid w:val="00AB7A0F"/>
    <w:rsid w:val="00AB7C74"/>
    <w:rsid w:val="00AC0A89"/>
    <w:rsid w:val="00AC0C93"/>
    <w:rsid w:val="00AC24DE"/>
    <w:rsid w:val="00AC6649"/>
    <w:rsid w:val="00AC7BC3"/>
    <w:rsid w:val="00AC7C96"/>
    <w:rsid w:val="00AD1F6D"/>
    <w:rsid w:val="00AD3593"/>
    <w:rsid w:val="00AD604D"/>
    <w:rsid w:val="00AD618B"/>
    <w:rsid w:val="00AD655B"/>
    <w:rsid w:val="00AD68D8"/>
    <w:rsid w:val="00AD6BC8"/>
    <w:rsid w:val="00AD71A3"/>
    <w:rsid w:val="00AD7257"/>
    <w:rsid w:val="00AE01A9"/>
    <w:rsid w:val="00AE0812"/>
    <w:rsid w:val="00AE130B"/>
    <w:rsid w:val="00AE237D"/>
    <w:rsid w:val="00AE502A"/>
    <w:rsid w:val="00AE7D3C"/>
    <w:rsid w:val="00AF0010"/>
    <w:rsid w:val="00AF1AA8"/>
    <w:rsid w:val="00AF2C1F"/>
    <w:rsid w:val="00AF3274"/>
    <w:rsid w:val="00AF471D"/>
    <w:rsid w:val="00AF5EAF"/>
    <w:rsid w:val="00AF629B"/>
    <w:rsid w:val="00AF7C07"/>
    <w:rsid w:val="00B000A7"/>
    <w:rsid w:val="00B04F67"/>
    <w:rsid w:val="00B05FBD"/>
    <w:rsid w:val="00B06C64"/>
    <w:rsid w:val="00B0782A"/>
    <w:rsid w:val="00B07D8E"/>
    <w:rsid w:val="00B108D8"/>
    <w:rsid w:val="00B1107F"/>
    <w:rsid w:val="00B11CAC"/>
    <w:rsid w:val="00B11D34"/>
    <w:rsid w:val="00B1283A"/>
    <w:rsid w:val="00B12CDD"/>
    <w:rsid w:val="00B141A2"/>
    <w:rsid w:val="00B1484C"/>
    <w:rsid w:val="00B15A29"/>
    <w:rsid w:val="00B175FE"/>
    <w:rsid w:val="00B17856"/>
    <w:rsid w:val="00B20164"/>
    <w:rsid w:val="00B202AB"/>
    <w:rsid w:val="00B21306"/>
    <w:rsid w:val="00B2136E"/>
    <w:rsid w:val="00B2152D"/>
    <w:rsid w:val="00B22C93"/>
    <w:rsid w:val="00B23ECE"/>
    <w:rsid w:val="00B2505F"/>
    <w:rsid w:val="00B258A8"/>
    <w:rsid w:val="00B26AC4"/>
    <w:rsid w:val="00B27361"/>
    <w:rsid w:val="00B27589"/>
    <w:rsid w:val="00B308B6"/>
    <w:rsid w:val="00B31039"/>
    <w:rsid w:val="00B31DCB"/>
    <w:rsid w:val="00B330A9"/>
    <w:rsid w:val="00B3310A"/>
    <w:rsid w:val="00B35324"/>
    <w:rsid w:val="00B3540A"/>
    <w:rsid w:val="00B3712E"/>
    <w:rsid w:val="00B405B7"/>
    <w:rsid w:val="00B4137A"/>
    <w:rsid w:val="00B452F8"/>
    <w:rsid w:val="00B468C0"/>
    <w:rsid w:val="00B47218"/>
    <w:rsid w:val="00B47C82"/>
    <w:rsid w:val="00B503CC"/>
    <w:rsid w:val="00B50C6D"/>
    <w:rsid w:val="00B50FE9"/>
    <w:rsid w:val="00B52222"/>
    <w:rsid w:val="00B5244D"/>
    <w:rsid w:val="00B53186"/>
    <w:rsid w:val="00B531DA"/>
    <w:rsid w:val="00B5321F"/>
    <w:rsid w:val="00B53522"/>
    <w:rsid w:val="00B536D2"/>
    <w:rsid w:val="00B5396F"/>
    <w:rsid w:val="00B53A3E"/>
    <w:rsid w:val="00B54895"/>
    <w:rsid w:val="00B54AA2"/>
    <w:rsid w:val="00B54AF2"/>
    <w:rsid w:val="00B54FE7"/>
    <w:rsid w:val="00B570F0"/>
    <w:rsid w:val="00B57AD0"/>
    <w:rsid w:val="00B60397"/>
    <w:rsid w:val="00B60981"/>
    <w:rsid w:val="00B60C1C"/>
    <w:rsid w:val="00B62EAB"/>
    <w:rsid w:val="00B63D0C"/>
    <w:rsid w:val="00B64377"/>
    <w:rsid w:val="00B647C6"/>
    <w:rsid w:val="00B655F9"/>
    <w:rsid w:val="00B66901"/>
    <w:rsid w:val="00B66A03"/>
    <w:rsid w:val="00B66F60"/>
    <w:rsid w:val="00B706C2"/>
    <w:rsid w:val="00B70B4D"/>
    <w:rsid w:val="00B71E6D"/>
    <w:rsid w:val="00B72070"/>
    <w:rsid w:val="00B72357"/>
    <w:rsid w:val="00B734CE"/>
    <w:rsid w:val="00B7516A"/>
    <w:rsid w:val="00B75897"/>
    <w:rsid w:val="00B75A2D"/>
    <w:rsid w:val="00B779E1"/>
    <w:rsid w:val="00B81E3A"/>
    <w:rsid w:val="00B83939"/>
    <w:rsid w:val="00B83A5D"/>
    <w:rsid w:val="00B8424C"/>
    <w:rsid w:val="00B84832"/>
    <w:rsid w:val="00B84CC5"/>
    <w:rsid w:val="00B85B66"/>
    <w:rsid w:val="00B85CFB"/>
    <w:rsid w:val="00B9020C"/>
    <w:rsid w:val="00B90220"/>
    <w:rsid w:val="00B914E9"/>
    <w:rsid w:val="00B91EE1"/>
    <w:rsid w:val="00B9259F"/>
    <w:rsid w:val="00B94602"/>
    <w:rsid w:val="00B94BEB"/>
    <w:rsid w:val="00B96795"/>
    <w:rsid w:val="00B97090"/>
    <w:rsid w:val="00BA0090"/>
    <w:rsid w:val="00BA18CB"/>
    <w:rsid w:val="00BA1A67"/>
    <w:rsid w:val="00BA2806"/>
    <w:rsid w:val="00BA372C"/>
    <w:rsid w:val="00BA4608"/>
    <w:rsid w:val="00BA5A8F"/>
    <w:rsid w:val="00BA655A"/>
    <w:rsid w:val="00BA675F"/>
    <w:rsid w:val="00BA6A80"/>
    <w:rsid w:val="00BA7592"/>
    <w:rsid w:val="00BA7625"/>
    <w:rsid w:val="00BA78BD"/>
    <w:rsid w:val="00BB1D5A"/>
    <w:rsid w:val="00BB2F17"/>
    <w:rsid w:val="00BB39E9"/>
    <w:rsid w:val="00BB477B"/>
    <w:rsid w:val="00BB4ABB"/>
    <w:rsid w:val="00BB72AE"/>
    <w:rsid w:val="00BC2A86"/>
    <w:rsid w:val="00BC4A85"/>
    <w:rsid w:val="00BC560C"/>
    <w:rsid w:val="00BC62BA"/>
    <w:rsid w:val="00BD024C"/>
    <w:rsid w:val="00BD102C"/>
    <w:rsid w:val="00BD257E"/>
    <w:rsid w:val="00BD33BB"/>
    <w:rsid w:val="00BD4768"/>
    <w:rsid w:val="00BD7352"/>
    <w:rsid w:val="00BD7B01"/>
    <w:rsid w:val="00BE1622"/>
    <w:rsid w:val="00BE1B65"/>
    <w:rsid w:val="00BE259F"/>
    <w:rsid w:val="00BE4190"/>
    <w:rsid w:val="00BE5B5F"/>
    <w:rsid w:val="00BE62B0"/>
    <w:rsid w:val="00BE63E8"/>
    <w:rsid w:val="00BE7993"/>
    <w:rsid w:val="00BE7C7B"/>
    <w:rsid w:val="00BF03C2"/>
    <w:rsid w:val="00BF7D20"/>
    <w:rsid w:val="00C04BFF"/>
    <w:rsid w:val="00C05ABA"/>
    <w:rsid w:val="00C05B03"/>
    <w:rsid w:val="00C05D45"/>
    <w:rsid w:val="00C06AE8"/>
    <w:rsid w:val="00C1034D"/>
    <w:rsid w:val="00C10AE3"/>
    <w:rsid w:val="00C10CA0"/>
    <w:rsid w:val="00C11971"/>
    <w:rsid w:val="00C12E79"/>
    <w:rsid w:val="00C1570C"/>
    <w:rsid w:val="00C15FEB"/>
    <w:rsid w:val="00C1717F"/>
    <w:rsid w:val="00C179DE"/>
    <w:rsid w:val="00C17D59"/>
    <w:rsid w:val="00C17FED"/>
    <w:rsid w:val="00C20DD3"/>
    <w:rsid w:val="00C213E8"/>
    <w:rsid w:val="00C21C1D"/>
    <w:rsid w:val="00C21D12"/>
    <w:rsid w:val="00C23075"/>
    <w:rsid w:val="00C25AFB"/>
    <w:rsid w:val="00C26176"/>
    <w:rsid w:val="00C26D2C"/>
    <w:rsid w:val="00C26F55"/>
    <w:rsid w:val="00C30C63"/>
    <w:rsid w:val="00C30FF3"/>
    <w:rsid w:val="00C31BD6"/>
    <w:rsid w:val="00C32C4C"/>
    <w:rsid w:val="00C3386E"/>
    <w:rsid w:val="00C339BD"/>
    <w:rsid w:val="00C33FCA"/>
    <w:rsid w:val="00C34D0C"/>
    <w:rsid w:val="00C34D5C"/>
    <w:rsid w:val="00C352DB"/>
    <w:rsid w:val="00C36B8B"/>
    <w:rsid w:val="00C37306"/>
    <w:rsid w:val="00C3749B"/>
    <w:rsid w:val="00C37E6F"/>
    <w:rsid w:val="00C415C1"/>
    <w:rsid w:val="00C42482"/>
    <w:rsid w:val="00C42BB0"/>
    <w:rsid w:val="00C432AC"/>
    <w:rsid w:val="00C43B4B"/>
    <w:rsid w:val="00C4509C"/>
    <w:rsid w:val="00C4759F"/>
    <w:rsid w:val="00C47DBF"/>
    <w:rsid w:val="00C50DC0"/>
    <w:rsid w:val="00C51DE0"/>
    <w:rsid w:val="00C54833"/>
    <w:rsid w:val="00C552FF"/>
    <w:rsid w:val="00C558DA"/>
    <w:rsid w:val="00C55AF3"/>
    <w:rsid w:val="00C560CD"/>
    <w:rsid w:val="00C560EC"/>
    <w:rsid w:val="00C56501"/>
    <w:rsid w:val="00C57034"/>
    <w:rsid w:val="00C6007C"/>
    <w:rsid w:val="00C62264"/>
    <w:rsid w:val="00C627CD"/>
    <w:rsid w:val="00C6566F"/>
    <w:rsid w:val="00C6642A"/>
    <w:rsid w:val="00C70DB7"/>
    <w:rsid w:val="00C73747"/>
    <w:rsid w:val="00C7463F"/>
    <w:rsid w:val="00C75229"/>
    <w:rsid w:val="00C756E9"/>
    <w:rsid w:val="00C75B74"/>
    <w:rsid w:val="00C771A9"/>
    <w:rsid w:val="00C80834"/>
    <w:rsid w:val="00C820D7"/>
    <w:rsid w:val="00C823F5"/>
    <w:rsid w:val="00C824DF"/>
    <w:rsid w:val="00C82943"/>
    <w:rsid w:val="00C84759"/>
    <w:rsid w:val="00C85033"/>
    <w:rsid w:val="00C85594"/>
    <w:rsid w:val="00C86112"/>
    <w:rsid w:val="00C862E3"/>
    <w:rsid w:val="00C90B1F"/>
    <w:rsid w:val="00C917BC"/>
    <w:rsid w:val="00C93096"/>
    <w:rsid w:val="00C93752"/>
    <w:rsid w:val="00C951A6"/>
    <w:rsid w:val="00C951BF"/>
    <w:rsid w:val="00C95EA7"/>
    <w:rsid w:val="00C96AAE"/>
    <w:rsid w:val="00CA0172"/>
    <w:rsid w:val="00CA0897"/>
    <w:rsid w:val="00CA08FA"/>
    <w:rsid w:val="00CA0D96"/>
    <w:rsid w:val="00CA364E"/>
    <w:rsid w:val="00CA56DD"/>
    <w:rsid w:val="00CA5CA9"/>
    <w:rsid w:val="00CA6C55"/>
    <w:rsid w:val="00CA6C7F"/>
    <w:rsid w:val="00CB007D"/>
    <w:rsid w:val="00CB05C4"/>
    <w:rsid w:val="00CB0739"/>
    <w:rsid w:val="00CB0CCA"/>
    <w:rsid w:val="00CB2540"/>
    <w:rsid w:val="00CB468E"/>
    <w:rsid w:val="00CB5673"/>
    <w:rsid w:val="00CB5704"/>
    <w:rsid w:val="00CB5F08"/>
    <w:rsid w:val="00CB60CA"/>
    <w:rsid w:val="00CB7255"/>
    <w:rsid w:val="00CB77B0"/>
    <w:rsid w:val="00CC0FC7"/>
    <w:rsid w:val="00CC10A6"/>
    <w:rsid w:val="00CC12B1"/>
    <w:rsid w:val="00CC162F"/>
    <w:rsid w:val="00CC2D24"/>
    <w:rsid w:val="00CC5FEF"/>
    <w:rsid w:val="00CC622D"/>
    <w:rsid w:val="00CC6AAB"/>
    <w:rsid w:val="00CC7E80"/>
    <w:rsid w:val="00CD023B"/>
    <w:rsid w:val="00CD0661"/>
    <w:rsid w:val="00CD2065"/>
    <w:rsid w:val="00CD246F"/>
    <w:rsid w:val="00CD461D"/>
    <w:rsid w:val="00CD5EB8"/>
    <w:rsid w:val="00CD7044"/>
    <w:rsid w:val="00CD7BC8"/>
    <w:rsid w:val="00CE00F3"/>
    <w:rsid w:val="00CE08B9"/>
    <w:rsid w:val="00CE1215"/>
    <w:rsid w:val="00CE1562"/>
    <w:rsid w:val="00CE2575"/>
    <w:rsid w:val="00CE3515"/>
    <w:rsid w:val="00CE3AE5"/>
    <w:rsid w:val="00CE4770"/>
    <w:rsid w:val="00CE524C"/>
    <w:rsid w:val="00CE5459"/>
    <w:rsid w:val="00CE54E6"/>
    <w:rsid w:val="00CF141F"/>
    <w:rsid w:val="00CF1ED7"/>
    <w:rsid w:val="00CF4777"/>
    <w:rsid w:val="00CF65C8"/>
    <w:rsid w:val="00D004F2"/>
    <w:rsid w:val="00D013F5"/>
    <w:rsid w:val="00D0170E"/>
    <w:rsid w:val="00D0269D"/>
    <w:rsid w:val="00D03FA5"/>
    <w:rsid w:val="00D04F34"/>
    <w:rsid w:val="00D05805"/>
    <w:rsid w:val="00D05E3F"/>
    <w:rsid w:val="00D067BB"/>
    <w:rsid w:val="00D070BF"/>
    <w:rsid w:val="00D10615"/>
    <w:rsid w:val="00D11223"/>
    <w:rsid w:val="00D127D5"/>
    <w:rsid w:val="00D12B1C"/>
    <w:rsid w:val="00D1352A"/>
    <w:rsid w:val="00D15677"/>
    <w:rsid w:val="00D15726"/>
    <w:rsid w:val="00D1638E"/>
    <w:rsid w:val="00D169AF"/>
    <w:rsid w:val="00D17B30"/>
    <w:rsid w:val="00D200EF"/>
    <w:rsid w:val="00D2018C"/>
    <w:rsid w:val="00D23FB0"/>
    <w:rsid w:val="00D25175"/>
    <w:rsid w:val="00D25249"/>
    <w:rsid w:val="00D259C0"/>
    <w:rsid w:val="00D26854"/>
    <w:rsid w:val="00D27668"/>
    <w:rsid w:val="00D2771F"/>
    <w:rsid w:val="00D27E74"/>
    <w:rsid w:val="00D3028B"/>
    <w:rsid w:val="00D303EA"/>
    <w:rsid w:val="00D315B8"/>
    <w:rsid w:val="00D33E11"/>
    <w:rsid w:val="00D35109"/>
    <w:rsid w:val="00D35B39"/>
    <w:rsid w:val="00D36C41"/>
    <w:rsid w:val="00D409D4"/>
    <w:rsid w:val="00D44172"/>
    <w:rsid w:val="00D44B4A"/>
    <w:rsid w:val="00D45D67"/>
    <w:rsid w:val="00D46182"/>
    <w:rsid w:val="00D463B5"/>
    <w:rsid w:val="00D47BE3"/>
    <w:rsid w:val="00D508BF"/>
    <w:rsid w:val="00D50F41"/>
    <w:rsid w:val="00D511E8"/>
    <w:rsid w:val="00D529A9"/>
    <w:rsid w:val="00D53E1E"/>
    <w:rsid w:val="00D555AF"/>
    <w:rsid w:val="00D57380"/>
    <w:rsid w:val="00D573F7"/>
    <w:rsid w:val="00D5799F"/>
    <w:rsid w:val="00D60871"/>
    <w:rsid w:val="00D6143A"/>
    <w:rsid w:val="00D61AA7"/>
    <w:rsid w:val="00D61D0C"/>
    <w:rsid w:val="00D62CA0"/>
    <w:rsid w:val="00D63B8C"/>
    <w:rsid w:val="00D65093"/>
    <w:rsid w:val="00D65747"/>
    <w:rsid w:val="00D66F65"/>
    <w:rsid w:val="00D67788"/>
    <w:rsid w:val="00D707AF"/>
    <w:rsid w:val="00D71891"/>
    <w:rsid w:val="00D739CC"/>
    <w:rsid w:val="00D743B5"/>
    <w:rsid w:val="00D74881"/>
    <w:rsid w:val="00D749CF"/>
    <w:rsid w:val="00D74D28"/>
    <w:rsid w:val="00D7602C"/>
    <w:rsid w:val="00D76C29"/>
    <w:rsid w:val="00D773FC"/>
    <w:rsid w:val="00D800F1"/>
    <w:rsid w:val="00D806F9"/>
    <w:rsid w:val="00D807B2"/>
    <w:rsid w:val="00D8093D"/>
    <w:rsid w:val="00D8108C"/>
    <w:rsid w:val="00D815EA"/>
    <w:rsid w:val="00D830FE"/>
    <w:rsid w:val="00D842AE"/>
    <w:rsid w:val="00D84C1C"/>
    <w:rsid w:val="00D853D2"/>
    <w:rsid w:val="00D85F7A"/>
    <w:rsid w:val="00D86C56"/>
    <w:rsid w:val="00D907C9"/>
    <w:rsid w:val="00D9211C"/>
    <w:rsid w:val="00D92439"/>
    <w:rsid w:val="00D92DE0"/>
    <w:rsid w:val="00D92FEF"/>
    <w:rsid w:val="00D930DD"/>
    <w:rsid w:val="00D931F9"/>
    <w:rsid w:val="00D93A0F"/>
    <w:rsid w:val="00D953CF"/>
    <w:rsid w:val="00D958E7"/>
    <w:rsid w:val="00D95C4F"/>
    <w:rsid w:val="00D96F6B"/>
    <w:rsid w:val="00D97873"/>
    <w:rsid w:val="00D97995"/>
    <w:rsid w:val="00DA1BCA"/>
    <w:rsid w:val="00DA2483"/>
    <w:rsid w:val="00DA3663"/>
    <w:rsid w:val="00DA36E9"/>
    <w:rsid w:val="00DA4696"/>
    <w:rsid w:val="00DA5031"/>
    <w:rsid w:val="00DA5402"/>
    <w:rsid w:val="00DA7B0F"/>
    <w:rsid w:val="00DB0FE6"/>
    <w:rsid w:val="00DB1210"/>
    <w:rsid w:val="00DB2150"/>
    <w:rsid w:val="00DB6926"/>
    <w:rsid w:val="00DB791D"/>
    <w:rsid w:val="00DB7A03"/>
    <w:rsid w:val="00DC1792"/>
    <w:rsid w:val="00DC274A"/>
    <w:rsid w:val="00DC3C48"/>
    <w:rsid w:val="00DC3EF7"/>
    <w:rsid w:val="00DC3FE0"/>
    <w:rsid w:val="00DC46FF"/>
    <w:rsid w:val="00DC5254"/>
    <w:rsid w:val="00DC569D"/>
    <w:rsid w:val="00DC581B"/>
    <w:rsid w:val="00DC5C70"/>
    <w:rsid w:val="00DC7129"/>
    <w:rsid w:val="00DC7322"/>
    <w:rsid w:val="00DD1A4F"/>
    <w:rsid w:val="00DD28EB"/>
    <w:rsid w:val="00DD3107"/>
    <w:rsid w:val="00DD3687"/>
    <w:rsid w:val="00DD3CB2"/>
    <w:rsid w:val="00DD4B0C"/>
    <w:rsid w:val="00DD6E7A"/>
    <w:rsid w:val="00DD7BFD"/>
    <w:rsid w:val="00DD7C2C"/>
    <w:rsid w:val="00DE0664"/>
    <w:rsid w:val="00DE3B16"/>
    <w:rsid w:val="00DE5BBE"/>
    <w:rsid w:val="00DE5BDA"/>
    <w:rsid w:val="00DE5F23"/>
    <w:rsid w:val="00DE641F"/>
    <w:rsid w:val="00DE6966"/>
    <w:rsid w:val="00DF2E9E"/>
    <w:rsid w:val="00DF31A8"/>
    <w:rsid w:val="00DF3C18"/>
    <w:rsid w:val="00DF433C"/>
    <w:rsid w:val="00DF519F"/>
    <w:rsid w:val="00DF5255"/>
    <w:rsid w:val="00DF7FA1"/>
    <w:rsid w:val="00E0035A"/>
    <w:rsid w:val="00E006FC"/>
    <w:rsid w:val="00E009C7"/>
    <w:rsid w:val="00E00BBC"/>
    <w:rsid w:val="00E00FA9"/>
    <w:rsid w:val="00E0374C"/>
    <w:rsid w:val="00E05240"/>
    <w:rsid w:val="00E06797"/>
    <w:rsid w:val="00E0696A"/>
    <w:rsid w:val="00E1265B"/>
    <w:rsid w:val="00E12E09"/>
    <w:rsid w:val="00E13B48"/>
    <w:rsid w:val="00E1404F"/>
    <w:rsid w:val="00E17FE6"/>
    <w:rsid w:val="00E2160E"/>
    <w:rsid w:val="00E218CA"/>
    <w:rsid w:val="00E21C83"/>
    <w:rsid w:val="00E221D6"/>
    <w:rsid w:val="00E24ADA"/>
    <w:rsid w:val="00E27FF0"/>
    <w:rsid w:val="00E310BF"/>
    <w:rsid w:val="00E31154"/>
    <w:rsid w:val="00E31307"/>
    <w:rsid w:val="00E317BB"/>
    <w:rsid w:val="00E3280C"/>
    <w:rsid w:val="00E32F59"/>
    <w:rsid w:val="00E33049"/>
    <w:rsid w:val="00E336BC"/>
    <w:rsid w:val="00E346C6"/>
    <w:rsid w:val="00E3519F"/>
    <w:rsid w:val="00E36009"/>
    <w:rsid w:val="00E3751C"/>
    <w:rsid w:val="00E375F8"/>
    <w:rsid w:val="00E4014C"/>
    <w:rsid w:val="00E41908"/>
    <w:rsid w:val="00E43BF3"/>
    <w:rsid w:val="00E43F17"/>
    <w:rsid w:val="00E4654F"/>
    <w:rsid w:val="00E46D9A"/>
    <w:rsid w:val="00E51152"/>
    <w:rsid w:val="00E537C4"/>
    <w:rsid w:val="00E53BE1"/>
    <w:rsid w:val="00E54866"/>
    <w:rsid w:val="00E55138"/>
    <w:rsid w:val="00E55583"/>
    <w:rsid w:val="00E55A01"/>
    <w:rsid w:val="00E561F3"/>
    <w:rsid w:val="00E565FF"/>
    <w:rsid w:val="00E61AE6"/>
    <w:rsid w:val="00E6254A"/>
    <w:rsid w:val="00E65388"/>
    <w:rsid w:val="00E661E1"/>
    <w:rsid w:val="00E664B2"/>
    <w:rsid w:val="00E67FA7"/>
    <w:rsid w:val="00E703E1"/>
    <w:rsid w:val="00E739F6"/>
    <w:rsid w:val="00E754CD"/>
    <w:rsid w:val="00E755A5"/>
    <w:rsid w:val="00E77380"/>
    <w:rsid w:val="00E7741D"/>
    <w:rsid w:val="00E775AA"/>
    <w:rsid w:val="00E777BB"/>
    <w:rsid w:val="00E808CD"/>
    <w:rsid w:val="00E80B4F"/>
    <w:rsid w:val="00E8267C"/>
    <w:rsid w:val="00E82E21"/>
    <w:rsid w:val="00E8348F"/>
    <w:rsid w:val="00E83FF8"/>
    <w:rsid w:val="00E8438C"/>
    <w:rsid w:val="00E85B7D"/>
    <w:rsid w:val="00E864C7"/>
    <w:rsid w:val="00E903FD"/>
    <w:rsid w:val="00E90DE3"/>
    <w:rsid w:val="00E9121B"/>
    <w:rsid w:val="00E927B5"/>
    <w:rsid w:val="00E9302E"/>
    <w:rsid w:val="00E949C1"/>
    <w:rsid w:val="00E9620F"/>
    <w:rsid w:val="00E976AB"/>
    <w:rsid w:val="00E97922"/>
    <w:rsid w:val="00EA0AE2"/>
    <w:rsid w:val="00EA1E00"/>
    <w:rsid w:val="00EA1F90"/>
    <w:rsid w:val="00EA2CF8"/>
    <w:rsid w:val="00EA39E5"/>
    <w:rsid w:val="00EA57A3"/>
    <w:rsid w:val="00EA5A14"/>
    <w:rsid w:val="00EA5C32"/>
    <w:rsid w:val="00EA6923"/>
    <w:rsid w:val="00EA6FBE"/>
    <w:rsid w:val="00EA764F"/>
    <w:rsid w:val="00EB3177"/>
    <w:rsid w:val="00EB5777"/>
    <w:rsid w:val="00EB6036"/>
    <w:rsid w:val="00EC0272"/>
    <w:rsid w:val="00EC2813"/>
    <w:rsid w:val="00EC3CC3"/>
    <w:rsid w:val="00EC4A12"/>
    <w:rsid w:val="00EC5A46"/>
    <w:rsid w:val="00EC63E2"/>
    <w:rsid w:val="00ED0225"/>
    <w:rsid w:val="00ED14B3"/>
    <w:rsid w:val="00ED2D63"/>
    <w:rsid w:val="00ED366A"/>
    <w:rsid w:val="00ED3697"/>
    <w:rsid w:val="00ED46BD"/>
    <w:rsid w:val="00ED481B"/>
    <w:rsid w:val="00ED5D0E"/>
    <w:rsid w:val="00ED5E82"/>
    <w:rsid w:val="00ED6BB7"/>
    <w:rsid w:val="00ED6C14"/>
    <w:rsid w:val="00ED6C5E"/>
    <w:rsid w:val="00ED741C"/>
    <w:rsid w:val="00ED7EA2"/>
    <w:rsid w:val="00EE5668"/>
    <w:rsid w:val="00EE6117"/>
    <w:rsid w:val="00EE6880"/>
    <w:rsid w:val="00EE7D24"/>
    <w:rsid w:val="00EF22B3"/>
    <w:rsid w:val="00EF3F67"/>
    <w:rsid w:val="00EF3F72"/>
    <w:rsid w:val="00EF5A7E"/>
    <w:rsid w:val="00EF5E6F"/>
    <w:rsid w:val="00EF7292"/>
    <w:rsid w:val="00F00DAA"/>
    <w:rsid w:val="00F00DBB"/>
    <w:rsid w:val="00F01326"/>
    <w:rsid w:val="00F03B69"/>
    <w:rsid w:val="00F03DB2"/>
    <w:rsid w:val="00F0485C"/>
    <w:rsid w:val="00F07A50"/>
    <w:rsid w:val="00F11276"/>
    <w:rsid w:val="00F1134F"/>
    <w:rsid w:val="00F113DA"/>
    <w:rsid w:val="00F1255F"/>
    <w:rsid w:val="00F15165"/>
    <w:rsid w:val="00F15578"/>
    <w:rsid w:val="00F16344"/>
    <w:rsid w:val="00F16695"/>
    <w:rsid w:val="00F16751"/>
    <w:rsid w:val="00F16FA4"/>
    <w:rsid w:val="00F17722"/>
    <w:rsid w:val="00F22A1B"/>
    <w:rsid w:val="00F256E3"/>
    <w:rsid w:val="00F2571A"/>
    <w:rsid w:val="00F25B3A"/>
    <w:rsid w:val="00F266FC"/>
    <w:rsid w:val="00F27D26"/>
    <w:rsid w:val="00F3037A"/>
    <w:rsid w:val="00F30700"/>
    <w:rsid w:val="00F32BC8"/>
    <w:rsid w:val="00F3465A"/>
    <w:rsid w:val="00F363D3"/>
    <w:rsid w:val="00F3771F"/>
    <w:rsid w:val="00F37B67"/>
    <w:rsid w:val="00F37DC8"/>
    <w:rsid w:val="00F41622"/>
    <w:rsid w:val="00F422CD"/>
    <w:rsid w:val="00F439B3"/>
    <w:rsid w:val="00F43A19"/>
    <w:rsid w:val="00F44555"/>
    <w:rsid w:val="00F46D13"/>
    <w:rsid w:val="00F47AD5"/>
    <w:rsid w:val="00F505E5"/>
    <w:rsid w:val="00F52C62"/>
    <w:rsid w:val="00F53BC7"/>
    <w:rsid w:val="00F53CAC"/>
    <w:rsid w:val="00F578B0"/>
    <w:rsid w:val="00F60645"/>
    <w:rsid w:val="00F650C3"/>
    <w:rsid w:val="00F65986"/>
    <w:rsid w:val="00F65D85"/>
    <w:rsid w:val="00F65E4E"/>
    <w:rsid w:val="00F66A46"/>
    <w:rsid w:val="00F66B76"/>
    <w:rsid w:val="00F66EF5"/>
    <w:rsid w:val="00F6700B"/>
    <w:rsid w:val="00F67C98"/>
    <w:rsid w:val="00F67E44"/>
    <w:rsid w:val="00F7072D"/>
    <w:rsid w:val="00F7137B"/>
    <w:rsid w:val="00F7267C"/>
    <w:rsid w:val="00F72EAE"/>
    <w:rsid w:val="00F76FE5"/>
    <w:rsid w:val="00F77A51"/>
    <w:rsid w:val="00F77A7D"/>
    <w:rsid w:val="00F77E80"/>
    <w:rsid w:val="00F8091E"/>
    <w:rsid w:val="00F80CFA"/>
    <w:rsid w:val="00F8156C"/>
    <w:rsid w:val="00F82C7E"/>
    <w:rsid w:val="00F84BEF"/>
    <w:rsid w:val="00F84C0E"/>
    <w:rsid w:val="00F85D64"/>
    <w:rsid w:val="00F8615C"/>
    <w:rsid w:val="00F8662E"/>
    <w:rsid w:val="00F93CC1"/>
    <w:rsid w:val="00F969E5"/>
    <w:rsid w:val="00FA17BD"/>
    <w:rsid w:val="00FA1942"/>
    <w:rsid w:val="00FA2022"/>
    <w:rsid w:val="00FA26DE"/>
    <w:rsid w:val="00FA4972"/>
    <w:rsid w:val="00FA6BB0"/>
    <w:rsid w:val="00FA73AE"/>
    <w:rsid w:val="00FB002C"/>
    <w:rsid w:val="00FB11DA"/>
    <w:rsid w:val="00FB24A5"/>
    <w:rsid w:val="00FB2DBD"/>
    <w:rsid w:val="00FB5214"/>
    <w:rsid w:val="00FB686E"/>
    <w:rsid w:val="00FB6B02"/>
    <w:rsid w:val="00FB7B54"/>
    <w:rsid w:val="00FC4282"/>
    <w:rsid w:val="00FC5666"/>
    <w:rsid w:val="00FC7482"/>
    <w:rsid w:val="00FD1A01"/>
    <w:rsid w:val="00FD2DD6"/>
    <w:rsid w:val="00FD387C"/>
    <w:rsid w:val="00FD48DF"/>
    <w:rsid w:val="00FD5860"/>
    <w:rsid w:val="00FD58DC"/>
    <w:rsid w:val="00FD65A0"/>
    <w:rsid w:val="00FD71BC"/>
    <w:rsid w:val="00FE242F"/>
    <w:rsid w:val="00FE2907"/>
    <w:rsid w:val="00FE352D"/>
    <w:rsid w:val="00FE39FA"/>
    <w:rsid w:val="00FE4004"/>
    <w:rsid w:val="00FE40EB"/>
    <w:rsid w:val="00FE4A4B"/>
    <w:rsid w:val="00FE4D02"/>
    <w:rsid w:val="00FE4D63"/>
    <w:rsid w:val="00FE6A32"/>
    <w:rsid w:val="00FE7D62"/>
    <w:rsid w:val="00FF0AA6"/>
    <w:rsid w:val="00FF0DA0"/>
    <w:rsid w:val="00FF12CD"/>
    <w:rsid w:val="00FF2202"/>
    <w:rsid w:val="00FF3819"/>
    <w:rsid w:val="00FF564D"/>
    <w:rsid w:val="00FF58F7"/>
    <w:rsid w:val="00FF7B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4121ED"/>
  <w15:docId w15:val="{6BB95896-90D6-4F42-BB9E-223AD55D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autoRedefine/>
    <w:rsid w:val="00B83939"/>
    <w:pPr>
      <w:keepNext/>
      <w:keepLines/>
      <w:tabs>
        <w:tab w:val="clear" w:pos="1247"/>
        <w:tab w:val="clear" w:pos="1814"/>
        <w:tab w:val="clear" w:pos="2381"/>
        <w:tab w:val="clear" w:pos="2948"/>
        <w:tab w:val="clear" w:pos="3515"/>
        <w:tab w:val="clear" w:pos="4082"/>
      </w:tabs>
      <w:suppressAutoHyphens/>
      <w:spacing w:before="240" w:after="120"/>
      <w:ind w:left="624" w:right="284" w:hanging="624"/>
    </w:pPr>
    <w:rPr>
      <w:rFonts w:asciiTheme="majorBidi" w:hAnsiTheme="majorBidi" w:cstheme="majorBidi"/>
      <w:b/>
      <w:sz w:val="28"/>
      <w:szCs w:val="28"/>
      <w:u w:color="FF0000"/>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pPr>
    <w:rPr>
      <w:b/>
    </w:rPr>
  </w:style>
  <w:style w:type="paragraph" w:customStyle="1" w:styleId="Header-pool">
    <w:name w:val="Header-pool"/>
    <w:basedOn w:val="Normal-pool"/>
    <w:next w:val="Normal-pool"/>
    <w:rsid w:val="003A77F1"/>
    <w:pPr>
      <w:pBdr>
        <w:bottom w:val="single" w:sz="4" w:space="1" w:color="auto"/>
      </w:pBdr>
      <w:tabs>
        <w:tab w:val="center" w:pos="4536"/>
        <w:tab w:val="right" w:pos="9072"/>
      </w:tabs>
    </w:pPr>
    <w:rPr>
      <w:b/>
    </w:rPr>
  </w:style>
  <w:style w:type="paragraph" w:customStyle="1" w:styleId="Normal-pool">
    <w:name w:val="Normal-pool"/>
    <w:link w:val="Normal-poolChar"/>
    <w:autoRedefine/>
    <w:rsid w:val="006D5F3D"/>
    <w:pPr>
      <w:spacing w:after="120"/>
      <w:ind w:left="1247"/>
    </w:pPr>
    <w:rPr>
      <w:rFonts w:eastAsia="Roboto"/>
      <w:bCs/>
      <w:i/>
      <w:iCs/>
      <w:spacing w:val="-4"/>
      <w:sz w:val="18"/>
      <w:szCs w:val="18"/>
      <w:u w:color="4F81BD"/>
      <w:lang w:val="es-ES_tradnl"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ußnotentextf"/>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43BBF"/>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31656C"/>
    <w:pPr>
      <w:tabs>
        <w:tab w:val="clear" w:pos="1247"/>
        <w:tab w:val="clear" w:pos="1814"/>
        <w:tab w:val="clear" w:pos="2381"/>
        <w:tab w:val="clear" w:pos="2948"/>
        <w:tab w:val="clear" w:pos="3515"/>
        <w:tab w:val="clear" w:pos="4082"/>
      </w:tabs>
      <w:spacing w:after="120"/>
    </w:pPr>
    <w:rPr>
      <w:rFonts w:asciiTheme="majorBidi" w:hAnsiTheme="majorBidi" w:cstheme="majorBidi"/>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31656C"/>
    <w:rPr>
      <w:rFonts w:asciiTheme="majorBidi" w:hAnsiTheme="majorBidi" w:cstheme="majorBidi"/>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Normal"/>
    <w:rsid w:val="005F7DAB"/>
    <w:pPr>
      <w:numPr>
        <w:numId w:val="4"/>
      </w:numPr>
      <w:tabs>
        <w:tab w:val="clear" w:pos="1247"/>
        <w:tab w:val="clear" w:pos="1814"/>
        <w:tab w:val="clear" w:pos="2381"/>
        <w:tab w:val="clear" w:pos="2948"/>
        <w:tab w:val="clear" w:pos="3515"/>
      </w:tabs>
      <w:spacing w:after="120"/>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83774B"/>
    <w:rPr>
      <w:sz w:val="18"/>
      <w:lang w:eastAsia="en-US"/>
    </w:rPr>
  </w:style>
  <w:style w:type="character" w:styleId="Strong">
    <w:name w:val="Strong"/>
    <w:basedOn w:val="DefaultParagraphFont"/>
    <w:uiPriority w:val="22"/>
    <w:qFormat/>
    <w:rsid w:val="008440E0"/>
    <w:rPr>
      <w:b/>
      <w:bCs/>
    </w:rPr>
  </w:style>
  <w:style w:type="character" w:customStyle="1" w:styleId="Normal-poolChar">
    <w:name w:val="Normal-pool Char"/>
    <w:link w:val="Normal-pool"/>
    <w:rsid w:val="006D5F3D"/>
    <w:rPr>
      <w:rFonts w:eastAsia="Roboto"/>
      <w:bCs/>
      <w:i/>
      <w:iCs/>
      <w:spacing w:val="-4"/>
      <w:sz w:val="18"/>
      <w:szCs w:val="18"/>
      <w:u w:color="4F81BD"/>
      <w:lang w:val="es-ES_tradnl" w:eastAsia="en-US"/>
    </w:rPr>
  </w:style>
  <w:style w:type="character" w:customStyle="1" w:styleId="NormalNonumberChar">
    <w:name w:val="Normal_No_number Char"/>
    <w:link w:val="NormalNonumber"/>
    <w:locked/>
    <w:rsid w:val="00D23FB0"/>
    <w:rPr>
      <w:lang w:eastAsia="en-US"/>
    </w:rPr>
  </w:style>
  <w:style w:type="paragraph" w:customStyle="1" w:styleId="Subparagraphs">
    <w:name w:val="Subparagraphs"/>
    <w:basedOn w:val="Normal"/>
    <w:qFormat/>
    <w:rsid w:val="007C4CC7"/>
    <w:pPr>
      <w:numPr>
        <w:ilvl w:val="2"/>
        <w:numId w:val="5"/>
      </w:numPr>
      <w:tabs>
        <w:tab w:val="clear" w:pos="1134"/>
        <w:tab w:val="clear" w:pos="1247"/>
        <w:tab w:val="clear" w:pos="1814"/>
        <w:tab w:val="clear" w:pos="2381"/>
        <w:tab w:val="clear" w:pos="2948"/>
        <w:tab w:val="clear" w:pos="3515"/>
      </w:tabs>
      <w:spacing w:after="120"/>
      <w:ind w:left="1276" w:firstLine="709"/>
    </w:pPr>
    <w:rPr>
      <w:rFonts w:asciiTheme="majorBidi" w:hAnsiTheme="majorBidi" w:cstheme="majorBidi"/>
      <w:color w:val="242424"/>
    </w:rPr>
  </w:style>
  <w:style w:type="character" w:customStyle="1" w:styleId="UnresolvedMention1">
    <w:name w:val="Unresolved Mention1"/>
    <w:basedOn w:val="DefaultParagraphFont"/>
    <w:uiPriority w:val="99"/>
    <w:semiHidden/>
    <w:unhideWhenUsed/>
    <w:rsid w:val="00F77A7D"/>
    <w:rPr>
      <w:color w:val="605E5C"/>
      <w:shd w:val="clear" w:color="auto" w:fill="E1DFDD"/>
    </w:rPr>
  </w:style>
  <w:style w:type="numbering" w:customStyle="1" w:styleId="Importovanstyl2">
    <w:name w:val="Importovaný styl 2"/>
    <w:rsid w:val="00592ACD"/>
    <w:pPr>
      <w:numPr>
        <w:numId w:val="6"/>
      </w:numPr>
    </w:pPr>
  </w:style>
  <w:style w:type="paragraph" w:customStyle="1" w:styleId="VchozA">
    <w:name w:val="Výchozí A"/>
    <w:rsid w:val="00592AC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rPr>
  </w:style>
  <w:style w:type="paragraph" w:customStyle="1" w:styleId="TextA">
    <w:name w:val="Text A"/>
    <w:rsid w:val="008E2E5D"/>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character" w:customStyle="1" w:styleId="HeaderChar">
    <w:name w:val="Header Char"/>
    <w:basedOn w:val="DefaultParagraphFont"/>
    <w:link w:val="Header"/>
    <w:uiPriority w:val="99"/>
    <w:rsid w:val="00B1107F"/>
    <w:rPr>
      <w:b/>
      <w:sz w:val="18"/>
      <w:lang w:eastAsia="en-US"/>
    </w:rPr>
  </w:style>
  <w:style w:type="paragraph" w:customStyle="1" w:styleId="Text">
    <w:name w:val="Text"/>
    <w:rsid w:val="00B1107F"/>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val="en-US"/>
    </w:rPr>
  </w:style>
  <w:style w:type="numbering" w:customStyle="1" w:styleId="Importovanstyl10">
    <w:name w:val="Importovaný styl 10"/>
    <w:rsid w:val="00B1107F"/>
    <w:pPr>
      <w:numPr>
        <w:numId w:val="7"/>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B1107F"/>
    <w:rPr>
      <w:lang w:eastAsia="en-US"/>
    </w:rPr>
  </w:style>
  <w:style w:type="numbering" w:customStyle="1" w:styleId="Importovanstyl6">
    <w:name w:val="Importovaný styl 6"/>
    <w:rsid w:val="00B1107F"/>
    <w:pPr>
      <w:numPr>
        <w:numId w:val="8"/>
      </w:numPr>
    </w:pPr>
  </w:style>
  <w:style w:type="numbering" w:customStyle="1" w:styleId="Importovanstyl3">
    <w:name w:val="Importovaný styl 3"/>
    <w:rsid w:val="00B1107F"/>
    <w:pPr>
      <w:numPr>
        <w:numId w:val="9"/>
      </w:numPr>
    </w:pPr>
  </w:style>
  <w:style w:type="paragraph" w:customStyle="1" w:styleId="Vchoz">
    <w:name w:val="Výchozí"/>
    <w:rsid w:val="00B1107F"/>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numbering" w:customStyle="1" w:styleId="Importovanstyl1">
    <w:name w:val="Importovaný styl 1"/>
    <w:rsid w:val="00B1107F"/>
    <w:pPr>
      <w:numPr>
        <w:numId w:val="10"/>
      </w:numPr>
    </w:pPr>
  </w:style>
  <w:style w:type="paragraph" w:customStyle="1" w:styleId="TextB">
    <w:name w:val="Text B"/>
    <w:rsid w:val="00B1107F"/>
    <w:pPr>
      <w:pBdr>
        <w:top w:val="nil"/>
        <w:left w:val="nil"/>
        <w:bottom w:val="nil"/>
        <w:right w:val="nil"/>
        <w:between w:val="nil"/>
        <w:bar w:val="nil"/>
      </w:pBdr>
      <w:tabs>
        <w:tab w:val="left" w:pos="1247"/>
        <w:tab w:val="left" w:pos="1814"/>
        <w:tab w:val="left" w:pos="2381"/>
        <w:tab w:val="left" w:pos="2948"/>
        <w:tab w:val="left" w:pos="3515"/>
      </w:tabs>
    </w:pPr>
    <w:rPr>
      <w:rFonts w:eastAsia="Arial Unicode MS" w:cs="Arial Unicode MS"/>
      <w:color w:val="000000"/>
      <w:u w:color="000000"/>
      <w:bdr w:val="nil"/>
      <w:lang w:val="en-US"/>
    </w:rPr>
  </w:style>
  <w:style w:type="numbering" w:customStyle="1" w:styleId="Importovanstyl4">
    <w:name w:val="Importovaný styl 4"/>
    <w:rsid w:val="00B1107F"/>
    <w:pPr>
      <w:numPr>
        <w:numId w:val="11"/>
      </w:numPr>
    </w:pPr>
  </w:style>
  <w:style w:type="numbering" w:customStyle="1" w:styleId="Importovanstyl40">
    <w:name w:val="Importovaný styl 4.0"/>
    <w:rsid w:val="00B1107F"/>
    <w:pPr>
      <w:numPr>
        <w:numId w:val="12"/>
      </w:numPr>
    </w:pPr>
  </w:style>
  <w:style w:type="character" w:customStyle="1" w:styleId="dn">
    <w:name w:val="Žádný"/>
    <w:rsid w:val="00B1107F"/>
  </w:style>
  <w:style w:type="numbering" w:customStyle="1" w:styleId="Importovanstyl7">
    <w:name w:val="Importovaný styl 7"/>
    <w:rsid w:val="00B1107F"/>
    <w:pPr>
      <w:numPr>
        <w:numId w:val="13"/>
      </w:numPr>
    </w:pPr>
  </w:style>
  <w:style w:type="numbering" w:customStyle="1" w:styleId="Importovanstyl11">
    <w:name w:val="Importovaný styl 11"/>
    <w:rsid w:val="00B1107F"/>
    <w:pPr>
      <w:numPr>
        <w:numId w:val="14"/>
      </w:numPr>
    </w:pPr>
  </w:style>
  <w:style w:type="numbering" w:customStyle="1" w:styleId="Importovanstyl9">
    <w:name w:val="Importovaný styl 9"/>
    <w:rsid w:val="00B1107F"/>
    <w:pPr>
      <w:numPr>
        <w:numId w:val="15"/>
      </w:numPr>
    </w:pPr>
  </w:style>
  <w:style w:type="character" w:customStyle="1" w:styleId="UnresolvedMention2">
    <w:name w:val="Unresolved Mention2"/>
    <w:basedOn w:val="DefaultParagraphFont"/>
    <w:uiPriority w:val="99"/>
    <w:semiHidden/>
    <w:unhideWhenUsed/>
    <w:rsid w:val="00B1107F"/>
    <w:rPr>
      <w:color w:val="605E5C"/>
      <w:shd w:val="clear" w:color="auto" w:fill="E1DFDD"/>
    </w:rPr>
  </w:style>
  <w:style w:type="character" w:styleId="LineNumber">
    <w:name w:val="line number"/>
    <w:basedOn w:val="DefaultParagraphFont"/>
    <w:uiPriority w:val="99"/>
    <w:semiHidden/>
    <w:unhideWhenUsed/>
    <w:rsid w:val="00B1107F"/>
  </w:style>
  <w:style w:type="character" w:customStyle="1" w:styleId="Hyperlink0">
    <w:name w:val="Hyperlink.0"/>
    <w:basedOn w:val="dn"/>
    <w:rsid w:val="00B1107F"/>
    <w:rPr>
      <w:sz w:val="16"/>
      <w:szCs w:val="16"/>
    </w:rPr>
  </w:style>
  <w:style w:type="paragraph" w:customStyle="1" w:styleId="TextC">
    <w:name w:val="Text C"/>
    <w:rsid w:val="00B1107F"/>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de-DE"/>
    </w:rPr>
  </w:style>
  <w:style w:type="paragraph" w:styleId="Caption">
    <w:name w:val="caption"/>
    <w:basedOn w:val="Normal"/>
    <w:next w:val="Normal"/>
    <w:unhideWhenUsed/>
    <w:qFormat/>
    <w:rsid w:val="00434AD2"/>
    <w:pPr>
      <w:spacing w:after="200"/>
    </w:pPr>
    <w:rPr>
      <w:i/>
      <w:iCs/>
      <w:color w:val="1F497D" w:themeColor="text2"/>
      <w:sz w:val="18"/>
      <w:szCs w:val="18"/>
    </w:rPr>
  </w:style>
  <w:style w:type="paragraph" w:customStyle="1" w:styleId="Subparagraph">
    <w:name w:val="Subparagraph"/>
    <w:basedOn w:val="Normal"/>
    <w:rsid w:val="007A6DEC"/>
    <w:pPr>
      <w:numPr>
        <w:numId w:val="38"/>
      </w:numPr>
    </w:pPr>
  </w:style>
  <w:style w:type="paragraph" w:styleId="BodyText">
    <w:name w:val="Body Text"/>
    <w:basedOn w:val="Normal"/>
    <w:link w:val="BodyTextChar"/>
    <w:uiPriority w:val="1"/>
    <w:qFormat/>
    <w:rsid w:val="008C160B"/>
    <w:pPr>
      <w:widowControl w:val="0"/>
      <w:tabs>
        <w:tab w:val="clear" w:pos="1247"/>
        <w:tab w:val="clear" w:pos="1814"/>
        <w:tab w:val="clear" w:pos="2381"/>
        <w:tab w:val="clear" w:pos="2948"/>
        <w:tab w:val="clear" w:pos="3515"/>
      </w:tabs>
      <w:autoSpaceDE w:val="0"/>
      <w:autoSpaceDN w:val="0"/>
    </w:pPr>
    <w:rPr>
      <w:b/>
      <w:bCs/>
      <w:lang w:val="en-US"/>
    </w:rPr>
  </w:style>
  <w:style w:type="character" w:customStyle="1" w:styleId="BodyTextChar">
    <w:name w:val="Body Text Char"/>
    <w:basedOn w:val="DefaultParagraphFont"/>
    <w:link w:val="BodyText"/>
    <w:uiPriority w:val="1"/>
    <w:rsid w:val="008C160B"/>
    <w:rPr>
      <w:b/>
      <w:bCs/>
      <w:lang w:val="en-US" w:eastAsia="en-US"/>
    </w:rPr>
  </w:style>
  <w:style w:type="paragraph" w:customStyle="1" w:styleId="TableParagraph">
    <w:name w:val="Table Paragraph"/>
    <w:basedOn w:val="Normal"/>
    <w:uiPriority w:val="1"/>
    <w:qFormat/>
    <w:rsid w:val="008C160B"/>
    <w:pPr>
      <w:widowControl w:val="0"/>
      <w:tabs>
        <w:tab w:val="clear" w:pos="1247"/>
        <w:tab w:val="clear" w:pos="1814"/>
        <w:tab w:val="clear" w:pos="2381"/>
        <w:tab w:val="clear" w:pos="2948"/>
        <w:tab w:val="clear" w:pos="3515"/>
      </w:tabs>
      <w:autoSpaceDE w:val="0"/>
      <w:autoSpaceDN w:val="0"/>
      <w:spacing w:before="70"/>
      <w:ind w:left="250"/>
      <w:jc w:val="center"/>
    </w:pPr>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 w:id="1796483049">
      <w:bodyDiv w:val="1"/>
      <w:marLeft w:val="0"/>
      <w:marRight w:val="0"/>
      <w:marTop w:val="0"/>
      <w:marBottom w:val="0"/>
      <w:divBdr>
        <w:top w:val="none" w:sz="0" w:space="0" w:color="auto"/>
        <w:left w:val="none" w:sz="0" w:space="0" w:color="auto"/>
        <w:bottom w:val="none" w:sz="0" w:space="0" w:color="auto"/>
        <w:right w:val="none" w:sz="0" w:space="0" w:color="auto"/>
      </w:divBdr>
    </w:div>
    <w:div w:id="208811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3.jpeg"/><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B5969-9823-43C6-B62A-E0D55A35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18451</Words>
  <Characters>101486</Characters>
  <Application>Microsoft Office Word</Application>
  <DocSecurity>0</DocSecurity>
  <Lines>845</Lines>
  <Paragraphs>239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OMC</dc:creator>
  <cp:lastModifiedBy>Silvia Serrano</cp:lastModifiedBy>
  <cp:revision>2</cp:revision>
  <cp:lastPrinted>2019-11-08T17:41:00Z</cp:lastPrinted>
  <dcterms:created xsi:type="dcterms:W3CDTF">2019-11-22T11:42:00Z</dcterms:created>
  <dcterms:modified xsi:type="dcterms:W3CDTF">2019-11-22T11:42:00Z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sara.sanchez.gonzalez</vt:lpwstr>
  </property>
  <property fmtid="{D5CDD505-2E9C-101B-9397-08002B2CF9AE}" pid="4" name="GeneratedDate">
    <vt:lpwstr>11/14/2019 12:45:23 AM</vt:lpwstr>
  </property>
  <property fmtid="{D5CDD505-2E9C-101B-9397-08002B2CF9AE}" pid="5" name="OriginalDocID">
    <vt:lpwstr>628bad0b-e842-44c5-a4db-38479ceaeba8</vt:lpwstr>
  </property>
</Properties>
</file>