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8D1818">
        <w:trPr>
          <w:cantSplit/>
          <w:trHeight w:val="850"/>
          <w:jc w:val="right"/>
        </w:trPr>
        <w:tc>
          <w:tcPr>
            <w:tcW w:w="2755" w:type="dxa"/>
            <w:gridSpan w:val="2"/>
          </w:tcPr>
          <w:p w14:paraId="1537DD56" w14:textId="7C7F1D34" w:rsidR="00032E4E" w:rsidRPr="00E13CEC" w:rsidRDefault="00032E4E" w:rsidP="00093477">
            <w:pPr>
              <w:tabs>
                <w:tab w:val="clear" w:pos="1247"/>
                <w:tab w:val="clear" w:pos="1814"/>
                <w:tab w:val="clear" w:pos="2381"/>
                <w:tab w:val="clear" w:pos="2948"/>
                <w:tab w:val="clear" w:pos="3515"/>
              </w:tabs>
              <w:rPr>
                <w:rFonts w:ascii="Univers" w:hAnsi="Univers"/>
                <w:b/>
                <w:noProof/>
                <w:sz w:val="27"/>
                <w:szCs w:val="27"/>
                <w:lang w:val="en-US"/>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90"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8D1818">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5FEC61E9" w:rsidR="00032E4E" w:rsidRPr="00620245"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6C310F">
              <w:rPr>
                <w:lang w:val="en-GB"/>
              </w:rPr>
              <w:t>3/</w:t>
            </w:r>
            <w:r w:rsidR="009C4C07">
              <w:rPr>
                <w:lang w:val="en-GB"/>
              </w:rPr>
              <w:t>1</w:t>
            </w:r>
            <w:r w:rsidR="00FF561E">
              <w:rPr>
                <w:lang w:val="en-GB"/>
              </w:rPr>
              <w:t>4</w:t>
            </w:r>
          </w:p>
        </w:tc>
      </w:tr>
      <w:tr w:rsidR="00032E4E" w:rsidRPr="00C60754"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6F57742E" w14:textId="605C9DC1" w:rsidR="00093477"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sidR="00684351">
              <w:rPr>
                <w:lang w:val="en-GB"/>
              </w:rPr>
              <w:t>General</w:t>
            </w:r>
          </w:p>
          <w:p w14:paraId="32AB44BC" w14:textId="6DA845DE" w:rsidR="00032E4E" w:rsidRPr="00620245" w:rsidRDefault="00FF561E" w:rsidP="00093477">
            <w:pPr>
              <w:tabs>
                <w:tab w:val="clear" w:pos="1247"/>
                <w:tab w:val="clear" w:pos="1814"/>
                <w:tab w:val="clear" w:pos="2381"/>
                <w:tab w:val="clear" w:pos="2948"/>
                <w:tab w:val="clear" w:pos="3515"/>
              </w:tabs>
              <w:rPr>
                <w:lang w:val="en-GB"/>
              </w:rPr>
            </w:pPr>
            <w:r>
              <w:rPr>
                <w:lang w:val="en-GB"/>
              </w:rPr>
              <w:t xml:space="preserve">7 October </w:t>
            </w:r>
            <w:r w:rsidR="00032E4E" w:rsidRPr="00826AF3">
              <w:rPr>
                <w:lang w:val="en-GB"/>
              </w:rPr>
              <w:t>201</w:t>
            </w:r>
            <w:r w:rsidR="006C310F">
              <w:rPr>
                <w:lang w:val="en-GB"/>
              </w:rPr>
              <w:t>9</w:t>
            </w:r>
          </w:p>
          <w:p w14:paraId="6F78AAFF" w14:textId="77777777" w:rsidR="00032E4E" w:rsidRPr="00826AF3" w:rsidRDefault="00032E4E" w:rsidP="00093477">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r w:rsidR="002F42D1" w:rsidRPr="00A54CB9">
        <w:rPr>
          <w:b/>
        </w:rPr>
        <w:t>Минаматск</w:t>
      </w:r>
      <w:r>
        <w:rPr>
          <w:b/>
        </w:rPr>
        <w:t>ой</w:t>
      </w:r>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396A441D" w:rsidR="00E976AB" w:rsidRPr="00A54CB9" w:rsidRDefault="00A44FD5" w:rsidP="00A54CB9">
      <w:pPr>
        <w:tabs>
          <w:tab w:val="clear" w:pos="1247"/>
          <w:tab w:val="clear" w:pos="1814"/>
          <w:tab w:val="clear" w:pos="2381"/>
          <w:tab w:val="clear" w:pos="2948"/>
          <w:tab w:val="clear" w:pos="3515"/>
        </w:tabs>
        <w:rPr>
          <w:b/>
        </w:rPr>
      </w:pPr>
      <w:r>
        <w:rPr>
          <w:b/>
        </w:rPr>
        <w:t>Третье</w:t>
      </w:r>
      <w:r w:rsidR="00787688" w:rsidRPr="00A54CB9">
        <w:rPr>
          <w:b/>
        </w:rPr>
        <w:t xml:space="preserve"> совещание</w:t>
      </w:r>
    </w:p>
    <w:p w14:paraId="025D4C98" w14:textId="7DFFDF00" w:rsidR="00E976AB" w:rsidRDefault="00787688" w:rsidP="00A54CB9">
      <w:pPr>
        <w:tabs>
          <w:tab w:val="clear" w:pos="1247"/>
          <w:tab w:val="clear" w:pos="1814"/>
          <w:tab w:val="clear" w:pos="2381"/>
          <w:tab w:val="clear" w:pos="2948"/>
          <w:tab w:val="clear" w:pos="3515"/>
        </w:tabs>
      </w:pPr>
      <w:r w:rsidRPr="00A54CB9">
        <w:t>Женева, 2</w:t>
      </w:r>
      <w:r w:rsidR="006C310F" w:rsidRPr="00A44FD5">
        <w:t>5-29</w:t>
      </w:r>
      <w:r w:rsidRPr="00A54CB9">
        <w:t xml:space="preserve"> </w:t>
      </w:r>
      <w:r w:rsidR="00826AF3">
        <w:t>ноября</w:t>
      </w:r>
      <w:r w:rsidRPr="00A54CB9">
        <w:t xml:space="preserve"> 201</w:t>
      </w:r>
      <w:r w:rsidR="006C310F" w:rsidRPr="00A44FD5">
        <w:t>9</w:t>
      </w:r>
      <w:r w:rsidRPr="00A54CB9">
        <w:t xml:space="preserve"> года</w:t>
      </w:r>
    </w:p>
    <w:p w14:paraId="1D9EA475" w14:textId="7CD38B88" w:rsidR="00620245" w:rsidRPr="002C5EA0" w:rsidRDefault="00620245" w:rsidP="00620245">
      <w:pPr>
        <w:tabs>
          <w:tab w:val="clear" w:pos="1247"/>
          <w:tab w:val="clear" w:pos="1814"/>
          <w:tab w:val="clear" w:pos="2381"/>
          <w:tab w:val="clear" w:pos="2948"/>
          <w:tab w:val="clear" w:pos="3515"/>
        </w:tabs>
        <w:spacing w:after="60"/>
      </w:pPr>
      <w:r>
        <w:t xml:space="preserve">Пункт </w:t>
      </w:r>
      <w:r w:rsidR="00E741D3" w:rsidRPr="00E741D3">
        <w:t xml:space="preserve">5 </w:t>
      </w:r>
      <w:r w:rsidR="00A0287D">
        <w:rPr>
          <w:lang w:val="en-GB"/>
        </w:rPr>
        <w:t>h</w:t>
      </w:r>
      <w:r w:rsidR="00E741D3" w:rsidRPr="00E741D3">
        <w:t>)</w:t>
      </w:r>
      <w:r>
        <w:t xml:space="preserve"> предварительной повестки дня</w:t>
      </w:r>
      <w:r w:rsidRPr="0070769D">
        <w:footnoteReference w:customMarkFollows="1" w:id="1"/>
        <w:sym w:font="Symbol" w:char="F02A"/>
      </w:r>
    </w:p>
    <w:p w14:paraId="6A17D167" w14:textId="65C17C0B" w:rsidR="00620245" w:rsidRPr="00A0287D" w:rsidRDefault="00684C36" w:rsidP="00337D72">
      <w:pPr>
        <w:tabs>
          <w:tab w:val="clear" w:pos="1247"/>
          <w:tab w:val="clear" w:pos="1814"/>
          <w:tab w:val="clear" w:pos="2381"/>
          <w:tab w:val="clear" w:pos="2948"/>
          <w:tab w:val="clear" w:pos="3515"/>
        </w:tabs>
        <w:ind w:right="1701"/>
        <w:rPr>
          <w:b/>
        </w:rPr>
      </w:pPr>
      <w:r w:rsidRPr="00684C36">
        <w:rPr>
          <w:b/>
        </w:rPr>
        <w:t>Вопросы для рассмотрения или принятия мер Конференцией Сторон:</w:t>
      </w:r>
      <w:r w:rsidRPr="00A0287D">
        <w:rPr>
          <w:b/>
        </w:rPr>
        <w:t xml:space="preserve"> </w:t>
      </w:r>
      <w:r w:rsidR="00A0287D" w:rsidRPr="00A0287D">
        <w:rPr>
          <w:b/>
        </w:rPr>
        <w:t>оценка эффективности</w:t>
      </w:r>
    </w:p>
    <w:p w14:paraId="5F145C81" w14:textId="77777777" w:rsidR="0087180B" w:rsidRPr="0087180B" w:rsidRDefault="0087180B" w:rsidP="0087180B">
      <w:pPr>
        <w:tabs>
          <w:tab w:val="clear" w:pos="1247"/>
          <w:tab w:val="clear" w:pos="1814"/>
          <w:tab w:val="clear" w:pos="2381"/>
          <w:tab w:val="clear" w:pos="2948"/>
          <w:tab w:val="clear" w:pos="3515"/>
        </w:tabs>
        <w:spacing w:before="320" w:after="240"/>
        <w:ind w:left="1247" w:right="567"/>
        <w:rPr>
          <w:b/>
          <w:bCs/>
          <w:sz w:val="28"/>
          <w:szCs w:val="28"/>
        </w:rPr>
      </w:pPr>
      <w:r w:rsidRPr="0087180B">
        <w:rPr>
          <w:b/>
          <w:bCs/>
          <w:sz w:val="28"/>
          <w:szCs w:val="28"/>
        </w:rPr>
        <w:t>Доклад специальной технической группы экспертов по оценке эффективности: предлагаемая система оценки эффективности Минаматской конвенции о ртути</w:t>
      </w:r>
    </w:p>
    <w:p w14:paraId="2B2DABA3" w14:textId="2AA8AEF1" w:rsidR="0087180B" w:rsidRPr="0087180B" w:rsidRDefault="0087180B" w:rsidP="0087180B">
      <w:pPr>
        <w:tabs>
          <w:tab w:val="clear" w:pos="1247"/>
          <w:tab w:val="clear" w:pos="1814"/>
          <w:tab w:val="clear" w:pos="2381"/>
          <w:tab w:val="clear" w:pos="2948"/>
          <w:tab w:val="clear" w:pos="3515"/>
        </w:tabs>
        <w:spacing w:after="120"/>
        <w:ind w:left="1247"/>
        <w:rPr>
          <w:b/>
          <w:bCs/>
          <w:sz w:val="24"/>
          <w:szCs w:val="24"/>
        </w:rPr>
      </w:pPr>
      <w:r w:rsidRPr="0087180B">
        <w:rPr>
          <w:b/>
          <w:bCs/>
          <w:sz w:val="24"/>
          <w:szCs w:val="24"/>
        </w:rPr>
        <w:t>Записка секретариата</w:t>
      </w:r>
    </w:p>
    <w:p w14:paraId="121E5FD7" w14:textId="360F2764" w:rsidR="0087180B" w:rsidRPr="007F7C9F" w:rsidRDefault="0087180B" w:rsidP="0087180B">
      <w:pPr>
        <w:pStyle w:val="Normalnumber"/>
        <w:numPr>
          <w:ilvl w:val="0"/>
          <w:numId w:val="0"/>
        </w:numPr>
        <w:tabs>
          <w:tab w:val="clear" w:pos="624"/>
        </w:tabs>
        <w:ind w:left="1247"/>
      </w:pPr>
      <w:r w:rsidRPr="007F7C9F">
        <w:t>1.</w:t>
      </w:r>
      <w:r w:rsidRPr="007F7C9F">
        <w:tab/>
      </w:r>
      <w:r>
        <w:t>Настоящая записка посвящена результатам работы специальной технической группы экспертов по оценке эффективности, выполненной в соответствии с решениями МК-1/9 и МК</w:t>
      </w:r>
      <w:r>
        <w:noBreakHyphen/>
        <w:t>2/10 и касающейся механизмов, которые необходимо создать для обеспечения Конференции Сторон информацией, требуемой для оценки эффективности Минаматской конвенции о ртути.</w:t>
      </w:r>
    </w:p>
    <w:p w14:paraId="324F637E" w14:textId="446843B3" w:rsidR="0087180B" w:rsidRPr="007F7C9F" w:rsidRDefault="0087180B" w:rsidP="0087180B">
      <w:pPr>
        <w:pStyle w:val="Normalnumber"/>
        <w:numPr>
          <w:ilvl w:val="0"/>
          <w:numId w:val="0"/>
        </w:numPr>
        <w:tabs>
          <w:tab w:val="clear" w:pos="624"/>
        </w:tabs>
        <w:ind w:left="1247"/>
      </w:pPr>
      <w:r w:rsidRPr="007F7C9F">
        <w:t>2.</w:t>
      </w:r>
      <w:r w:rsidRPr="007F7C9F">
        <w:tab/>
      </w:r>
      <w:r>
        <w:t>Настоящая записка содержит два приложения. В приложении I представлен проект решения для рассмотрения Конференцией Сторон на ее третьем совещании. В приложении II содержится доклад специальной технической группы экспертов, в котором описывается предлагаемая система оценки эффективности. Этот доклад, в свою очередь, содержит четыре дополнения. Текст дополнения I предст</w:t>
      </w:r>
      <w:bookmarkStart w:id="2" w:name="_GoBack"/>
      <w:bookmarkEnd w:id="2"/>
      <w:r>
        <w:t>авлен отдельно в документе UNEP/MC/COP.3/14/Add.1. Кроме того, в документе UNEP/MC/COP.3/INF/15 содержится информация, дополняющая доклад специальной технической группы экспертов.</w:t>
      </w:r>
    </w:p>
    <w:p w14:paraId="446883F1" w14:textId="77777777" w:rsidR="00A0287D" w:rsidRDefault="00A0287D">
      <w:pPr>
        <w:tabs>
          <w:tab w:val="clear" w:pos="1247"/>
          <w:tab w:val="clear" w:pos="1814"/>
          <w:tab w:val="clear" w:pos="2381"/>
          <w:tab w:val="clear" w:pos="2948"/>
          <w:tab w:val="clear" w:pos="3515"/>
        </w:tabs>
        <w:rPr>
          <w:b/>
          <w:bCs/>
          <w:sz w:val="28"/>
          <w:szCs w:val="28"/>
        </w:rPr>
      </w:pPr>
      <w:r>
        <w:rPr>
          <w:b/>
          <w:bCs/>
          <w:sz w:val="28"/>
          <w:szCs w:val="28"/>
        </w:rPr>
        <w:br w:type="page"/>
      </w:r>
    </w:p>
    <w:p w14:paraId="4FF56282" w14:textId="77777777" w:rsidR="00AA5135" w:rsidRPr="00835E10" w:rsidRDefault="00AA5135" w:rsidP="00835E10">
      <w:pPr>
        <w:tabs>
          <w:tab w:val="clear" w:pos="1247"/>
          <w:tab w:val="clear" w:pos="1814"/>
          <w:tab w:val="clear" w:pos="2381"/>
          <w:tab w:val="clear" w:pos="2948"/>
          <w:tab w:val="clear" w:pos="3515"/>
        </w:tabs>
        <w:spacing w:after="240"/>
        <w:rPr>
          <w:b/>
          <w:bCs/>
          <w:sz w:val="28"/>
          <w:szCs w:val="28"/>
        </w:rPr>
      </w:pPr>
      <w:r w:rsidRPr="00835E10">
        <w:rPr>
          <w:b/>
          <w:bCs/>
          <w:sz w:val="28"/>
          <w:szCs w:val="28"/>
        </w:rPr>
        <w:lastRenderedPageBreak/>
        <w:t>Приложение I</w:t>
      </w:r>
    </w:p>
    <w:p w14:paraId="13D103F9" w14:textId="77777777" w:rsidR="00AA5135" w:rsidRPr="00835E10" w:rsidRDefault="00AA5135" w:rsidP="00835E10">
      <w:pPr>
        <w:tabs>
          <w:tab w:val="clear" w:pos="1247"/>
          <w:tab w:val="clear" w:pos="1814"/>
          <w:tab w:val="clear" w:pos="2381"/>
          <w:tab w:val="clear" w:pos="2948"/>
          <w:tab w:val="clear" w:pos="3515"/>
        </w:tabs>
        <w:spacing w:after="120"/>
        <w:ind w:left="1247" w:right="567"/>
        <w:rPr>
          <w:b/>
          <w:bCs/>
          <w:sz w:val="28"/>
          <w:szCs w:val="28"/>
        </w:rPr>
      </w:pPr>
      <w:r w:rsidRPr="00835E10">
        <w:rPr>
          <w:b/>
          <w:bCs/>
          <w:sz w:val="28"/>
          <w:szCs w:val="28"/>
        </w:rPr>
        <w:t>Проект решения МК-3[--]: Порядок проведения первой оценки эффективности Минаматской конвенции о ртути</w:t>
      </w:r>
    </w:p>
    <w:p w14:paraId="54922CC4" w14:textId="77777777" w:rsidR="00AA5135" w:rsidRPr="007F7C9F" w:rsidRDefault="00AA5135" w:rsidP="00573E5E">
      <w:pPr>
        <w:pStyle w:val="Normal-pool"/>
        <w:tabs>
          <w:tab w:val="clear" w:pos="1247"/>
          <w:tab w:val="clear" w:pos="1814"/>
          <w:tab w:val="clear" w:pos="2381"/>
          <w:tab w:val="clear" w:pos="2948"/>
          <w:tab w:val="clear" w:pos="3515"/>
          <w:tab w:val="clear" w:pos="4082"/>
        </w:tabs>
        <w:spacing w:after="120"/>
        <w:ind w:left="1247" w:firstLine="624"/>
      </w:pPr>
      <w:r>
        <w:tab/>
      </w:r>
      <w:r>
        <w:rPr>
          <w:i/>
          <w:iCs/>
        </w:rPr>
        <w:t>Конференция Сторон</w:t>
      </w:r>
      <w:r>
        <w:t>,</w:t>
      </w:r>
    </w:p>
    <w:p w14:paraId="06CC35B8" w14:textId="77777777" w:rsidR="00AA5135" w:rsidRPr="007F7C9F" w:rsidRDefault="00AA5135" w:rsidP="00573E5E">
      <w:pPr>
        <w:pStyle w:val="Normal-pool"/>
        <w:tabs>
          <w:tab w:val="clear" w:pos="1247"/>
          <w:tab w:val="clear" w:pos="1814"/>
          <w:tab w:val="clear" w:pos="2381"/>
          <w:tab w:val="clear" w:pos="2948"/>
          <w:tab w:val="clear" w:pos="3515"/>
          <w:tab w:val="clear" w:pos="4082"/>
        </w:tabs>
        <w:spacing w:after="120"/>
        <w:ind w:left="1247" w:firstLine="624"/>
      </w:pPr>
      <w:r>
        <w:rPr>
          <w:i/>
          <w:iCs/>
        </w:rPr>
        <w:t xml:space="preserve">с удовлетворением отмечая </w:t>
      </w:r>
      <w:r>
        <w:t>доклад</w:t>
      </w:r>
      <w:r w:rsidRPr="0080620A">
        <w:rPr>
          <w:rStyle w:val="FootnoteReference"/>
        </w:rPr>
        <w:footnoteReference w:id="2"/>
      </w:r>
      <w:r>
        <w:t xml:space="preserve"> о предлагаемой системе оценки эффективности и механизмах мониторинга в рамках Минаматской конвенции и дополняющую его информацию, подготовленную специальной технической группой экспертов во исполнение мандатов, определенных в решениях МК</w:t>
      </w:r>
      <w:r>
        <w:noBreakHyphen/>
        <w:t>1/9 и МК</w:t>
      </w:r>
      <w:r>
        <w:noBreakHyphen/>
        <w:t>2/10</w:t>
      </w:r>
      <w:r w:rsidRPr="0080620A">
        <w:rPr>
          <w:rStyle w:val="FootnoteReference"/>
        </w:rPr>
        <w:footnoteReference w:id="3"/>
      </w:r>
      <w:r>
        <w:t>,</w:t>
      </w:r>
    </w:p>
    <w:p w14:paraId="63359781" w14:textId="5360A69A" w:rsidR="00AA5135" w:rsidRPr="007F7C9F" w:rsidRDefault="00AA5135" w:rsidP="00573E5E">
      <w:pPr>
        <w:pStyle w:val="Normal-pool"/>
        <w:tabs>
          <w:tab w:val="clear" w:pos="1247"/>
          <w:tab w:val="clear" w:pos="1814"/>
          <w:tab w:val="clear" w:pos="2381"/>
          <w:tab w:val="clear" w:pos="2948"/>
          <w:tab w:val="clear" w:pos="3515"/>
          <w:tab w:val="clear" w:pos="4082"/>
        </w:tabs>
        <w:spacing w:after="120"/>
        <w:ind w:left="1247" w:firstLine="624"/>
        <w:rPr>
          <w:i/>
          <w:iCs/>
        </w:rPr>
      </w:pPr>
      <w:r>
        <w:tab/>
      </w:r>
      <w:r>
        <w:rPr>
          <w:i/>
          <w:iCs/>
        </w:rPr>
        <w:t xml:space="preserve">с удовлетворением отмечая также </w:t>
      </w:r>
      <w:r>
        <w:t xml:space="preserve">уже осуществляемую деятельность по мониторингу и усилия Сторон и других субъектов, направленные на оказание содействия в представлении данных мониторинга </w:t>
      </w:r>
      <w:r w:rsidR="00CF7C11">
        <w:t xml:space="preserve">ртути </w:t>
      </w:r>
      <w:r>
        <w:t>и обеспечении их наличия в будущем,</w:t>
      </w:r>
    </w:p>
    <w:p w14:paraId="1A020A87" w14:textId="77777777" w:rsidR="00AA5135" w:rsidRPr="007F7C9F" w:rsidRDefault="00AA5135" w:rsidP="00573E5E">
      <w:pPr>
        <w:pStyle w:val="Normal-pool"/>
        <w:tabs>
          <w:tab w:val="clear" w:pos="1247"/>
          <w:tab w:val="clear" w:pos="1814"/>
          <w:tab w:val="clear" w:pos="2381"/>
          <w:tab w:val="clear" w:pos="2948"/>
          <w:tab w:val="clear" w:pos="3515"/>
          <w:tab w:val="clear" w:pos="4082"/>
        </w:tabs>
        <w:spacing w:after="120"/>
        <w:ind w:left="1247" w:firstLine="624"/>
      </w:pPr>
      <w:r>
        <w:tab/>
      </w:r>
      <w:r>
        <w:rPr>
          <w:i/>
          <w:iCs/>
        </w:rPr>
        <w:t xml:space="preserve">учитывая </w:t>
      </w:r>
      <w:r>
        <w:t>имеющиеся возможности моделирования, которые могут применяться при оценке эффективности,</w:t>
      </w:r>
    </w:p>
    <w:p w14:paraId="5B5AAEA3" w14:textId="7E66F95F" w:rsidR="00AA5135" w:rsidRPr="007F7C9F" w:rsidRDefault="00AA5135" w:rsidP="00573E5E">
      <w:pPr>
        <w:pStyle w:val="Normal-pool"/>
        <w:tabs>
          <w:tab w:val="clear" w:pos="1247"/>
          <w:tab w:val="clear" w:pos="1814"/>
          <w:tab w:val="clear" w:pos="2381"/>
          <w:tab w:val="clear" w:pos="2948"/>
          <w:tab w:val="clear" w:pos="3515"/>
          <w:tab w:val="clear" w:pos="4082"/>
        </w:tabs>
        <w:spacing w:after="120"/>
        <w:ind w:left="1247" w:firstLine="624"/>
      </w:pPr>
      <w:r>
        <w:t>1.</w:t>
      </w:r>
      <w:r>
        <w:tab/>
      </w:r>
      <w:r>
        <w:rPr>
          <w:i/>
          <w:iCs/>
        </w:rPr>
        <w:t>утверждает</w:t>
      </w:r>
      <w:r>
        <w:t xml:space="preserve"> предлагаемую систему оценки эффективности Минаматской конвенции, включая ее методологию, показатели, доклады, график и сроки проведения</w:t>
      </w:r>
      <w:r w:rsidRPr="0080620A">
        <w:rPr>
          <w:rStyle w:val="FootnoteReference"/>
        </w:rPr>
        <w:footnoteReference w:id="4"/>
      </w:r>
      <w:r>
        <w:t>;</w:t>
      </w:r>
    </w:p>
    <w:p w14:paraId="40EA9C00" w14:textId="77777777" w:rsidR="00AA5135" w:rsidRPr="007F7C9F" w:rsidRDefault="00AA5135" w:rsidP="00573E5E">
      <w:pPr>
        <w:pStyle w:val="Normal-pool"/>
        <w:tabs>
          <w:tab w:val="clear" w:pos="1247"/>
          <w:tab w:val="clear" w:pos="1814"/>
          <w:tab w:val="clear" w:pos="2381"/>
          <w:tab w:val="clear" w:pos="2948"/>
          <w:tab w:val="clear" w:pos="3515"/>
          <w:tab w:val="clear" w:pos="4082"/>
        </w:tabs>
        <w:spacing w:after="120"/>
        <w:ind w:left="1247" w:firstLine="624"/>
      </w:pPr>
      <w:r>
        <w:t>2.</w:t>
      </w:r>
      <w:r>
        <w:tab/>
      </w:r>
      <w:r>
        <w:rPr>
          <w:i/>
          <w:iCs/>
        </w:rPr>
        <w:t>утверждает</w:t>
      </w:r>
      <w:r>
        <w:t xml:space="preserve"> положение о комитете, который будет учрежден для проведения оценки эффективности, и его мандат</w:t>
      </w:r>
      <w:r w:rsidRPr="0080620A">
        <w:rPr>
          <w:rStyle w:val="FootnoteReference"/>
        </w:rPr>
        <w:footnoteReference w:id="5"/>
      </w:r>
      <w:r>
        <w:t>;</w:t>
      </w:r>
    </w:p>
    <w:p w14:paraId="036F7E5A" w14:textId="4F79ADBE" w:rsidR="00AA5135" w:rsidRPr="007F7C9F" w:rsidRDefault="00AA5135" w:rsidP="00573E5E">
      <w:pPr>
        <w:pStyle w:val="Normal-pool"/>
        <w:tabs>
          <w:tab w:val="clear" w:pos="1247"/>
          <w:tab w:val="clear" w:pos="1814"/>
          <w:tab w:val="clear" w:pos="2381"/>
          <w:tab w:val="clear" w:pos="2948"/>
          <w:tab w:val="clear" w:pos="3515"/>
          <w:tab w:val="clear" w:pos="4082"/>
        </w:tabs>
        <w:spacing w:after="120"/>
        <w:ind w:left="1247" w:firstLine="624"/>
      </w:pPr>
      <w:r>
        <w:t>3.</w:t>
      </w:r>
      <w:r>
        <w:tab/>
      </w:r>
      <w:r>
        <w:rPr>
          <w:i/>
          <w:iCs/>
        </w:rPr>
        <w:t xml:space="preserve">постановляет </w:t>
      </w:r>
      <w:r>
        <w:t xml:space="preserve">учредить на своем четвертом </w:t>
      </w:r>
      <w:r w:rsidR="003E5F64">
        <w:t xml:space="preserve">совещании </w:t>
      </w:r>
      <w:r>
        <w:t>комитет по оценке эффективности;</w:t>
      </w:r>
    </w:p>
    <w:p w14:paraId="674EE7B5" w14:textId="3DE44108" w:rsidR="00AA5135" w:rsidRPr="007F7C9F" w:rsidRDefault="00AA5135" w:rsidP="00573E5E">
      <w:pPr>
        <w:pStyle w:val="Normal-pool"/>
        <w:tabs>
          <w:tab w:val="clear" w:pos="1247"/>
          <w:tab w:val="clear" w:pos="1814"/>
          <w:tab w:val="clear" w:pos="2381"/>
          <w:tab w:val="clear" w:pos="2948"/>
          <w:tab w:val="clear" w:pos="3515"/>
          <w:tab w:val="clear" w:pos="4082"/>
        </w:tabs>
        <w:spacing w:after="120"/>
        <w:ind w:left="1247" w:firstLine="624"/>
      </w:pPr>
      <w:r>
        <w:t>4.</w:t>
      </w:r>
      <w:r>
        <w:tab/>
      </w:r>
      <w:r>
        <w:rPr>
          <w:i/>
          <w:iCs/>
        </w:rPr>
        <w:t xml:space="preserve">постановляет </w:t>
      </w:r>
      <w:r>
        <w:t>предусмотреть наличие механизм</w:t>
      </w:r>
      <w:r w:rsidR="00190DB7">
        <w:t>ов</w:t>
      </w:r>
      <w:r>
        <w:t xml:space="preserve"> глобального мониторинга</w:t>
      </w:r>
      <w:r w:rsidRPr="0080620A">
        <w:rPr>
          <w:rStyle w:val="FootnoteReference"/>
        </w:rPr>
        <w:footnoteReference w:id="6"/>
      </w:r>
      <w:r>
        <w:t xml:space="preserve"> </w:t>
      </w:r>
      <w:r w:rsidR="00822E3D" w:rsidRPr="00822E3D">
        <w:t xml:space="preserve">и учреждает группу по мониторингу, которая в соответствии с положением о ней </w:t>
      </w:r>
      <w:r>
        <w:t xml:space="preserve">будет работать над подготовкой для комитета по оценке эффективности доклада о глобальном мониторинге, а также руководящих указаний и рекомендаций относительно типового регламента по осуществлению деятельности по мониторингу для принятия Конференцией Сторон на ее четвертом </w:t>
      </w:r>
      <w:r w:rsidR="003E5F64">
        <w:t>совещании</w:t>
      </w:r>
      <w:r>
        <w:t xml:space="preserve">, что позволит комитету собраться до проведения пятого </w:t>
      </w:r>
      <w:r w:rsidR="005D220C">
        <w:t xml:space="preserve">совещания </w:t>
      </w:r>
      <w:r>
        <w:t xml:space="preserve">Конференции Сторон и завершить первую оценку </w:t>
      </w:r>
      <w:r w:rsidR="00CF7C11">
        <w:t xml:space="preserve">эффективности </w:t>
      </w:r>
      <w:r>
        <w:t>Минаматской конвенции;</w:t>
      </w:r>
    </w:p>
    <w:p w14:paraId="591C009D" w14:textId="0A0B3229" w:rsidR="00AA5135" w:rsidRPr="007F7C9F" w:rsidRDefault="00AA5135" w:rsidP="00573E5E">
      <w:pPr>
        <w:pStyle w:val="Normal-pool"/>
        <w:tabs>
          <w:tab w:val="clear" w:pos="1247"/>
          <w:tab w:val="clear" w:pos="1814"/>
          <w:tab w:val="clear" w:pos="2381"/>
          <w:tab w:val="clear" w:pos="2948"/>
          <w:tab w:val="clear" w:pos="3515"/>
          <w:tab w:val="clear" w:pos="4082"/>
        </w:tabs>
        <w:spacing w:after="120"/>
        <w:ind w:left="1247" w:firstLine="624"/>
      </w:pPr>
      <w:r>
        <w:t>5.</w:t>
      </w:r>
      <w:r>
        <w:tab/>
      </w:r>
      <w:r>
        <w:rPr>
          <w:i/>
          <w:iCs/>
        </w:rPr>
        <w:t xml:space="preserve">просит </w:t>
      </w:r>
      <w:r>
        <w:t>секретариат поддерживать работу по оценке эффективности и продолжать сбор информации, релевантной для оценки эффективности, в том числе для подготовки необходимых докладов;</w:t>
      </w:r>
    </w:p>
    <w:p w14:paraId="22507C86" w14:textId="688F458E" w:rsidR="00AA5135" w:rsidRPr="007F7C9F" w:rsidRDefault="00AA5135" w:rsidP="00573E5E">
      <w:pPr>
        <w:pStyle w:val="Normal-pool"/>
        <w:tabs>
          <w:tab w:val="clear" w:pos="1247"/>
          <w:tab w:val="clear" w:pos="1814"/>
          <w:tab w:val="clear" w:pos="2381"/>
          <w:tab w:val="clear" w:pos="2948"/>
          <w:tab w:val="clear" w:pos="3515"/>
          <w:tab w:val="clear" w:pos="4082"/>
        </w:tabs>
        <w:spacing w:after="120"/>
        <w:ind w:left="1247" w:firstLine="624"/>
      </w:pPr>
      <w:r>
        <w:t>6.</w:t>
      </w:r>
      <w:r>
        <w:tab/>
      </w:r>
      <w:r>
        <w:rPr>
          <w:i/>
          <w:iCs/>
        </w:rPr>
        <w:t xml:space="preserve">рекомендует </w:t>
      </w:r>
      <w:r>
        <w:t>Сторонам принимать активное участие в работе по внедрению системы оценки эффективности, в частности:</w:t>
      </w:r>
    </w:p>
    <w:p w14:paraId="04C5F354" w14:textId="6A900417" w:rsidR="00AA5135" w:rsidRPr="007F7C9F" w:rsidRDefault="00AA5135" w:rsidP="00573E5E">
      <w:pPr>
        <w:pStyle w:val="Normal-pool"/>
        <w:tabs>
          <w:tab w:val="clear" w:pos="1247"/>
          <w:tab w:val="clear" w:pos="1814"/>
          <w:tab w:val="clear" w:pos="2381"/>
          <w:tab w:val="clear" w:pos="2948"/>
          <w:tab w:val="clear" w:pos="3515"/>
          <w:tab w:val="clear" w:pos="4082"/>
        </w:tabs>
        <w:spacing w:after="120"/>
        <w:ind w:left="1247" w:firstLine="624"/>
      </w:pPr>
      <w:r>
        <w:tab/>
        <w:t>a)</w:t>
      </w:r>
      <w:r>
        <w:tab/>
        <w:t xml:space="preserve">продолжать проводить мониторинг </w:t>
      </w:r>
      <w:r w:rsidR="00CF7C11">
        <w:t xml:space="preserve">ртути </w:t>
      </w:r>
      <w:r>
        <w:t>и обмениваться полученными данными через группу по мониторингу, учрежденную в пункте 4;</w:t>
      </w:r>
    </w:p>
    <w:p w14:paraId="39149E67" w14:textId="73E05CCB" w:rsidR="00AA5135" w:rsidRPr="007F7C9F" w:rsidRDefault="00AA5135" w:rsidP="00573E5E">
      <w:pPr>
        <w:pStyle w:val="Normal-pool"/>
        <w:tabs>
          <w:tab w:val="clear" w:pos="1247"/>
          <w:tab w:val="clear" w:pos="1814"/>
          <w:tab w:val="clear" w:pos="2381"/>
          <w:tab w:val="clear" w:pos="2948"/>
          <w:tab w:val="clear" w:pos="3515"/>
          <w:tab w:val="clear" w:pos="4082"/>
        </w:tabs>
        <w:spacing w:after="120"/>
        <w:ind w:left="1247" w:firstLine="624"/>
      </w:pPr>
      <w:r>
        <w:tab/>
        <w:t>b)</w:t>
      </w:r>
      <w:r>
        <w:tab/>
        <w:t>сотрудничать в разработке и совершенствовании, по мере необходимости, инструментов моделирования и проводить географически репрезентативный мониторинг ртути в окружающей среде, биот</w:t>
      </w:r>
      <w:r w:rsidR="00CF7C11">
        <w:t>ич</w:t>
      </w:r>
      <w:r>
        <w:t>е</w:t>
      </w:r>
      <w:r w:rsidR="00CF7C11">
        <w:t>ских средах</w:t>
      </w:r>
      <w:r>
        <w:t xml:space="preserve"> и в организмах людей, относящихся к уязвимым группам населения;</w:t>
      </w:r>
    </w:p>
    <w:p w14:paraId="670DBACB" w14:textId="31F9E536" w:rsidR="00AA5135" w:rsidRPr="007F7C9F" w:rsidRDefault="00AA5135" w:rsidP="00573E5E">
      <w:pPr>
        <w:pStyle w:val="Normal-pool"/>
        <w:tabs>
          <w:tab w:val="clear" w:pos="1247"/>
          <w:tab w:val="clear" w:pos="1814"/>
          <w:tab w:val="clear" w:pos="2381"/>
          <w:tab w:val="clear" w:pos="2948"/>
          <w:tab w:val="clear" w:pos="3515"/>
          <w:tab w:val="clear" w:pos="4082"/>
        </w:tabs>
        <w:spacing w:after="120"/>
        <w:ind w:left="1247" w:firstLine="624"/>
      </w:pPr>
      <w:r>
        <w:tab/>
        <w:t>c)</w:t>
      </w:r>
      <w:r>
        <w:tab/>
        <w:t>использовать определенные специальной технической группой экспертов инструменты, такие как стандартные регламенты, методологию и методы, с тем чтобы способствовать унификации данных;</w:t>
      </w:r>
    </w:p>
    <w:p w14:paraId="14C3F4BC" w14:textId="77777777" w:rsidR="00AA5135" w:rsidRPr="007F7C9F" w:rsidRDefault="00AA5135" w:rsidP="00573E5E">
      <w:pPr>
        <w:pStyle w:val="Normal-pool"/>
        <w:tabs>
          <w:tab w:val="clear" w:pos="1247"/>
          <w:tab w:val="clear" w:pos="1814"/>
          <w:tab w:val="clear" w:pos="2381"/>
          <w:tab w:val="clear" w:pos="2948"/>
          <w:tab w:val="clear" w:pos="3515"/>
          <w:tab w:val="clear" w:pos="4082"/>
        </w:tabs>
        <w:spacing w:after="120"/>
        <w:ind w:left="1247" w:firstLine="624"/>
      </w:pPr>
      <w:r>
        <w:tab/>
        <w:t>d)</w:t>
      </w:r>
      <w:r>
        <w:tab/>
        <w:t>способствовать, при наличии соответствующих возможностей, дальнейшей разработке и долгосрочной работе механизмов глобального мониторинга.</w:t>
      </w:r>
    </w:p>
    <w:p w14:paraId="11AB771E" w14:textId="77777777" w:rsidR="00AA5135" w:rsidRPr="00A10047" w:rsidRDefault="00AA5135" w:rsidP="00A10047">
      <w:pPr>
        <w:tabs>
          <w:tab w:val="clear" w:pos="1247"/>
          <w:tab w:val="clear" w:pos="1814"/>
          <w:tab w:val="clear" w:pos="2381"/>
          <w:tab w:val="clear" w:pos="2948"/>
          <w:tab w:val="clear" w:pos="3515"/>
        </w:tabs>
      </w:pPr>
      <w:r w:rsidRPr="00A10047">
        <w:br w:type="page"/>
      </w:r>
    </w:p>
    <w:p w14:paraId="7A058067" w14:textId="77777777" w:rsidR="00AA5135" w:rsidRPr="00050146" w:rsidRDefault="00AA5135" w:rsidP="00050146">
      <w:pPr>
        <w:tabs>
          <w:tab w:val="clear" w:pos="1247"/>
          <w:tab w:val="clear" w:pos="1814"/>
          <w:tab w:val="clear" w:pos="2381"/>
          <w:tab w:val="clear" w:pos="2948"/>
          <w:tab w:val="clear" w:pos="3515"/>
        </w:tabs>
        <w:spacing w:after="240"/>
        <w:rPr>
          <w:b/>
          <w:bCs/>
          <w:sz w:val="28"/>
          <w:szCs w:val="28"/>
        </w:rPr>
      </w:pPr>
      <w:r w:rsidRPr="00050146">
        <w:rPr>
          <w:b/>
          <w:bCs/>
          <w:sz w:val="28"/>
          <w:szCs w:val="28"/>
        </w:rPr>
        <w:lastRenderedPageBreak/>
        <w:t>Приложение II</w:t>
      </w:r>
    </w:p>
    <w:p w14:paraId="401BECB3" w14:textId="77777777" w:rsidR="00AA5135" w:rsidRPr="00050146" w:rsidRDefault="00AA5135" w:rsidP="00050146">
      <w:pPr>
        <w:tabs>
          <w:tab w:val="clear" w:pos="1247"/>
          <w:tab w:val="clear" w:pos="1814"/>
          <w:tab w:val="clear" w:pos="2381"/>
          <w:tab w:val="clear" w:pos="2948"/>
          <w:tab w:val="clear" w:pos="3515"/>
        </w:tabs>
        <w:spacing w:after="120"/>
        <w:ind w:left="1247" w:right="567"/>
        <w:rPr>
          <w:b/>
          <w:bCs/>
          <w:sz w:val="28"/>
          <w:szCs w:val="28"/>
        </w:rPr>
      </w:pPr>
      <w:r w:rsidRPr="00050146">
        <w:rPr>
          <w:b/>
          <w:bCs/>
          <w:sz w:val="28"/>
          <w:szCs w:val="28"/>
        </w:rPr>
        <w:t>Доклад специальной технической группы экспертов по оценке эффективности: предлагаемая система оценки эффективности Минаматской конвенции о ртути</w:t>
      </w:r>
    </w:p>
    <w:p w14:paraId="0A545D7B" w14:textId="77777777" w:rsidR="00AA5135" w:rsidRPr="00050146" w:rsidRDefault="00AA5135" w:rsidP="00050146">
      <w:pPr>
        <w:tabs>
          <w:tab w:val="clear" w:pos="1247"/>
          <w:tab w:val="clear" w:pos="1814"/>
          <w:tab w:val="clear" w:pos="2381"/>
          <w:tab w:val="clear" w:pos="2948"/>
          <w:tab w:val="clear" w:pos="3515"/>
        </w:tabs>
        <w:spacing w:after="120"/>
        <w:ind w:left="1247"/>
        <w:rPr>
          <w:b/>
          <w:bCs/>
          <w:sz w:val="24"/>
          <w:szCs w:val="24"/>
        </w:rPr>
      </w:pPr>
      <w:r w:rsidRPr="00050146">
        <w:rPr>
          <w:b/>
          <w:bCs/>
          <w:sz w:val="24"/>
          <w:szCs w:val="24"/>
        </w:rPr>
        <w:t>Резюме</w:t>
      </w:r>
    </w:p>
    <w:p w14:paraId="6192F1FA" w14:textId="5ADB0FF3" w:rsidR="00AA5135" w:rsidRDefault="00AA5135" w:rsidP="00C60791">
      <w:pPr>
        <w:pStyle w:val="Normalnumber"/>
        <w:numPr>
          <w:ilvl w:val="0"/>
          <w:numId w:val="0"/>
        </w:numPr>
        <w:tabs>
          <w:tab w:val="clear" w:pos="624"/>
        </w:tabs>
        <w:ind w:left="1247"/>
      </w:pPr>
      <w:r w:rsidRPr="007F7C9F">
        <w:t>1.</w:t>
      </w:r>
      <w:r w:rsidRPr="007F7C9F">
        <w:tab/>
      </w:r>
      <w:r>
        <w:t>В настоящем докладе содержится предложение о создании в рамках Минаматской конвенции о ртути системы оценки эффективности и механизмов глобального мониторинга. Доклад подготовлен специальной технической группой экспертов в рамках мандатов, определенных в решениях МК</w:t>
      </w:r>
      <w:r>
        <w:noBreakHyphen/>
        <w:t>1/9 и МК</w:t>
      </w:r>
      <w:r>
        <w:noBreakHyphen/>
        <w:t>2/10, и на основе информации, содержащейся в представленных Сторонами и другими заинтересованными субъектами материалах, и иной информации. Настоящий доклад был подготовлен по итогам проведенных экспертами консультаций и обзора, включая два совещания специальной группы в 2018 и 2019 годах, и до сентября 2019 года проходил процедуру последующего редактирования и обзора Сторонами, экспертами и другими субъектами, которые представили свои замечания.</w:t>
      </w:r>
    </w:p>
    <w:p w14:paraId="5D59E9CC" w14:textId="20FFB41F" w:rsidR="00AA5135" w:rsidRPr="007F7C9F" w:rsidRDefault="00AA5135" w:rsidP="00C60791">
      <w:pPr>
        <w:pStyle w:val="Normalnumber"/>
        <w:numPr>
          <w:ilvl w:val="0"/>
          <w:numId w:val="0"/>
        </w:numPr>
        <w:tabs>
          <w:tab w:val="clear" w:pos="624"/>
        </w:tabs>
        <w:ind w:left="1247"/>
      </w:pPr>
      <w:r w:rsidRPr="007F7C9F">
        <w:t>2.</w:t>
      </w:r>
      <w:r w:rsidRPr="007F7C9F">
        <w:tab/>
      </w:r>
      <w:r>
        <w:t xml:space="preserve">С опорой на результаты работы по определению элементов системы оценки эффективности и обзора деятельности по мониторингу, включенных в первый доклад специальной группы, который был представлен Конференции Сторон на ее втором </w:t>
      </w:r>
      <w:r w:rsidR="005D220C">
        <w:t>совещании</w:t>
      </w:r>
      <w:r>
        <w:t>, в настоящем докладе предлагается система, для которой определяется набор механизмов, видов информации и анализа, а также докладов, на основе которых комитет по оценке эффективности будет делать выводы об эффективности Конвенции.</w:t>
      </w:r>
    </w:p>
    <w:p w14:paraId="5D6B191D" w14:textId="77777777" w:rsidR="00AA5135" w:rsidRPr="00C60791" w:rsidRDefault="00AA5135" w:rsidP="00C60791">
      <w:pPr>
        <w:tabs>
          <w:tab w:val="clear" w:pos="1247"/>
          <w:tab w:val="clear" w:pos="1814"/>
          <w:tab w:val="clear" w:pos="2381"/>
          <w:tab w:val="clear" w:pos="2948"/>
          <w:tab w:val="clear" w:pos="3515"/>
        </w:tabs>
        <w:spacing w:after="120"/>
        <w:ind w:left="1247"/>
        <w:rPr>
          <w:b/>
          <w:bCs/>
          <w:sz w:val="24"/>
          <w:szCs w:val="24"/>
        </w:rPr>
      </w:pPr>
      <w:r w:rsidRPr="00C60791">
        <w:rPr>
          <w:b/>
          <w:bCs/>
          <w:sz w:val="24"/>
          <w:szCs w:val="24"/>
        </w:rPr>
        <w:t>Система оценки эффективности</w:t>
      </w:r>
    </w:p>
    <w:p w14:paraId="70AF5DDA" w14:textId="0154C080" w:rsidR="00AA5135" w:rsidRPr="00601DDE" w:rsidRDefault="00AA5135" w:rsidP="00C60791">
      <w:pPr>
        <w:pStyle w:val="Normalnumber"/>
        <w:numPr>
          <w:ilvl w:val="0"/>
          <w:numId w:val="0"/>
        </w:numPr>
        <w:tabs>
          <w:tab w:val="clear" w:pos="624"/>
        </w:tabs>
        <w:ind w:left="1247"/>
      </w:pPr>
      <w:r w:rsidRPr="00601DDE">
        <w:t>3.</w:t>
      </w:r>
      <w:r w:rsidRPr="00601DDE">
        <w:tab/>
      </w:r>
      <w:r>
        <w:t xml:space="preserve">Система оценки эффективности основана </w:t>
      </w:r>
      <w:r w:rsidR="005D220C">
        <w:t xml:space="preserve">на </w:t>
      </w:r>
      <w:r>
        <w:t xml:space="preserve">четырех предметных вопросах, ответы на которые позволят Конференции Сторон изучить, в какой степени принимаемые в рамках Конвенции меры позволят достичь цели по охране здоровья человека и окружающей среды от антропогенных выбросов и высвобождений ртути и </w:t>
      </w:r>
      <w:r w:rsidR="00CF7C11">
        <w:t xml:space="preserve">ртутных </w:t>
      </w:r>
      <w:r>
        <w:t>соединений. Предметные вопросы сформулированы следующим образом:</w:t>
      </w:r>
    </w:p>
    <w:p w14:paraId="12B058C1" w14:textId="77777777" w:rsidR="00AA5135" w:rsidRPr="007F7C9F" w:rsidRDefault="00AA5135" w:rsidP="00C60791">
      <w:pPr>
        <w:pStyle w:val="Normalnumber"/>
        <w:numPr>
          <w:ilvl w:val="0"/>
          <w:numId w:val="0"/>
        </w:numPr>
        <w:tabs>
          <w:tab w:val="clear" w:pos="624"/>
        </w:tabs>
        <w:ind w:left="1247" w:firstLine="624"/>
      </w:pPr>
      <w:r w:rsidRPr="007F7C9F">
        <w:t>a)</w:t>
      </w:r>
      <w:r w:rsidRPr="007F7C9F">
        <w:tab/>
      </w:r>
      <w:r>
        <w:t>приняли ли Стороны меры для осуществления Минаматской конвенции?</w:t>
      </w:r>
    </w:p>
    <w:p w14:paraId="12498E9A" w14:textId="0CADD0BF" w:rsidR="00AA5135" w:rsidRPr="007F7C9F" w:rsidRDefault="00AA5135" w:rsidP="00C60791">
      <w:pPr>
        <w:pStyle w:val="Normalnumber"/>
        <w:numPr>
          <w:ilvl w:val="0"/>
          <w:numId w:val="0"/>
        </w:numPr>
        <w:tabs>
          <w:tab w:val="clear" w:pos="624"/>
        </w:tabs>
        <w:ind w:left="1247" w:firstLine="624"/>
      </w:pPr>
      <w:r w:rsidRPr="007F7C9F">
        <w:t>b)</w:t>
      </w:r>
      <w:r w:rsidRPr="007F7C9F">
        <w:tab/>
      </w:r>
      <w:r>
        <w:t>привело ли принятие этих мер к изменениям в сфере предложения ртути, ее применения, выбросов и высвобождени</w:t>
      </w:r>
      <w:r w:rsidR="007E391E">
        <w:t>й</w:t>
      </w:r>
      <w:r>
        <w:t xml:space="preserve"> в окружающую среду?</w:t>
      </w:r>
    </w:p>
    <w:p w14:paraId="2AF05D0C" w14:textId="032DEDCE" w:rsidR="00AA5135" w:rsidRPr="007F7C9F" w:rsidRDefault="00AA5135" w:rsidP="00C60791">
      <w:pPr>
        <w:pStyle w:val="Normalnumber"/>
        <w:numPr>
          <w:ilvl w:val="0"/>
          <w:numId w:val="0"/>
        </w:numPr>
        <w:tabs>
          <w:tab w:val="clear" w:pos="624"/>
        </w:tabs>
        <w:ind w:left="1247" w:firstLine="624"/>
      </w:pPr>
      <w:r w:rsidRPr="007F7C9F">
        <w:t>c)</w:t>
      </w:r>
      <w:r w:rsidRPr="007F7C9F">
        <w:tab/>
      </w:r>
      <w:r>
        <w:t>привели ли эти изменения к такому изменению уровней содержания ртути в окружающей среде, биот</w:t>
      </w:r>
      <w:r w:rsidR="00110A13" w:rsidRPr="00110A13">
        <w:t>ических средах</w:t>
      </w:r>
      <w:r>
        <w:t xml:space="preserve"> и организмах людей, относящихся к уязвимым группам населения, которое может быть обусловлено осуществлением Минаматской конвенции?</w:t>
      </w:r>
    </w:p>
    <w:p w14:paraId="622E6A8D" w14:textId="77777777" w:rsidR="00AA5135" w:rsidRPr="007F7C9F" w:rsidRDefault="00AA5135" w:rsidP="00C60791">
      <w:pPr>
        <w:pStyle w:val="Normalnumber"/>
        <w:numPr>
          <w:ilvl w:val="0"/>
          <w:numId w:val="0"/>
        </w:numPr>
        <w:tabs>
          <w:tab w:val="clear" w:pos="624"/>
        </w:tabs>
        <w:ind w:left="1247" w:firstLine="624"/>
      </w:pPr>
      <w:r w:rsidRPr="007F7C9F">
        <w:t>d)</w:t>
      </w:r>
      <w:r w:rsidRPr="007F7C9F">
        <w:tab/>
      </w:r>
      <w:r>
        <w:t>в какой степени принимаемые в рамках Минаматской конвенции меры способствуют достижению цели по охране здоровья человека и окружающей среды от ртути?</w:t>
      </w:r>
    </w:p>
    <w:p w14:paraId="29BA9138" w14:textId="1030FD4F" w:rsidR="00AA5135" w:rsidRPr="007F7C9F" w:rsidRDefault="00AA5135" w:rsidP="00C60791">
      <w:pPr>
        <w:pStyle w:val="Normalnumber"/>
        <w:numPr>
          <w:ilvl w:val="0"/>
          <w:numId w:val="0"/>
        </w:numPr>
        <w:tabs>
          <w:tab w:val="clear" w:pos="624"/>
        </w:tabs>
        <w:ind w:left="1247"/>
      </w:pPr>
      <w:r w:rsidRPr="007F7C9F">
        <w:t>4.</w:t>
      </w:r>
      <w:r w:rsidRPr="007F7C9F">
        <w:tab/>
      </w:r>
      <w:r>
        <w:t>Система основана на оценке имеющихся свидетельств в контексте причинно</w:t>
      </w:r>
      <w:r w:rsidR="005D220C">
        <w:noBreakHyphen/>
      </w:r>
      <w:r>
        <w:t>следственной связи между деятельностью по осуществлению Конвенции и соответствующими изменениями в сфере предложения, применения, выбросов и высвобождени</w:t>
      </w:r>
      <w:r w:rsidR="007E391E">
        <w:t>й</w:t>
      </w:r>
      <w:r>
        <w:t xml:space="preserve"> ртути и происходящими в результате этого изменениями в уровнях содержания ртути в глобальной окружающей среде, биот</w:t>
      </w:r>
      <w:r w:rsidR="00CF7C11">
        <w:t>ич</w:t>
      </w:r>
      <w:r>
        <w:t>е</w:t>
      </w:r>
      <w:r w:rsidR="00CF7C11">
        <w:t>ских средах</w:t>
      </w:r>
      <w:r>
        <w:t xml:space="preserve"> и организмах людей, относящихся к уязвимым группам населения, и тенденций изменения этих уровней. Для сбора информации, касающейся предметных вопросов, предлагается набор показателей</w:t>
      </w:r>
      <w:r w:rsidR="00CF7C11">
        <w:t xml:space="preserve"> </w:t>
      </w:r>
      <w:r>
        <w:t xml:space="preserve">процесса, </w:t>
      </w:r>
      <w:r w:rsidR="00CF7C11" w:rsidRPr="00CF7C11">
        <w:t xml:space="preserve">показателей </w:t>
      </w:r>
      <w:r>
        <w:t>результат</w:t>
      </w:r>
      <w:r w:rsidR="00CF7C11">
        <w:t>а</w:t>
      </w:r>
      <w:r>
        <w:t xml:space="preserve"> и </w:t>
      </w:r>
      <w:r w:rsidR="00CF7C11">
        <w:t xml:space="preserve">контрольных </w:t>
      </w:r>
      <w:r w:rsidR="00CF7C11" w:rsidRPr="00CF7C11">
        <w:t>показателей</w:t>
      </w:r>
      <w:r>
        <w:t>. Предлагаемые показатели основаны на результатах выполненной ранее работы над элементами системы оценки эффективности и обзора потенциала и возможностей мониторинга.</w:t>
      </w:r>
    </w:p>
    <w:p w14:paraId="7561DDB1" w14:textId="6C92172C" w:rsidR="00AA5135" w:rsidRPr="007F7C9F" w:rsidRDefault="00AA5135" w:rsidP="00C60791">
      <w:pPr>
        <w:pStyle w:val="Normalnumber"/>
        <w:numPr>
          <w:ilvl w:val="0"/>
          <w:numId w:val="0"/>
        </w:numPr>
        <w:tabs>
          <w:tab w:val="clear" w:pos="624"/>
        </w:tabs>
        <w:ind w:left="1247"/>
      </w:pPr>
      <w:r w:rsidRPr="007F7C9F">
        <w:t>5.</w:t>
      </w:r>
      <w:r w:rsidRPr="007F7C9F">
        <w:tab/>
      </w:r>
      <w:r>
        <w:t xml:space="preserve">Вместе с тем вполне вероятно, что по результатам мониторинга будет выявлено увеличение содержания ртути (например, в атмосфере) в результате воздействия факторов, выходящих за рамки сферы применения Конвенции. К числу таких факторов относятся старые </w:t>
      </w:r>
      <w:r w:rsidRPr="00FD5945">
        <w:t>накопления</w:t>
      </w:r>
      <w:r>
        <w:t xml:space="preserve"> ртути, природная ртуть и такие последствия изменения климата, как повышение доступности ртути, хранящейся в тающем морском льду, ледниковом покрове и вечной мерзлоте, и увеличение испарения ртути в результате повышения температуры океана. Следовательно, представляется маловероятным, что в ближайшем будущем между уровнями содержания ртути в окружающей среде, биот</w:t>
      </w:r>
      <w:r w:rsidR="00110A13">
        <w:t>ич</w:t>
      </w:r>
      <w:r>
        <w:t>е</w:t>
      </w:r>
      <w:r w:rsidR="00110A13">
        <w:t>ских средах</w:t>
      </w:r>
      <w:r>
        <w:t xml:space="preserve"> и организмах людей, относящихся </w:t>
      </w:r>
      <w:r>
        <w:lastRenderedPageBreak/>
        <w:t>к уязвимым группам населения, и мерами, принимаемыми в рамках Конвенции, будет установлена прямая связь.</w:t>
      </w:r>
    </w:p>
    <w:p w14:paraId="4682D306" w14:textId="7B56E2E9" w:rsidR="00AA5135" w:rsidRPr="00601DDE" w:rsidRDefault="00AA5135" w:rsidP="00C60791">
      <w:pPr>
        <w:pStyle w:val="Normalnumber"/>
        <w:numPr>
          <w:ilvl w:val="0"/>
          <w:numId w:val="0"/>
        </w:numPr>
        <w:tabs>
          <w:tab w:val="clear" w:pos="624"/>
        </w:tabs>
        <w:ind w:left="1247"/>
      </w:pPr>
      <w:r w:rsidRPr="00601DDE">
        <w:t>6.</w:t>
      </w:r>
      <w:r w:rsidRPr="00601DDE">
        <w:tab/>
      </w:r>
      <w:r>
        <w:t xml:space="preserve">Многие из показателей, разработанных после постатейного обзора, были сгруппированы, с тем чтобы обеспечить возможность проведения сводного анализа для получения целостной картины; однако показатели для статей, которые считаются центральными или имеющими сквозное значение для общих положений, таких как статьи 1 и 16, не группировались. Ниже перечислены </w:t>
      </w:r>
      <w:r w:rsidR="00271A4F">
        <w:t xml:space="preserve">группы </w:t>
      </w:r>
      <w:r>
        <w:t>показателей:</w:t>
      </w:r>
    </w:p>
    <w:p w14:paraId="23E6739C" w14:textId="77777777" w:rsidR="00AA5135" w:rsidRPr="007F7C9F" w:rsidRDefault="00AA5135" w:rsidP="00C60791">
      <w:pPr>
        <w:pStyle w:val="Normalnumber"/>
        <w:numPr>
          <w:ilvl w:val="0"/>
          <w:numId w:val="0"/>
        </w:numPr>
        <w:tabs>
          <w:tab w:val="clear" w:pos="624"/>
        </w:tabs>
        <w:ind w:left="1247" w:firstLine="624"/>
      </w:pPr>
      <w:r w:rsidRPr="007F7C9F">
        <w:t>a)</w:t>
      </w:r>
      <w:r w:rsidRPr="007F7C9F">
        <w:tab/>
      </w:r>
      <w:r>
        <w:t>группа показателей, связанных с предложением (B): предложение, хранение и отходы (статьи 3, 10 и 11);</w:t>
      </w:r>
    </w:p>
    <w:p w14:paraId="5AEDE6C3" w14:textId="77777777" w:rsidR="00AA5135" w:rsidRPr="007F7C9F" w:rsidRDefault="00AA5135" w:rsidP="00C60791">
      <w:pPr>
        <w:pStyle w:val="Normalnumber"/>
        <w:numPr>
          <w:ilvl w:val="0"/>
          <w:numId w:val="0"/>
        </w:numPr>
        <w:tabs>
          <w:tab w:val="clear" w:pos="624"/>
        </w:tabs>
        <w:ind w:left="1247" w:firstLine="624"/>
      </w:pPr>
      <w:r w:rsidRPr="007F7C9F">
        <w:t>b)</w:t>
      </w:r>
      <w:r w:rsidRPr="007F7C9F">
        <w:tab/>
      </w:r>
      <w:r>
        <w:t>группа показателей, связанных со спросом (С): продукты, процессы и кустарная и мелкомасштабная золотодобыча (статьи 4, 5 и 7);</w:t>
      </w:r>
    </w:p>
    <w:p w14:paraId="73BA9E6E" w14:textId="77777777" w:rsidR="00AA5135" w:rsidRPr="007F7C9F" w:rsidRDefault="00AA5135" w:rsidP="00C60791">
      <w:pPr>
        <w:pStyle w:val="Normalnumber"/>
        <w:numPr>
          <w:ilvl w:val="0"/>
          <w:numId w:val="0"/>
        </w:numPr>
        <w:tabs>
          <w:tab w:val="clear" w:pos="624"/>
        </w:tabs>
        <w:ind w:left="1247" w:firstLine="624"/>
      </w:pPr>
      <w:r w:rsidRPr="007F7C9F">
        <w:t>c)</w:t>
      </w:r>
      <w:r w:rsidRPr="007F7C9F">
        <w:tab/>
      </w:r>
      <w:r>
        <w:t>группа показателей, связанных с последствиями (D): выбросы, высвобождение и загрязненные участки (статьи 8, 9 и 12);</w:t>
      </w:r>
    </w:p>
    <w:p w14:paraId="595CC8C3" w14:textId="77777777" w:rsidR="00AA5135" w:rsidRPr="007F7C9F" w:rsidRDefault="00AA5135" w:rsidP="00C60791">
      <w:pPr>
        <w:pStyle w:val="Normalnumber"/>
        <w:numPr>
          <w:ilvl w:val="0"/>
          <w:numId w:val="0"/>
        </w:numPr>
        <w:tabs>
          <w:tab w:val="clear" w:pos="624"/>
        </w:tabs>
        <w:ind w:left="1247" w:firstLine="624"/>
      </w:pPr>
      <w:r w:rsidRPr="007F7C9F">
        <w:t>d)</w:t>
      </w:r>
      <w:r w:rsidRPr="007F7C9F">
        <w:tab/>
      </w:r>
      <w:r>
        <w:t>группа показателей, связанных с поддержкой (Е): финансовая и техническая помощь (статьи 13 и 14);</w:t>
      </w:r>
    </w:p>
    <w:p w14:paraId="578EC2C5" w14:textId="77777777" w:rsidR="00AA5135" w:rsidRPr="007F7C9F" w:rsidRDefault="00AA5135" w:rsidP="00C60791">
      <w:pPr>
        <w:pStyle w:val="Normalnumber"/>
        <w:numPr>
          <w:ilvl w:val="0"/>
          <w:numId w:val="0"/>
        </w:numPr>
        <w:tabs>
          <w:tab w:val="clear" w:pos="624"/>
        </w:tabs>
        <w:ind w:left="1247" w:firstLine="624"/>
      </w:pPr>
      <w:r w:rsidRPr="007F7C9F">
        <w:t>e)</w:t>
      </w:r>
      <w:r w:rsidRPr="007F7C9F">
        <w:tab/>
      </w:r>
      <w:r>
        <w:t>группа показателей, связанных с информацией и исследованиями (H): обмен информацией, публичная информация и исследования (статьи 17, 18 и 19).</w:t>
      </w:r>
    </w:p>
    <w:p w14:paraId="1AD2E8EB" w14:textId="42726E61" w:rsidR="00AA5135" w:rsidRPr="007F7C9F" w:rsidRDefault="00AA5135" w:rsidP="00C60791">
      <w:pPr>
        <w:pStyle w:val="Normalnumber"/>
        <w:numPr>
          <w:ilvl w:val="0"/>
          <w:numId w:val="0"/>
        </w:numPr>
        <w:tabs>
          <w:tab w:val="clear" w:pos="624"/>
        </w:tabs>
        <w:ind w:left="1247"/>
      </w:pPr>
      <w:r w:rsidRPr="007F7C9F">
        <w:t>7.</w:t>
      </w:r>
      <w:r w:rsidRPr="007F7C9F">
        <w:tab/>
      </w:r>
      <w:r>
        <w:t>В пункте 3 статьи 22 указано, что оценка проводится на основании имеющейся научной, экологической, технической, финансовой и экономической информации. В рамках системы оценки предусматривается, что на основе такой информации будет подготовлено пять–шесть докладов</w:t>
      </w:r>
      <w:r w:rsidR="00FD5945">
        <w:t>:</w:t>
      </w:r>
    </w:p>
    <w:p w14:paraId="283E41AF" w14:textId="4F4BF569" w:rsidR="00AA5135" w:rsidRPr="007F7C9F" w:rsidRDefault="00AA5135" w:rsidP="00C60791">
      <w:pPr>
        <w:pStyle w:val="Normalnumber"/>
        <w:numPr>
          <w:ilvl w:val="0"/>
          <w:numId w:val="0"/>
        </w:numPr>
        <w:tabs>
          <w:tab w:val="clear" w:pos="624"/>
        </w:tabs>
        <w:ind w:left="1247" w:firstLine="624"/>
      </w:pPr>
      <w:r w:rsidRPr="007F7C9F">
        <w:t>a)</w:t>
      </w:r>
      <w:r w:rsidRPr="007F7C9F">
        <w:tab/>
      </w:r>
      <w:r>
        <w:t xml:space="preserve">сводный доклад </w:t>
      </w:r>
      <w:r w:rsidR="00271A4F" w:rsidRPr="00271A4F">
        <w:t xml:space="preserve">в соответствии со статьей </w:t>
      </w:r>
      <w:r>
        <w:t>21, основанный на информации, представляемой Сторонами в соответствии со статьей 21 о представлении информации;</w:t>
      </w:r>
    </w:p>
    <w:p w14:paraId="776AA6E5" w14:textId="3012A539" w:rsidR="00AA5135" w:rsidRPr="007F7C9F" w:rsidRDefault="00AA5135" w:rsidP="00C60791">
      <w:pPr>
        <w:pStyle w:val="Normalnumber"/>
        <w:numPr>
          <w:ilvl w:val="0"/>
          <w:numId w:val="0"/>
        </w:numPr>
        <w:tabs>
          <w:tab w:val="clear" w:pos="624"/>
        </w:tabs>
        <w:ind w:left="1247" w:firstLine="624"/>
      </w:pPr>
      <w:r w:rsidRPr="007F7C9F">
        <w:t>b)</w:t>
      </w:r>
      <w:r w:rsidRPr="007F7C9F">
        <w:tab/>
      </w:r>
      <w:r>
        <w:t>доклад о выбросах и высвобождени</w:t>
      </w:r>
      <w:r w:rsidR="00271A4F">
        <w:t>ях</w:t>
      </w:r>
      <w:r>
        <w:t xml:space="preserve">, составляемый по образцу доклада </w:t>
      </w:r>
      <w:proofErr w:type="spellStart"/>
      <w:r>
        <w:t>Global</w:t>
      </w:r>
      <w:proofErr w:type="spellEnd"/>
      <w:r>
        <w:t xml:space="preserve"> </w:t>
      </w:r>
      <w:proofErr w:type="spellStart"/>
      <w:r>
        <w:t>Mercury</w:t>
      </w:r>
      <w:proofErr w:type="spellEnd"/>
      <w:r>
        <w:t xml:space="preserve"> </w:t>
      </w:r>
      <w:proofErr w:type="spellStart"/>
      <w:r>
        <w:t>Assessment</w:t>
      </w:r>
      <w:proofErr w:type="spellEnd"/>
      <w:r>
        <w:t xml:space="preserve"> 2018</w:t>
      </w:r>
      <w:r w:rsidR="00271A4F">
        <w:t xml:space="preserve"> </w:t>
      </w:r>
      <w:r w:rsidR="00271A4F" w:rsidRPr="00271A4F">
        <w:t>(«Глобальная оценка ртути, 2018 год»)</w:t>
      </w:r>
      <w:bookmarkStart w:id="3" w:name="_Ref25316597"/>
      <w:r w:rsidRPr="0080620A">
        <w:rPr>
          <w:rStyle w:val="FootnoteReference"/>
        </w:rPr>
        <w:footnoteReference w:id="7"/>
      </w:r>
      <w:bookmarkEnd w:id="3"/>
      <w:r>
        <w:t>;</w:t>
      </w:r>
      <w:bookmarkStart w:id="4" w:name="_Ref23323081"/>
      <w:bookmarkEnd w:id="4"/>
    </w:p>
    <w:p w14:paraId="5191949A" w14:textId="3CFB20EA" w:rsidR="00AA5135" w:rsidRPr="007F7C9F" w:rsidRDefault="00AA5135" w:rsidP="00C60791">
      <w:pPr>
        <w:pStyle w:val="Normalnumber"/>
        <w:numPr>
          <w:ilvl w:val="0"/>
          <w:numId w:val="0"/>
        </w:numPr>
        <w:tabs>
          <w:tab w:val="clear" w:pos="624"/>
        </w:tabs>
        <w:ind w:left="1247" w:firstLine="624"/>
      </w:pPr>
      <w:r w:rsidRPr="007F7C9F">
        <w:t>c)</w:t>
      </w:r>
      <w:r w:rsidRPr="007F7C9F">
        <w:tab/>
      </w:r>
      <w:r>
        <w:t xml:space="preserve">доклад о торговле, предложении и спросе, составляемый по образцу доклада 2017 года </w:t>
      </w:r>
      <w:proofErr w:type="spellStart"/>
      <w:r>
        <w:t>Global</w:t>
      </w:r>
      <w:proofErr w:type="spellEnd"/>
      <w:r>
        <w:t xml:space="preserve"> </w:t>
      </w:r>
      <w:proofErr w:type="spellStart"/>
      <w:r>
        <w:t>Mercury</w:t>
      </w:r>
      <w:proofErr w:type="spellEnd"/>
      <w:r>
        <w:t xml:space="preserve">: </w:t>
      </w:r>
      <w:proofErr w:type="spellStart"/>
      <w:r>
        <w:t>Supply</w:t>
      </w:r>
      <w:proofErr w:type="spellEnd"/>
      <w:r>
        <w:t xml:space="preserve">, </w:t>
      </w:r>
      <w:proofErr w:type="spellStart"/>
      <w:r>
        <w:t>Trade</w:t>
      </w:r>
      <w:proofErr w:type="spellEnd"/>
      <w:r>
        <w:t xml:space="preserve"> </w:t>
      </w:r>
      <w:proofErr w:type="spellStart"/>
      <w:r>
        <w:t>and</w:t>
      </w:r>
      <w:proofErr w:type="spellEnd"/>
      <w:r>
        <w:t xml:space="preserve"> </w:t>
      </w:r>
      <w:proofErr w:type="spellStart"/>
      <w:r>
        <w:t>Demand</w:t>
      </w:r>
      <w:proofErr w:type="spellEnd"/>
      <w:r w:rsidR="00271A4F">
        <w:t xml:space="preserve"> </w:t>
      </w:r>
      <w:r w:rsidR="00271A4F" w:rsidRPr="00271A4F">
        <w:t>(«Ртуть в общемировом обороте: предложение, торговля и спрос»)</w:t>
      </w:r>
      <w:bookmarkStart w:id="5" w:name="_Ref25316612"/>
      <w:r w:rsidRPr="003C6542">
        <w:rPr>
          <w:rStyle w:val="FootnoteReference"/>
        </w:rPr>
        <w:footnoteReference w:id="8"/>
      </w:r>
      <w:bookmarkEnd w:id="5"/>
      <w:r>
        <w:t>;</w:t>
      </w:r>
      <w:bookmarkStart w:id="6" w:name="_Ref23323106"/>
      <w:bookmarkEnd w:id="6"/>
    </w:p>
    <w:p w14:paraId="58FECA0F" w14:textId="3B015F4C" w:rsidR="00AA5135" w:rsidRPr="00271A4F" w:rsidRDefault="00AA5135" w:rsidP="00C60791">
      <w:pPr>
        <w:pStyle w:val="Normalnumber"/>
        <w:numPr>
          <w:ilvl w:val="0"/>
          <w:numId w:val="0"/>
        </w:numPr>
        <w:tabs>
          <w:tab w:val="clear" w:pos="624"/>
        </w:tabs>
        <w:ind w:left="1247" w:firstLine="624"/>
      </w:pPr>
      <w:r w:rsidRPr="00AA0928">
        <w:rPr>
          <w:lang w:val="en-US"/>
        </w:rPr>
        <w:t>d</w:t>
      </w:r>
      <w:r w:rsidRPr="00271A4F">
        <w:t>)</w:t>
      </w:r>
      <w:r w:rsidRPr="00271A4F">
        <w:tab/>
      </w:r>
      <w:r w:rsidRPr="00324D47">
        <w:rPr>
          <w:highlight w:val="lightGray"/>
        </w:rPr>
        <w:t>доклад</w:t>
      </w:r>
      <w:r w:rsidRPr="00271A4F">
        <w:rPr>
          <w:highlight w:val="lightGray"/>
        </w:rPr>
        <w:t xml:space="preserve"> </w:t>
      </w:r>
      <w:r w:rsidRPr="00324D47">
        <w:rPr>
          <w:highlight w:val="lightGray"/>
        </w:rPr>
        <w:t>об</w:t>
      </w:r>
      <w:r w:rsidRPr="00271A4F">
        <w:rPr>
          <w:highlight w:val="lightGray"/>
        </w:rPr>
        <w:t xml:space="preserve"> </w:t>
      </w:r>
      <w:r w:rsidRPr="00324D47">
        <w:rPr>
          <w:highlight w:val="lightGray"/>
        </w:rPr>
        <w:t>отходах</w:t>
      </w:r>
      <w:r w:rsidRPr="00271A4F">
        <w:rPr>
          <w:highlight w:val="lightGray"/>
        </w:rPr>
        <w:t xml:space="preserve">, </w:t>
      </w:r>
      <w:r w:rsidRPr="00324D47">
        <w:rPr>
          <w:highlight w:val="lightGray"/>
        </w:rPr>
        <w:t>составляемый</w:t>
      </w:r>
      <w:r w:rsidRPr="00271A4F">
        <w:rPr>
          <w:highlight w:val="lightGray"/>
        </w:rPr>
        <w:t xml:space="preserve"> </w:t>
      </w:r>
      <w:r w:rsidRPr="00324D47">
        <w:rPr>
          <w:highlight w:val="lightGray"/>
        </w:rPr>
        <w:t>по</w:t>
      </w:r>
      <w:r w:rsidRPr="00271A4F">
        <w:rPr>
          <w:highlight w:val="lightGray"/>
        </w:rPr>
        <w:t xml:space="preserve"> </w:t>
      </w:r>
      <w:r w:rsidRPr="00324D47">
        <w:rPr>
          <w:highlight w:val="lightGray"/>
        </w:rPr>
        <w:t>образцу</w:t>
      </w:r>
      <w:r w:rsidRPr="00271A4F">
        <w:rPr>
          <w:highlight w:val="lightGray"/>
        </w:rPr>
        <w:t xml:space="preserve"> </w:t>
      </w:r>
      <w:r w:rsidRPr="00324D47">
        <w:rPr>
          <w:highlight w:val="lightGray"/>
        </w:rPr>
        <w:t>доклада</w:t>
      </w:r>
      <w:r w:rsidRPr="00271A4F">
        <w:rPr>
          <w:highlight w:val="lightGray"/>
        </w:rPr>
        <w:t xml:space="preserve"> 2018 </w:t>
      </w:r>
      <w:r w:rsidRPr="00324D47">
        <w:rPr>
          <w:highlight w:val="lightGray"/>
        </w:rPr>
        <w:t>года</w:t>
      </w:r>
      <w:r w:rsidRPr="00271A4F">
        <w:rPr>
          <w:highlight w:val="lightGray"/>
        </w:rPr>
        <w:t xml:space="preserve"> </w:t>
      </w:r>
      <w:r w:rsidRPr="00324D47">
        <w:rPr>
          <w:highlight w:val="lightGray"/>
          <w:lang w:val="en-US"/>
        </w:rPr>
        <w:t>Global</w:t>
      </w:r>
      <w:r w:rsidRPr="00271A4F">
        <w:rPr>
          <w:highlight w:val="lightGray"/>
        </w:rPr>
        <w:t xml:space="preserve"> </w:t>
      </w:r>
      <w:r w:rsidRPr="00324D47">
        <w:rPr>
          <w:highlight w:val="lightGray"/>
          <w:lang w:val="en-US"/>
        </w:rPr>
        <w:t>Mercury</w:t>
      </w:r>
      <w:r w:rsidRPr="00271A4F">
        <w:rPr>
          <w:highlight w:val="lightGray"/>
        </w:rPr>
        <w:t xml:space="preserve"> </w:t>
      </w:r>
      <w:r w:rsidRPr="00324D47">
        <w:rPr>
          <w:highlight w:val="lightGray"/>
          <w:lang w:val="en-US"/>
        </w:rPr>
        <w:t>Waste</w:t>
      </w:r>
      <w:r w:rsidRPr="00271A4F">
        <w:rPr>
          <w:highlight w:val="lightGray"/>
        </w:rPr>
        <w:t xml:space="preserve"> </w:t>
      </w:r>
      <w:r w:rsidRPr="00324D47">
        <w:rPr>
          <w:highlight w:val="lightGray"/>
          <w:lang w:val="en-US"/>
        </w:rPr>
        <w:t>Assessment</w:t>
      </w:r>
      <w:r w:rsidRPr="00271A4F">
        <w:rPr>
          <w:highlight w:val="lightGray"/>
        </w:rPr>
        <w:t xml:space="preserve">: </w:t>
      </w:r>
      <w:r w:rsidRPr="00324D47">
        <w:rPr>
          <w:highlight w:val="lightGray"/>
          <w:lang w:val="en-US"/>
        </w:rPr>
        <w:t>Review</w:t>
      </w:r>
      <w:r w:rsidRPr="00271A4F">
        <w:rPr>
          <w:highlight w:val="lightGray"/>
        </w:rPr>
        <w:t xml:space="preserve"> </w:t>
      </w:r>
      <w:r w:rsidRPr="00324D47">
        <w:rPr>
          <w:highlight w:val="lightGray"/>
          <w:lang w:val="en-US"/>
        </w:rPr>
        <w:t>of</w:t>
      </w:r>
      <w:r w:rsidRPr="00271A4F">
        <w:rPr>
          <w:highlight w:val="lightGray"/>
        </w:rPr>
        <w:t xml:space="preserve"> </w:t>
      </w:r>
      <w:r w:rsidRPr="00324D47">
        <w:rPr>
          <w:highlight w:val="lightGray"/>
          <w:lang w:val="en-US"/>
        </w:rPr>
        <w:t>Current</w:t>
      </w:r>
      <w:r w:rsidRPr="00271A4F">
        <w:rPr>
          <w:highlight w:val="lightGray"/>
        </w:rPr>
        <w:t xml:space="preserve"> </w:t>
      </w:r>
      <w:r w:rsidRPr="00324D47">
        <w:rPr>
          <w:highlight w:val="lightGray"/>
          <w:lang w:val="en-US"/>
        </w:rPr>
        <w:t>National</w:t>
      </w:r>
      <w:r w:rsidRPr="00271A4F">
        <w:rPr>
          <w:highlight w:val="lightGray"/>
        </w:rPr>
        <w:t xml:space="preserve"> </w:t>
      </w:r>
      <w:r w:rsidRPr="00324D47">
        <w:rPr>
          <w:highlight w:val="lightGray"/>
          <w:lang w:val="en-US"/>
        </w:rPr>
        <w:t>Measures</w:t>
      </w:r>
      <w:r w:rsidR="00271A4F" w:rsidRPr="00271A4F">
        <w:rPr>
          <w:highlight w:val="lightGray"/>
        </w:rPr>
        <w:t xml:space="preserve"> («Оценка общемирового объема ртутных отходов: обзор мер, принимаемых на национальном уровне»)</w:t>
      </w:r>
      <w:bookmarkStart w:id="7" w:name="_Ref25316620"/>
      <w:r w:rsidRPr="00324D47">
        <w:rPr>
          <w:rStyle w:val="FootnoteReference"/>
          <w:rFonts w:asciiTheme="majorBidi" w:hAnsiTheme="majorBidi"/>
          <w:szCs w:val="20"/>
          <w:highlight w:val="lightGray"/>
        </w:rPr>
        <w:footnoteReference w:id="9"/>
      </w:r>
      <w:bookmarkEnd w:id="7"/>
      <w:r w:rsidRPr="00271A4F">
        <w:rPr>
          <w:highlight w:val="lightGray"/>
          <w:vertAlign w:val="superscript"/>
        </w:rPr>
        <w:t>,</w:t>
      </w:r>
      <w:r w:rsidR="00440739" w:rsidRPr="00271A4F">
        <w:rPr>
          <w:highlight w:val="lightGray"/>
          <w:vertAlign w:val="superscript"/>
        </w:rPr>
        <w:t xml:space="preserve"> </w:t>
      </w:r>
      <w:r w:rsidRPr="00324D47">
        <w:rPr>
          <w:rStyle w:val="FootnoteReference"/>
          <w:highlight w:val="lightGray"/>
        </w:rPr>
        <w:footnoteReference w:id="10"/>
      </w:r>
      <w:r w:rsidRPr="00271A4F">
        <w:t>;</w:t>
      </w:r>
      <w:bookmarkStart w:id="9" w:name="_Ref23323134"/>
      <w:bookmarkEnd w:id="9"/>
    </w:p>
    <w:p w14:paraId="419A93CA" w14:textId="56593AA5" w:rsidR="00AA5135" w:rsidRPr="007F7C9F" w:rsidRDefault="00AA5135" w:rsidP="00C60791">
      <w:pPr>
        <w:pStyle w:val="Normalnumber"/>
        <w:numPr>
          <w:ilvl w:val="0"/>
          <w:numId w:val="0"/>
        </w:numPr>
        <w:tabs>
          <w:tab w:val="clear" w:pos="624"/>
        </w:tabs>
        <w:ind w:left="1247" w:firstLine="624"/>
      </w:pPr>
      <w:r w:rsidRPr="007F7C9F">
        <w:t>e)</w:t>
      </w:r>
      <w:r w:rsidRPr="007F7C9F">
        <w:tab/>
      </w:r>
      <w:r>
        <w:t xml:space="preserve">доклад о мониторинге, включающий информацию о глобальных уровнях содержания ртути в окружающей среде, </w:t>
      </w:r>
      <w:r w:rsidR="00110A13" w:rsidRPr="00110A13">
        <w:t>биотических средах</w:t>
      </w:r>
      <w:r w:rsidR="00110A13" w:rsidRPr="00110A13" w:rsidDel="00110A13">
        <w:t xml:space="preserve"> </w:t>
      </w:r>
      <w:r>
        <w:t>и организмах людей, относящихся к уязвимым группам населения, а также о тенденциях их изменения с течением времени.</w:t>
      </w:r>
    </w:p>
    <w:p w14:paraId="62248D43" w14:textId="3EB1BB34" w:rsidR="00AA5135" w:rsidRPr="00601DDE" w:rsidRDefault="00AA5135" w:rsidP="00C60791">
      <w:pPr>
        <w:pStyle w:val="Normalnumber"/>
        <w:numPr>
          <w:ilvl w:val="0"/>
          <w:numId w:val="0"/>
        </w:numPr>
        <w:tabs>
          <w:tab w:val="clear" w:pos="624"/>
        </w:tabs>
        <w:ind w:left="1247"/>
      </w:pPr>
      <w:r w:rsidRPr="00601DDE">
        <w:t>8.</w:t>
      </w:r>
      <w:r w:rsidRPr="00601DDE">
        <w:tab/>
      </w:r>
      <w:r>
        <w:t xml:space="preserve">При наличии стабильных и надежных инструментов и моделей для установления взаимосвязи может быть подготовлен шестой доклад </w:t>
      </w:r>
      <w:r w:rsidR="00B17D81" w:rsidRPr="00AA0928">
        <w:t>–</w:t>
      </w:r>
      <w:r>
        <w:t xml:space="preserve"> доклад о взаимосвязи, который комитет по оценке эффективности сможет изучить в ходе подготовки своих выводов для Конференции </w:t>
      </w:r>
      <w:r w:rsidR="00FD5945">
        <w:t>Сторон</w:t>
      </w:r>
      <w:r>
        <w:t>. В этой связи, возможно, потребуется создать подгруппу по моделированию.</w:t>
      </w:r>
    </w:p>
    <w:p w14:paraId="2F4C3E39" w14:textId="00D6950D" w:rsidR="00AA5135" w:rsidRPr="007F7C9F" w:rsidRDefault="00AA5135" w:rsidP="00C60791">
      <w:pPr>
        <w:pStyle w:val="Normalnumber"/>
        <w:numPr>
          <w:ilvl w:val="0"/>
          <w:numId w:val="0"/>
        </w:numPr>
        <w:tabs>
          <w:tab w:val="clear" w:pos="624"/>
        </w:tabs>
        <w:ind w:left="1247"/>
      </w:pPr>
      <w:r w:rsidRPr="007F7C9F">
        <w:t>9.</w:t>
      </w:r>
      <w:r w:rsidRPr="007F7C9F">
        <w:tab/>
      </w:r>
      <w:r>
        <w:t xml:space="preserve">Система оценки предусматривает получение информации и проведение анализа </w:t>
      </w:r>
      <w:r w:rsidR="00440739" w:rsidRPr="00AA0928">
        <w:t>–</w:t>
      </w:r>
      <w:r>
        <w:t xml:space="preserve"> процессов, которые начинаются с идентификации информации, ее компиляции и синтеза (уровни 1-3), </w:t>
      </w:r>
      <w:r w:rsidR="00271A4F">
        <w:t>за чем</w:t>
      </w:r>
      <w:r>
        <w:t>, при наличии стабильных и надежных моделей, следует установление взаимосвязи (уровень 4). Затем комитет по оценке эффективности обобщает информацию (уровень 5), с тем чтобы подготовить выводы для рассмотрения Конференцией Сторон (уровень 6).</w:t>
      </w:r>
    </w:p>
    <w:p w14:paraId="1AFBE65A" w14:textId="43679681" w:rsidR="00AA5135" w:rsidRPr="007F7C9F" w:rsidRDefault="00AA5135" w:rsidP="00C60791">
      <w:pPr>
        <w:pStyle w:val="Normalnumber"/>
        <w:numPr>
          <w:ilvl w:val="0"/>
          <w:numId w:val="0"/>
        </w:numPr>
        <w:tabs>
          <w:tab w:val="clear" w:pos="624"/>
        </w:tabs>
        <w:ind w:left="1247"/>
      </w:pPr>
      <w:r w:rsidRPr="007F7C9F">
        <w:lastRenderedPageBreak/>
        <w:t>10.</w:t>
      </w:r>
      <w:r w:rsidRPr="007F7C9F">
        <w:tab/>
      </w:r>
      <w:r>
        <w:t>В рамках системы оценки определяются функции различных подразделений в процессе оценки эффективности. Система оценки предусматривает также выполнение различных научно-технических функций: мониторинг и синтез (уровень 3), установление взаимосвязи (уровень 4) и обобщение (уровень 5). Что касается сводных докладов, то предусматривается, что определенную роль в системе оценки будет играть секретариат совместно с партнерами/в сотрудничестве с ними.</w:t>
      </w:r>
    </w:p>
    <w:p w14:paraId="4CC0D5C6" w14:textId="780599D1" w:rsidR="00AA5135" w:rsidRPr="007F7C9F" w:rsidRDefault="00AA5135" w:rsidP="00C60791">
      <w:pPr>
        <w:pStyle w:val="Normalnumber"/>
        <w:numPr>
          <w:ilvl w:val="0"/>
          <w:numId w:val="0"/>
        </w:numPr>
        <w:tabs>
          <w:tab w:val="clear" w:pos="624"/>
        </w:tabs>
        <w:ind w:left="1247"/>
      </w:pPr>
      <w:r w:rsidRPr="007F7C9F">
        <w:t>11.</w:t>
      </w:r>
      <w:r w:rsidRPr="007F7C9F">
        <w:tab/>
      </w:r>
      <w:r>
        <w:t xml:space="preserve">Комитет по оценке эффективности будет работать со всеми докладами, подготавливаемыми для изучения перечисленных выше предметных вопросов, и будет использовать комплексный подход при подготовке выводов об эффективности Конвенции, которые будут включены в его доклад Конференции Сторон. Конференция Сторон будет использовать выводы комитета по оценке эффективности в качестве основы для своих выводов и рекомендаций </w:t>
      </w:r>
      <w:r w:rsidR="00271A4F">
        <w:t xml:space="preserve">относительно </w:t>
      </w:r>
      <w:r>
        <w:t>эффективности Конвенции.</w:t>
      </w:r>
    </w:p>
    <w:p w14:paraId="1CD5E6EC" w14:textId="09EAE7A8" w:rsidR="00AA5135" w:rsidRPr="007F7C9F" w:rsidRDefault="00AA5135" w:rsidP="00C60791">
      <w:pPr>
        <w:pStyle w:val="Normalnumber"/>
        <w:numPr>
          <w:ilvl w:val="0"/>
          <w:numId w:val="0"/>
        </w:numPr>
        <w:tabs>
          <w:tab w:val="clear" w:pos="624"/>
        </w:tabs>
        <w:ind w:left="1247"/>
      </w:pPr>
      <w:r w:rsidRPr="007F7C9F">
        <w:t>12.</w:t>
      </w:r>
      <w:r w:rsidRPr="007F7C9F">
        <w:tab/>
      </w:r>
      <w:r>
        <w:t xml:space="preserve">Специальная техническая группа экспертов представляет настоящую систему оценки для рассмотрения и утверждения Конференцией Сторон на ее третьем </w:t>
      </w:r>
      <w:r w:rsidR="00780709">
        <w:t xml:space="preserve">совещании </w:t>
      </w:r>
      <w:r>
        <w:t>в соответствии с графиком проведения первого цикла оценки эффективности, согласно которому на своем четвертом совещании Конференция Сторон учредит комитет по оценке эффективности, а на своем пятом совещании рассмотрит выводы этого комитета.</w:t>
      </w:r>
    </w:p>
    <w:p w14:paraId="5508A4FB" w14:textId="77777777" w:rsidR="00AA5135" w:rsidRPr="00440739" w:rsidRDefault="00AA5135" w:rsidP="00440739">
      <w:pPr>
        <w:tabs>
          <w:tab w:val="clear" w:pos="1247"/>
          <w:tab w:val="clear" w:pos="1814"/>
          <w:tab w:val="clear" w:pos="2381"/>
          <w:tab w:val="clear" w:pos="2948"/>
          <w:tab w:val="clear" w:pos="3515"/>
        </w:tabs>
        <w:spacing w:after="120"/>
        <w:ind w:left="1247"/>
        <w:rPr>
          <w:b/>
          <w:bCs/>
          <w:sz w:val="24"/>
          <w:szCs w:val="24"/>
        </w:rPr>
      </w:pPr>
      <w:r w:rsidRPr="00440739">
        <w:rPr>
          <w:b/>
          <w:bCs/>
          <w:sz w:val="24"/>
          <w:szCs w:val="24"/>
        </w:rPr>
        <w:t>Механизмы глобального мониторинга (дополнение III)</w:t>
      </w:r>
    </w:p>
    <w:p w14:paraId="47AE0255" w14:textId="77777777" w:rsidR="00AA5135" w:rsidRPr="007F7C9F" w:rsidRDefault="00AA5135" w:rsidP="00924370">
      <w:pPr>
        <w:pStyle w:val="Normalnumber"/>
        <w:numPr>
          <w:ilvl w:val="0"/>
          <w:numId w:val="0"/>
        </w:numPr>
        <w:tabs>
          <w:tab w:val="clear" w:pos="624"/>
        </w:tabs>
        <w:ind w:left="1247"/>
      </w:pPr>
      <w:r w:rsidRPr="007F7C9F">
        <w:t>13.</w:t>
      </w:r>
      <w:r w:rsidRPr="007F7C9F">
        <w:tab/>
      </w:r>
      <w:r>
        <w:t>Путем анализа имеющихся данных мониторинга, выявления пробелов, изучения возможностей моделирования и определения механизмов глобального мониторинга в настоящем докладе рассматривается задача, поставленная в решениях МК-1/9 и МК-2/10 в отношении механизмов глобального мониторинга.</w:t>
      </w:r>
    </w:p>
    <w:p w14:paraId="799C45DA" w14:textId="13C5CDE8" w:rsidR="00AA5135" w:rsidRPr="007F7C9F" w:rsidRDefault="00AA5135" w:rsidP="00924370">
      <w:pPr>
        <w:pStyle w:val="Normalnumber"/>
        <w:numPr>
          <w:ilvl w:val="0"/>
          <w:numId w:val="0"/>
        </w:numPr>
        <w:tabs>
          <w:tab w:val="clear" w:pos="624"/>
        </w:tabs>
        <w:ind w:left="1247"/>
      </w:pPr>
      <w:r w:rsidRPr="007F7C9F">
        <w:t>14.</w:t>
      </w:r>
      <w:r w:rsidRPr="007F7C9F">
        <w:tab/>
      </w:r>
      <w:r>
        <w:t xml:space="preserve">При изучении информации и данных мониторинга специальная рабочая группа принимала во внимание влияние на среды, определенные в решении МК-2/10: воздух, воду, биоту и организм человека. Группа пришла к выводу, что данные об уровнях содержания ртути в воздухе, </w:t>
      </w:r>
      <w:r w:rsidR="00110A13" w:rsidRPr="00110A13">
        <w:t>биотических средах</w:t>
      </w:r>
      <w:r>
        <w:t xml:space="preserve"> и организме человека имеются или могут быть получены и будут сопоставимы на глобальной основе.</w:t>
      </w:r>
    </w:p>
    <w:p w14:paraId="7B30A744" w14:textId="196877AF" w:rsidR="00AA5135" w:rsidRPr="007F7C9F" w:rsidRDefault="00AA5135" w:rsidP="00271A4F">
      <w:pPr>
        <w:pStyle w:val="Normalnumber"/>
        <w:numPr>
          <w:ilvl w:val="0"/>
          <w:numId w:val="0"/>
        </w:numPr>
        <w:tabs>
          <w:tab w:val="clear" w:pos="624"/>
        </w:tabs>
        <w:ind w:left="1247"/>
      </w:pPr>
      <w:r w:rsidRPr="007F7C9F">
        <w:t>15.</w:t>
      </w:r>
      <w:r w:rsidRPr="007F7C9F">
        <w:tab/>
      </w:r>
      <w:r>
        <w:t xml:space="preserve">Данные об уровнях содержания ртути и ртутных соединений в воде отслеживаются в связи с проблемами качества воды в ряде стран. Эти данные могут быть полезны для отслеживания ртути, образующейся в результате проводимой в данной местности деятельности, </w:t>
      </w:r>
      <w:r w:rsidR="00271A4F">
        <w:t xml:space="preserve">сопряженной с </w:t>
      </w:r>
      <w:r>
        <w:t>высвобождение</w:t>
      </w:r>
      <w:r w:rsidR="00271A4F">
        <w:t>м</w:t>
      </w:r>
      <w:r>
        <w:t xml:space="preserve"> ртути; однако они не будут отражать общих тенденций на глобальном уровне. Уровни содержания ртути в океан</w:t>
      </w:r>
      <w:r w:rsidR="00780709">
        <w:t>ичес</w:t>
      </w:r>
      <w:r>
        <w:t>кой воде могут сравниваться на глобальной основе и могут собираться через существующие сети и специальные исследовательские программы, однако в настоящее время такая работа проводится в рамках научно-исследовательской деятельности, а не в рамках специальных долгосрочных программ мониторинга.</w:t>
      </w:r>
    </w:p>
    <w:p w14:paraId="148DCB46" w14:textId="57C42FC4" w:rsidR="00AA5135" w:rsidRPr="007F7C9F" w:rsidRDefault="00AA5135" w:rsidP="00924370">
      <w:pPr>
        <w:pStyle w:val="Normalnumber"/>
        <w:numPr>
          <w:ilvl w:val="0"/>
          <w:numId w:val="0"/>
        </w:numPr>
        <w:tabs>
          <w:tab w:val="clear" w:pos="624"/>
        </w:tabs>
        <w:ind w:left="1247"/>
      </w:pPr>
      <w:r w:rsidRPr="007F7C9F">
        <w:t>16.</w:t>
      </w:r>
      <w:r w:rsidRPr="007F7C9F">
        <w:tab/>
      </w:r>
      <w:r>
        <w:t xml:space="preserve">Для того чтобы получить более полное представление о наличии инструментов для использования при проведении оценки эффективности, был проведен обзор возможностей глобального моделирования; модели позволяют дополнять данные мониторинга прогнозируемыми данными, основанными на научном понимании механизмов, влияющих на поведение ртути. Модели для разных сред (воздуха, организма человека, воды, земли, биоты) различаются по своим возможностям и уровню проработанности. Модели состояния атмосферы были подвергнуты тщательному изучению и могут применяться для оценки пространственных градиентов концентрации и осаждения ртути в атмосфере, а также </w:t>
      </w:r>
      <w:r w:rsidRPr="00310892">
        <w:t>для оценки</w:t>
      </w:r>
      <w:r>
        <w:t xml:space="preserve"> </w:t>
      </w:r>
      <w:proofErr w:type="spellStart"/>
      <w:r>
        <w:t>временн</w:t>
      </w:r>
      <w:r w:rsidR="00AD451C" w:rsidRPr="00AD451C">
        <w:t>ы́</w:t>
      </w:r>
      <w:r>
        <w:t>х</w:t>
      </w:r>
      <w:proofErr w:type="spellEnd"/>
      <w:r>
        <w:t xml:space="preserve"> изменений. Модели для других сред, напротив, чаще применяются исключительно в исследовательских целях. Комплексные модели, пригодные для разных сред и основанные на опыте, полученном благодаря взаимодействию естественных, социальных и инженерных наук, активно прорабатываются научным и академическим сообществом и, как ожидается, к 2023 году будут доступны для анализа предметных вопросов.</w:t>
      </w:r>
    </w:p>
    <w:p w14:paraId="1EBC01BE" w14:textId="267907C3" w:rsidR="00AA5135" w:rsidRPr="007F7C9F" w:rsidRDefault="00AA5135" w:rsidP="00924370">
      <w:pPr>
        <w:pStyle w:val="Normalnumber"/>
        <w:numPr>
          <w:ilvl w:val="0"/>
          <w:numId w:val="0"/>
        </w:numPr>
        <w:tabs>
          <w:tab w:val="clear" w:pos="624"/>
        </w:tabs>
        <w:ind w:left="1247"/>
      </w:pPr>
      <w:r w:rsidRPr="007F7C9F">
        <w:t>17.</w:t>
      </w:r>
      <w:r w:rsidRPr="007F7C9F">
        <w:tab/>
      </w:r>
      <w:r>
        <w:t>При рассмотрении механизмов мониторинга были определены следующие ключевые элементы:</w:t>
      </w:r>
    </w:p>
    <w:p w14:paraId="2D9B8A2D" w14:textId="0C2B8C73" w:rsidR="00AA5135" w:rsidRPr="007F7C9F" w:rsidRDefault="00AA5135" w:rsidP="00924370">
      <w:pPr>
        <w:pStyle w:val="Normalnumber"/>
        <w:numPr>
          <w:ilvl w:val="0"/>
          <w:numId w:val="0"/>
        </w:numPr>
        <w:tabs>
          <w:tab w:val="clear" w:pos="624"/>
        </w:tabs>
        <w:ind w:left="1247" w:firstLine="624"/>
      </w:pPr>
      <w:r w:rsidRPr="007F7C9F">
        <w:t>a)</w:t>
      </w:r>
      <w:r w:rsidRPr="007F7C9F">
        <w:tab/>
      </w:r>
      <w:r>
        <w:t>данные по ртути и их доступность в рамках программ мониторинга здоровья человека и окружающей среды </w:t>
      </w:r>
      <w:r w:rsidR="00780709">
        <w:t>–</w:t>
      </w:r>
      <w:r>
        <w:t xml:space="preserve"> данные, которые обеспечивают глобальный охват и содержат по крайней мере основные репрезентативные сведения по всем регионам;</w:t>
      </w:r>
    </w:p>
    <w:p w14:paraId="4310A402" w14:textId="1C695F14" w:rsidR="00AA5135" w:rsidRPr="007F7C9F" w:rsidRDefault="00AA5135" w:rsidP="00924370">
      <w:pPr>
        <w:pStyle w:val="Normalnumber"/>
        <w:numPr>
          <w:ilvl w:val="0"/>
          <w:numId w:val="0"/>
        </w:numPr>
        <w:tabs>
          <w:tab w:val="clear" w:pos="624"/>
        </w:tabs>
        <w:ind w:left="1247" w:firstLine="624"/>
      </w:pPr>
      <w:r w:rsidRPr="007F7C9F">
        <w:t>b)</w:t>
      </w:r>
      <w:r w:rsidRPr="007F7C9F">
        <w:tab/>
      </w:r>
      <w:r>
        <w:t>инструменты, способствующие унификации данных, </w:t>
      </w:r>
      <w:r w:rsidR="00924370" w:rsidRPr="00AA0928">
        <w:t>–</w:t>
      </w:r>
      <w:r>
        <w:t xml:space="preserve"> такие как типовые регламенты и руководств</w:t>
      </w:r>
      <w:r w:rsidR="009F7C34">
        <w:t>о</w:t>
      </w:r>
      <w:r>
        <w:t xml:space="preserve"> по проведению мониторинга;</w:t>
      </w:r>
    </w:p>
    <w:p w14:paraId="7070BB63" w14:textId="7DB7CBA0" w:rsidR="00AA5135" w:rsidRPr="007F7C9F" w:rsidRDefault="00AA5135" w:rsidP="00924370">
      <w:pPr>
        <w:pStyle w:val="Normalnumber"/>
        <w:numPr>
          <w:ilvl w:val="0"/>
          <w:numId w:val="0"/>
        </w:numPr>
        <w:tabs>
          <w:tab w:val="clear" w:pos="624"/>
        </w:tabs>
        <w:ind w:left="1247" w:firstLine="624"/>
      </w:pPr>
      <w:r w:rsidRPr="007F7C9F">
        <w:lastRenderedPageBreak/>
        <w:t>c)</w:t>
      </w:r>
      <w:r w:rsidRPr="007F7C9F">
        <w:tab/>
      </w:r>
      <w:r>
        <w:t>опыт, необходимый для сбора и сведения воедино унифицированной информации, обеспечивающей сопоставимость и последовательность данных мониторинга в долгосрочной перспективе;</w:t>
      </w:r>
    </w:p>
    <w:p w14:paraId="2FD1BCED" w14:textId="0F0BADA4" w:rsidR="00AA5135" w:rsidRPr="00601DDE" w:rsidRDefault="00AA5135" w:rsidP="00924370">
      <w:pPr>
        <w:pStyle w:val="Normalnumber"/>
        <w:numPr>
          <w:ilvl w:val="0"/>
          <w:numId w:val="0"/>
        </w:numPr>
        <w:tabs>
          <w:tab w:val="clear" w:pos="624"/>
        </w:tabs>
        <w:ind w:left="1247" w:firstLine="624"/>
      </w:pPr>
      <w:r w:rsidRPr="0080620A">
        <w:t>d</w:t>
      </w:r>
      <w:r w:rsidRPr="00601DDE">
        <w:t>)</w:t>
      </w:r>
      <w:r w:rsidRPr="00601DDE">
        <w:tab/>
      </w:r>
      <w:r>
        <w:t>возможности моделирования;</w:t>
      </w:r>
    </w:p>
    <w:p w14:paraId="1C49A299" w14:textId="77777777" w:rsidR="00AA5135" w:rsidRPr="007F7C9F" w:rsidRDefault="00AA5135" w:rsidP="00924370">
      <w:pPr>
        <w:pStyle w:val="Normalnumber"/>
        <w:numPr>
          <w:ilvl w:val="0"/>
          <w:numId w:val="0"/>
        </w:numPr>
        <w:tabs>
          <w:tab w:val="clear" w:pos="624"/>
        </w:tabs>
        <w:ind w:left="1247" w:firstLine="624"/>
      </w:pPr>
      <w:r w:rsidRPr="007F7C9F">
        <w:t>e)</w:t>
      </w:r>
      <w:r w:rsidRPr="007F7C9F">
        <w:tab/>
      </w:r>
      <w:r>
        <w:t>периодический доклад о глобальном мониторинге уровней содержания ртути и тенденциях их изменения.</w:t>
      </w:r>
    </w:p>
    <w:p w14:paraId="4FEF7A88" w14:textId="77777777" w:rsidR="00AA5135" w:rsidRPr="007F7C9F" w:rsidRDefault="00AA5135" w:rsidP="00924370">
      <w:pPr>
        <w:pStyle w:val="Normalnumber"/>
        <w:numPr>
          <w:ilvl w:val="0"/>
          <w:numId w:val="0"/>
        </w:numPr>
        <w:tabs>
          <w:tab w:val="clear" w:pos="624"/>
        </w:tabs>
        <w:ind w:left="1247"/>
      </w:pPr>
      <w:r w:rsidRPr="007F7C9F">
        <w:t>18.</w:t>
      </w:r>
      <w:r w:rsidRPr="007F7C9F">
        <w:tab/>
      </w:r>
      <w:r>
        <w:t>Описанные выше задачи будут выполняться группой по мониторингу, которая будет готовить периодический доклад о глобальном мониторинге.</w:t>
      </w:r>
    </w:p>
    <w:p w14:paraId="5A24DD38" w14:textId="77B02404" w:rsidR="00A0287D" w:rsidRPr="00A10047" w:rsidRDefault="00A0287D" w:rsidP="00A10047">
      <w:pPr>
        <w:tabs>
          <w:tab w:val="clear" w:pos="1247"/>
          <w:tab w:val="clear" w:pos="1814"/>
          <w:tab w:val="clear" w:pos="2381"/>
          <w:tab w:val="clear" w:pos="2948"/>
          <w:tab w:val="clear" w:pos="3515"/>
        </w:tabs>
      </w:pPr>
      <w:r w:rsidRPr="00A10047">
        <w:br w:type="page"/>
      </w:r>
    </w:p>
    <w:p w14:paraId="04F6DCD4" w14:textId="4CCA663A" w:rsidR="00AA5135" w:rsidRPr="00A10047" w:rsidRDefault="00A10047" w:rsidP="00A10047">
      <w:pPr>
        <w:tabs>
          <w:tab w:val="clear" w:pos="1247"/>
          <w:tab w:val="clear" w:pos="1814"/>
          <w:tab w:val="clear" w:pos="2381"/>
          <w:tab w:val="clear" w:pos="2948"/>
          <w:tab w:val="clear" w:pos="3515"/>
          <w:tab w:val="right" w:pos="851"/>
        </w:tabs>
        <w:spacing w:after="120"/>
        <w:ind w:left="1247" w:right="284" w:hanging="1247"/>
        <w:rPr>
          <w:b/>
          <w:bCs/>
          <w:sz w:val="28"/>
          <w:szCs w:val="28"/>
        </w:rPr>
      </w:pPr>
      <w:r>
        <w:rPr>
          <w:b/>
          <w:bCs/>
          <w:sz w:val="28"/>
          <w:szCs w:val="28"/>
        </w:rPr>
        <w:lastRenderedPageBreak/>
        <w:tab/>
      </w:r>
      <w:r w:rsidR="00AA5135" w:rsidRPr="00A10047">
        <w:rPr>
          <w:b/>
          <w:bCs/>
          <w:sz w:val="28"/>
          <w:szCs w:val="28"/>
        </w:rPr>
        <w:t>I.</w:t>
      </w:r>
      <w:r w:rsidR="00AA5135" w:rsidRPr="00A10047">
        <w:rPr>
          <w:b/>
          <w:bCs/>
          <w:sz w:val="28"/>
          <w:szCs w:val="28"/>
        </w:rPr>
        <w:tab/>
        <w:t>Введение</w:t>
      </w:r>
    </w:p>
    <w:p w14:paraId="0D826A0A" w14:textId="4E113170" w:rsidR="00AA5135" w:rsidRPr="007F7C9F" w:rsidRDefault="00AA5135" w:rsidP="00A10047">
      <w:pPr>
        <w:pStyle w:val="Normalnumber"/>
        <w:numPr>
          <w:ilvl w:val="0"/>
          <w:numId w:val="0"/>
        </w:numPr>
        <w:tabs>
          <w:tab w:val="clear" w:pos="624"/>
        </w:tabs>
        <w:ind w:left="1247"/>
      </w:pPr>
      <w:r w:rsidRPr="007F7C9F">
        <w:t>19.</w:t>
      </w:r>
      <w:r w:rsidRPr="007F7C9F">
        <w:tab/>
      </w:r>
      <w:r>
        <w:t>На своих первом и втором совещаниях Конференция Сторон поручила специальной технической группе экспертов изучить вопрос о механизмах, которые необходимо создать для того, чтобы обеспечить Конференцию Сторон необходимой информацией для проведения оценки эффективности Минаматской конвенции о ртути</w:t>
      </w:r>
      <w:r w:rsidRPr="0080620A">
        <w:rPr>
          <w:rStyle w:val="FootnoteReference"/>
          <w:rFonts w:asciiTheme="majorBidi" w:hAnsiTheme="majorBidi"/>
          <w:szCs w:val="20"/>
        </w:rPr>
        <w:footnoteReference w:id="11"/>
      </w:r>
      <w:r>
        <w:t>. В статье 22 Минаматской конвенции о ртути содержится призыв проводить оценку эффективности Конвенции на регулярной основе, причем первая такая оценка должна быть проведена в течение шести лет после вступления Конвенции в силу</w:t>
      </w:r>
      <w:r w:rsidRPr="0080620A">
        <w:rPr>
          <w:rStyle w:val="FootnoteReference"/>
          <w:rFonts w:asciiTheme="majorBidi" w:hAnsiTheme="majorBidi"/>
          <w:szCs w:val="20"/>
        </w:rPr>
        <w:footnoteReference w:id="12"/>
      </w:r>
      <w:r>
        <w:t xml:space="preserve">. В указанной статье определено, что на своем первом совещании Конференция Сторон инициирует формирование механизмов для обеспечения себя сравнимыми данными мониторинга о наличии и перемещении ртути и ртутных соединений в окружающей среде, а также об изменении уровней </w:t>
      </w:r>
      <w:r w:rsidR="00056B67">
        <w:t xml:space="preserve">содержания </w:t>
      </w:r>
      <w:r>
        <w:t xml:space="preserve">ртути и ртутных соединений, наблюдаемых в </w:t>
      </w:r>
      <w:r w:rsidR="00110A13" w:rsidRPr="00110A13">
        <w:t>биотических средах</w:t>
      </w:r>
      <w:r w:rsidR="00110A13" w:rsidRPr="00110A13" w:rsidDel="00110A13">
        <w:t xml:space="preserve"> </w:t>
      </w:r>
      <w:r>
        <w:t>и в организмах людей, относящихся к уязвимым группам населения. В ней также указано, что оценка проводится на основании имеющейся научной, экологической, технической, финансовой и экономической информации, включая следующие материалы:</w:t>
      </w:r>
    </w:p>
    <w:p w14:paraId="5F2ABDE0" w14:textId="04A26CC2" w:rsidR="00AA5135" w:rsidRPr="007F7C9F" w:rsidRDefault="00AA5135" w:rsidP="00A10047">
      <w:pPr>
        <w:pStyle w:val="Normalnumber"/>
        <w:numPr>
          <w:ilvl w:val="0"/>
          <w:numId w:val="0"/>
        </w:numPr>
        <w:tabs>
          <w:tab w:val="clear" w:pos="624"/>
        </w:tabs>
        <w:ind w:left="1247" w:firstLine="624"/>
      </w:pPr>
      <w:r w:rsidRPr="007F7C9F">
        <w:t>a)</w:t>
      </w:r>
      <w:r w:rsidRPr="007F7C9F">
        <w:tab/>
      </w:r>
      <w:r>
        <w:t>отчетность и другую информацию о мониторинге, представляемую Конференции Сторон в соответствии с пунктом 2 статьи 22 Конвенции;</w:t>
      </w:r>
    </w:p>
    <w:p w14:paraId="05C315B7" w14:textId="6633047F" w:rsidR="00AA5135" w:rsidRPr="007F7C9F" w:rsidRDefault="00AA5135" w:rsidP="00A10047">
      <w:pPr>
        <w:pStyle w:val="Normalnumber"/>
        <w:numPr>
          <w:ilvl w:val="0"/>
          <w:numId w:val="0"/>
        </w:numPr>
        <w:tabs>
          <w:tab w:val="clear" w:pos="624"/>
        </w:tabs>
        <w:ind w:left="1247" w:firstLine="624"/>
      </w:pPr>
      <w:r w:rsidRPr="007F7C9F">
        <w:t>b)</w:t>
      </w:r>
      <w:r w:rsidRPr="007F7C9F">
        <w:tab/>
      </w:r>
      <w:r>
        <w:t>отчетность, представляемую в соответствии со статьей 21;</w:t>
      </w:r>
    </w:p>
    <w:p w14:paraId="2824D111" w14:textId="4E407AEA" w:rsidR="00AA5135" w:rsidRPr="007F7C9F" w:rsidRDefault="00AA5135" w:rsidP="00A10047">
      <w:pPr>
        <w:pStyle w:val="Normalnumber"/>
        <w:numPr>
          <w:ilvl w:val="0"/>
          <w:numId w:val="0"/>
        </w:numPr>
        <w:tabs>
          <w:tab w:val="clear" w:pos="624"/>
        </w:tabs>
        <w:ind w:left="1247" w:firstLine="624"/>
      </w:pPr>
      <w:r w:rsidRPr="007F7C9F">
        <w:t>c)</w:t>
      </w:r>
      <w:r w:rsidRPr="007F7C9F">
        <w:tab/>
      </w:r>
      <w:r>
        <w:t>информацию и рекомендации, представляемые в соответствии со статьей 15;</w:t>
      </w:r>
    </w:p>
    <w:p w14:paraId="27754CDF" w14:textId="77777777" w:rsidR="00AA5135" w:rsidRPr="007F7C9F" w:rsidRDefault="00AA5135" w:rsidP="00A10047">
      <w:pPr>
        <w:pStyle w:val="Normalnumber"/>
        <w:numPr>
          <w:ilvl w:val="0"/>
          <w:numId w:val="0"/>
        </w:numPr>
        <w:tabs>
          <w:tab w:val="clear" w:pos="624"/>
        </w:tabs>
        <w:ind w:left="1247" w:firstLine="624"/>
      </w:pPr>
      <w:r w:rsidRPr="007F7C9F">
        <w:t>d)</w:t>
      </w:r>
      <w:r w:rsidRPr="007F7C9F">
        <w:tab/>
      </w:r>
      <w:r>
        <w:t>отчетность и другую соответствующую информацию о работе механизмов финансовой помощи, передачи технологий и создания потенциала, созданных в соответствии с настоящей Конвенцией.</w:t>
      </w:r>
    </w:p>
    <w:p w14:paraId="5A12DCBA" w14:textId="3EB770BD" w:rsidR="00AA5135" w:rsidRPr="007F7C9F" w:rsidRDefault="00AA5135" w:rsidP="00A10047">
      <w:pPr>
        <w:pStyle w:val="Normalnumber"/>
        <w:numPr>
          <w:ilvl w:val="0"/>
          <w:numId w:val="0"/>
        </w:numPr>
        <w:tabs>
          <w:tab w:val="clear" w:pos="624"/>
        </w:tabs>
        <w:ind w:left="1247"/>
      </w:pPr>
      <w:r w:rsidRPr="007F7C9F">
        <w:t>20.</w:t>
      </w:r>
      <w:r w:rsidRPr="007F7C9F">
        <w:tab/>
      </w:r>
      <w:r>
        <w:t>На своем первом совещании в решении МК</w:t>
      </w:r>
      <w:r>
        <w:noBreakHyphen/>
        <w:t xml:space="preserve">1/9 Конференция Сторон признала настоятельную необходимость в создании системы оценки эффективности, основанной на стратегическом, экономически эффективном подходе, который обеспечивал бы наличие надлежащих и достаточных данных, и признала в качестве важных источников информации такие публикации, как доклады «Глобальная оценка ртути», </w:t>
      </w:r>
      <w:r w:rsidR="00271A4F">
        <w:t xml:space="preserve">составляемые </w:t>
      </w:r>
      <w:r>
        <w:t>Программой Организации Объединенных Наций по окружающей среде (ЮНЕП), и первоначальные оценки в рамках Минаматской конвенции, подготовку которых финансировал Глобальный экологический фонд. В том же решении Конференция Сторон определила план деятельности специальной рабочей группы экспертов по формированию механизмов обеспечения Конференции Сторон сравнимыми данными мониторинга и элементов системы оценки эффективности, а также положение о комитете по оценке эффективности.</w:t>
      </w:r>
    </w:p>
    <w:p w14:paraId="20AAC3FB" w14:textId="1AB849BD" w:rsidR="00AA5135" w:rsidRPr="007F7C9F" w:rsidRDefault="00AA5135" w:rsidP="00A10047">
      <w:pPr>
        <w:pStyle w:val="Normalnumber"/>
        <w:numPr>
          <w:ilvl w:val="0"/>
          <w:numId w:val="0"/>
        </w:numPr>
        <w:tabs>
          <w:tab w:val="clear" w:pos="624"/>
        </w:tabs>
        <w:ind w:left="1247"/>
      </w:pPr>
      <w:r w:rsidRPr="007F7C9F">
        <w:t>21.</w:t>
      </w:r>
      <w:r w:rsidRPr="007F7C9F">
        <w:tab/>
      </w:r>
      <w:r>
        <w:t>Специальная группа экспертов начала свою работу на первом совещании, состоявшемся в Оттаве, Канада (5-9 марта 2018 года). Итоги первого тура обсуждений, включая замечания, полученные в последовавший за ним период для направления замечаний, были представлены Конференции Сторон на ее втором совещании, состоявшемся в Женеве в ноябре 2018 года (см.</w:t>
      </w:r>
      <w:r w:rsidR="005F49C6">
        <w:rPr>
          <w:lang w:val="en-GB"/>
        </w:rPr>
        <w:t> </w:t>
      </w:r>
      <w:r>
        <w:t>документы UNEP/MC/COP.2/13 и UNEP/MC/COP.2/INF/8).</w:t>
      </w:r>
    </w:p>
    <w:p w14:paraId="522D4A0D" w14:textId="2AF18C43" w:rsidR="00AA5135" w:rsidRPr="007F7C9F" w:rsidRDefault="00AA5135" w:rsidP="005F49C6">
      <w:pPr>
        <w:pStyle w:val="Normalnumber"/>
        <w:keepNext/>
        <w:numPr>
          <w:ilvl w:val="0"/>
          <w:numId w:val="0"/>
        </w:numPr>
        <w:tabs>
          <w:tab w:val="clear" w:pos="624"/>
        </w:tabs>
        <w:ind w:left="1247"/>
      </w:pPr>
      <w:r w:rsidRPr="007F7C9F">
        <w:t>22.</w:t>
      </w:r>
      <w:r w:rsidRPr="007F7C9F">
        <w:tab/>
      </w:r>
      <w:r>
        <w:t>Конференция Сторон обсудила итоги работы специальной группы экспертов и в своем решении МК</w:t>
      </w:r>
      <w:r>
        <w:noBreakHyphen/>
        <w:t xml:space="preserve">2/10 продлила мандат группы и внесла изменения в ее состав и квалификационные требования к ее членам, с тем чтобы обеспечить наличие дополнительных экспертных знаний, необходимых для завершения ею своей работы для представления ее итогов третьему совещанию Конференции Сторон в ноябре 2019 года. Что касается системы </w:t>
      </w:r>
      <w:r>
        <w:lastRenderedPageBreak/>
        <w:t>оценки эффективности, то в своем решении МК-2/10 Конференция Сторон определила для специальной рабочей группы экспертов следующие задачи:</w:t>
      </w:r>
    </w:p>
    <w:p w14:paraId="2E7EB4B5" w14:textId="0F9EAD73" w:rsidR="00AA5135" w:rsidRPr="007F7C9F" w:rsidRDefault="00AA5135" w:rsidP="005F49C6">
      <w:pPr>
        <w:pStyle w:val="Normalnumber"/>
        <w:keepNext/>
        <w:numPr>
          <w:ilvl w:val="0"/>
          <w:numId w:val="0"/>
        </w:numPr>
        <w:tabs>
          <w:tab w:val="clear" w:pos="624"/>
        </w:tabs>
        <w:ind w:left="1170" w:firstLine="567"/>
      </w:pPr>
      <w:r w:rsidRPr="007F7C9F">
        <w:t>a)</w:t>
      </w:r>
      <w:r w:rsidRPr="007F7C9F">
        <w:tab/>
      </w:r>
      <w:r>
        <w:t>проводит, исходя из цели Минаматской конвенции, анализ и оценку подробных постатейных показателей процесса и результат</w:t>
      </w:r>
      <w:r w:rsidR="00CF7C11">
        <w:t>а</w:t>
      </w:r>
      <w:r>
        <w:t xml:space="preserve">, изложенных в документе UNEP/MC/COP.2/INF/8, и подробно рассматривает источники информации и </w:t>
      </w:r>
      <w:r w:rsidR="00271A4F">
        <w:t xml:space="preserve">исходные значения </w:t>
      </w:r>
      <w:r>
        <w:t>этих показателей с учетом вопросов экономической эффективности, практичности, осуществимости и устойчивости и на этой основе представляет подробные обоснования рекомендованных показателей;</w:t>
      </w:r>
    </w:p>
    <w:p w14:paraId="4DE75161" w14:textId="77777777" w:rsidR="00AA5135" w:rsidRPr="007F7C9F" w:rsidRDefault="00AA5135" w:rsidP="00A10047">
      <w:pPr>
        <w:pStyle w:val="Normalnumber"/>
        <w:numPr>
          <w:ilvl w:val="0"/>
          <w:numId w:val="0"/>
        </w:numPr>
        <w:tabs>
          <w:tab w:val="clear" w:pos="624"/>
        </w:tabs>
        <w:ind w:left="1170" w:firstLine="567"/>
      </w:pPr>
      <w:r w:rsidRPr="007F7C9F">
        <w:t>b)</w:t>
      </w:r>
      <w:r w:rsidRPr="007F7C9F">
        <w:tab/>
      </w:r>
      <w:r>
        <w:t>определяет, для каких рекомендованных показателей требуются данные мониторинга, в частности в отношении мер контроля и целей, изложенных в статьях Конвенции;</w:t>
      </w:r>
    </w:p>
    <w:p w14:paraId="3E29D6F9" w14:textId="5570D6B7" w:rsidR="00AA5135" w:rsidRPr="007F7C9F" w:rsidRDefault="00AA5135" w:rsidP="00A10047">
      <w:pPr>
        <w:pStyle w:val="Normalnumber"/>
        <w:numPr>
          <w:ilvl w:val="0"/>
          <w:numId w:val="0"/>
        </w:numPr>
        <w:tabs>
          <w:tab w:val="clear" w:pos="624"/>
        </w:tabs>
        <w:ind w:left="1170" w:firstLine="567"/>
      </w:pPr>
      <w:r w:rsidRPr="007F7C9F">
        <w:t>c)</w:t>
      </w:r>
      <w:r w:rsidRPr="007F7C9F">
        <w:tab/>
      </w:r>
      <w:r>
        <w:t xml:space="preserve">разрабатывает методологию интеграции рекомендованных показателей с целью получения комплексной картины общей эффективности Конвенции (например, путем применения </w:t>
      </w:r>
      <w:r w:rsidR="00271A4F">
        <w:t xml:space="preserve">сквозных </w:t>
      </w:r>
      <w:r>
        <w:t>показателей);</w:t>
      </w:r>
    </w:p>
    <w:p w14:paraId="6628D50A" w14:textId="77777777" w:rsidR="00AA5135" w:rsidRPr="007F7C9F" w:rsidRDefault="00AA5135" w:rsidP="00A10047">
      <w:pPr>
        <w:pStyle w:val="Normalnumber"/>
        <w:numPr>
          <w:ilvl w:val="0"/>
          <w:numId w:val="0"/>
        </w:numPr>
        <w:tabs>
          <w:tab w:val="clear" w:pos="624"/>
        </w:tabs>
        <w:ind w:left="1170" w:firstLine="567"/>
      </w:pPr>
      <w:r w:rsidRPr="007F7C9F">
        <w:t>d)</w:t>
      </w:r>
      <w:r w:rsidRPr="007F7C9F">
        <w:tab/>
      </w:r>
      <w:r>
        <w:t>вносит изменения в рекомендованный проект положения о комитете по оценке эффективности и, при необходимости, в график проведения первой оценки эффективности на основе результатов вышеописанного процесса.</w:t>
      </w:r>
    </w:p>
    <w:p w14:paraId="4781BE85" w14:textId="64E9FE53" w:rsidR="00AA5135" w:rsidRPr="007F7C9F" w:rsidRDefault="00AA5135" w:rsidP="00A10047">
      <w:pPr>
        <w:pStyle w:val="Normalnumber"/>
        <w:numPr>
          <w:ilvl w:val="0"/>
          <w:numId w:val="0"/>
        </w:numPr>
        <w:tabs>
          <w:tab w:val="clear" w:pos="624"/>
        </w:tabs>
        <w:ind w:left="1247"/>
      </w:pPr>
      <w:r w:rsidRPr="007F7C9F">
        <w:t>23.</w:t>
      </w:r>
      <w:r w:rsidRPr="007F7C9F">
        <w:tab/>
      </w:r>
      <w:r>
        <w:t>Специальная группа экспертов собиралась в Женеве в апреле 2019 года непосредственно для обсуждения доклада, который она должна представить третьему совещанию Конференции Сторон. Настоящий доклад является результатом работы, которая была начата на указанном совещании</w:t>
      </w:r>
      <w:r w:rsidRPr="0080620A">
        <w:rPr>
          <w:rStyle w:val="FootnoteReference"/>
          <w:rFonts w:asciiTheme="majorBidi" w:hAnsiTheme="majorBidi"/>
          <w:szCs w:val="20"/>
        </w:rPr>
        <w:footnoteReference w:id="13"/>
      </w:r>
      <w:r>
        <w:t xml:space="preserve"> и была завершена в последующие месяцы (включая период направления замечаний, продлившийся с 1 августа по 5 сентября 2019 года).</w:t>
      </w:r>
    </w:p>
    <w:p w14:paraId="5776BEA5" w14:textId="667CDEE0" w:rsidR="00AA5135" w:rsidRPr="007F7C9F" w:rsidRDefault="00AA5135" w:rsidP="00A10047">
      <w:pPr>
        <w:pStyle w:val="Normalnumber"/>
        <w:numPr>
          <w:ilvl w:val="0"/>
          <w:numId w:val="0"/>
        </w:numPr>
        <w:tabs>
          <w:tab w:val="clear" w:pos="624"/>
        </w:tabs>
        <w:ind w:left="1247"/>
      </w:pPr>
      <w:r w:rsidRPr="007F7C9F">
        <w:t>24.</w:t>
      </w:r>
      <w:r w:rsidRPr="007F7C9F">
        <w:tab/>
      </w:r>
      <w:r>
        <w:t>В свете указаний, содержащихся в решении МК</w:t>
      </w:r>
      <w:r>
        <w:noBreakHyphen/>
        <w:t xml:space="preserve">2/10, настоящий доклад включает резюме и четыре раздела: раздел I представляет собой введение и содержит общую информацию о мандате специальной технической группы экспертов и ее докладе о предлагаемых мерах, которые </w:t>
      </w:r>
      <w:r w:rsidR="00271A4F">
        <w:t xml:space="preserve">нужно </w:t>
      </w:r>
      <w:r>
        <w:t>принят</w:t>
      </w:r>
      <w:r w:rsidR="00271A4F">
        <w:t>ь</w:t>
      </w:r>
      <w:r>
        <w:t xml:space="preserve"> для предоставления Конференции Сторон информации, необходимой для проведения оценки эффективности Конвенции; в разделе II представлен обзор предлагаемой системы оценки эффективности, включая четыре предметных вопроса, которые были определены в качестве ключевых для оценки эффективности Конвенции; в разделе III подробно излагаются составные элементы системы, включая предлагаемую методологию и график проведения оценки эффективности; в разделе IV освещаются дальнейшие вопросы для рассмотрения Конференцией Сторон. Доклад содержит также четыре дополнения: дополнение I, представленное отдельно в документе UNEP/MC/COP.3/14/Add.1, содержит техническую информацию</w:t>
      </w:r>
      <w:r w:rsidR="00271A4F">
        <w:t xml:space="preserve"> в отношении</w:t>
      </w:r>
      <w:r>
        <w:t xml:space="preserve"> мониторинга; в дополнении II представлено положение о комитете по оценке эффективности; в дополнении III описываются предлагаемый механизм глобального мониторинга и проект положения о группе по мониторингу; в дополнении IV представлен перечень докладов, которые будут подготовлены для комитета.</w:t>
      </w:r>
    </w:p>
    <w:p w14:paraId="017CA0FA" w14:textId="77777777" w:rsidR="00AA5135" w:rsidRPr="007F7C9F" w:rsidRDefault="00AA5135" w:rsidP="00A10047">
      <w:pPr>
        <w:pStyle w:val="Normalnumber"/>
        <w:numPr>
          <w:ilvl w:val="0"/>
          <w:numId w:val="0"/>
        </w:numPr>
        <w:tabs>
          <w:tab w:val="clear" w:pos="624"/>
        </w:tabs>
        <w:ind w:left="1247"/>
      </w:pPr>
      <w:r w:rsidRPr="007F7C9F">
        <w:t>25.</w:t>
      </w:r>
      <w:r w:rsidRPr="007F7C9F">
        <w:tab/>
      </w:r>
      <w:r>
        <w:t>Специальная группа подготовила документ UNEP/MC/COP.3/INF/15 в качестве дополнения к настоящему докладу и добавлению к нему. В части I этого документа содержится более подробный обзор имеющихся данных мониторинга и справочная информация, касающаяся деятельности по мониторингу, с более подробным изложением научных и технических аспектов. В части II содержится предложение относительно директивного документа, который предстоит разработать в рамках механизма глобального мониторинга, который будет создан Конференцией Сторон.</w:t>
      </w:r>
    </w:p>
    <w:p w14:paraId="253852EA" w14:textId="7FCE99CE" w:rsidR="00AA5135" w:rsidRPr="007F7C9F" w:rsidRDefault="00AA5135" w:rsidP="00A10047">
      <w:pPr>
        <w:pStyle w:val="Normalnumber"/>
        <w:numPr>
          <w:ilvl w:val="0"/>
          <w:numId w:val="0"/>
        </w:numPr>
        <w:tabs>
          <w:tab w:val="clear" w:pos="624"/>
        </w:tabs>
        <w:ind w:left="1247"/>
      </w:pPr>
      <w:r w:rsidRPr="007F7C9F">
        <w:t>26.</w:t>
      </w:r>
      <w:r w:rsidRPr="007F7C9F">
        <w:tab/>
      </w:r>
      <w:r>
        <w:t>Специальная техническая группа экспертов предлагает Конференции Сторон утвердить на ее третьем совещании систему оценки и механизм мониторинга и предложенный график проведения первого цикла оценки эффективности и учредить на ее четвертом совещании комитет по оценке эффективности, так как это позволит Конференции Сторон рассмотреть выводы комитета на ее пятом совещании.</w:t>
      </w:r>
    </w:p>
    <w:p w14:paraId="7CD1A868" w14:textId="77777777" w:rsidR="00AA5135" w:rsidRPr="007F7C9F" w:rsidRDefault="00AA5135" w:rsidP="000D221F">
      <w:pPr>
        <w:tabs>
          <w:tab w:val="clear" w:pos="1247"/>
          <w:tab w:val="clear" w:pos="1814"/>
          <w:tab w:val="clear" w:pos="2381"/>
          <w:tab w:val="clear" w:pos="2948"/>
          <w:tab w:val="clear" w:pos="3515"/>
        </w:tabs>
        <w:rPr>
          <w:rFonts w:asciiTheme="majorBidi" w:eastAsia="MyriadPro-Regular" w:hAnsiTheme="majorBidi" w:cstheme="majorBidi"/>
        </w:rPr>
      </w:pPr>
      <w:r w:rsidRPr="007F7C9F">
        <w:rPr>
          <w:rFonts w:asciiTheme="majorBidi" w:eastAsia="MyriadPro-Regular" w:hAnsiTheme="majorBidi" w:cstheme="majorBidi"/>
        </w:rPr>
        <w:br w:type="page"/>
      </w:r>
    </w:p>
    <w:p w14:paraId="12369B7A" w14:textId="54BA5C9A" w:rsidR="00AA5135" w:rsidRPr="005F49C6" w:rsidRDefault="005F49C6" w:rsidP="005F49C6">
      <w:pPr>
        <w:tabs>
          <w:tab w:val="clear" w:pos="1247"/>
          <w:tab w:val="clear" w:pos="1814"/>
          <w:tab w:val="clear" w:pos="2381"/>
          <w:tab w:val="clear" w:pos="2948"/>
          <w:tab w:val="clear" w:pos="3515"/>
          <w:tab w:val="right" w:pos="851"/>
        </w:tabs>
        <w:spacing w:after="120"/>
        <w:ind w:left="1247" w:right="284" w:hanging="1247"/>
        <w:rPr>
          <w:b/>
          <w:bCs/>
          <w:sz w:val="28"/>
          <w:szCs w:val="28"/>
        </w:rPr>
      </w:pPr>
      <w:r>
        <w:rPr>
          <w:b/>
          <w:bCs/>
          <w:sz w:val="28"/>
          <w:szCs w:val="28"/>
        </w:rPr>
        <w:lastRenderedPageBreak/>
        <w:tab/>
      </w:r>
      <w:r w:rsidR="00AA5135" w:rsidRPr="005F49C6">
        <w:rPr>
          <w:b/>
          <w:bCs/>
          <w:sz w:val="28"/>
          <w:szCs w:val="28"/>
        </w:rPr>
        <w:t>II.</w:t>
      </w:r>
      <w:r w:rsidR="00AA5135" w:rsidRPr="005F49C6">
        <w:rPr>
          <w:b/>
          <w:bCs/>
          <w:sz w:val="28"/>
          <w:szCs w:val="28"/>
        </w:rPr>
        <w:tab/>
        <w:t>О</w:t>
      </w:r>
      <w:r w:rsidR="00271A4F">
        <w:rPr>
          <w:b/>
          <w:bCs/>
          <w:sz w:val="28"/>
          <w:szCs w:val="28"/>
        </w:rPr>
        <w:t>бщий о</w:t>
      </w:r>
      <w:r w:rsidR="00AA5135" w:rsidRPr="005F49C6">
        <w:rPr>
          <w:b/>
          <w:bCs/>
          <w:sz w:val="28"/>
          <w:szCs w:val="28"/>
        </w:rPr>
        <w:t>бзор системы оценки эффективности</w:t>
      </w:r>
    </w:p>
    <w:p w14:paraId="53F75296" w14:textId="33EF6401" w:rsidR="00AA5135" w:rsidRPr="007F7C9F" w:rsidRDefault="00AA5135" w:rsidP="005F49C6">
      <w:pPr>
        <w:pStyle w:val="Normalnumber"/>
        <w:numPr>
          <w:ilvl w:val="0"/>
          <w:numId w:val="0"/>
        </w:numPr>
        <w:tabs>
          <w:tab w:val="clear" w:pos="624"/>
        </w:tabs>
        <w:ind w:left="1247"/>
      </w:pPr>
      <w:r w:rsidRPr="007F7C9F">
        <w:t>27.</w:t>
      </w:r>
      <w:r w:rsidRPr="007F7C9F">
        <w:tab/>
      </w:r>
      <w:r>
        <w:t>Согласно статье 1 Минаматской конвенции, ее цель заключается в «защите здоровья человека и окружающей среды от антропогенных выбросов и высвобождений ртути и ртутных соединений». Цель оценки эффективности состоит в рассмотрении того, насколько Конвенция приблизилась к достижению поставленной цели. Это означает рассмотрение вопроса о том, приводят ли меры, принимаемые Сторонами в рамках осуществления Конвенции, к сокращению предложения, применения, выбросов и высвобождени</w:t>
      </w:r>
      <w:r w:rsidR="007E391E">
        <w:t>й</w:t>
      </w:r>
      <w:r>
        <w:t xml:space="preserve"> ртути, что, в свою очередь, приводит к уменьшению опасности для здоровья человека и окружающей среды (по сравнению с тем, что могло бы произойти, если бы Конвенция не осуществлялась).</w:t>
      </w:r>
    </w:p>
    <w:p w14:paraId="52283855" w14:textId="01DC510F" w:rsidR="00AA5135" w:rsidRPr="007F7C9F" w:rsidRDefault="00AA5135" w:rsidP="005F49C6">
      <w:pPr>
        <w:pStyle w:val="Normalnumber"/>
        <w:numPr>
          <w:ilvl w:val="0"/>
          <w:numId w:val="0"/>
        </w:numPr>
        <w:tabs>
          <w:tab w:val="clear" w:pos="624"/>
        </w:tabs>
        <w:ind w:left="1247"/>
      </w:pPr>
      <w:r w:rsidRPr="007F7C9F">
        <w:t>28.</w:t>
      </w:r>
      <w:r w:rsidRPr="007F7C9F">
        <w:tab/>
      </w:r>
      <w:r>
        <w:t>Система оценки эффективности Минаматской конвенции, предложенная специальной технической группой экспертов, основана на сопоставлении имеющихся свидетельств в контексте причинно-следственной связи между деятельностью по осуществлению Конвенции и соответствующими изменениями в сфере предложения, применения, выбросов и высвобождени</w:t>
      </w:r>
      <w:r w:rsidR="007E391E">
        <w:t>й</w:t>
      </w:r>
      <w:r>
        <w:t xml:space="preserve"> ртути и происходящими в результате этого изменениями в уровнях содержания ртути в глобальной окружающей среде, </w:t>
      </w:r>
      <w:r w:rsidR="00110A13" w:rsidRPr="00110A13">
        <w:t>биотических средах</w:t>
      </w:r>
      <w:r w:rsidR="00110A13" w:rsidRPr="00110A13" w:rsidDel="00110A13">
        <w:t xml:space="preserve"> </w:t>
      </w:r>
      <w:r>
        <w:t xml:space="preserve">и организмах людей, относящихся к уязвимым группам населения, и тенденций изменения этих уровней. Изменение уровней содержания ртути, обусловленное осуществлением Конвенции, будет оцениваться на основе сопоставления информации и предлагаемых показателей процесса, </w:t>
      </w:r>
      <w:r w:rsidR="00CF7C11" w:rsidRPr="00CF7C11">
        <w:t xml:space="preserve">показателей </w:t>
      </w:r>
      <w:r>
        <w:t>результат</w:t>
      </w:r>
      <w:r w:rsidR="00CF7C11">
        <w:t>а</w:t>
      </w:r>
      <w:r>
        <w:t xml:space="preserve"> и </w:t>
      </w:r>
      <w:r w:rsidR="00CF7C11">
        <w:t xml:space="preserve">контрольных </w:t>
      </w:r>
      <w:r w:rsidR="00CF7C11" w:rsidRPr="00CF7C11">
        <w:t xml:space="preserve">показателей </w:t>
      </w:r>
      <w:r>
        <w:t>с целью получения ответов на четыре предметных вопроса.</w:t>
      </w:r>
    </w:p>
    <w:p w14:paraId="6C05E7AC" w14:textId="77777777" w:rsidR="00AA5135" w:rsidRPr="005F49C6" w:rsidRDefault="00AA5135" w:rsidP="005F49C6">
      <w:pPr>
        <w:tabs>
          <w:tab w:val="clear" w:pos="1247"/>
          <w:tab w:val="clear" w:pos="1814"/>
          <w:tab w:val="clear" w:pos="2381"/>
          <w:tab w:val="clear" w:pos="2948"/>
          <w:tab w:val="clear" w:pos="3515"/>
          <w:tab w:val="right" w:pos="851"/>
        </w:tabs>
        <w:spacing w:after="120"/>
        <w:ind w:left="1247" w:right="284" w:hanging="1247"/>
        <w:rPr>
          <w:b/>
          <w:bCs/>
          <w:sz w:val="24"/>
          <w:szCs w:val="24"/>
        </w:rPr>
      </w:pPr>
      <w:r w:rsidRPr="005F49C6">
        <w:rPr>
          <w:b/>
          <w:bCs/>
          <w:sz w:val="24"/>
          <w:szCs w:val="24"/>
        </w:rPr>
        <w:tab/>
        <w:t>A.</w:t>
      </w:r>
      <w:r w:rsidRPr="005F49C6">
        <w:rPr>
          <w:b/>
          <w:bCs/>
          <w:sz w:val="24"/>
          <w:szCs w:val="24"/>
        </w:rPr>
        <w:tab/>
        <w:t>Предметные вопросы</w:t>
      </w:r>
    </w:p>
    <w:p w14:paraId="3995A6AC" w14:textId="215822BC" w:rsidR="00AA5135" w:rsidRPr="007F7C9F" w:rsidRDefault="00AA5135" w:rsidP="005F70D6">
      <w:pPr>
        <w:pStyle w:val="Normalnumber"/>
        <w:numPr>
          <w:ilvl w:val="0"/>
          <w:numId w:val="0"/>
        </w:numPr>
        <w:tabs>
          <w:tab w:val="clear" w:pos="624"/>
        </w:tabs>
        <w:ind w:left="1247"/>
        <w:rPr>
          <w:bCs/>
        </w:rPr>
      </w:pPr>
      <w:r w:rsidRPr="007F7C9F">
        <w:rPr>
          <w:bCs/>
        </w:rPr>
        <w:t>29.</w:t>
      </w:r>
      <w:r w:rsidRPr="007F7C9F">
        <w:rPr>
          <w:bCs/>
        </w:rPr>
        <w:tab/>
      </w:r>
      <w:r>
        <w:t>Для целей оценки эффективности были определены четыре предметных вопроса. Ожидается, что эти вопросы позволят получить ответы, необходимые Конференции Сторон при рассмотрении ею вопроса о том, являются ли меры, принимаемые в рамках Минаматской конвенции, достаточными для решения проблем антропогенных выбросов и высвобождени</w:t>
      </w:r>
      <w:r w:rsidR="007E391E">
        <w:t>й</w:t>
      </w:r>
      <w:r>
        <w:t xml:space="preserve"> ртути.</w:t>
      </w:r>
    </w:p>
    <w:p w14:paraId="3D27F19F" w14:textId="7C1E65FE" w:rsidR="00AA5135" w:rsidRPr="007F7C9F" w:rsidRDefault="00AA5135" w:rsidP="005F70D6">
      <w:pPr>
        <w:pStyle w:val="Normalnumber"/>
        <w:numPr>
          <w:ilvl w:val="0"/>
          <w:numId w:val="0"/>
        </w:numPr>
        <w:tabs>
          <w:tab w:val="clear" w:pos="624"/>
        </w:tabs>
        <w:ind w:left="1247"/>
        <w:rPr>
          <w:bCs/>
        </w:rPr>
      </w:pPr>
      <w:r w:rsidRPr="007F7C9F">
        <w:rPr>
          <w:bCs/>
        </w:rPr>
        <w:t>30.</w:t>
      </w:r>
      <w:r w:rsidRPr="007F7C9F">
        <w:rPr>
          <w:bCs/>
        </w:rPr>
        <w:tab/>
      </w:r>
      <w:r>
        <w:t>Первый предметный вопрос сформулирован следующим образом: «Приняли ли Стороны меры для осуществления Минаматской конвенции?» Для ответа на этот вопрос в системе имеется краткий набор показателей «процесса», которые позволяют охарактеризовать уровень осуществления Конвенции Сторонами. Эти показатели могут использоваться для оценки того, может ли изменение уровня выбросов и высвобождени</w:t>
      </w:r>
      <w:r w:rsidR="007E391E">
        <w:t>й</w:t>
      </w:r>
      <w:r>
        <w:t xml:space="preserve"> ртути действительно быть связано с принятием мер в рамках Конвенции. Они также могут использоваться для выявления общих проблем с осуществлением, которые могут поставить эффективность Конвенции под угрозу. Показатели процесса основаны главным образом на отчетности, предусмотренной Конвенцией, и на другой имеющейся научной, экологической, технической, финансовой и экономической информации, представляемой в соответствии с пунктом 3 статьи 22.</w:t>
      </w:r>
      <w:bookmarkStart w:id="10" w:name="_Hlk7429757"/>
    </w:p>
    <w:bookmarkEnd w:id="10"/>
    <w:p w14:paraId="406D3222" w14:textId="622D3823" w:rsidR="00AA5135" w:rsidRPr="007F7C9F" w:rsidRDefault="00AA5135" w:rsidP="005F70D6">
      <w:pPr>
        <w:pStyle w:val="Normalnumber"/>
        <w:numPr>
          <w:ilvl w:val="0"/>
          <w:numId w:val="0"/>
        </w:numPr>
        <w:tabs>
          <w:tab w:val="clear" w:pos="624"/>
        </w:tabs>
        <w:ind w:left="1247"/>
      </w:pPr>
      <w:r w:rsidRPr="007F7C9F">
        <w:t>31.</w:t>
      </w:r>
      <w:r w:rsidRPr="007F7C9F">
        <w:tab/>
      </w:r>
      <w:r>
        <w:t>Второй предметный вопрос сформулирован так: «Привело ли принятие этих мер к изменениям в сфере предложения ртути, ее применения, выбросов и высвобождени</w:t>
      </w:r>
      <w:r w:rsidR="007E391E">
        <w:t>й</w:t>
      </w:r>
      <w:r>
        <w:t xml:space="preserve"> в окружающую среду?» Для ответа на этот вопрос в системе имеется набор показателей «результат</w:t>
      </w:r>
      <w:r w:rsidR="00271A4F">
        <w:t>а</w:t>
      </w:r>
      <w:r>
        <w:t>», которые отражают расчетные изменения, информацию о которых Стороны представляют согласно Конвенции и которые касаются предложения, спроса, выбросов и высвобождени</w:t>
      </w:r>
      <w:r w:rsidR="007E391E">
        <w:t>й</w:t>
      </w:r>
      <w:r>
        <w:t xml:space="preserve"> ртути в результате принятия предусмотренных Конвенцией мер. Предлагается дополнить эти данные с учетом сведений, полученных по итогам всеобъемлющих оценок глобального предложения, спроса, выбросов и высвобождени</w:t>
      </w:r>
      <w:r w:rsidR="007E391E">
        <w:t>й</w:t>
      </w:r>
      <w:r>
        <w:t xml:space="preserve"> ртути.</w:t>
      </w:r>
      <w:bookmarkStart w:id="11" w:name="_Hlk7431114"/>
    </w:p>
    <w:p w14:paraId="3829263B" w14:textId="349AA8F5" w:rsidR="00AA5135" w:rsidRPr="00601DDE" w:rsidRDefault="00AA5135" w:rsidP="005F70D6">
      <w:pPr>
        <w:pStyle w:val="Normalnumber"/>
        <w:numPr>
          <w:ilvl w:val="0"/>
          <w:numId w:val="0"/>
        </w:numPr>
        <w:tabs>
          <w:tab w:val="clear" w:pos="624"/>
        </w:tabs>
        <w:ind w:left="1247"/>
      </w:pPr>
      <w:r w:rsidRPr="00601DDE">
        <w:t>32.</w:t>
      </w:r>
      <w:r w:rsidRPr="00601DDE">
        <w:tab/>
      </w:r>
      <w:r>
        <w:t xml:space="preserve">Третий предметный вопрос звучит так: «Привели ли эти изменения к такому изменению уровней содержания ртути в окружающей среде, </w:t>
      </w:r>
      <w:r w:rsidR="00110A13" w:rsidRPr="00110A13">
        <w:t>биотических средах</w:t>
      </w:r>
      <w:r w:rsidR="00110A13" w:rsidRPr="00110A13" w:rsidDel="00110A13">
        <w:t xml:space="preserve"> </w:t>
      </w:r>
      <w:r>
        <w:t xml:space="preserve">и организмах людей, относящихся к уязвимым группам населения, которое может быть обусловлено осуществлением Минаматской конвенции?» Статья 22 Конвенции предусматривает, что для оценки эффективности следует использовать данные мониторинга о наличии и перемещении ртути и ртутных соединений в окружающей среде, а также об изменении уровней </w:t>
      </w:r>
      <w:r w:rsidR="00056B67">
        <w:t xml:space="preserve">содержании </w:t>
      </w:r>
      <w:r>
        <w:t xml:space="preserve">ртути и ртутных соединений, наблюдаемых в </w:t>
      </w:r>
      <w:r w:rsidR="00110A13" w:rsidRPr="00110A13">
        <w:t>биотических средах</w:t>
      </w:r>
      <w:r w:rsidR="00110A13" w:rsidRPr="00110A13" w:rsidDel="00110A13">
        <w:t xml:space="preserve"> </w:t>
      </w:r>
      <w:r>
        <w:t xml:space="preserve">и организмах людей, относящихся к уязвимым группам населения. Определить взаимосвязь изменения уровней содержания ртути в организме человека и окружающей среде с мерами, предусмотренными Конвенцией, сложно, но возможно. Обусловленные деятельностью человека выбросы в прошлом и </w:t>
      </w:r>
      <w:r w:rsidR="00271A4F">
        <w:t xml:space="preserve">производимые в настоящее время </w:t>
      </w:r>
      <w:r>
        <w:t xml:space="preserve">выбросы сочетаются с выбросами из природных источников и другими подверженными колебаниям (например, в результате изменения климата) факторами, влияющими на круговорот ртути, </w:t>
      </w:r>
      <w:r w:rsidR="005F70D6" w:rsidRPr="00AA0928">
        <w:t>–</w:t>
      </w:r>
      <w:r>
        <w:t xml:space="preserve"> такими факторами, как характеристики атмосферы и экосистемы. Система оценки определяет, каким образом </w:t>
      </w:r>
      <w:r>
        <w:lastRenderedPageBreak/>
        <w:t xml:space="preserve">глобальные измерения уровней </w:t>
      </w:r>
      <w:r w:rsidR="00BD60B5">
        <w:t xml:space="preserve">содержания </w:t>
      </w:r>
      <w:r>
        <w:t>ртути могут использоваться в оценке того, насколько деятельность по осуществлению Конвенции успешна.</w:t>
      </w:r>
    </w:p>
    <w:p w14:paraId="1DAC8425" w14:textId="16645D13" w:rsidR="00AA5135" w:rsidRPr="007F7C9F" w:rsidRDefault="00AA5135" w:rsidP="005F70D6">
      <w:pPr>
        <w:pStyle w:val="Normalnumber"/>
        <w:numPr>
          <w:ilvl w:val="0"/>
          <w:numId w:val="0"/>
        </w:numPr>
        <w:tabs>
          <w:tab w:val="clear" w:pos="624"/>
        </w:tabs>
        <w:ind w:left="1247"/>
      </w:pPr>
      <w:r w:rsidRPr="007F7C9F">
        <w:t>33.</w:t>
      </w:r>
      <w:r w:rsidRPr="007F7C9F">
        <w:tab/>
      </w:r>
      <w:r>
        <w:t>Комплексная система глобальных измерений уровн</w:t>
      </w:r>
      <w:r w:rsidR="003C73A5">
        <w:t>ей</w:t>
      </w:r>
      <w:r>
        <w:t xml:space="preserve"> </w:t>
      </w:r>
      <w:r w:rsidR="00056B67">
        <w:t xml:space="preserve">содержания </w:t>
      </w:r>
      <w:r>
        <w:t xml:space="preserve">ртути позволяет получать сведения об отслеживаемых данных о содержании ртути в окружающей среде, </w:t>
      </w:r>
      <w:r w:rsidR="00110A13" w:rsidRPr="00110A13">
        <w:t>биотических средах</w:t>
      </w:r>
      <w:r>
        <w:t xml:space="preserve"> и организмах людей, относящихся к уязвимым группам населения. Научная база, необходимая для установления прямой связи между отслеживаемыми уровнями</w:t>
      </w:r>
      <w:r w:rsidR="00BD60B5">
        <w:t xml:space="preserve"> содержания</w:t>
      </w:r>
      <w:r>
        <w:t xml:space="preserve"> ртути и источниками, еще находится в стадии разработки. Поэтому для оценки того, как изменение объема выбросов и высвобождени</w:t>
      </w:r>
      <w:r w:rsidR="007E391E">
        <w:t>й</w:t>
      </w:r>
      <w:r>
        <w:t xml:space="preserve"> из источников, охватываемых Конвенцией, влия</w:t>
      </w:r>
      <w:r w:rsidR="00BD60B5">
        <w:t>е</w:t>
      </w:r>
      <w:r>
        <w:t xml:space="preserve">т на изменение уровней, отслеживаемых в этих рецепторах, необходимы комплексные модели. Продолжающаяся разработка и верификация таких моделей </w:t>
      </w:r>
      <w:r w:rsidR="005F70D6" w:rsidRPr="00AA0928">
        <w:t>–</w:t>
      </w:r>
      <w:r>
        <w:t xml:space="preserve"> требующих как наличия данных мониторинга, так и научных знаний об экологических процессах </w:t>
      </w:r>
      <w:r w:rsidR="005F70D6" w:rsidRPr="00AA0928">
        <w:t>–</w:t>
      </w:r>
      <w:r>
        <w:t xml:space="preserve"> будет способствовать увязке изменений уровней </w:t>
      </w:r>
      <w:r w:rsidR="00BD60B5">
        <w:t xml:space="preserve">содержания </w:t>
      </w:r>
      <w:r>
        <w:t>ртути в окружающей среде с изменениями объема выбросов и высвобождени</w:t>
      </w:r>
      <w:r w:rsidR="007E391E">
        <w:t>й</w:t>
      </w:r>
      <w:r>
        <w:t xml:space="preserve"> ртути.</w:t>
      </w:r>
    </w:p>
    <w:bookmarkEnd w:id="11"/>
    <w:p w14:paraId="7E5649B1" w14:textId="353BAE4C" w:rsidR="00AA5135" w:rsidRPr="007F7C9F" w:rsidRDefault="00AA5135" w:rsidP="005F70D6">
      <w:pPr>
        <w:pStyle w:val="Normalnumber"/>
        <w:numPr>
          <w:ilvl w:val="0"/>
          <w:numId w:val="0"/>
        </w:numPr>
        <w:tabs>
          <w:tab w:val="clear" w:pos="624"/>
        </w:tabs>
        <w:ind w:left="1247"/>
      </w:pPr>
      <w:r w:rsidRPr="007F7C9F">
        <w:t>34.</w:t>
      </w:r>
      <w:r w:rsidRPr="007F7C9F">
        <w:tab/>
      </w:r>
      <w:r>
        <w:t xml:space="preserve">Четвертый предметный вопрос звучит следующим образом: «В какой степени принимаемые в рамках Минаматской конвенции меры способствуют достижению цели по охране здоровья человека и окружающей среды от ртути?» Ответы на третий предметный вопрос позволят установить, в какой мере Конвенция влияет на уровни содержания ртути в окружающей среде, </w:t>
      </w:r>
      <w:r w:rsidR="00110A13" w:rsidRPr="00110A13">
        <w:t>биотических средах</w:t>
      </w:r>
      <w:r>
        <w:t xml:space="preserve"> и организмах людей, относящихся к уязвимым группам населения, и на тенденции их изменения. Четвертый предметный вопрос позволяет изучить, в какой степени принимаемые в рамках Минаматской конвенции меры способствуют достижению цели по охране здоровья человека и окружающей среды от ртути. Используется ли весь потенциал Конвенции для сокращения предложения, применения, выбросов и высвобождени</w:t>
      </w:r>
      <w:r w:rsidR="007E391E">
        <w:t>й</w:t>
      </w:r>
      <w:r>
        <w:t xml:space="preserve"> ртути? Если нет, то почему? Позволит ли реализация всего потенциала предотвратить </w:t>
      </w:r>
      <w:proofErr w:type="spellStart"/>
      <w:r>
        <w:t>бόльшую</w:t>
      </w:r>
      <w:proofErr w:type="spellEnd"/>
      <w:r>
        <w:t xml:space="preserve"> часть антропогенных выбросов и высвобождени</w:t>
      </w:r>
      <w:r w:rsidR="007E391E">
        <w:t>й</w:t>
      </w:r>
      <w:r>
        <w:t xml:space="preserve"> ртути или только малую их долю? Кроме того, существуют ли меры по управлению остаточным риском при решении проблемы подверженности людей воздействию ртути?</w:t>
      </w:r>
    </w:p>
    <w:p w14:paraId="4F560BBA" w14:textId="77777777" w:rsidR="00AA5135" w:rsidRPr="005F49C6" w:rsidRDefault="00AA5135" w:rsidP="005F49C6">
      <w:pPr>
        <w:tabs>
          <w:tab w:val="clear" w:pos="1247"/>
          <w:tab w:val="clear" w:pos="1814"/>
          <w:tab w:val="clear" w:pos="2381"/>
          <w:tab w:val="clear" w:pos="2948"/>
          <w:tab w:val="clear" w:pos="3515"/>
          <w:tab w:val="right" w:pos="851"/>
        </w:tabs>
        <w:spacing w:after="120"/>
        <w:ind w:left="1247" w:right="284" w:hanging="1247"/>
        <w:rPr>
          <w:b/>
          <w:bCs/>
          <w:sz w:val="24"/>
          <w:szCs w:val="24"/>
        </w:rPr>
      </w:pPr>
      <w:r w:rsidRPr="005F49C6">
        <w:rPr>
          <w:b/>
          <w:bCs/>
          <w:sz w:val="24"/>
          <w:szCs w:val="24"/>
        </w:rPr>
        <w:tab/>
        <w:t>B.</w:t>
      </w:r>
      <w:r w:rsidRPr="005F49C6">
        <w:rPr>
          <w:b/>
          <w:bCs/>
          <w:sz w:val="24"/>
          <w:szCs w:val="24"/>
        </w:rPr>
        <w:tab/>
        <w:t>Подготовленная под руководством экспертов сводная информация для рассмотрения комитетом по оценке эффективности</w:t>
      </w:r>
    </w:p>
    <w:p w14:paraId="330CC54C" w14:textId="4D9A6F1A" w:rsidR="00AA5135" w:rsidRPr="007F7C9F" w:rsidRDefault="00AA5135" w:rsidP="005F70D6">
      <w:pPr>
        <w:pStyle w:val="Normalnumber"/>
        <w:numPr>
          <w:ilvl w:val="0"/>
          <w:numId w:val="0"/>
        </w:numPr>
        <w:tabs>
          <w:tab w:val="clear" w:pos="624"/>
        </w:tabs>
        <w:ind w:left="1247"/>
      </w:pPr>
      <w:r w:rsidRPr="007F7C9F">
        <w:t>35.</w:t>
      </w:r>
      <w:r w:rsidRPr="007F7C9F">
        <w:tab/>
      </w:r>
      <w:r>
        <w:t xml:space="preserve">Предлагаемая система оценки предусматривает синтез информации и знаний в сводном докладе, в котором будут представлены научно-технические аспекты, касающиеся сформулированных выше первых трех предметных вопросов, и который будет представлен </w:t>
      </w:r>
      <w:r w:rsidR="00BD60B5">
        <w:t xml:space="preserve">на </w:t>
      </w:r>
      <w:r>
        <w:t>рассмотрени</w:t>
      </w:r>
      <w:r w:rsidR="00BD60B5">
        <w:t>е</w:t>
      </w:r>
      <w:r>
        <w:t xml:space="preserve"> комитет</w:t>
      </w:r>
      <w:r w:rsidR="00BD60B5">
        <w:t>у</w:t>
      </w:r>
      <w:r>
        <w:t xml:space="preserve"> по оценке эффективности. После того, как модели и инструменты, позволяющие устанавливать взаимосвязь, станут доступными, будет подготовлен также доклад о взаимосвязи, в котором будут представлены научно-технические аспекты, касающиеся всех четырех предметных вопросов. В докладе о взаимосвязи будет интерпретироваться связь между программной деятельностью, сокращением объема выбросов и происходящими в результате этого изменениями уровня </w:t>
      </w:r>
      <w:r w:rsidR="006A3BB0">
        <w:t xml:space="preserve">содержания </w:t>
      </w:r>
      <w:r>
        <w:t>ртути; при этом будут использоваться имеющиеся источники данных, методы моделирования, аналитические инструменты, созданные на основе данных естественных и социальных наук, и други</w:t>
      </w:r>
      <w:r w:rsidR="009063FB">
        <w:t>е</w:t>
      </w:r>
      <w:r>
        <w:t xml:space="preserve"> релевантные сведения.</w:t>
      </w:r>
    </w:p>
    <w:p w14:paraId="0BF9CF93" w14:textId="753C5CC0" w:rsidR="00AA5135" w:rsidRPr="007F7C9F" w:rsidRDefault="00AA5135" w:rsidP="005F70D6">
      <w:pPr>
        <w:pStyle w:val="Normalnumber"/>
        <w:numPr>
          <w:ilvl w:val="0"/>
          <w:numId w:val="0"/>
        </w:numPr>
        <w:tabs>
          <w:tab w:val="clear" w:pos="624"/>
        </w:tabs>
        <w:ind w:left="1247"/>
      </w:pPr>
      <w:r w:rsidRPr="007F7C9F">
        <w:t>36.</w:t>
      </w:r>
      <w:r w:rsidRPr="007F7C9F">
        <w:tab/>
      </w:r>
      <w:r>
        <w:t>Наукой еще не разработаны надежные комплексные модели, которые позволяли бы прогнозировать долгосрочные изменения уровней</w:t>
      </w:r>
      <w:r w:rsidR="00BD60B5">
        <w:t xml:space="preserve"> содержания</w:t>
      </w:r>
      <w:r>
        <w:t xml:space="preserve"> ртути в результате сокращения выбросов и которые в полной мере учитывали бы сложности, связанные с содержанием ртути в окружающей среде. Поскольку подходящие и подтвержденные мультимедийные модели пока недоступны, существует вероятность того, что в ходе проведения первой оценки эффективности доклад о взаимосвязи подготовлен не будет, но он будет </w:t>
      </w:r>
      <w:r w:rsidR="00BD60B5">
        <w:t xml:space="preserve">составляться в ходе проведения </w:t>
      </w:r>
      <w:r>
        <w:t xml:space="preserve">последующих оценок. В этой связи следует отметить, что для первых оценок эффективности Минаматской конвенции может быть характерна </w:t>
      </w:r>
      <w:proofErr w:type="spellStart"/>
      <w:r>
        <w:t>бόльшая</w:t>
      </w:r>
      <w:proofErr w:type="spellEnd"/>
      <w:r>
        <w:t xml:space="preserve"> неопределенность, нежели для оценок, которые будут проводиться после совершенствования таких моделей прогнозирования.</w:t>
      </w:r>
    </w:p>
    <w:p w14:paraId="099D0183" w14:textId="38A51BF3" w:rsidR="00AA5135" w:rsidRDefault="00AA5135" w:rsidP="005F70D6">
      <w:pPr>
        <w:pStyle w:val="Normalnumber"/>
        <w:numPr>
          <w:ilvl w:val="0"/>
          <w:numId w:val="0"/>
        </w:numPr>
        <w:tabs>
          <w:tab w:val="clear" w:pos="624"/>
        </w:tabs>
        <w:ind w:left="1247"/>
      </w:pPr>
      <w:r w:rsidRPr="007F7C9F">
        <w:t>37.</w:t>
      </w:r>
      <w:r w:rsidRPr="007F7C9F">
        <w:tab/>
      </w:r>
      <w:r>
        <w:t>Комитет по оценке эффективности будет использовать сводные доклады (и, при его наличии, доклад о взаимосвязи) для подготовки ответов на четыре предметных вопроса и будет использовать комплексный подход при подготовке выводов об эффективности Конвенции, которые будут представлены Конференции Сторон.</w:t>
      </w:r>
    </w:p>
    <w:p w14:paraId="674FC086" w14:textId="312E1B82" w:rsidR="00AA5135" w:rsidRDefault="00AA5135" w:rsidP="005F70D6">
      <w:pPr>
        <w:pStyle w:val="Normalnumber"/>
        <w:numPr>
          <w:ilvl w:val="0"/>
          <w:numId w:val="0"/>
        </w:numPr>
        <w:tabs>
          <w:tab w:val="clear" w:pos="624"/>
        </w:tabs>
        <w:ind w:left="1247"/>
      </w:pPr>
      <w:r>
        <w:t>38.</w:t>
      </w:r>
      <w:r>
        <w:tab/>
      </w:r>
      <w:r w:rsidRPr="007F7C9F">
        <w:t xml:space="preserve">В таблице 1 приводится общая информация о системе оценки эффективности, включая четыре вышеупомянутых предметных вопроса, предлагаемые для оценки показатели, необходимые доклады и доклад о взаимосвязи, который будет подготовлен для рассмотрения комитетом по оценке эффективности, </w:t>
      </w:r>
      <w:r>
        <w:t xml:space="preserve">а также </w:t>
      </w:r>
      <w:r w:rsidRPr="007F7C9F">
        <w:t xml:space="preserve">доклад </w:t>
      </w:r>
      <w:r>
        <w:t>комитета</w:t>
      </w:r>
      <w:r w:rsidR="00BD60B5">
        <w:t xml:space="preserve"> для</w:t>
      </w:r>
      <w:r>
        <w:t xml:space="preserve"> </w:t>
      </w:r>
      <w:r w:rsidRPr="007F7C9F">
        <w:t>Конференции Сторон. Элементы системы подробно описываются в разделе II.</w:t>
      </w:r>
    </w:p>
    <w:p w14:paraId="4C16D4DD" w14:textId="77777777" w:rsidR="00D8160C" w:rsidRDefault="00D8160C" w:rsidP="005F70D6">
      <w:pPr>
        <w:pStyle w:val="Normalnumber"/>
        <w:numPr>
          <w:ilvl w:val="0"/>
          <w:numId w:val="0"/>
        </w:numPr>
        <w:tabs>
          <w:tab w:val="clear" w:pos="624"/>
        </w:tabs>
        <w:ind w:left="1247"/>
        <w:sectPr w:rsidR="00D8160C" w:rsidSect="005A6F34">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907" w:right="992" w:bottom="1418" w:left="1418" w:header="539" w:footer="975" w:gutter="0"/>
          <w:cols w:space="539"/>
          <w:titlePg/>
          <w:docGrid w:linePitch="360"/>
        </w:sectPr>
      </w:pPr>
    </w:p>
    <w:p w14:paraId="235F9D1F" w14:textId="41CA26D7" w:rsidR="00804AA1" w:rsidRPr="009063FB" w:rsidRDefault="00804AA1" w:rsidP="009063FB">
      <w:pPr>
        <w:pStyle w:val="Caption"/>
        <w:tabs>
          <w:tab w:val="clear" w:pos="1247"/>
          <w:tab w:val="clear" w:pos="1814"/>
          <w:tab w:val="clear" w:pos="2381"/>
          <w:tab w:val="clear" w:pos="2948"/>
          <w:tab w:val="clear" w:pos="3515"/>
        </w:tabs>
        <w:spacing w:after="60"/>
        <w:rPr>
          <w:b/>
          <w:bCs/>
          <w:i w:val="0"/>
          <w:iCs w:val="0"/>
          <w:color w:val="auto"/>
          <w:sz w:val="20"/>
          <w:szCs w:val="20"/>
          <w:lang w:val="ru-RU"/>
        </w:rPr>
      </w:pPr>
      <w:r w:rsidRPr="009063FB">
        <w:rPr>
          <w:i w:val="0"/>
          <w:iCs w:val="0"/>
          <w:color w:val="auto"/>
          <w:sz w:val="20"/>
          <w:szCs w:val="20"/>
          <w:lang w:val="ru-RU"/>
        </w:rPr>
        <w:lastRenderedPageBreak/>
        <w:t>Таблица 1</w:t>
      </w:r>
      <w:r w:rsidR="00766F1B" w:rsidRPr="009063FB">
        <w:rPr>
          <w:i w:val="0"/>
          <w:iCs w:val="0"/>
          <w:color w:val="auto"/>
          <w:sz w:val="20"/>
          <w:szCs w:val="20"/>
          <w:lang w:val="ru-RU"/>
        </w:rPr>
        <w:br/>
      </w:r>
      <w:r w:rsidRPr="009063FB">
        <w:rPr>
          <w:b/>
          <w:bCs/>
          <w:i w:val="0"/>
          <w:iCs w:val="0"/>
          <w:color w:val="auto"/>
          <w:sz w:val="20"/>
          <w:szCs w:val="20"/>
          <w:lang w:val="ru-RU"/>
        </w:rPr>
        <w:t>Система оценки эффективности: предметные вопросы, показатели и доклады, необходимые комитету по оценке эффективности</w:t>
      </w:r>
    </w:p>
    <w:tbl>
      <w:tblPr>
        <w:tblStyle w:val="TableGrid"/>
        <w:tblW w:w="5000" w:type="pct"/>
        <w:jc w:val="center"/>
        <w:tblLayout w:type="fixed"/>
        <w:tblCellMar>
          <w:left w:w="57" w:type="dxa"/>
          <w:right w:w="57" w:type="dxa"/>
        </w:tblCellMar>
        <w:tblLook w:val="04A0" w:firstRow="1" w:lastRow="0" w:firstColumn="1" w:lastColumn="0" w:noHBand="0" w:noVBand="1"/>
      </w:tblPr>
      <w:tblGrid>
        <w:gridCol w:w="1565"/>
        <w:gridCol w:w="698"/>
        <w:gridCol w:w="2436"/>
        <w:gridCol w:w="3135"/>
        <w:gridCol w:w="785"/>
        <w:gridCol w:w="2351"/>
        <w:gridCol w:w="3448"/>
      </w:tblGrid>
      <w:tr w:rsidR="00804AA1" w:rsidRPr="004F7229" w14:paraId="4F030DC6" w14:textId="77777777" w:rsidTr="00B93098">
        <w:trPr>
          <w:trHeight w:val="57"/>
          <w:jc w:val="center"/>
        </w:trPr>
        <w:tc>
          <w:tcPr>
            <w:tcW w:w="1565" w:type="dxa"/>
            <w:shd w:val="clear" w:color="auto" w:fill="B8CCE4" w:themeFill="accent1" w:themeFillTint="66"/>
          </w:tcPr>
          <w:p w14:paraId="261B7452" w14:textId="77777777" w:rsidR="00804AA1" w:rsidRPr="004F7229" w:rsidRDefault="00804AA1" w:rsidP="00E24098">
            <w:pPr>
              <w:tabs>
                <w:tab w:val="clear" w:pos="1247"/>
                <w:tab w:val="clear" w:pos="1814"/>
                <w:tab w:val="clear" w:pos="2381"/>
                <w:tab w:val="clear" w:pos="2948"/>
                <w:tab w:val="clear" w:pos="3515"/>
              </w:tabs>
              <w:spacing w:before="40" w:after="40"/>
              <w:rPr>
                <w:b/>
                <w:sz w:val="18"/>
                <w:szCs w:val="18"/>
              </w:rPr>
            </w:pPr>
            <w:r w:rsidRPr="004F7229">
              <w:rPr>
                <w:b/>
                <w:bCs/>
                <w:sz w:val="18"/>
                <w:szCs w:val="18"/>
              </w:rPr>
              <w:t>Предметные вопросы</w:t>
            </w:r>
          </w:p>
        </w:tc>
        <w:tc>
          <w:tcPr>
            <w:tcW w:w="3134" w:type="dxa"/>
            <w:gridSpan w:val="2"/>
            <w:shd w:val="clear" w:color="auto" w:fill="FFFFFF" w:themeFill="background1"/>
          </w:tcPr>
          <w:p w14:paraId="064A4143" w14:textId="77777777" w:rsidR="00804AA1" w:rsidRPr="004F7229" w:rsidRDefault="00804AA1" w:rsidP="00E24098">
            <w:pPr>
              <w:tabs>
                <w:tab w:val="clear" w:pos="1247"/>
                <w:tab w:val="clear" w:pos="1814"/>
                <w:tab w:val="clear" w:pos="2381"/>
                <w:tab w:val="clear" w:pos="2948"/>
                <w:tab w:val="clear" w:pos="3515"/>
              </w:tabs>
              <w:spacing w:before="40" w:after="40"/>
              <w:rPr>
                <w:bCs/>
                <w:sz w:val="18"/>
                <w:szCs w:val="18"/>
              </w:rPr>
            </w:pPr>
            <w:r w:rsidRPr="004F7229">
              <w:rPr>
                <w:sz w:val="18"/>
                <w:szCs w:val="18"/>
              </w:rPr>
              <w:t>1. Приняли ли Стороны меры для осуществления Минаматской конвенции?</w:t>
            </w:r>
          </w:p>
        </w:tc>
        <w:tc>
          <w:tcPr>
            <w:tcW w:w="3135" w:type="dxa"/>
            <w:tcBorders>
              <w:right w:val="single" w:sz="4" w:space="0" w:color="auto"/>
            </w:tcBorders>
            <w:shd w:val="clear" w:color="auto" w:fill="FFFFFF" w:themeFill="background1"/>
          </w:tcPr>
          <w:p w14:paraId="69B66827" w14:textId="27BF34E0" w:rsidR="00804AA1" w:rsidRPr="004F7229" w:rsidRDefault="00804AA1" w:rsidP="00E24098">
            <w:pPr>
              <w:tabs>
                <w:tab w:val="clear" w:pos="1247"/>
                <w:tab w:val="clear" w:pos="1814"/>
                <w:tab w:val="clear" w:pos="2381"/>
                <w:tab w:val="clear" w:pos="2948"/>
                <w:tab w:val="clear" w:pos="3515"/>
              </w:tabs>
              <w:spacing w:before="40" w:after="40"/>
              <w:rPr>
                <w:bCs/>
                <w:sz w:val="18"/>
                <w:szCs w:val="18"/>
              </w:rPr>
            </w:pPr>
            <w:r w:rsidRPr="004F7229">
              <w:rPr>
                <w:sz w:val="18"/>
                <w:szCs w:val="18"/>
              </w:rPr>
              <w:t>2. Привело ли принятие этих мер к изменениям в сфере предложения ртути, ее применения, выбросов и высвобождени</w:t>
            </w:r>
            <w:r w:rsidR="007E391E">
              <w:rPr>
                <w:sz w:val="18"/>
                <w:szCs w:val="18"/>
              </w:rPr>
              <w:t>й</w:t>
            </w:r>
            <w:r w:rsidRPr="004F7229">
              <w:rPr>
                <w:sz w:val="18"/>
                <w:szCs w:val="18"/>
              </w:rPr>
              <w:t xml:space="preserve"> в окружающую среду?</w:t>
            </w:r>
          </w:p>
        </w:tc>
        <w:tc>
          <w:tcPr>
            <w:tcW w:w="3136" w:type="dxa"/>
            <w:gridSpan w:val="2"/>
            <w:tcBorders>
              <w:left w:val="single" w:sz="4" w:space="0" w:color="auto"/>
            </w:tcBorders>
            <w:shd w:val="clear" w:color="auto" w:fill="FFFFFF" w:themeFill="background1"/>
          </w:tcPr>
          <w:p w14:paraId="15C67E95" w14:textId="6D5C4A6B" w:rsidR="00804AA1" w:rsidRPr="004F7229" w:rsidRDefault="00804AA1" w:rsidP="00E24098">
            <w:pPr>
              <w:tabs>
                <w:tab w:val="clear" w:pos="1247"/>
                <w:tab w:val="clear" w:pos="1814"/>
                <w:tab w:val="clear" w:pos="2381"/>
                <w:tab w:val="clear" w:pos="2948"/>
                <w:tab w:val="clear" w:pos="3515"/>
              </w:tabs>
              <w:spacing w:before="40" w:after="40"/>
              <w:rPr>
                <w:bCs/>
                <w:sz w:val="18"/>
                <w:szCs w:val="18"/>
              </w:rPr>
            </w:pPr>
            <w:r w:rsidRPr="004F7229">
              <w:rPr>
                <w:sz w:val="18"/>
                <w:szCs w:val="18"/>
              </w:rPr>
              <w:t xml:space="preserve">3. Привели ли эти изменения к такому изменению уровней содержания ртути в окружающей среде, </w:t>
            </w:r>
            <w:r w:rsidR="00110A13" w:rsidRPr="00110A13">
              <w:rPr>
                <w:sz w:val="18"/>
                <w:szCs w:val="18"/>
              </w:rPr>
              <w:t>биотических средах</w:t>
            </w:r>
            <w:r w:rsidRPr="004F7229">
              <w:rPr>
                <w:sz w:val="18"/>
                <w:szCs w:val="18"/>
              </w:rPr>
              <w:t xml:space="preserve"> и организмах людей, относящихся к уязвимым группам населения, которое может быть обусловлено осуществлением Минаматской конвенции? </w:t>
            </w:r>
          </w:p>
        </w:tc>
        <w:tc>
          <w:tcPr>
            <w:tcW w:w="3448" w:type="dxa"/>
            <w:shd w:val="clear" w:color="auto" w:fill="auto"/>
          </w:tcPr>
          <w:p w14:paraId="7AF2C882" w14:textId="77777777" w:rsidR="00804AA1" w:rsidRPr="004F7229" w:rsidRDefault="00804AA1" w:rsidP="00E24098">
            <w:pPr>
              <w:tabs>
                <w:tab w:val="clear" w:pos="1247"/>
                <w:tab w:val="clear" w:pos="1814"/>
                <w:tab w:val="clear" w:pos="2381"/>
                <w:tab w:val="clear" w:pos="2948"/>
                <w:tab w:val="clear" w:pos="3515"/>
              </w:tabs>
              <w:spacing w:before="40" w:after="40"/>
              <w:rPr>
                <w:bCs/>
                <w:sz w:val="18"/>
                <w:szCs w:val="18"/>
              </w:rPr>
            </w:pPr>
            <w:r w:rsidRPr="004F7229">
              <w:rPr>
                <w:sz w:val="18"/>
                <w:szCs w:val="18"/>
              </w:rPr>
              <w:t>4. В какой степени принимаемые в рамках Минаматской конвенции меры способствуют достижению ее цели по охране здоровья человека и окружающей среды от ртути?</w:t>
            </w:r>
            <w:bookmarkStart w:id="12" w:name="_Hlk20927428"/>
            <w:bookmarkEnd w:id="12"/>
          </w:p>
        </w:tc>
      </w:tr>
      <w:tr w:rsidR="00804AA1" w:rsidRPr="004F7229" w14:paraId="1F38E4D6" w14:textId="77777777" w:rsidTr="00B93098">
        <w:trPr>
          <w:trHeight w:val="57"/>
          <w:jc w:val="center"/>
        </w:trPr>
        <w:tc>
          <w:tcPr>
            <w:tcW w:w="1565" w:type="dxa"/>
            <w:shd w:val="clear" w:color="auto" w:fill="B8CCE4" w:themeFill="accent1" w:themeFillTint="66"/>
          </w:tcPr>
          <w:p w14:paraId="43344A28" w14:textId="77777777" w:rsidR="00804AA1" w:rsidRPr="004F7229" w:rsidRDefault="00804AA1" w:rsidP="00E24098">
            <w:pPr>
              <w:tabs>
                <w:tab w:val="clear" w:pos="1247"/>
                <w:tab w:val="clear" w:pos="1814"/>
                <w:tab w:val="clear" w:pos="2381"/>
                <w:tab w:val="clear" w:pos="2948"/>
                <w:tab w:val="clear" w:pos="3515"/>
              </w:tabs>
              <w:spacing w:before="40" w:after="40"/>
              <w:rPr>
                <w:b/>
                <w:bCs/>
                <w:sz w:val="18"/>
                <w:szCs w:val="18"/>
              </w:rPr>
            </w:pPr>
            <w:r w:rsidRPr="004F7229">
              <w:rPr>
                <w:b/>
                <w:bCs/>
                <w:sz w:val="18"/>
                <w:szCs w:val="18"/>
              </w:rPr>
              <w:t>Показатели</w:t>
            </w:r>
          </w:p>
          <w:p w14:paraId="480DC995" w14:textId="77777777" w:rsidR="00804AA1" w:rsidRPr="004F7229" w:rsidRDefault="00804AA1" w:rsidP="00E24098">
            <w:pPr>
              <w:tabs>
                <w:tab w:val="clear" w:pos="1247"/>
                <w:tab w:val="clear" w:pos="1814"/>
                <w:tab w:val="clear" w:pos="2381"/>
                <w:tab w:val="clear" w:pos="2948"/>
                <w:tab w:val="clear" w:pos="3515"/>
              </w:tabs>
              <w:spacing w:before="40" w:after="40"/>
              <w:rPr>
                <w:i/>
                <w:iCs/>
                <w:sz w:val="18"/>
                <w:szCs w:val="18"/>
              </w:rPr>
            </w:pPr>
          </w:p>
        </w:tc>
        <w:tc>
          <w:tcPr>
            <w:tcW w:w="3134" w:type="dxa"/>
            <w:gridSpan w:val="2"/>
            <w:shd w:val="clear" w:color="auto" w:fill="FFFFFF" w:themeFill="background1"/>
          </w:tcPr>
          <w:p w14:paraId="53FB25EE"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Показатели процесса</w:t>
            </w:r>
          </w:p>
        </w:tc>
        <w:tc>
          <w:tcPr>
            <w:tcW w:w="3135" w:type="dxa"/>
            <w:shd w:val="clear" w:color="auto" w:fill="FFFFFF" w:themeFill="background1"/>
          </w:tcPr>
          <w:p w14:paraId="64EAFC44" w14:textId="089FCAEF"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Показатели результат</w:t>
            </w:r>
            <w:r w:rsidR="00CF7C11">
              <w:rPr>
                <w:sz w:val="18"/>
                <w:szCs w:val="18"/>
              </w:rPr>
              <w:t>а</w:t>
            </w:r>
          </w:p>
          <w:p w14:paraId="25DCB09E"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Контрольные показатели</w:t>
            </w:r>
          </w:p>
        </w:tc>
        <w:tc>
          <w:tcPr>
            <w:tcW w:w="3136" w:type="dxa"/>
            <w:gridSpan w:val="2"/>
            <w:shd w:val="clear" w:color="auto" w:fill="FFFFFF" w:themeFill="background1"/>
          </w:tcPr>
          <w:p w14:paraId="1E70772A"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Контрольные показатели</w:t>
            </w:r>
          </w:p>
        </w:tc>
        <w:tc>
          <w:tcPr>
            <w:tcW w:w="3448" w:type="dxa"/>
            <w:vMerge w:val="restart"/>
            <w:shd w:val="clear" w:color="auto" w:fill="auto"/>
          </w:tcPr>
          <w:p w14:paraId="5B9850F6"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Уровень 5</w:t>
            </w:r>
          </w:p>
          <w:p w14:paraId="7D66CAE0"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u w:color="4F81BD"/>
              </w:rPr>
            </w:pPr>
          </w:p>
          <w:p w14:paraId="6B81E796" w14:textId="529AA6BA"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Комитет по оценке эффективности подготовит ответы на эти предметные вопросы и будет применять комплексный подход при подготовке своих выводов на основе следующих сводных докладов:</w:t>
            </w:r>
          </w:p>
          <w:p w14:paraId="719E5B34"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1. Сводный доклад в соответствии со статьей 21</w:t>
            </w:r>
          </w:p>
          <w:p w14:paraId="631DC184" w14:textId="7538E134"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2. Доклад о выбросах и высвобождени</w:t>
            </w:r>
            <w:r w:rsidR="007E391E">
              <w:rPr>
                <w:sz w:val="18"/>
                <w:szCs w:val="18"/>
              </w:rPr>
              <w:t>ях</w:t>
            </w:r>
          </w:p>
          <w:p w14:paraId="0795C6E3"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3. Доклад о торговле, предложении и спросе</w:t>
            </w:r>
          </w:p>
          <w:p w14:paraId="17FBB574"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FA002A">
              <w:rPr>
                <w:sz w:val="18"/>
                <w:szCs w:val="18"/>
                <w:highlight w:val="lightGray"/>
              </w:rPr>
              <w:t>4. Доклад об отходах</w:t>
            </w:r>
          </w:p>
          <w:p w14:paraId="2E6CE574"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5. Доклад о мониторинге</w:t>
            </w:r>
          </w:p>
          <w:p w14:paraId="22AB6377"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В дополнение к этим докладам будет использоваться, когда он станет доступным, доклад о взаимосвязи.</w:t>
            </w:r>
          </w:p>
          <w:p w14:paraId="24139B48"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noProof/>
                <w:sz w:val="18"/>
                <w:szCs w:val="18"/>
              </w:rPr>
              <mc:AlternateContent>
                <mc:Choice Requires="wps">
                  <w:drawing>
                    <wp:anchor distT="0" distB="0" distL="114300" distR="114300" simplePos="0" relativeHeight="251659264" behindDoc="0" locked="0" layoutInCell="1" allowOverlap="1" wp14:anchorId="0CBF2FA6" wp14:editId="1D93A788">
                      <wp:simplePos x="0" y="0"/>
                      <wp:positionH relativeFrom="column">
                        <wp:posOffset>450215</wp:posOffset>
                      </wp:positionH>
                      <wp:positionV relativeFrom="paragraph">
                        <wp:posOffset>724866</wp:posOffset>
                      </wp:positionV>
                      <wp:extent cx="638175" cy="523875"/>
                      <wp:effectExtent l="0" t="0" r="9525" b="9525"/>
                      <wp:wrapNone/>
                      <wp:docPr id="3" name="Arrow: Down 3"/>
                      <wp:cNvGraphicFramePr/>
                      <a:graphic xmlns:a="http://schemas.openxmlformats.org/drawingml/2006/main">
                        <a:graphicData uri="http://schemas.microsoft.com/office/word/2010/wordprocessingShape">
                          <wps:wsp>
                            <wps:cNvSpPr/>
                            <wps:spPr>
                              <a:xfrm>
                                <a:off x="0" y="0"/>
                                <a:ext cx="638175" cy="523875"/>
                              </a:xfrm>
                              <a:prstGeom prst="downArrow">
                                <a:avLst/>
                              </a:prstGeom>
                              <a:solidFill>
                                <a:srgbClr val="4F81BD">
                                  <a:lumMod val="40000"/>
                                  <a:lumOff val="6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EF088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3" o:spid="_x0000_s1026" type="#_x0000_t67" style="position:absolute;margin-left:35.45pt;margin-top:57.1pt;width:50.2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" adj="10800" fillcolor="#b9cde5" stroked="f" strokeweight="2pt"/>
                  </w:pict>
                </mc:Fallback>
              </mc:AlternateContent>
            </w:r>
            <w:r w:rsidRPr="004F7229">
              <w:rPr>
                <w:sz w:val="18"/>
                <w:szCs w:val="18"/>
              </w:rPr>
              <w:t xml:space="preserve">Кроме того, при подготовке своих выводов комитет по оценке эффективности может при необходимости использовать дополнительную информацию. </w:t>
            </w:r>
          </w:p>
        </w:tc>
      </w:tr>
      <w:tr w:rsidR="00804AA1" w:rsidRPr="004F7229" w14:paraId="7AE1EC37" w14:textId="77777777" w:rsidTr="00B93098">
        <w:trPr>
          <w:trHeight w:val="57"/>
          <w:jc w:val="center"/>
        </w:trPr>
        <w:tc>
          <w:tcPr>
            <w:tcW w:w="1565" w:type="dxa"/>
            <w:shd w:val="clear" w:color="auto" w:fill="B8CCE4" w:themeFill="accent1" w:themeFillTint="66"/>
          </w:tcPr>
          <w:p w14:paraId="64AFAAC0" w14:textId="77777777" w:rsidR="00804AA1" w:rsidRPr="004F7229" w:rsidRDefault="00804AA1" w:rsidP="00E24098">
            <w:pPr>
              <w:tabs>
                <w:tab w:val="clear" w:pos="1247"/>
                <w:tab w:val="clear" w:pos="1814"/>
                <w:tab w:val="clear" w:pos="2381"/>
                <w:tab w:val="clear" w:pos="2948"/>
                <w:tab w:val="clear" w:pos="3515"/>
              </w:tabs>
              <w:spacing w:before="40" w:after="40"/>
              <w:rPr>
                <w:b/>
                <w:bCs/>
                <w:sz w:val="18"/>
                <w:szCs w:val="18"/>
              </w:rPr>
            </w:pPr>
            <w:r w:rsidRPr="004F7229">
              <w:rPr>
                <w:b/>
                <w:bCs/>
                <w:sz w:val="18"/>
                <w:szCs w:val="18"/>
              </w:rPr>
              <w:t>Группы показателей</w:t>
            </w:r>
          </w:p>
        </w:tc>
        <w:tc>
          <w:tcPr>
            <w:tcW w:w="3134" w:type="dxa"/>
            <w:gridSpan w:val="2"/>
            <w:shd w:val="clear" w:color="auto" w:fill="FFFFFF" w:themeFill="background1"/>
          </w:tcPr>
          <w:p w14:paraId="42366CC1"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1. Группа показателей, связанных с предложением (B)</w:t>
            </w:r>
          </w:p>
          <w:p w14:paraId="3CF6FC42"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2. Группа показателей, связанных со спросом (C)</w:t>
            </w:r>
          </w:p>
          <w:p w14:paraId="6A384924"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3. Группа показателей, связанных с последствиями (D)</w:t>
            </w:r>
          </w:p>
          <w:p w14:paraId="0C5AC9C4"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w:t>
            </w:r>
          </w:p>
          <w:p w14:paraId="11FB15F5" w14:textId="4C35921E"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4. Группа показателей, связанных с поддержкой (</w:t>
            </w:r>
            <w:r w:rsidR="00182C6D">
              <w:rPr>
                <w:sz w:val="18"/>
                <w:szCs w:val="18"/>
              </w:rPr>
              <w:t>Е</w:t>
            </w:r>
            <w:r w:rsidRPr="004F7229">
              <w:rPr>
                <w:sz w:val="18"/>
                <w:szCs w:val="18"/>
              </w:rPr>
              <w:t>)</w:t>
            </w:r>
          </w:p>
          <w:p w14:paraId="688622DB"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5. Группа показателей, связанных с информацией и исследованиями (H)</w:t>
            </w:r>
          </w:p>
        </w:tc>
        <w:tc>
          <w:tcPr>
            <w:tcW w:w="3135" w:type="dxa"/>
            <w:shd w:val="clear" w:color="auto" w:fill="FFFFFF" w:themeFill="background1"/>
          </w:tcPr>
          <w:p w14:paraId="7CF41701"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1. Группа показателей, связанных с предложением (B)</w:t>
            </w:r>
          </w:p>
          <w:p w14:paraId="3B236D56"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2. Группа показателей, связанных со спросом (C)</w:t>
            </w:r>
          </w:p>
          <w:p w14:paraId="59264C57"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3. Группа показателей, связанных с последствиями (D)</w:t>
            </w:r>
          </w:p>
          <w:p w14:paraId="2D4B861D"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w:t>
            </w:r>
          </w:p>
          <w:p w14:paraId="4564DE93" w14:textId="54685DF1"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4. Группа показателей, связанных с поддержкой (</w:t>
            </w:r>
            <w:r w:rsidR="00182C6D">
              <w:rPr>
                <w:sz w:val="18"/>
                <w:szCs w:val="18"/>
              </w:rPr>
              <w:t>Е</w:t>
            </w:r>
            <w:r w:rsidRPr="004F7229">
              <w:rPr>
                <w:sz w:val="18"/>
                <w:szCs w:val="18"/>
              </w:rPr>
              <w:t>)</w:t>
            </w:r>
          </w:p>
          <w:p w14:paraId="49BB97A7"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5. Группа показателей, связанных с информацией и исследованиями (H)</w:t>
            </w:r>
          </w:p>
        </w:tc>
        <w:tc>
          <w:tcPr>
            <w:tcW w:w="3136" w:type="dxa"/>
            <w:gridSpan w:val="2"/>
            <w:shd w:val="clear" w:color="auto" w:fill="FFFFFF" w:themeFill="background1"/>
          </w:tcPr>
          <w:p w14:paraId="3CB5AAE0"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1. Группа показателей, связанных с последствиями (D)</w:t>
            </w:r>
          </w:p>
        </w:tc>
        <w:tc>
          <w:tcPr>
            <w:tcW w:w="3448" w:type="dxa"/>
            <w:vMerge/>
            <w:shd w:val="clear" w:color="auto" w:fill="auto"/>
          </w:tcPr>
          <w:p w14:paraId="2069189C"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p>
        </w:tc>
      </w:tr>
      <w:tr w:rsidR="00804AA1" w:rsidRPr="004F7229" w14:paraId="2063B842" w14:textId="77777777" w:rsidTr="00B93098">
        <w:trPr>
          <w:trHeight w:val="57"/>
          <w:jc w:val="center"/>
        </w:trPr>
        <w:tc>
          <w:tcPr>
            <w:tcW w:w="1565" w:type="dxa"/>
            <w:shd w:val="clear" w:color="auto" w:fill="B8CCE4" w:themeFill="accent1" w:themeFillTint="66"/>
          </w:tcPr>
          <w:p w14:paraId="482FE820" w14:textId="77777777" w:rsidR="00804AA1" w:rsidRPr="004F7229" w:rsidRDefault="00804AA1" w:rsidP="00E24098">
            <w:pPr>
              <w:tabs>
                <w:tab w:val="clear" w:pos="1247"/>
                <w:tab w:val="clear" w:pos="1814"/>
                <w:tab w:val="clear" w:pos="2381"/>
                <w:tab w:val="clear" w:pos="2948"/>
                <w:tab w:val="clear" w:pos="3515"/>
              </w:tabs>
              <w:spacing w:before="40" w:after="40"/>
              <w:rPr>
                <w:b/>
                <w:bCs/>
                <w:sz w:val="18"/>
                <w:szCs w:val="18"/>
              </w:rPr>
            </w:pPr>
            <w:r w:rsidRPr="004F7229">
              <w:rPr>
                <w:b/>
                <w:bCs/>
                <w:sz w:val="18"/>
                <w:szCs w:val="18"/>
              </w:rPr>
              <w:t>Источники информации</w:t>
            </w:r>
          </w:p>
        </w:tc>
        <w:tc>
          <w:tcPr>
            <w:tcW w:w="3134" w:type="dxa"/>
            <w:gridSpan w:val="2"/>
            <w:shd w:val="clear" w:color="auto" w:fill="FFFFFF" w:themeFill="background1"/>
          </w:tcPr>
          <w:p w14:paraId="70E8EE10" w14:textId="0F4F0930" w:rsidR="00804AA1" w:rsidRPr="004F7229" w:rsidRDefault="00804AA1" w:rsidP="00E24098">
            <w:pPr>
              <w:tabs>
                <w:tab w:val="clear" w:pos="1247"/>
                <w:tab w:val="clear" w:pos="1814"/>
                <w:tab w:val="clear" w:pos="2381"/>
                <w:tab w:val="clear" w:pos="2948"/>
                <w:tab w:val="clear" w:pos="3515"/>
              </w:tabs>
              <w:spacing w:before="40" w:after="40"/>
              <w:rPr>
                <w:i/>
                <w:iCs/>
                <w:sz w:val="18"/>
                <w:szCs w:val="18"/>
              </w:rPr>
            </w:pPr>
            <w:r w:rsidRPr="004F7229">
              <w:rPr>
                <w:sz w:val="18"/>
                <w:szCs w:val="18"/>
              </w:rPr>
              <w:t>Стороны: доклады в соответствии со статьей 21</w:t>
            </w:r>
          </w:p>
          <w:p w14:paraId="3301BEDE"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(основной источник)</w:t>
            </w:r>
          </w:p>
        </w:tc>
        <w:tc>
          <w:tcPr>
            <w:tcW w:w="3135" w:type="dxa"/>
            <w:shd w:val="clear" w:color="auto" w:fill="FFFFFF" w:themeFill="background1"/>
          </w:tcPr>
          <w:p w14:paraId="65042995" w14:textId="662021E5" w:rsidR="00804AA1" w:rsidRPr="004F7229" w:rsidRDefault="00804AA1" w:rsidP="00E24098">
            <w:pPr>
              <w:tabs>
                <w:tab w:val="clear" w:pos="1247"/>
                <w:tab w:val="clear" w:pos="1814"/>
                <w:tab w:val="clear" w:pos="2381"/>
                <w:tab w:val="clear" w:pos="2948"/>
                <w:tab w:val="clear" w:pos="3515"/>
              </w:tabs>
              <w:spacing w:before="40" w:after="40"/>
              <w:rPr>
                <w:i/>
                <w:iCs/>
                <w:sz w:val="18"/>
                <w:szCs w:val="18"/>
              </w:rPr>
            </w:pPr>
            <w:r w:rsidRPr="004F7229">
              <w:rPr>
                <w:sz w:val="18"/>
                <w:szCs w:val="18"/>
              </w:rPr>
              <w:t>Стороны: доклады в соответствии со статьей 21</w:t>
            </w:r>
          </w:p>
          <w:p w14:paraId="6BBC1849"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(основной источник)</w:t>
            </w:r>
          </w:p>
        </w:tc>
        <w:tc>
          <w:tcPr>
            <w:tcW w:w="3136" w:type="dxa"/>
            <w:gridSpan w:val="2"/>
            <w:shd w:val="clear" w:color="auto" w:fill="FFFFFF" w:themeFill="background1"/>
          </w:tcPr>
          <w:p w14:paraId="29FC9C96"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Стороны: доклады в соответствии со статьей 21</w:t>
            </w:r>
          </w:p>
          <w:p w14:paraId="5B0FE7E7" w14:textId="53B1E944" w:rsidR="00804AA1" w:rsidRPr="004F7229" w:rsidRDefault="00BD60B5" w:rsidP="00E24098">
            <w:pPr>
              <w:tabs>
                <w:tab w:val="clear" w:pos="1247"/>
                <w:tab w:val="clear" w:pos="1814"/>
                <w:tab w:val="clear" w:pos="2381"/>
                <w:tab w:val="clear" w:pos="2948"/>
                <w:tab w:val="clear" w:pos="3515"/>
              </w:tabs>
              <w:spacing w:before="40" w:after="40"/>
              <w:rPr>
                <w:sz w:val="18"/>
                <w:szCs w:val="18"/>
              </w:rPr>
            </w:pPr>
            <w:r w:rsidRPr="004F7229">
              <w:rPr>
                <w:sz w:val="18"/>
                <w:szCs w:val="18"/>
              </w:rPr>
              <w:t xml:space="preserve">Сети </w:t>
            </w:r>
            <w:r w:rsidR="00804AA1" w:rsidRPr="004F7229">
              <w:rPr>
                <w:sz w:val="18"/>
                <w:szCs w:val="18"/>
              </w:rPr>
              <w:t>по мониторингу</w:t>
            </w:r>
          </w:p>
        </w:tc>
        <w:tc>
          <w:tcPr>
            <w:tcW w:w="3448" w:type="dxa"/>
            <w:vMerge/>
            <w:shd w:val="clear" w:color="auto" w:fill="auto"/>
          </w:tcPr>
          <w:p w14:paraId="0C4078B7"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p>
        </w:tc>
      </w:tr>
      <w:tr w:rsidR="00804AA1" w:rsidRPr="004F7229" w14:paraId="49B901A0" w14:textId="77777777" w:rsidTr="00B93098">
        <w:trPr>
          <w:trHeight w:val="57"/>
          <w:jc w:val="center"/>
        </w:trPr>
        <w:tc>
          <w:tcPr>
            <w:tcW w:w="1565" w:type="dxa"/>
            <w:shd w:val="clear" w:color="auto" w:fill="B8CCE4" w:themeFill="accent1" w:themeFillTint="66"/>
          </w:tcPr>
          <w:p w14:paraId="2CA08329" w14:textId="237AB032" w:rsidR="00804AA1" w:rsidRPr="004F7229" w:rsidRDefault="00804AA1" w:rsidP="00E24098">
            <w:pPr>
              <w:tabs>
                <w:tab w:val="clear" w:pos="1247"/>
                <w:tab w:val="clear" w:pos="1814"/>
                <w:tab w:val="clear" w:pos="2381"/>
                <w:tab w:val="clear" w:pos="2948"/>
                <w:tab w:val="clear" w:pos="3515"/>
              </w:tabs>
              <w:spacing w:before="40" w:after="40"/>
              <w:rPr>
                <w:b/>
                <w:bCs/>
                <w:sz w:val="18"/>
                <w:szCs w:val="18"/>
              </w:rPr>
            </w:pPr>
            <w:r w:rsidRPr="004F7229">
              <w:rPr>
                <w:b/>
                <w:bCs/>
                <w:sz w:val="18"/>
                <w:szCs w:val="18"/>
              </w:rPr>
              <w:t xml:space="preserve">Документы, </w:t>
            </w:r>
            <w:proofErr w:type="spellStart"/>
            <w:r w:rsidRPr="004F7229">
              <w:rPr>
                <w:b/>
                <w:bCs/>
                <w:sz w:val="18"/>
                <w:szCs w:val="18"/>
              </w:rPr>
              <w:t>подготавлива</w:t>
            </w:r>
            <w:r w:rsidR="00E24098" w:rsidRPr="00AA0928">
              <w:rPr>
                <w:b/>
                <w:bCs/>
                <w:sz w:val="18"/>
                <w:szCs w:val="18"/>
              </w:rPr>
              <w:t>-</w:t>
            </w:r>
            <w:r w:rsidRPr="004F7229">
              <w:rPr>
                <w:b/>
                <w:bCs/>
                <w:sz w:val="18"/>
                <w:szCs w:val="18"/>
              </w:rPr>
              <w:t>емые</w:t>
            </w:r>
            <w:proofErr w:type="spellEnd"/>
            <w:r w:rsidRPr="004F7229">
              <w:rPr>
                <w:b/>
                <w:bCs/>
                <w:sz w:val="18"/>
                <w:szCs w:val="18"/>
              </w:rPr>
              <w:t xml:space="preserve"> секрета</w:t>
            </w:r>
            <w:r w:rsidR="00E24098" w:rsidRPr="00AA0928">
              <w:rPr>
                <w:b/>
                <w:bCs/>
                <w:sz w:val="18"/>
                <w:szCs w:val="18"/>
              </w:rPr>
              <w:t>-</w:t>
            </w:r>
            <w:proofErr w:type="spellStart"/>
            <w:r w:rsidRPr="004F7229">
              <w:rPr>
                <w:b/>
                <w:bCs/>
                <w:sz w:val="18"/>
                <w:szCs w:val="18"/>
              </w:rPr>
              <w:t>риатом</w:t>
            </w:r>
            <w:proofErr w:type="spellEnd"/>
            <w:r w:rsidRPr="004F7229">
              <w:rPr>
                <w:b/>
                <w:bCs/>
                <w:sz w:val="18"/>
                <w:szCs w:val="18"/>
              </w:rPr>
              <w:t xml:space="preserve"> для Конференции Сторон в соответствии со статьей 22</w:t>
            </w:r>
          </w:p>
        </w:tc>
        <w:tc>
          <w:tcPr>
            <w:tcW w:w="3134" w:type="dxa"/>
            <w:gridSpan w:val="2"/>
            <w:shd w:val="clear" w:color="auto" w:fill="FFFFFF" w:themeFill="background1"/>
          </w:tcPr>
          <w:p w14:paraId="24D484CD" w14:textId="18E19153" w:rsidR="00804AA1" w:rsidRPr="00182C6D" w:rsidRDefault="00182C6D" w:rsidP="00182C6D">
            <w:pPr>
              <w:tabs>
                <w:tab w:val="clear" w:pos="1247"/>
                <w:tab w:val="clear" w:pos="1814"/>
                <w:tab w:val="clear" w:pos="2381"/>
                <w:tab w:val="clear" w:pos="2948"/>
                <w:tab w:val="clear" w:pos="3515"/>
              </w:tabs>
              <w:spacing w:before="40" w:after="40"/>
              <w:ind w:left="170" w:hanging="170"/>
              <w:rPr>
                <w:sz w:val="18"/>
                <w:szCs w:val="18"/>
              </w:rPr>
            </w:pPr>
            <w:r>
              <w:rPr>
                <w:sz w:val="18"/>
                <w:szCs w:val="18"/>
              </w:rPr>
              <w:t>-</w:t>
            </w:r>
            <w:r w:rsidR="00FA002A">
              <w:rPr>
                <w:sz w:val="18"/>
                <w:szCs w:val="18"/>
              </w:rPr>
              <w:tab/>
            </w:r>
            <w:r w:rsidR="00804AA1" w:rsidRPr="00182C6D">
              <w:rPr>
                <w:sz w:val="18"/>
                <w:szCs w:val="18"/>
              </w:rPr>
              <w:t>Доклад в соответствии со статьей 21</w:t>
            </w:r>
          </w:p>
          <w:p w14:paraId="07F77C33" w14:textId="7CFEDFCB" w:rsidR="00804AA1" w:rsidRPr="00182C6D" w:rsidRDefault="00FA002A" w:rsidP="00182C6D">
            <w:pPr>
              <w:tabs>
                <w:tab w:val="clear" w:pos="1247"/>
                <w:tab w:val="clear" w:pos="1814"/>
                <w:tab w:val="clear" w:pos="2381"/>
                <w:tab w:val="clear" w:pos="2948"/>
                <w:tab w:val="clear" w:pos="3515"/>
              </w:tabs>
              <w:spacing w:before="40" w:after="40"/>
              <w:ind w:left="170" w:hanging="170"/>
              <w:rPr>
                <w:sz w:val="18"/>
                <w:szCs w:val="18"/>
              </w:rPr>
            </w:pPr>
            <w:r>
              <w:rPr>
                <w:sz w:val="18"/>
                <w:szCs w:val="18"/>
              </w:rPr>
              <w:t>-</w:t>
            </w:r>
            <w:r>
              <w:rPr>
                <w:sz w:val="18"/>
                <w:szCs w:val="18"/>
              </w:rPr>
              <w:tab/>
            </w:r>
            <w:r w:rsidR="00804AA1" w:rsidRPr="00182C6D">
              <w:rPr>
                <w:sz w:val="18"/>
                <w:szCs w:val="18"/>
              </w:rPr>
              <w:t>Доклад Комитета по осуществлению и соблюдению</w:t>
            </w:r>
          </w:p>
          <w:p w14:paraId="3C646E32" w14:textId="6F94D72A" w:rsidR="00804AA1" w:rsidRPr="00182C6D" w:rsidRDefault="00FA002A" w:rsidP="00182C6D">
            <w:pPr>
              <w:tabs>
                <w:tab w:val="clear" w:pos="1247"/>
                <w:tab w:val="clear" w:pos="1814"/>
                <w:tab w:val="clear" w:pos="2381"/>
                <w:tab w:val="clear" w:pos="2948"/>
                <w:tab w:val="clear" w:pos="3515"/>
              </w:tabs>
              <w:spacing w:before="40" w:after="40"/>
              <w:ind w:left="170" w:hanging="170"/>
              <w:rPr>
                <w:sz w:val="18"/>
                <w:szCs w:val="18"/>
              </w:rPr>
            </w:pPr>
            <w:r>
              <w:rPr>
                <w:sz w:val="18"/>
                <w:szCs w:val="18"/>
              </w:rPr>
              <w:t>-</w:t>
            </w:r>
            <w:r>
              <w:rPr>
                <w:sz w:val="18"/>
                <w:szCs w:val="18"/>
              </w:rPr>
              <w:tab/>
            </w:r>
            <w:r w:rsidR="00804AA1" w:rsidRPr="00182C6D">
              <w:rPr>
                <w:sz w:val="18"/>
                <w:szCs w:val="18"/>
              </w:rPr>
              <w:t>Доклады о механизме финансирования (статья 13)</w:t>
            </w:r>
          </w:p>
          <w:p w14:paraId="73E43A72" w14:textId="3508B821" w:rsidR="00804AA1" w:rsidRPr="00182C6D" w:rsidRDefault="00FA002A" w:rsidP="00182C6D">
            <w:pPr>
              <w:tabs>
                <w:tab w:val="clear" w:pos="1247"/>
                <w:tab w:val="clear" w:pos="1814"/>
                <w:tab w:val="clear" w:pos="2381"/>
                <w:tab w:val="clear" w:pos="2948"/>
                <w:tab w:val="clear" w:pos="3515"/>
              </w:tabs>
              <w:spacing w:before="40" w:after="40"/>
              <w:ind w:left="170" w:hanging="170"/>
              <w:rPr>
                <w:sz w:val="18"/>
                <w:szCs w:val="18"/>
              </w:rPr>
            </w:pPr>
            <w:r>
              <w:rPr>
                <w:sz w:val="18"/>
                <w:szCs w:val="18"/>
              </w:rPr>
              <w:t>-</w:t>
            </w:r>
            <w:r>
              <w:rPr>
                <w:sz w:val="18"/>
                <w:szCs w:val="18"/>
              </w:rPr>
              <w:tab/>
            </w:r>
            <w:r w:rsidR="00804AA1" w:rsidRPr="00182C6D">
              <w:rPr>
                <w:sz w:val="18"/>
                <w:szCs w:val="18"/>
              </w:rPr>
              <w:t>Доклады о создании потенциала, техническом содействии и передаче технологии (статья 14)</w:t>
            </w:r>
          </w:p>
        </w:tc>
        <w:tc>
          <w:tcPr>
            <w:tcW w:w="3135" w:type="dxa"/>
            <w:shd w:val="clear" w:color="auto" w:fill="FFFFFF" w:themeFill="background1"/>
          </w:tcPr>
          <w:p w14:paraId="15A30FCB" w14:textId="2317E930" w:rsidR="00804AA1" w:rsidRPr="004F7229" w:rsidRDefault="00FA002A" w:rsidP="00FA002A">
            <w:pPr>
              <w:tabs>
                <w:tab w:val="clear" w:pos="1247"/>
                <w:tab w:val="clear" w:pos="1814"/>
                <w:tab w:val="clear" w:pos="2381"/>
                <w:tab w:val="clear" w:pos="2948"/>
                <w:tab w:val="clear" w:pos="3515"/>
              </w:tabs>
              <w:spacing w:before="40" w:after="40"/>
              <w:ind w:left="170" w:hanging="170"/>
              <w:rPr>
                <w:sz w:val="18"/>
                <w:szCs w:val="18"/>
              </w:rPr>
            </w:pPr>
            <w:r>
              <w:rPr>
                <w:sz w:val="18"/>
                <w:szCs w:val="18"/>
              </w:rPr>
              <w:t>-</w:t>
            </w:r>
            <w:r>
              <w:rPr>
                <w:sz w:val="18"/>
                <w:szCs w:val="18"/>
              </w:rPr>
              <w:tab/>
            </w:r>
            <w:r w:rsidR="00804AA1" w:rsidRPr="004F7229">
              <w:rPr>
                <w:sz w:val="18"/>
                <w:szCs w:val="18"/>
              </w:rPr>
              <w:t>Доклад в соответствии со статьей 21</w:t>
            </w:r>
          </w:p>
          <w:p w14:paraId="2BA19346"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p>
        </w:tc>
        <w:tc>
          <w:tcPr>
            <w:tcW w:w="3136" w:type="dxa"/>
            <w:gridSpan w:val="2"/>
            <w:shd w:val="clear" w:color="auto" w:fill="FFFFFF" w:themeFill="background1"/>
          </w:tcPr>
          <w:p w14:paraId="709BA491"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Не применимо</w:t>
            </w:r>
          </w:p>
        </w:tc>
        <w:tc>
          <w:tcPr>
            <w:tcW w:w="3448" w:type="dxa"/>
            <w:vMerge/>
            <w:shd w:val="clear" w:color="auto" w:fill="auto"/>
          </w:tcPr>
          <w:p w14:paraId="1E053B19"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p>
        </w:tc>
      </w:tr>
      <w:tr w:rsidR="00804AA1" w:rsidRPr="004F7229" w14:paraId="42CC1FA4" w14:textId="77777777" w:rsidTr="00B93098">
        <w:trPr>
          <w:cantSplit/>
          <w:trHeight w:val="57"/>
          <w:jc w:val="center"/>
        </w:trPr>
        <w:tc>
          <w:tcPr>
            <w:tcW w:w="1565" w:type="dxa"/>
            <w:vMerge w:val="restart"/>
            <w:tcBorders>
              <w:bottom w:val="single" w:sz="4" w:space="0" w:color="auto"/>
            </w:tcBorders>
            <w:shd w:val="clear" w:color="auto" w:fill="B8CCE4" w:themeFill="accent1" w:themeFillTint="66"/>
          </w:tcPr>
          <w:p w14:paraId="59804545" w14:textId="77777777" w:rsidR="00804AA1" w:rsidRPr="004F7229" w:rsidRDefault="00804AA1" w:rsidP="00E24098">
            <w:pPr>
              <w:tabs>
                <w:tab w:val="clear" w:pos="1247"/>
                <w:tab w:val="clear" w:pos="1814"/>
                <w:tab w:val="clear" w:pos="2381"/>
                <w:tab w:val="clear" w:pos="2948"/>
                <w:tab w:val="clear" w:pos="3515"/>
              </w:tabs>
              <w:spacing w:before="40" w:after="40"/>
              <w:rPr>
                <w:b/>
                <w:bCs/>
                <w:sz w:val="18"/>
                <w:szCs w:val="18"/>
              </w:rPr>
            </w:pPr>
            <w:r w:rsidRPr="004F7229">
              <w:rPr>
                <w:b/>
                <w:bCs/>
                <w:sz w:val="18"/>
                <w:szCs w:val="18"/>
              </w:rPr>
              <w:t xml:space="preserve">Доклады, которые должны быть подготовлены для комитета по </w:t>
            </w:r>
            <w:r w:rsidRPr="004F7229">
              <w:rPr>
                <w:b/>
                <w:bCs/>
                <w:sz w:val="18"/>
                <w:szCs w:val="18"/>
              </w:rPr>
              <w:lastRenderedPageBreak/>
              <w:t>оценке эффективности</w:t>
            </w:r>
          </w:p>
        </w:tc>
        <w:tc>
          <w:tcPr>
            <w:tcW w:w="698" w:type="dxa"/>
            <w:vMerge w:val="restart"/>
            <w:tcBorders>
              <w:bottom w:val="single" w:sz="4" w:space="0" w:color="auto"/>
              <w:right w:val="single" w:sz="4" w:space="0" w:color="auto"/>
            </w:tcBorders>
            <w:shd w:val="clear" w:color="auto" w:fill="FFFFFF" w:themeFill="background1"/>
            <w:textDirection w:val="btLr"/>
          </w:tcPr>
          <w:p w14:paraId="5774722D" w14:textId="72C10D33" w:rsidR="00804AA1" w:rsidRPr="004F7229" w:rsidRDefault="00804AA1" w:rsidP="00B93098">
            <w:pPr>
              <w:tabs>
                <w:tab w:val="clear" w:pos="1247"/>
                <w:tab w:val="clear" w:pos="1814"/>
                <w:tab w:val="clear" w:pos="2381"/>
                <w:tab w:val="clear" w:pos="2948"/>
                <w:tab w:val="clear" w:pos="3515"/>
              </w:tabs>
              <w:spacing w:before="40" w:after="40"/>
              <w:ind w:left="113" w:right="113"/>
              <w:jc w:val="center"/>
              <w:rPr>
                <w:sz w:val="18"/>
                <w:szCs w:val="18"/>
              </w:rPr>
            </w:pPr>
            <w:r w:rsidRPr="004F7229">
              <w:rPr>
                <w:sz w:val="18"/>
                <w:szCs w:val="18"/>
              </w:rPr>
              <w:lastRenderedPageBreak/>
              <w:t>Уровни 1-3</w:t>
            </w:r>
          </w:p>
        </w:tc>
        <w:tc>
          <w:tcPr>
            <w:tcW w:w="5571" w:type="dxa"/>
            <w:gridSpan w:val="2"/>
            <w:vMerge w:val="restart"/>
            <w:tcBorders>
              <w:top w:val="single" w:sz="4" w:space="0" w:color="auto"/>
              <w:left w:val="single" w:sz="4" w:space="0" w:color="auto"/>
              <w:bottom w:val="nil"/>
              <w:right w:val="single" w:sz="4" w:space="0" w:color="auto"/>
            </w:tcBorders>
            <w:shd w:val="clear" w:color="auto" w:fill="auto"/>
          </w:tcPr>
          <w:p w14:paraId="294D0F60" w14:textId="77777777" w:rsidR="00804AA1" w:rsidRPr="004F7229" w:rsidRDefault="00804AA1" w:rsidP="00E24098">
            <w:pPr>
              <w:tabs>
                <w:tab w:val="clear" w:pos="1247"/>
                <w:tab w:val="clear" w:pos="1814"/>
                <w:tab w:val="clear" w:pos="2381"/>
                <w:tab w:val="clear" w:pos="2948"/>
                <w:tab w:val="clear" w:pos="3515"/>
              </w:tabs>
              <w:spacing w:before="40" w:after="40"/>
              <w:rPr>
                <w:i/>
                <w:iCs/>
                <w:sz w:val="18"/>
                <w:szCs w:val="18"/>
              </w:rPr>
            </w:pPr>
            <w:r w:rsidRPr="004F7229">
              <w:rPr>
                <w:sz w:val="18"/>
                <w:szCs w:val="18"/>
              </w:rPr>
              <w:t>1. Сводный доклад в соответствии со статьей 21 о прогрессе, достигнутом Сторонами в выполнении своих обязательств по Минаматской конвенции (соответствующие показатели приводятся в докладах в соответствии со статей 21)</w:t>
            </w:r>
          </w:p>
          <w:p w14:paraId="0C53A65A" w14:textId="22247271"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lastRenderedPageBreak/>
              <w:t>2. Доклад о выбросах и высвобождени</w:t>
            </w:r>
            <w:r w:rsidR="007E391E">
              <w:rPr>
                <w:sz w:val="18"/>
                <w:szCs w:val="18"/>
              </w:rPr>
              <w:t>ях</w:t>
            </w:r>
            <w:r w:rsidRPr="004F7229">
              <w:rPr>
                <w:sz w:val="18"/>
                <w:szCs w:val="18"/>
              </w:rPr>
              <w:t xml:space="preserve"> ртути в окружающую среду (группа показателей, касающихся последствий)</w:t>
            </w:r>
          </w:p>
          <w:p w14:paraId="00218152" w14:textId="6C06AE15" w:rsidR="00804AA1" w:rsidRPr="004F7229" w:rsidRDefault="00804AA1" w:rsidP="00E24098">
            <w:pPr>
              <w:tabs>
                <w:tab w:val="clear" w:pos="1247"/>
                <w:tab w:val="clear" w:pos="1814"/>
                <w:tab w:val="clear" w:pos="2381"/>
                <w:tab w:val="clear" w:pos="2948"/>
                <w:tab w:val="clear" w:pos="3515"/>
              </w:tabs>
              <w:spacing w:before="40" w:after="40"/>
              <w:rPr>
                <w:i/>
                <w:iCs/>
                <w:sz w:val="18"/>
                <w:szCs w:val="18"/>
              </w:rPr>
            </w:pPr>
            <w:r w:rsidRPr="004F7229">
              <w:rPr>
                <w:sz w:val="18"/>
                <w:szCs w:val="18"/>
              </w:rPr>
              <w:t>3. Доклад о торговле р</w:t>
            </w:r>
            <w:r w:rsidR="004368F5" w:rsidRPr="004F7229">
              <w:rPr>
                <w:sz w:val="18"/>
                <w:szCs w:val="18"/>
              </w:rPr>
              <w:t>т</w:t>
            </w:r>
            <w:r w:rsidRPr="004F7229">
              <w:rPr>
                <w:sz w:val="18"/>
                <w:szCs w:val="18"/>
              </w:rPr>
              <w:t>утью, ее предложении и спросе на нее в экономике (группа показателей, касающихся спроса) «Оборот ртути в экономике»</w:t>
            </w:r>
          </w:p>
        </w:tc>
        <w:tc>
          <w:tcPr>
            <w:tcW w:w="785" w:type="dxa"/>
            <w:tcBorders>
              <w:left w:val="single" w:sz="4" w:space="0" w:color="auto"/>
              <w:bottom w:val="single" w:sz="4" w:space="0" w:color="auto"/>
            </w:tcBorders>
            <w:shd w:val="clear" w:color="auto" w:fill="FFFFFF" w:themeFill="background1"/>
            <w:textDirection w:val="btLr"/>
          </w:tcPr>
          <w:p w14:paraId="206AEA3A" w14:textId="77777777" w:rsidR="00804AA1" w:rsidRPr="004F7229" w:rsidRDefault="00804AA1" w:rsidP="00E24098">
            <w:pPr>
              <w:tabs>
                <w:tab w:val="clear" w:pos="1247"/>
                <w:tab w:val="clear" w:pos="1814"/>
                <w:tab w:val="clear" w:pos="2381"/>
                <w:tab w:val="clear" w:pos="2948"/>
                <w:tab w:val="clear" w:pos="3515"/>
              </w:tabs>
              <w:spacing w:before="40" w:after="40"/>
              <w:ind w:left="113" w:right="113"/>
              <w:jc w:val="center"/>
              <w:rPr>
                <w:sz w:val="18"/>
                <w:szCs w:val="18"/>
              </w:rPr>
            </w:pPr>
            <w:r w:rsidRPr="004F7229">
              <w:rPr>
                <w:sz w:val="18"/>
                <w:szCs w:val="18"/>
              </w:rPr>
              <w:lastRenderedPageBreak/>
              <w:t>Уровень 3</w:t>
            </w:r>
          </w:p>
        </w:tc>
        <w:tc>
          <w:tcPr>
            <w:tcW w:w="2351" w:type="dxa"/>
            <w:tcBorders>
              <w:bottom w:val="single" w:sz="4" w:space="0" w:color="auto"/>
            </w:tcBorders>
            <w:shd w:val="clear" w:color="auto" w:fill="FFFFFF" w:themeFill="background1"/>
          </w:tcPr>
          <w:p w14:paraId="40A878D5"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p>
          <w:p w14:paraId="1A30495D"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5. Доклад о мониторинге</w:t>
            </w:r>
          </w:p>
          <w:p w14:paraId="497B4149"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p>
          <w:p w14:paraId="188478D2"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p>
          <w:p w14:paraId="2D1BC7F6"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p>
        </w:tc>
        <w:tc>
          <w:tcPr>
            <w:tcW w:w="3448" w:type="dxa"/>
            <w:vMerge/>
            <w:tcBorders>
              <w:bottom w:val="single" w:sz="4" w:space="0" w:color="auto"/>
            </w:tcBorders>
            <w:shd w:val="clear" w:color="auto" w:fill="auto"/>
            <w:textDirection w:val="btLr"/>
          </w:tcPr>
          <w:p w14:paraId="1DD300A3"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p>
        </w:tc>
      </w:tr>
      <w:tr w:rsidR="00804AA1" w:rsidRPr="004F7229" w14:paraId="50ADD859" w14:textId="77777777" w:rsidTr="00B93098">
        <w:trPr>
          <w:cantSplit/>
          <w:trHeight w:val="287"/>
          <w:jc w:val="center"/>
        </w:trPr>
        <w:tc>
          <w:tcPr>
            <w:tcW w:w="1565" w:type="dxa"/>
            <w:vMerge/>
            <w:shd w:val="clear" w:color="auto" w:fill="B8CCE4" w:themeFill="accent1" w:themeFillTint="66"/>
          </w:tcPr>
          <w:p w14:paraId="2BE6B9C9" w14:textId="77777777" w:rsidR="00804AA1" w:rsidRPr="004F7229" w:rsidRDefault="00804AA1" w:rsidP="00E24098">
            <w:pPr>
              <w:tabs>
                <w:tab w:val="clear" w:pos="1247"/>
                <w:tab w:val="clear" w:pos="1814"/>
                <w:tab w:val="clear" w:pos="2381"/>
                <w:tab w:val="clear" w:pos="2948"/>
                <w:tab w:val="clear" w:pos="3515"/>
              </w:tabs>
              <w:spacing w:before="40" w:after="40"/>
              <w:rPr>
                <w:b/>
                <w:bCs/>
                <w:sz w:val="18"/>
                <w:szCs w:val="18"/>
              </w:rPr>
            </w:pPr>
          </w:p>
        </w:tc>
        <w:tc>
          <w:tcPr>
            <w:tcW w:w="698" w:type="dxa"/>
            <w:vMerge/>
            <w:tcBorders>
              <w:right w:val="single" w:sz="4" w:space="0" w:color="auto"/>
            </w:tcBorders>
            <w:shd w:val="clear" w:color="auto" w:fill="FFFFFF" w:themeFill="background1"/>
            <w:textDirection w:val="btLr"/>
          </w:tcPr>
          <w:p w14:paraId="4D721A60" w14:textId="77777777" w:rsidR="00804AA1" w:rsidRPr="004F7229" w:rsidRDefault="00804AA1" w:rsidP="00E24098">
            <w:pPr>
              <w:tabs>
                <w:tab w:val="clear" w:pos="1247"/>
                <w:tab w:val="clear" w:pos="1814"/>
                <w:tab w:val="clear" w:pos="2381"/>
                <w:tab w:val="clear" w:pos="2948"/>
                <w:tab w:val="clear" w:pos="3515"/>
              </w:tabs>
              <w:spacing w:before="40" w:after="40"/>
              <w:ind w:left="113" w:right="113"/>
              <w:jc w:val="center"/>
              <w:rPr>
                <w:sz w:val="18"/>
                <w:szCs w:val="18"/>
              </w:rPr>
            </w:pPr>
          </w:p>
        </w:tc>
        <w:tc>
          <w:tcPr>
            <w:tcW w:w="5571" w:type="dxa"/>
            <w:gridSpan w:val="2"/>
            <w:vMerge/>
            <w:tcBorders>
              <w:top w:val="nil"/>
              <w:left w:val="single" w:sz="4" w:space="0" w:color="auto"/>
              <w:bottom w:val="nil"/>
              <w:right w:val="single" w:sz="4" w:space="0" w:color="auto"/>
            </w:tcBorders>
            <w:shd w:val="clear" w:color="auto" w:fill="auto"/>
          </w:tcPr>
          <w:p w14:paraId="2D6AC438" w14:textId="77777777" w:rsidR="00804AA1" w:rsidRPr="004F7229" w:rsidRDefault="00804AA1" w:rsidP="00E24098">
            <w:pPr>
              <w:tabs>
                <w:tab w:val="clear" w:pos="1247"/>
                <w:tab w:val="clear" w:pos="1814"/>
                <w:tab w:val="clear" w:pos="2381"/>
                <w:tab w:val="clear" w:pos="2948"/>
                <w:tab w:val="clear" w:pos="3515"/>
              </w:tabs>
              <w:spacing w:before="40" w:after="40"/>
              <w:rPr>
                <w:i/>
                <w:iCs/>
                <w:sz w:val="18"/>
                <w:szCs w:val="18"/>
              </w:rPr>
            </w:pPr>
          </w:p>
        </w:tc>
        <w:tc>
          <w:tcPr>
            <w:tcW w:w="785" w:type="dxa"/>
            <w:vMerge w:val="restart"/>
            <w:tcBorders>
              <w:left w:val="single" w:sz="4" w:space="0" w:color="auto"/>
            </w:tcBorders>
            <w:shd w:val="clear" w:color="auto" w:fill="auto"/>
            <w:textDirection w:val="btLr"/>
          </w:tcPr>
          <w:p w14:paraId="500E8C2D" w14:textId="004783DF" w:rsidR="00804AA1" w:rsidRPr="004F7229" w:rsidRDefault="00804AA1" w:rsidP="0044137F">
            <w:pPr>
              <w:tabs>
                <w:tab w:val="clear" w:pos="1247"/>
                <w:tab w:val="clear" w:pos="1814"/>
                <w:tab w:val="clear" w:pos="2381"/>
                <w:tab w:val="clear" w:pos="2948"/>
                <w:tab w:val="clear" w:pos="3515"/>
              </w:tabs>
              <w:spacing w:before="40" w:after="40"/>
              <w:ind w:left="113" w:right="113"/>
              <w:jc w:val="center"/>
              <w:rPr>
                <w:sz w:val="18"/>
                <w:szCs w:val="18"/>
              </w:rPr>
            </w:pPr>
            <w:r w:rsidRPr="004F7229">
              <w:rPr>
                <w:sz w:val="18"/>
                <w:szCs w:val="18"/>
              </w:rPr>
              <w:t>Уровень 4</w:t>
            </w:r>
          </w:p>
        </w:tc>
        <w:tc>
          <w:tcPr>
            <w:tcW w:w="2351" w:type="dxa"/>
            <w:vMerge w:val="restart"/>
            <w:shd w:val="clear" w:color="auto" w:fill="auto"/>
          </w:tcPr>
          <w:p w14:paraId="5924875E"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p>
          <w:p w14:paraId="696A0600" w14:textId="79C13584"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731EC1">
              <w:rPr>
                <w:sz w:val="18"/>
                <w:szCs w:val="18"/>
                <w:highlight w:val="lightGray"/>
              </w:rPr>
              <w:t>6. Доклад о взаимосвязи</w:t>
            </w:r>
          </w:p>
          <w:p w14:paraId="23751A93"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p>
        </w:tc>
        <w:tc>
          <w:tcPr>
            <w:tcW w:w="3448" w:type="dxa"/>
            <w:vMerge/>
            <w:shd w:val="clear" w:color="auto" w:fill="auto"/>
            <w:textDirection w:val="btLr"/>
          </w:tcPr>
          <w:p w14:paraId="5E893472"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p>
        </w:tc>
      </w:tr>
      <w:tr w:rsidR="00804AA1" w:rsidRPr="004F7229" w14:paraId="160D7F83" w14:textId="77777777" w:rsidTr="00B93098">
        <w:trPr>
          <w:cantSplit/>
          <w:trHeight w:val="57"/>
          <w:jc w:val="center"/>
        </w:trPr>
        <w:tc>
          <w:tcPr>
            <w:tcW w:w="1565" w:type="dxa"/>
            <w:vMerge/>
            <w:shd w:val="clear" w:color="auto" w:fill="B8CCE4" w:themeFill="accent1" w:themeFillTint="66"/>
          </w:tcPr>
          <w:p w14:paraId="3851AD7E" w14:textId="77777777" w:rsidR="00804AA1" w:rsidRPr="004F7229" w:rsidRDefault="00804AA1" w:rsidP="00E24098">
            <w:pPr>
              <w:tabs>
                <w:tab w:val="clear" w:pos="1247"/>
                <w:tab w:val="clear" w:pos="1814"/>
                <w:tab w:val="clear" w:pos="2381"/>
                <w:tab w:val="clear" w:pos="2948"/>
                <w:tab w:val="clear" w:pos="3515"/>
              </w:tabs>
              <w:spacing w:before="40" w:after="40"/>
              <w:rPr>
                <w:b/>
                <w:bCs/>
                <w:sz w:val="18"/>
                <w:szCs w:val="18"/>
              </w:rPr>
            </w:pPr>
          </w:p>
        </w:tc>
        <w:tc>
          <w:tcPr>
            <w:tcW w:w="698" w:type="dxa"/>
            <w:vMerge/>
            <w:tcBorders>
              <w:right w:val="single" w:sz="4" w:space="0" w:color="auto"/>
            </w:tcBorders>
            <w:shd w:val="clear" w:color="auto" w:fill="FFFFFF" w:themeFill="background1"/>
            <w:textDirection w:val="btLr"/>
          </w:tcPr>
          <w:p w14:paraId="3079887A" w14:textId="77777777" w:rsidR="00804AA1" w:rsidRPr="004F7229" w:rsidRDefault="00804AA1" w:rsidP="00E24098">
            <w:pPr>
              <w:tabs>
                <w:tab w:val="clear" w:pos="1247"/>
                <w:tab w:val="clear" w:pos="1814"/>
                <w:tab w:val="clear" w:pos="2381"/>
                <w:tab w:val="clear" w:pos="2948"/>
                <w:tab w:val="clear" w:pos="3515"/>
              </w:tabs>
              <w:spacing w:before="40" w:after="40"/>
              <w:ind w:left="113" w:right="113"/>
              <w:jc w:val="center"/>
              <w:rPr>
                <w:b/>
                <w:bCs/>
                <w:sz w:val="18"/>
                <w:szCs w:val="18"/>
              </w:rPr>
            </w:pPr>
          </w:p>
        </w:tc>
        <w:tc>
          <w:tcPr>
            <w:tcW w:w="5571" w:type="dxa"/>
            <w:gridSpan w:val="2"/>
            <w:tcBorders>
              <w:top w:val="nil"/>
              <w:left w:val="single" w:sz="4" w:space="0" w:color="auto"/>
              <w:bottom w:val="single" w:sz="4" w:space="0" w:color="auto"/>
              <w:right w:val="single" w:sz="4" w:space="0" w:color="auto"/>
            </w:tcBorders>
            <w:shd w:val="clear" w:color="auto" w:fill="auto"/>
          </w:tcPr>
          <w:p w14:paraId="417571A8" w14:textId="77777777" w:rsidR="00804AA1" w:rsidRPr="004F7229" w:rsidRDefault="00804AA1" w:rsidP="00E24098">
            <w:pPr>
              <w:tabs>
                <w:tab w:val="clear" w:pos="1247"/>
                <w:tab w:val="clear" w:pos="1814"/>
                <w:tab w:val="clear" w:pos="2381"/>
                <w:tab w:val="clear" w:pos="2948"/>
                <w:tab w:val="clear" w:pos="3515"/>
              </w:tabs>
              <w:spacing w:before="40" w:after="40"/>
              <w:rPr>
                <w:i/>
                <w:iCs/>
                <w:sz w:val="18"/>
                <w:szCs w:val="18"/>
              </w:rPr>
            </w:pPr>
            <w:r w:rsidRPr="00654C35">
              <w:rPr>
                <w:sz w:val="18"/>
                <w:szCs w:val="18"/>
                <w:highlight w:val="lightGray"/>
              </w:rPr>
              <w:t>4. Доклад об отходах (группы показателей, связанных со спросом, предложением и последствиями) «Ртуть, остающаяся в экономическом обороте»</w:t>
            </w:r>
            <w:r w:rsidRPr="004F7229">
              <w:rPr>
                <w:sz w:val="18"/>
                <w:szCs w:val="18"/>
              </w:rPr>
              <w:t xml:space="preserve"> </w:t>
            </w:r>
          </w:p>
        </w:tc>
        <w:tc>
          <w:tcPr>
            <w:tcW w:w="785" w:type="dxa"/>
            <w:vMerge/>
            <w:tcBorders>
              <w:left w:val="single" w:sz="4" w:space="0" w:color="auto"/>
            </w:tcBorders>
            <w:shd w:val="clear" w:color="auto" w:fill="auto"/>
            <w:textDirection w:val="btLr"/>
          </w:tcPr>
          <w:p w14:paraId="519622DB" w14:textId="77777777" w:rsidR="00804AA1" w:rsidRPr="004F7229" w:rsidRDefault="00804AA1" w:rsidP="00E24098">
            <w:pPr>
              <w:tabs>
                <w:tab w:val="clear" w:pos="1247"/>
                <w:tab w:val="clear" w:pos="1814"/>
                <w:tab w:val="clear" w:pos="2381"/>
                <w:tab w:val="clear" w:pos="2948"/>
                <w:tab w:val="clear" w:pos="3515"/>
              </w:tabs>
              <w:spacing w:before="40" w:after="40"/>
              <w:ind w:left="113" w:right="113"/>
              <w:jc w:val="center"/>
              <w:rPr>
                <w:b/>
                <w:bCs/>
                <w:sz w:val="18"/>
                <w:szCs w:val="18"/>
              </w:rPr>
            </w:pPr>
          </w:p>
        </w:tc>
        <w:tc>
          <w:tcPr>
            <w:tcW w:w="2351" w:type="dxa"/>
            <w:vMerge/>
            <w:shd w:val="clear" w:color="auto" w:fill="auto"/>
          </w:tcPr>
          <w:p w14:paraId="07C409D2" w14:textId="77777777" w:rsidR="00804AA1" w:rsidRPr="004F7229" w:rsidRDefault="00804AA1" w:rsidP="00E24098">
            <w:pPr>
              <w:tabs>
                <w:tab w:val="clear" w:pos="1247"/>
                <w:tab w:val="clear" w:pos="1814"/>
                <w:tab w:val="clear" w:pos="2381"/>
                <w:tab w:val="clear" w:pos="2948"/>
                <w:tab w:val="clear" w:pos="3515"/>
              </w:tabs>
              <w:spacing w:before="40" w:after="40"/>
              <w:rPr>
                <w:b/>
                <w:bCs/>
                <w:sz w:val="18"/>
                <w:szCs w:val="18"/>
              </w:rPr>
            </w:pPr>
          </w:p>
        </w:tc>
        <w:tc>
          <w:tcPr>
            <w:tcW w:w="3448" w:type="dxa"/>
            <w:vMerge/>
            <w:shd w:val="clear" w:color="auto" w:fill="auto"/>
            <w:textDirection w:val="btLr"/>
          </w:tcPr>
          <w:p w14:paraId="06B9841A"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p>
        </w:tc>
      </w:tr>
      <w:tr w:rsidR="00804AA1" w:rsidRPr="004F7229" w14:paraId="2620B852" w14:textId="77777777" w:rsidTr="00B93098">
        <w:trPr>
          <w:cantSplit/>
          <w:trHeight w:val="57"/>
          <w:jc w:val="center"/>
        </w:trPr>
        <w:tc>
          <w:tcPr>
            <w:tcW w:w="1565" w:type="dxa"/>
            <w:shd w:val="clear" w:color="auto" w:fill="B8CCE4" w:themeFill="accent1" w:themeFillTint="66"/>
          </w:tcPr>
          <w:p w14:paraId="1EE1828F" w14:textId="6B4717EA" w:rsidR="00804AA1" w:rsidRPr="004F7229" w:rsidRDefault="00804AA1" w:rsidP="00E24098">
            <w:pPr>
              <w:tabs>
                <w:tab w:val="clear" w:pos="1247"/>
                <w:tab w:val="clear" w:pos="1814"/>
                <w:tab w:val="clear" w:pos="2381"/>
                <w:tab w:val="clear" w:pos="2948"/>
                <w:tab w:val="clear" w:pos="3515"/>
              </w:tabs>
              <w:spacing w:before="40" w:after="40"/>
              <w:rPr>
                <w:b/>
                <w:bCs/>
                <w:sz w:val="18"/>
                <w:szCs w:val="18"/>
              </w:rPr>
            </w:pPr>
            <w:r w:rsidRPr="004F7229">
              <w:rPr>
                <w:b/>
                <w:bCs/>
                <w:sz w:val="18"/>
                <w:szCs w:val="18"/>
              </w:rPr>
              <w:t>Результат</w:t>
            </w:r>
          </w:p>
        </w:tc>
        <w:tc>
          <w:tcPr>
            <w:tcW w:w="12853" w:type="dxa"/>
            <w:gridSpan w:val="6"/>
            <w:shd w:val="clear" w:color="auto" w:fill="auto"/>
          </w:tcPr>
          <w:p w14:paraId="4C5A63BE" w14:textId="77777777" w:rsidR="00804AA1" w:rsidRPr="004F7229" w:rsidRDefault="00804AA1" w:rsidP="00E24098">
            <w:pPr>
              <w:tabs>
                <w:tab w:val="clear" w:pos="1247"/>
                <w:tab w:val="clear" w:pos="1814"/>
                <w:tab w:val="clear" w:pos="2381"/>
                <w:tab w:val="clear" w:pos="2948"/>
                <w:tab w:val="clear" w:pos="3515"/>
              </w:tabs>
              <w:spacing w:before="40" w:after="40"/>
              <w:jc w:val="right"/>
              <w:rPr>
                <w:sz w:val="18"/>
                <w:szCs w:val="18"/>
              </w:rPr>
            </w:pPr>
            <w:r w:rsidRPr="004F7229">
              <w:rPr>
                <w:sz w:val="18"/>
                <w:szCs w:val="18"/>
              </w:rPr>
              <w:t>Уровень 6</w:t>
            </w:r>
          </w:p>
          <w:p w14:paraId="42B147EA" w14:textId="77777777" w:rsidR="00804AA1" w:rsidRPr="004F7229" w:rsidRDefault="00804AA1" w:rsidP="00E24098">
            <w:pPr>
              <w:tabs>
                <w:tab w:val="clear" w:pos="1247"/>
                <w:tab w:val="clear" w:pos="1814"/>
                <w:tab w:val="clear" w:pos="2381"/>
                <w:tab w:val="clear" w:pos="2948"/>
                <w:tab w:val="clear" w:pos="3515"/>
              </w:tabs>
              <w:spacing w:before="40" w:after="40"/>
              <w:rPr>
                <w:sz w:val="18"/>
                <w:szCs w:val="18"/>
              </w:rPr>
            </w:pPr>
            <w:r w:rsidRPr="004F7229">
              <w:rPr>
                <w:sz w:val="18"/>
                <w:szCs w:val="18"/>
              </w:rPr>
              <w:t>Конференция Сторон рассмотрит выводы, которые комитет по оценке эффективности сделает в отношении четырех предметных вопросов.</w:t>
            </w:r>
          </w:p>
        </w:tc>
      </w:tr>
    </w:tbl>
    <w:p w14:paraId="504BF33C" w14:textId="09BE9A51" w:rsidR="00804AA1" w:rsidRPr="00CC0502" w:rsidRDefault="00804AA1" w:rsidP="00804AA1">
      <w:pPr>
        <w:tabs>
          <w:tab w:val="clear" w:pos="1247"/>
          <w:tab w:val="left" w:pos="567"/>
        </w:tabs>
        <w:rPr>
          <w:rFonts w:asciiTheme="majorBidi" w:eastAsia="Arial Unicode MS" w:hAnsiTheme="majorBidi" w:cstheme="majorBidi"/>
          <w:color w:val="000000"/>
          <w:sz w:val="24"/>
          <w:szCs w:val="24"/>
          <w:u w:color="000000"/>
          <w:bdr w:val="nil"/>
        </w:rPr>
      </w:pPr>
    </w:p>
    <w:p w14:paraId="4AF933AF" w14:textId="5540ACFF" w:rsidR="00D8160C" w:rsidRDefault="00D8160C" w:rsidP="005F70D6">
      <w:pPr>
        <w:pStyle w:val="Normalnumber"/>
        <w:numPr>
          <w:ilvl w:val="0"/>
          <w:numId w:val="0"/>
        </w:numPr>
        <w:tabs>
          <w:tab w:val="clear" w:pos="624"/>
        </w:tabs>
        <w:ind w:left="1247"/>
      </w:pPr>
    </w:p>
    <w:p w14:paraId="637B17DC" w14:textId="77777777" w:rsidR="00851D61" w:rsidRDefault="00851D61" w:rsidP="005F70D6">
      <w:pPr>
        <w:pStyle w:val="Normalnumber"/>
        <w:numPr>
          <w:ilvl w:val="0"/>
          <w:numId w:val="0"/>
        </w:numPr>
        <w:tabs>
          <w:tab w:val="clear" w:pos="624"/>
        </w:tabs>
        <w:ind w:left="1247"/>
        <w:sectPr w:rsidR="00851D61" w:rsidSect="00D8160C">
          <w:pgSz w:w="16838" w:h="11906" w:orient="landscape" w:code="9"/>
          <w:pgMar w:top="907" w:right="992" w:bottom="1418" w:left="1418" w:header="539" w:footer="975" w:gutter="0"/>
          <w:cols w:space="539"/>
          <w:docGrid w:linePitch="360"/>
        </w:sectPr>
      </w:pPr>
    </w:p>
    <w:p w14:paraId="1656ACE6" w14:textId="2BD0A0F1" w:rsidR="007F41F5" w:rsidRPr="00FA295B" w:rsidRDefault="00FA295B" w:rsidP="00FA295B">
      <w:pPr>
        <w:tabs>
          <w:tab w:val="clear" w:pos="1247"/>
          <w:tab w:val="clear" w:pos="1814"/>
          <w:tab w:val="clear" w:pos="2381"/>
          <w:tab w:val="clear" w:pos="2948"/>
          <w:tab w:val="clear" w:pos="3515"/>
          <w:tab w:val="right" w:pos="851"/>
        </w:tabs>
        <w:spacing w:after="120"/>
        <w:ind w:left="1247" w:right="284" w:hanging="1247"/>
        <w:rPr>
          <w:b/>
          <w:bCs/>
          <w:sz w:val="28"/>
          <w:szCs w:val="28"/>
        </w:rPr>
      </w:pPr>
      <w:r w:rsidRPr="00FA295B">
        <w:rPr>
          <w:b/>
          <w:bCs/>
          <w:sz w:val="28"/>
          <w:szCs w:val="28"/>
        </w:rPr>
        <w:lastRenderedPageBreak/>
        <w:tab/>
      </w:r>
      <w:r w:rsidR="007F41F5" w:rsidRPr="00FA295B">
        <w:rPr>
          <w:b/>
          <w:bCs/>
          <w:sz w:val="28"/>
          <w:szCs w:val="28"/>
        </w:rPr>
        <w:t>III.</w:t>
      </w:r>
      <w:r w:rsidR="007F41F5" w:rsidRPr="00FA295B">
        <w:rPr>
          <w:b/>
          <w:bCs/>
          <w:sz w:val="28"/>
          <w:szCs w:val="28"/>
        </w:rPr>
        <w:tab/>
        <w:t>Предлагаемые методология и график проведения оценки эффективности</w:t>
      </w:r>
    </w:p>
    <w:p w14:paraId="16339F2A" w14:textId="77777777" w:rsidR="007F41F5" w:rsidRPr="00FA295B" w:rsidRDefault="007F41F5" w:rsidP="00FA295B">
      <w:pPr>
        <w:tabs>
          <w:tab w:val="clear" w:pos="1247"/>
          <w:tab w:val="clear" w:pos="1814"/>
          <w:tab w:val="clear" w:pos="2381"/>
          <w:tab w:val="clear" w:pos="2948"/>
          <w:tab w:val="clear" w:pos="3515"/>
          <w:tab w:val="right" w:pos="851"/>
        </w:tabs>
        <w:spacing w:after="120"/>
        <w:ind w:left="1247" w:right="284" w:hanging="1247"/>
        <w:rPr>
          <w:b/>
          <w:bCs/>
          <w:sz w:val="24"/>
          <w:szCs w:val="24"/>
        </w:rPr>
      </w:pPr>
      <w:r w:rsidRPr="00FA295B">
        <w:rPr>
          <w:b/>
          <w:bCs/>
          <w:sz w:val="24"/>
          <w:szCs w:val="24"/>
        </w:rPr>
        <w:tab/>
        <w:t>A.</w:t>
      </w:r>
      <w:r w:rsidRPr="00FA295B">
        <w:rPr>
          <w:b/>
          <w:bCs/>
          <w:sz w:val="24"/>
          <w:szCs w:val="24"/>
        </w:rPr>
        <w:tab/>
        <w:t>Обработка информации и ее анализ в целях предлагаемой оценки эффективности</w:t>
      </w:r>
    </w:p>
    <w:p w14:paraId="556DDD28" w14:textId="216D550F" w:rsidR="007F41F5" w:rsidRPr="00FA295B" w:rsidRDefault="007F41F5" w:rsidP="00FA295B">
      <w:pPr>
        <w:tabs>
          <w:tab w:val="clear" w:pos="1247"/>
          <w:tab w:val="clear" w:pos="1814"/>
          <w:tab w:val="clear" w:pos="2381"/>
          <w:tab w:val="clear" w:pos="2948"/>
          <w:tab w:val="clear" w:pos="3515"/>
        </w:tabs>
        <w:spacing w:after="120"/>
        <w:ind w:left="1247"/>
      </w:pPr>
      <w:r w:rsidRPr="00FA295B">
        <w:t>39.</w:t>
      </w:r>
      <w:r w:rsidRPr="00FA295B">
        <w:tab/>
        <w:t xml:space="preserve">Оценка эффективности будет включать несколько последовательных этапов идентификации и сбора данных, компиляции информации, оценки, анализа, синтеза, установления взаимосвязи (если это возможно) и обобщения. Система оценки представляет собой обработку потока информации, включая ее идентификацию и сбор, компиляцию и синтез (уровни 1-3). Далее в рамках системы оценки предусматривается функция установления взаимосвязи (уровень 4); это делается до доведения </w:t>
      </w:r>
      <w:r w:rsidR="007B718E">
        <w:t>информации</w:t>
      </w:r>
      <w:r w:rsidR="007B718E" w:rsidRPr="00FA295B">
        <w:t xml:space="preserve"> </w:t>
      </w:r>
      <w:r w:rsidRPr="00FA295B">
        <w:t>до комитета по оценке эффективности (уровень 5), после чего информация будет обобщаться, с тем чтобы позволить комитету сформулировать свои выводы для рассмотрения Конференцией Сторон (уровень 6). Происходящий на различных уровнях процесс обработки информации и ее анализа схематически представлен на диаграмме 1 ниже, и более подробно описывается далее в тексте.</w:t>
      </w:r>
    </w:p>
    <w:p w14:paraId="50F8D977" w14:textId="32151449" w:rsidR="007F41F5" w:rsidRPr="00731EC1" w:rsidRDefault="007F41F5" w:rsidP="00FA295B">
      <w:pPr>
        <w:tabs>
          <w:tab w:val="clear" w:pos="1247"/>
          <w:tab w:val="clear" w:pos="1814"/>
          <w:tab w:val="clear" w:pos="2381"/>
          <w:tab w:val="clear" w:pos="2948"/>
          <w:tab w:val="clear" w:pos="3515"/>
        </w:tabs>
        <w:spacing w:after="60"/>
        <w:ind w:left="1247"/>
        <w:rPr>
          <w:b/>
          <w:bCs/>
        </w:rPr>
      </w:pPr>
      <w:r w:rsidRPr="00731EC1">
        <w:t>Диаграмма 1</w:t>
      </w:r>
      <w:r w:rsidR="00766F1B" w:rsidRPr="00731EC1">
        <w:br/>
      </w:r>
      <w:r w:rsidRPr="00731EC1">
        <w:rPr>
          <w:b/>
          <w:bCs/>
        </w:rPr>
        <w:t>Обработка информации и ее анализ</w:t>
      </w:r>
    </w:p>
    <w:p w14:paraId="75BB8E8E" w14:textId="77777777" w:rsidR="007F41F5" w:rsidRPr="007F41F5" w:rsidRDefault="007F41F5" w:rsidP="007F41F5">
      <w:pPr>
        <w:tabs>
          <w:tab w:val="clear" w:pos="1247"/>
          <w:tab w:val="clear" w:pos="1814"/>
          <w:tab w:val="clear" w:pos="2381"/>
          <w:tab w:val="clear" w:pos="2948"/>
          <w:tab w:val="clear" w:pos="3515"/>
        </w:tabs>
        <w:spacing w:after="120"/>
        <w:ind w:firstLine="624"/>
        <w:rPr>
          <w:rFonts w:eastAsia="Roboto"/>
          <w:bCs/>
          <w:sz w:val="24"/>
          <w:szCs w:val="24"/>
          <w:u w:color="4F81BD"/>
          <w:lang w:val="en-GB"/>
        </w:rPr>
      </w:pPr>
      <w:r w:rsidRPr="007F41F5">
        <w:rPr>
          <w:rFonts w:eastAsia="Roboto"/>
          <w:bCs/>
          <w:noProof/>
          <w:sz w:val="18"/>
          <w:szCs w:val="18"/>
          <w:u w:color="4F81BD"/>
          <w:lang w:val="en-GB"/>
        </w:rPr>
        <w:drawing>
          <wp:inline distT="0" distB="0" distL="0" distR="0" wp14:anchorId="688071D9" wp14:editId="229C7C15">
            <wp:extent cx="6030595" cy="3822700"/>
            <wp:effectExtent l="0" t="0" r="8255" b="63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030595" cy="3822700"/>
                    </a:xfrm>
                    <a:prstGeom prst="rect">
                      <a:avLst/>
                    </a:prstGeom>
                  </pic:spPr>
                </pic:pic>
              </a:graphicData>
            </a:graphic>
          </wp:inline>
        </w:drawing>
      </w:r>
    </w:p>
    <w:p w14:paraId="3758E61B" w14:textId="7C61167E" w:rsidR="007F41F5" w:rsidRPr="007F41F5" w:rsidRDefault="007F41F5" w:rsidP="007F41F5">
      <w:pPr>
        <w:tabs>
          <w:tab w:val="clear" w:pos="1247"/>
          <w:tab w:val="clear" w:pos="1814"/>
          <w:tab w:val="clear" w:pos="2381"/>
          <w:tab w:val="clear" w:pos="2948"/>
          <w:tab w:val="clear" w:pos="3515"/>
        </w:tabs>
        <w:spacing w:after="120"/>
        <w:ind w:left="1247" w:firstLine="624"/>
        <w:rPr>
          <w:rFonts w:eastAsia="Roboto"/>
          <w:bCs/>
          <w:sz w:val="18"/>
          <w:szCs w:val="18"/>
          <w:u w:color="4F81BD"/>
        </w:rPr>
      </w:pPr>
      <w:r w:rsidRPr="007F41F5">
        <w:rPr>
          <w:rFonts w:eastAsia="Roboto"/>
          <w:bCs/>
          <w:i/>
          <w:iCs/>
          <w:sz w:val="18"/>
          <w:szCs w:val="18"/>
          <w:u w:color="4F81BD"/>
        </w:rPr>
        <w:t xml:space="preserve">Сокращение: </w:t>
      </w:r>
      <w:r w:rsidRPr="007F41F5">
        <w:rPr>
          <w:rFonts w:eastAsia="Roboto"/>
          <w:bCs/>
          <w:sz w:val="18"/>
          <w:szCs w:val="18"/>
          <w:u w:color="4F81BD"/>
        </w:rPr>
        <w:t xml:space="preserve">КС </w:t>
      </w:r>
      <w:r w:rsidR="0031042A" w:rsidRPr="00AA0928">
        <w:rPr>
          <w:rFonts w:eastAsia="Roboto"/>
          <w:bCs/>
          <w:sz w:val="18"/>
          <w:szCs w:val="18"/>
          <w:u w:color="4F81BD"/>
        </w:rPr>
        <w:t>–</w:t>
      </w:r>
      <w:r w:rsidRPr="007F41F5">
        <w:rPr>
          <w:rFonts w:eastAsia="Roboto"/>
          <w:bCs/>
          <w:sz w:val="18"/>
          <w:szCs w:val="18"/>
          <w:u w:color="4F81BD"/>
        </w:rPr>
        <w:t xml:space="preserve"> Конференция Сторон.</w:t>
      </w:r>
    </w:p>
    <w:p w14:paraId="2AA9E122" w14:textId="042EF54E" w:rsidR="007F41F5" w:rsidRPr="007F41F5" w:rsidRDefault="007F41F5" w:rsidP="00EE7BDD">
      <w:pPr>
        <w:tabs>
          <w:tab w:val="clear" w:pos="1247"/>
          <w:tab w:val="clear" w:pos="1814"/>
          <w:tab w:val="clear" w:pos="2381"/>
          <w:tab w:val="clear" w:pos="2948"/>
          <w:tab w:val="clear" w:pos="3515"/>
        </w:tabs>
        <w:spacing w:after="120"/>
        <w:ind w:left="1248" w:firstLine="624"/>
        <w:rPr>
          <w:rFonts w:asciiTheme="majorBidi" w:hAnsiTheme="majorBidi" w:cstheme="majorBidi"/>
        </w:rPr>
      </w:pPr>
      <w:r w:rsidRPr="007F41F5">
        <w:rPr>
          <w:rFonts w:asciiTheme="majorBidi" w:hAnsiTheme="majorBidi" w:cstheme="majorBidi"/>
          <w:lang w:val="en-GB"/>
        </w:rPr>
        <w:t>a</w:t>
      </w:r>
      <w:r w:rsidRPr="007F41F5">
        <w:rPr>
          <w:rFonts w:asciiTheme="majorBidi" w:hAnsiTheme="majorBidi" w:cstheme="majorBidi"/>
        </w:rPr>
        <w:t>)</w:t>
      </w:r>
      <w:r w:rsidRPr="007F41F5">
        <w:rPr>
          <w:rFonts w:asciiTheme="majorBidi" w:hAnsiTheme="majorBidi" w:cstheme="majorBidi"/>
        </w:rPr>
        <w:tab/>
        <w:t xml:space="preserve">Уровень 1 </w:t>
      </w:r>
      <w:r w:rsidR="0031042A" w:rsidRPr="00AA0928">
        <w:rPr>
          <w:rFonts w:asciiTheme="majorBidi" w:hAnsiTheme="majorBidi" w:cstheme="majorBidi"/>
        </w:rPr>
        <w:t>–</w:t>
      </w:r>
      <w:r w:rsidRPr="007F41F5">
        <w:rPr>
          <w:rFonts w:asciiTheme="majorBidi" w:hAnsiTheme="majorBidi" w:cstheme="majorBidi"/>
        </w:rPr>
        <w:t xml:space="preserve"> идентификация. В качестве первого шага будут идентифицированы и собраны информационные ресурсы, доступные для оказания содействия в проведении оценки эффективности. В их число войдут следующие доклады, представление которых предусмотрено Конвенцией: доклады Сторон (в соответствии со статьей 21); доклады Комитета по осуществлению и соблюдению (в соответствии со статьей 15); доклады о механизме финансирования (в соответствии со статьей 13); доклады о создании потенциала, техническом содействии и передаче технологии (в соответствии со статьей</w:t>
      </w:r>
      <w:r w:rsidR="0031042A">
        <w:rPr>
          <w:rFonts w:asciiTheme="majorBidi" w:hAnsiTheme="majorBidi" w:cstheme="majorBidi"/>
          <w:lang w:val="en-GB"/>
        </w:rPr>
        <w:t> </w:t>
      </w:r>
      <w:r w:rsidRPr="007F41F5">
        <w:rPr>
          <w:rFonts w:asciiTheme="majorBidi" w:hAnsiTheme="majorBidi" w:cstheme="majorBidi"/>
        </w:rPr>
        <w:t>14); кадастры выбросов (в соответствии со статьей 8); кадастры высвобождени</w:t>
      </w:r>
      <w:r w:rsidR="007E391E">
        <w:rPr>
          <w:rFonts w:asciiTheme="majorBidi" w:hAnsiTheme="majorBidi" w:cstheme="majorBidi"/>
        </w:rPr>
        <w:t>й</w:t>
      </w:r>
      <w:r w:rsidRPr="007F41F5">
        <w:rPr>
          <w:rFonts w:asciiTheme="majorBidi" w:hAnsiTheme="majorBidi" w:cstheme="majorBidi"/>
        </w:rPr>
        <w:t xml:space="preserve"> (в соответствии со статьей 9) и доклады о ходе выполнения национальных планов действий в области кустарной и мелкомасштабной золотодобычи (в соответствии со статьей 7). На этом уровне могут также рассматриваться иные релевантные материалы.</w:t>
      </w:r>
    </w:p>
    <w:p w14:paraId="522E9770" w14:textId="77777777" w:rsidR="007F41F5" w:rsidRPr="007F41F5" w:rsidRDefault="007F41F5" w:rsidP="00EE7BDD">
      <w:pPr>
        <w:tabs>
          <w:tab w:val="clear" w:pos="1247"/>
          <w:tab w:val="clear" w:pos="1814"/>
          <w:tab w:val="clear" w:pos="2381"/>
          <w:tab w:val="clear" w:pos="2948"/>
          <w:tab w:val="clear" w:pos="3515"/>
        </w:tabs>
        <w:spacing w:after="120"/>
        <w:ind w:left="1248"/>
        <w:rPr>
          <w:rFonts w:asciiTheme="majorBidi" w:hAnsiTheme="majorBidi" w:cstheme="majorBidi"/>
        </w:rPr>
      </w:pPr>
      <w:r w:rsidRPr="007F41F5">
        <w:rPr>
          <w:rFonts w:asciiTheme="majorBidi" w:hAnsiTheme="majorBidi" w:cstheme="majorBidi"/>
        </w:rPr>
        <w:t>Поскольку эти доклады могут быть неполными, они будут дополняться другой имеющейся научной, экологической, технической, финансовой и экономической информацией в соответствии с пунктом 3 статьи 22 и статьей 19.</w:t>
      </w:r>
    </w:p>
    <w:p w14:paraId="60748578" w14:textId="188557A1" w:rsidR="007F41F5" w:rsidRPr="007F41F5" w:rsidRDefault="007F41F5" w:rsidP="00EE7BDD">
      <w:pPr>
        <w:tabs>
          <w:tab w:val="clear" w:pos="1247"/>
          <w:tab w:val="clear" w:pos="1814"/>
          <w:tab w:val="clear" w:pos="2381"/>
          <w:tab w:val="clear" w:pos="2948"/>
          <w:tab w:val="clear" w:pos="3515"/>
        </w:tabs>
        <w:spacing w:after="120"/>
        <w:ind w:left="1248"/>
        <w:rPr>
          <w:rFonts w:asciiTheme="majorBidi" w:hAnsiTheme="majorBidi" w:cstheme="majorBidi"/>
        </w:rPr>
      </w:pPr>
      <w:r w:rsidRPr="007F41F5">
        <w:rPr>
          <w:rFonts w:asciiTheme="majorBidi" w:hAnsiTheme="majorBidi" w:cstheme="majorBidi"/>
        </w:rPr>
        <w:lastRenderedPageBreak/>
        <w:t>При работе с информацией, идентифицируемой на данном уровне, следует придерживаться строгих критериев (например, среди прочего, могут приниматься во внимание рецензируемые научные статьи и такие официальные публикации, как национальные доклады). Согласно механизмам глобального мониторинга, описываемым в добавлении III, будет устанавливаться, какая информация о мониторинге будет учитываться в ходе оценки эффективности.</w:t>
      </w:r>
    </w:p>
    <w:p w14:paraId="71312801" w14:textId="66CB468B" w:rsidR="007F41F5" w:rsidRPr="007F41F5" w:rsidRDefault="007F41F5" w:rsidP="00EE7BDD">
      <w:pPr>
        <w:tabs>
          <w:tab w:val="clear" w:pos="1247"/>
          <w:tab w:val="clear" w:pos="1814"/>
          <w:tab w:val="clear" w:pos="2381"/>
          <w:tab w:val="clear" w:pos="2948"/>
          <w:tab w:val="clear" w:pos="3515"/>
        </w:tabs>
        <w:spacing w:after="120"/>
        <w:ind w:left="1248" w:firstLine="624"/>
        <w:rPr>
          <w:rFonts w:asciiTheme="majorBidi" w:hAnsiTheme="majorBidi" w:cstheme="majorBidi"/>
        </w:rPr>
      </w:pPr>
      <w:r w:rsidRPr="007F41F5">
        <w:rPr>
          <w:rFonts w:asciiTheme="majorBidi" w:hAnsiTheme="majorBidi" w:cstheme="majorBidi"/>
        </w:rPr>
        <w:t>b)</w:t>
      </w:r>
      <w:r w:rsidRPr="007F41F5">
        <w:rPr>
          <w:rFonts w:asciiTheme="majorBidi" w:hAnsiTheme="majorBidi" w:cstheme="majorBidi"/>
        </w:rPr>
        <w:tab/>
        <w:t xml:space="preserve">Уровень 2 </w:t>
      </w:r>
      <w:r w:rsidR="0031042A" w:rsidRPr="00AA0928">
        <w:rPr>
          <w:rFonts w:asciiTheme="majorBidi" w:hAnsiTheme="majorBidi" w:cstheme="majorBidi"/>
        </w:rPr>
        <w:t>–</w:t>
      </w:r>
      <w:r w:rsidRPr="007F41F5">
        <w:rPr>
          <w:rFonts w:asciiTheme="majorBidi" w:hAnsiTheme="majorBidi" w:cstheme="majorBidi"/>
        </w:rPr>
        <w:t xml:space="preserve"> компиляция. Релевантные для оценки эффективности сведения будут вычленяться из отобранных ресурсов и компилироваться в формате, который позволит использовать их на последующих этапах установления взаимосвязи и обобщения. На этом этапе следует проводить контроль качества данных. Применительно к данным мониторинга это может, среди прочего, означать компиляцию данных мониторинга в глобальную/центральную базу данных в унифицированном формате, общие процедуры контроля качества/обеспечения качества, оценку достоверности данных и другие соответствующие элементы.</w:t>
      </w:r>
    </w:p>
    <w:p w14:paraId="05D89F49" w14:textId="4E7F67FF" w:rsidR="007F41F5" w:rsidRPr="007F41F5" w:rsidRDefault="007F41F5" w:rsidP="00EE7BDD">
      <w:pPr>
        <w:tabs>
          <w:tab w:val="clear" w:pos="1247"/>
          <w:tab w:val="clear" w:pos="1814"/>
          <w:tab w:val="clear" w:pos="2381"/>
          <w:tab w:val="clear" w:pos="2948"/>
          <w:tab w:val="clear" w:pos="3515"/>
        </w:tabs>
        <w:spacing w:after="120"/>
        <w:ind w:left="1248" w:firstLine="624"/>
        <w:rPr>
          <w:rFonts w:asciiTheme="majorBidi" w:hAnsiTheme="majorBidi" w:cstheme="majorBidi"/>
        </w:rPr>
      </w:pPr>
      <w:r w:rsidRPr="007F41F5">
        <w:rPr>
          <w:rFonts w:asciiTheme="majorBidi" w:hAnsiTheme="majorBidi" w:cstheme="majorBidi"/>
        </w:rPr>
        <w:t>c)</w:t>
      </w:r>
      <w:r w:rsidRPr="007F41F5">
        <w:rPr>
          <w:rFonts w:asciiTheme="majorBidi" w:hAnsiTheme="majorBidi" w:cstheme="majorBidi"/>
        </w:rPr>
        <w:tab/>
        <w:t xml:space="preserve">Уровень 3 </w:t>
      </w:r>
      <w:r w:rsidR="0031042A" w:rsidRPr="00AA0928">
        <w:rPr>
          <w:rFonts w:asciiTheme="majorBidi" w:hAnsiTheme="majorBidi" w:cstheme="majorBidi"/>
        </w:rPr>
        <w:t>–</w:t>
      </w:r>
      <w:r w:rsidRPr="007F41F5">
        <w:rPr>
          <w:rFonts w:asciiTheme="majorBidi" w:hAnsiTheme="majorBidi" w:cstheme="majorBidi"/>
        </w:rPr>
        <w:t xml:space="preserve"> синтез. Скомпилированные данные будут использова</w:t>
      </w:r>
      <w:r w:rsidR="007B718E">
        <w:rPr>
          <w:rFonts w:asciiTheme="majorBidi" w:hAnsiTheme="majorBidi" w:cstheme="majorBidi"/>
        </w:rPr>
        <w:t>ться</w:t>
      </w:r>
      <w:r w:rsidRPr="007F41F5">
        <w:rPr>
          <w:rFonts w:asciiTheme="majorBidi" w:hAnsiTheme="majorBidi" w:cstheme="majorBidi"/>
        </w:rPr>
        <w:t xml:space="preserve"> для подготовки ряда докладов, в которых будет обобщена собранная информация и которые позволят дать обоснованные ответы на четыре предметных вопроса. С учетом пожелания Конференции Сторон о том, чтобы оценка способствовала формированию целостной картины общей эффективности Конвенции (что определено в пересмотренном мандате специальной технической группы экспертов в решении</w:t>
      </w:r>
      <w:r w:rsidR="0031042A">
        <w:rPr>
          <w:rFonts w:asciiTheme="majorBidi" w:hAnsiTheme="majorBidi" w:cstheme="majorBidi"/>
          <w:lang w:val="en-GB"/>
        </w:rPr>
        <w:t> </w:t>
      </w:r>
      <w:r w:rsidRPr="007F41F5">
        <w:rPr>
          <w:rFonts w:asciiTheme="majorBidi" w:hAnsiTheme="majorBidi" w:cstheme="majorBidi"/>
        </w:rPr>
        <w:t>МК</w:t>
      </w:r>
      <w:r w:rsidRPr="007F41F5">
        <w:rPr>
          <w:rFonts w:asciiTheme="majorBidi" w:hAnsiTheme="majorBidi" w:cstheme="majorBidi"/>
        </w:rPr>
        <w:noBreakHyphen/>
        <w:t>2/10), группа предполагает, что потребуются следующие сводные доклады (описание всех докладов, которые должны быть подготовлены для комитета по оценке эффективности, см. в до</w:t>
      </w:r>
      <w:r w:rsidR="00731EC1">
        <w:rPr>
          <w:rFonts w:asciiTheme="majorBidi" w:hAnsiTheme="majorBidi" w:cstheme="majorBidi"/>
        </w:rPr>
        <w:t>полн</w:t>
      </w:r>
      <w:r w:rsidRPr="007F41F5">
        <w:rPr>
          <w:rFonts w:asciiTheme="majorBidi" w:hAnsiTheme="majorBidi" w:cstheme="majorBidi"/>
        </w:rPr>
        <w:t>ении IV):</w:t>
      </w:r>
    </w:p>
    <w:p w14:paraId="62635CCE" w14:textId="77777777" w:rsidR="007F41F5" w:rsidRPr="007F41F5" w:rsidRDefault="007F41F5" w:rsidP="00EE7BDD">
      <w:pPr>
        <w:tabs>
          <w:tab w:val="clear" w:pos="1247"/>
          <w:tab w:val="clear" w:pos="1814"/>
          <w:tab w:val="clear" w:pos="2381"/>
          <w:tab w:val="clear" w:pos="2948"/>
          <w:tab w:val="clear" w:pos="3515"/>
        </w:tabs>
        <w:spacing w:after="120"/>
        <w:ind w:left="3120" w:hanging="624"/>
        <w:rPr>
          <w:rFonts w:asciiTheme="majorBidi" w:hAnsiTheme="majorBidi" w:cstheme="majorBidi"/>
        </w:rPr>
      </w:pPr>
      <w:r w:rsidRPr="007F41F5">
        <w:rPr>
          <w:rFonts w:asciiTheme="majorBidi" w:hAnsiTheme="majorBidi" w:cstheme="majorBidi"/>
        </w:rPr>
        <w:t>i)</w:t>
      </w:r>
      <w:r w:rsidRPr="007F41F5">
        <w:rPr>
          <w:rFonts w:asciiTheme="majorBidi" w:hAnsiTheme="majorBidi" w:cstheme="majorBidi"/>
        </w:rPr>
        <w:tab/>
        <w:t>сводный доклад в соответствии со статьей 21, основанный на информации, представляемой Сторонами в соответствии со статьей 21 о представлении информации;</w:t>
      </w:r>
    </w:p>
    <w:p w14:paraId="18EC27E6" w14:textId="298FC905" w:rsidR="007F41F5" w:rsidRPr="007F41F5" w:rsidRDefault="007F41F5" w:rsidP="00EE7BDD">
      <w:pPr>
        <w:tabs>
          <w:tab w:val="clear" w:pos="1247"/>
          <w:tab w:val="clear" w:pos="1814"/>
          <w:tab w:val="clear" w:pos="2381"/>
          <w:tab w:val="clear" w:pos="2948"/>
          <w:tab w:val="clear" w:pos="3515"/>
        </w:tabs>
        <w:spacing w:after="120"/>
        <w:ind w:left="3120" w:hanging="624"/>
        <w:rPr>
          <w:rFonts w:asciiTheme="majorBidi" w:hAnsiTheme="majorBidi" w:cstheme="majorBidi"/>
        </w:rPr>
      </w:pPr>
      <w:proofErr w:type="spellStart"/>
      <w:r w:rsidRPr="007F41F5">
        <w:rPr>
          <w:rFonts w:asciiTheme="majorBidi" w:hAnsiTheme="majorBidi" w:cstheme="majorBidi"/>
        </w:rPr>
        <w:t>ii</w:t>
      </w:r>
      <w:proofErr w:type="spellEnd"/>
      <w:r w:rsidRPr="007F41F5">
        <w:rPr>
          <w:rFonts w:asciiTheme="majorBidi" w:hAnsiTheme="majorBidi" w:cstheme="majorBidi"/>
        </w:rPr>
        <w:t>)</w:t>
      </w:r>
      <w:r w:rsidRPr="007F41F5">
        <w:rPr>
          <w:rFonts w:asciiTheme="majorBidi" w:hAnsiTheme="majorBidi" w:cstheme="majorBidi"/>
        </w:rPr>
        <w:tab/>
        <w:t>доклад о выбросах и высвобождени</w:t>
      </w:r>
      <w:r w:rsidR="007E391E">
        <w:rPr>
          <w:rFonts w:asciiTheme="majorBidi" w:hAnsiTheme="majorBidi" w:cstheme="majorBidi"/>
        </w:rPr>
        <w:t>ях</w:t>
      </w:r>
      <w:r w:rsidRPr="007F41F5">
        <w:rPr>
          <w:rFonts w:asciiTheme="majorBidi" w:hAnsiTheme="majorBidi" w:cstheme="majorBidi"/>
        </w:rPr>
        <w:t xml:space="preserve">, составляемый по образцу доклада </w:t>
      </w:r>
      <w:proofErr w:type="spellStart"/>
      <w:r w:rsidRPr="007F41F5">
        <w:rPr>
          <w:rFonts w:asciiTheme="majorBidi" w:hAnsiTheme="majorBidi" w:cstheme="majorBidi"/>
        </w:rPr>
        <w:t>Global</w:t>
      </w:r>
      <w:proofErr w:type="spellEnd"/>
      <w:r w:rsidRPr="007F41F5">
        <w:rPr>
          <w:rFonts w:asciiTheme="majorBidi" w:hAnsiTheme="majorBidi" w:cstheme="majorBidi"/>
        </w:rPr>
        <w:t xml:space="preserve"> </w:t>
      </w:r>
      <w:proofErr w:type="spellStart"/>
      <w:r w:rsidRPr="007F41F5">
        <w:rPr>
          <w:rFonts w:asciiTheme="majorBidi" w:hAnsiTheme="majorBidi" w:cstheme="majorBidi"/>
        </w:rPr>
        <w:t>Mercury</w:t>
      </w:r>
      <w:proofErr w:type="spellEnd"/>
      <w:r w:rsidRPr="007F41F5">
        <w:rPr>
          <w:rFonts w:asciiTheme="majorBidi" w:hAnsiTheme="majorBidi" w:cstheme="majorBidi"/>
        </w:rPr>
        <w:t xml:space="preserve"> </w:t>
      </w:r>
      <w:proofErr w:type="spellStart"/>
      <w:r w:rsidRPr="007F41F5">
        <w:rPr>
          <w:rFonts w:asciiTheme="majorBidi" w:hAnsiTheme="majorBidi" w:cstheme="majorBidi"/>
        </w:rPr>
        <w:t>Assessment</w:t>
      </w:r>
      <w:proofErr w:type="spellEnd"/>
      <w:r w:rsidRPr="007F41F5">
        <w:rPr>
          <w:rFonts w:asciiTheme="majorBidi" w:hAnsiTheme="majorBidi" w:cstheme="majorBidi"/>
        </w:rPr>
        <w:t xml:space="preserve"> 2018 (</w:t>
      </w:r>
      <w:r w:rsidR="00271A4F">
        <w:rPr>
          <w:rFonts w:asciiTheme="majorBidi" w:hAnsiTheme="majorBidi" w:cstheme="majorBidi"/>
        </w:rPr>
        <w:t>«</w:t>
      </w:r>
      <w:r w:rsidRPr="007F41F5">
        <w:rPr>
          <w:rFonts w:asciiTheme="majorBidi" w:hAnsiTheme="majorBidi" w:cstheme="majorBidi"/>
        </w:rPr>
        <w:t>Глобальная оценка ртути, 2018</w:t>
      </w:r>
      <w:r w:rsidR="00EE7BDD">
        <w:rPr>
          <w:rFonts w:asciiTheme="majorBidi" w:hAnsiTheme="majorBidi" w:cstheme="majorBidi"/>
        </w:rPr>
        <w:t> </w:t>
      </w:r>
      <w:r w:rsidRPr="007F41F5">
        <w:rPr>
          <w:rFonts w:asciiTheme="majorBidi" w:hAnsiTheme="majorBidi" w:cstheme="majorBidi"/>
        </w:rPr>
        <w:t>год</w:t>
      </w:r>
      <w:r w:rsidR="00271A4F">
        <w:rPr>
          <w:rFonts w:asciiTheme="majorBidi" w:hAnsiTheme="majorBidi" w:cstheme="majorBidi"/>
        </w:rPr>
        <w:t>»</w:t>
      </w:r>
      <w:r w:rsidRPr="007F41F5">
        <w:rPr>
          <w:rFonts w:asciiTheme="majorBidi" w:hAnsiTheme="majorBidi" w:cstheme="majorBidi"/>
        </w:rPr>
        <w:t>)</w:t>
      </w:r>
      <w:r w:rsidR="003B2A2E" w:rsidRPr="003B2A2E">
        <w:rPr>
          <w:rFonts w:asciiTheme="majorBidi" w:hAnsiTheme="majorBidi" w:cstheme="majorBidi"/>
          <w:vertAlign w:val="superscript"/>
        </w:rPr>
        <w:fldChar w:fldCharType="begin"/>
      </w:r>
      <w:r w:rsidR="003B2A2E" w:rsidRPr="003B2A2E">
        <w:rPr>
          <w:rFonts w:asciiTheme="majorBidi" w:hAnsiTheme="majorBidi" w:cstheme="majorBidi"/>
          <w:vertAlign w:val="superscript"/>
        </w:rPr>
        <w:instrText xml:space="preserve"> NOTEREF _Ref25316597 \h </w:instrText>
      </w:r>
      <w:r w:rsidR="003B2A2E">
        <w:rPr>
          <w:rFonts w:asciiTheme="majorBidi" w:hAnsiTheme="majorBidi" w:cstheme="majorBidi"/>
          <w:vertAlign w:val="superscript"/>
        </w:rPr>
        <w:instrText xml:space="preserve"> \* MERGEFORMAT </w:instrText>
      </w:r>
      <w:r w:rsidR="003B2A2E" w:rsidRPr="003B2A2E">
        <w:rPr>
          <w:rFonts w:asciiTheme="majorBidi" w:hAnsiTheme="majorBidi" w:cstheme="majorBidi"/>
          <w:vertAlign w:val="superscript"/>
        </w:rPr>
      </w:r>
      <w:r w:rsidR="003B2A2E" w:rsidRPr="003B2A2E">
        <w:rPr>
          <w:rFonts w:asciiTheme="majorBidi" w:hAnsiTheme="majorBidi" w:cstheme="majorBidi"/>
          <w:vertAlign w:val="superscript"/>
        </w:rPr>
        <w:fldChar w:fldCharType="separate"/>
      </w:r>
      <w:r w:rsidR="0096427B">
        <w:rPr>
          <w:rFonts w:asciiTheme="majorBidi" w:hAnsiTheme="majorBidi" w:cstheme="majorBidi"/>
          <w:vertAlign w:val="superscript"/>
        </w:rPr>
        <w:t>6</w:t>
      </w:r>
      <w:r w:rsidR="003B2A2E" w:rsidRPr="003B2A2E">
        <w:rPr>
          <w:rFonts w:asciiTheme="majorBidi" w:hAnsiTheme="majorBidi" w:cstheme="majorBidi"/>
          <w:vertAlign w:val="superscript"/>
        </w:rPr>
        <w:fldChar w:fldCharType="end"/>
      </w:r>
      <w:r w:rsidRPr="007F41F5">
        <w:rPr>
          <w:rFonts w:asciiTheme="majorBidi" w:hAnsiTheme="majorBidi" w:cstheme="majorBidi"/>
        </w:rPr>
        <w:t>;</w:t>
      </w:r>
    </w:p>
    <w:p w14:paraId="36C36CF6" w14:textId="30592FC5" w:rsidR="007F41F5" w:rsidRPr="007F41F5" w:rsidRDefault="007F41F5" w:rsidP="00EE7BDD">
      <w:pPr>
        <w:tabs>
          <w:tab w:val="clear" w:pos="1247"/>
          <w:tab w:val="clear" w:pos="1814"/>
          <w:tab w:val="clear" w:pos="2381"/>
          <w:tab w:val="clear" w:pos="2948"/>
          <w:tab w:val="clear" w:pos="3515"/>
        </w:tabs>
        <w:spacing w:after="120"/>
        <w:ind w:left="3120" w:hanging="624"/>
        <w:rPr>
          <w:rFonts w:asciiTheme="majorBidi" w:hAnsiTheme="majorBidi" w:cstheme="majorBidi"/>
        </w:rPr>
      </w:pPr>
      <w:proofErr w:type="spellStart"/>
      <w:r w:rsidRPr="007F41F5">
        <w:rPr>
          <w:rFonts w:asciiTheme="majorBidi" w:hAnsiTheme="majorBidi" w:cstheme="majorBidi"/>
        </w:rPr>
        <w:t>iii</w:t>
      </w:r>
      <w:proofErr w:type="spellEnd"/>
      <w:r w:rsidRPr="007F41F5">
        <w:rPr>
          <w:rFonts w:asciiTheme="majorBidi" w:hAnsiTheme="majorBidi" w:cstheme="majorBidi"/>
        </w:rPr>
        <w:t>)</w:t>
      </w:r>
      <w:r w:rsidRPr="007F41F5">
        <w:rPr>
          <w:rFonts w:asciiTheme="majorBidi" w:hAnsiTheme="majorBidi" w:cstheme="majorBidi"/>
        </w:rPr>
        <w:tab/>
        <w:t xml:space="preserve">доклад о торговле, предложении и спросе, составляемый по образцу доклада 2017 года </w:t>
      </w:r>
      <w:proofErr w:type="spellStart"/>
      <w:r w:rsidRPr="007F41F5">
        <w:rPr>
          <w:rFonts w:asciiTheme="majorBidi" w:hAnsiTheme="majorBidi" w:cstheme="majorBidi"/>
        </w:rPr>
        <w:t>Global</w:t>
      </w:r>
      <w:proofErr w:type="spellEnd"/>
      <w:r w:rsidRPr="007F41F5">
        <w:rPr>
          <w:rFonts w:asciiTheme="majorBidi" w:hAnsiTheme="majorBidi" w:cstheme="majorBidi"/>
        </w:rPr>
        <w:t xml:space="preserve"> </w:t>
      </w:r>
      <w:proofErr w:type="spellStart"/>
      <w:r w:rsidRPr="007F41F5">
        <w:rPr>
          <w:rFonts w:asciiTheme="majorBidi" w:hAnsiTheme="majorBidi" w:cstheme="majorBidi"/>
        </w:rPr>
        <w:t>Mercury</w:t>
      </w:r>
      <w:proofErr w:type="spellEnd"/>
      <w:r w:rsidRPr="007F41F5">
        <w:rPr>
          <w:rFonts w:asciiTheme="majorBidi" w:hAnsiTheme="majorBidi" w:cstheme="majorBidi"/>
        </w:rPr>
        <w:t xml:space="preserve">: </w:t>
      </w:r>
      <w:proofErr w:type="spellStart"/>
      <w:r w:rsidRPr="007F41F5">
        <w:rPr>
          <w:rFonts w:asciiTheme="majorBidi" w:hAnsiTheme="majorBidi" w:cstheme="majorBidi"/>
        </w:rPr>
        <w:t>Supply</w:t>
      </w:r>
      <w:proofErr w:type="spellEnd"/>
      <w:r w:rsidRPr="007F41F5">
        <w:rPr>
          <w:rFonts w:asciiTheme="majorBidi" w:hAnsiTheme="majorBidi" w:cstheme="majorBidi"/>
        </w:rPr>
        <w:t xml:space="preserve">, </w:t>
      </w:r>
      <w:proofErr w:type="spellStart"/>
      <w:r w:rsidRPr="007F41F5">
        <w:rPr>
          <w:rFonts w:asciiTheme="majorBidi" w:hAnsiTheme="majorBidi" w:cstheme="majorBidi"/>
        </w:rPr>
        <w:t>Trade</w:t>
      </w:r>
      <w:proofErr w:type="spellEnd"/>
      <w:r w:rsidRPr="007F41F5">
        <w:rPr>
          <w:rFonts w:asciiTheme="majorBidi" w:hAnsiTheme="majorBidi" w:cstheme="majorBidi"/>
        </w:rPr>
        <w:t xml:space="preserve"> </w:t>
      </w:r>
      <w:proofErr w:type="spellStart"/>
      <w:r w:rsidRPr="007F41F5">
        <w:rPr>
          <w:rFonts w:asciiTheme="majorBidi" w:hAnsiTheme="majorBidi" w:cstheme="majorBidi"/>
        </w:rPr>
        <w:t>and</w:t>
      </w:r>
      <w:proofErr w:type="spellEnd"/>
      <w:r w:rsidRPr="007F41F5">
        <w:rPr>
          <w:rFonts w:asciiTheme="majorBidi" w:hAnsiTheme="majorBidi" w:cstheme="majorBidi"/>
        </w:rPr>
        <w:t xml:space="preserve"> </w:t>
      </w:r>
      <w:proofErr w:type="spellStart"/>
      <w:r w:rsidRPr="007F41F5">
        <w:rPr>
          <w:rFonts w:asciiTheme="majorBidi" w:hAnsiTheme="majorBidi" w:cstheme="majorBidi"/>
        </w:rPr>
        <w:t>Demand</w:t>
      </w:r>
      <w:proofErr w:type="spellEnd"/>
      <w:r w:rsidRPr="007F41F5">
        <w:rPr>
          <w:rFonts w:asciiTheme="majorBidi" w:hAnsiTheme="majorBidi" w:cstheme="majorBidi"/>
        </w:rPr>
        <w:t xml:space="preserve"> (</w:t>
      </w:r>
      <w:r w:rsidR="00271A4F">
        <w:rPr>
          <w:rFonts w:asciiTheme="majorBidi" w:hAnsiTheme="majorBidi" w:cstheme="majorBidi"/>
        </w:rPr>
        <w:t>«</w:t>
      </w:r>
      <w:r w:rsidRPr="007F41F5">
        <w:rPr>
          <w:rFonts w:asciiTheme="majorBidi" w:hAnsiTheme="majorBidi" w:cstheme="majorBidi"/>
        </w:rPr>
        <w:t>Ртуть в общемировом обороте: предложение, торговля и спрос</w:t>
      </w:r>
      <w:r w:rsidR="00271A4F">
        <w:rPr>
          <w:rFonts w:asciiTheme="majorBidi" w:hAnsiTheme="majorBidi" w:cstheme="majorBidi"/>
        </w:rPr>
        <w:t>»</w:t>
      </w:r>
      <w:r w:rsidRPr="007F41F5">
        <w:rPr>
          <w:rFonts w:asciiTheme="majorBidi" w:hAnsiTheme="majorBidi" w:cstheme="majorBidi"/>
        </w:rPr>
        <w:t>)</w:t>
      </w:r>
      <w:r w:rsidR="003B2A2E" w:rsidRPr="003B2A2E">
        <w:rPr>
          <w:rFonts w:asciiTheme="majorBidi" w:hAnsiTheme="majorBidi" w:cstheme="majorBidi"/>
          <w:vertAlign w:val="superscript"/>
        </w:rPr>
        <w:fldChar w:fldCharType="begin"/>
      </w:r>
      <w:r w:rsidR="003B2A2E" w:rsidRPr="003B2A2E">
        <w:rPr>
          <w:rFonts w:asciiTheme="majorBidi" w:hAnsiTheme="majorBidi" w:cstheme="majorBidi"/>
          <w:vertAlign w:val="superscript"/>
        </w:rPr>
        <w:instrText xml:space="preserve"> NOTEREF _Ref25316612 \h </w:instrText>
      </w:r>
      <w:r w:rsidR="003B2A2E">
        <w:rPr>
          <w:rFonts w:asciiTheme="majorBidi" w:hAnsiTheme="majorBidi" w:cstheme="majorBidi"/>
          <w:vertAlign w:val="superscript"/>
        </w:rPr>
        <w:instrText xml:space="preserve"> \* MERGEFORMAT </w:instrText>
      </w:r>
      <w:r w:rsidR="003B2A2E" w:rsidRPr="003B2A2E">
        <w:rPr>
          <w:rFonts w:asciiTheme="majorBidi" w:hAnsiTheme="majorBidi" w:cstheme="majorBidi"/>
          <w:vertAlign w:val="superscript"/>
        </w:rPr>
      </w:r>
      <w:r w:rsidR="003B2A2E" w:rsidRPr="003B2A2E">
        <w:rPr>
          <w:rFonts w:asciiTheme="majorBidi" w:hAnsiTheme="majorBidi" w:cstheme="majorBidi"/>
          <w:vertAlign w:val="superscript"/>
        </w:rPr>
        <w:fldChar w:fldCharType="separate"/>
      </w:r>
      <w:r w:rsidR="0096427B">
        <w:rPr>
          <w:rFonts w:asciiTheme="majorBidi" w:hAnsiTheme="majorBidi" w:cstheme="majorBidi"/>
          <w:vertAlign w:val="superscript"/>
        </w:rPr>
        <w:t>7</w:t>
      </w:r>
      <w:r w:rsidR="003B2A2E" w:rsidRPr="003B2A2E">
        <w:rPr>
          <w:rFonts w:asciiTheme="majorBidi" w:hAnsiTheme="majorBidi" w:cstheme="majorBidi"/>
          <w:vertAlign w:val="superscript"/>
        </w:rPr>
        <w:fldChar w:fldCharType="end"/>
      </w:r>
      <w:r w:rsidRPr="007F41F5">
        <w:rPr>
          <w:rFonts w:asciiTheme="majorBidi" w:hAnsiTheme="majorBidi" w:cstheme="majorBidi"/>
        </w:rPr>
        <w:t>;</w:t>
      </w:r>
    </w:p>
    <w:p w14:paraId="0237DB02" w14:textId="20F2415D" w:rsidR="007F41F5" w:rsidRPr="007F41F5" w:rsidRDefault="007F41F5" w:rsidP="00EE7BDD">
      <w:pPr>
        <w:tabs>
          <w:tab w:val="clear" w:pos="1247"/>
          <w:tab w:val="clear" w:pos="1814"/>
          <w:tab w:val="clear" w:pos="2381"/>
          <w:tab w:val="clear" w:pos="2948"/>
          <w:tab w:val="clear" w:pos="3515"/>
        </w:tabs>
        <w:spacing w:after="120"/>
        <w:ind w:left="3120" w:hanging="624"/>
        <w:rPr>
          <w:rFonts w:asciiTheme="majorBidi" w:hAnsiTheme="majorBidi" w:cstheme="majorBidi"/>
        </w:rPr>
      </w:pPr>
      <w:proofErr w:type="spellStart"/>
      <w:r w:rsidRPr="00F13319">
        <w:rPr>
          <w:rFonts w:asciiTheme="majorBidi" w:hAnsiTheme="majorBidi" w:cstheme="majorBidi"/>
          <w:highlight w:val="lightGray"/>
        </w:rPr>
        <w:t>iv</w:t>
      </w:r>
      <w:proofErr w:type="spellEnd"/>
      <w:r w:rsidRPr="00F13319">
        <w:rPr>
          <w:rFonts w:asciiTheme="majorBidi" w:hAnsiTheme="majorBidi" w:cstheme="majorBidi"/>
          <w:highlight w:val="lightGray"/>
        </w:rPr>
        <w:t>)</w:t>
      </w:r>
      <w:r w:rsidRPr="00F13319">
        <w:rPr>
          <w:rFonts w:asciiTheme="majorBidi" w:hAnsiTheme="majorBidi" w:cstheme="majorBidi"/>
          <w:highlight w:val="lightGray"/>
        </w:rPr>
        <w:tab/>
        <w:t xml:space="preserve">доклад об отходах, составляемый по образцу доклада 2018 года </w:t>
      </w:r>
      <w:proofErr w:type="spellStart"/>
      <w:r w:rsidRPr="00F13319">
        <w:rPr>
          <w:rFonts w:asciiTheme="majorBidi" w:hAnsiTheme="majorBidi" w:cstheme="majorBidi"/>
          <w:highlight w:val="lightGray"/>
        </w:rPr>
        <w:t>Global</w:t>
      </w:r>
      <w:proofErr w:type="spellEnd"/>
      <w:r w:rsidRPr="00F13319">
        <w:rPr>
          <w:rFonts w:asciiTheme="majorBidi" w:hAnsiTheme="majorBidi" w:cstheme="majorBidi"/>
          <w:highlight w:val="lightGray"/>
        </w:rPr>
        <w:t xml:space="preserve"> </w:t>
      </w:r>
      <w:proofErr w:type="spellStart"/>
      <w:r w:rsidRPr="00F13319">
        <w:rPr>
          <w:rFonts w:asciiTheme="majorBidi" w:hAnsiTheme="majorBidi" w:cstheme="majorBidi"/>
          <w:highlight w:val="lightGray"/>
        </w:rPr>
        <w:t>Mercury</w:t>
      </w:r>
      <w:proofErr w:type="spellEnd"/>
      <w:r w:rsidRPr="00F13319">
        <w:rPr>
          <w:rFonts w:asciiTheme="majorBidi" w:hAnsiTheme="majorBidi" w:cstheme="majorBidi"/>
          <w:highlight w:val="lightGray"/>
        </w:rPr>
        <w:t xml:space="preserve"> </w:t>
      </w:r>
      <w:proofErr w:type="spellStart"/>
      <w:r w:rsidRPr="00F13319">
        <w:rPr>
          <w:rFonts w:asciiTheme="majorBidi" w:hAnsiTheme="majorBidi" w:cstheme="majorBidi"/>
          <w:highlight w:val="lightGray"/>
        </w:rPr>
        <w:t>Waste</w:t>
      </w:r>
      <w:proofErr w:type="spellEnd"/>
      <w:r w:rsidRPr="00F13319">
        <w:rPr>
          <w:rFonts w:asciiTheme="majorBidi" w:hAnsiTheme="majorBidi" w:cstheme="majorBidi"/>
          <w:highlight w:val="lightGray"/>
        </w:rPr>
        <w:t xml:space="preserve"> </w:t>
      </w:r>
      <w:proofErr w:type="spellStart"/>
      <w:r w:rsidRPr="00F13319">
        <w:rPr>
          <w:rFonts w:asciiTheme="majorBidi" w:hAnsiTheme="majorBidi" w:cstheme="majorBidi"/>
          <w:highlight w:val="lightGray"/>
        </w:rPr>
        <w:t>Assessment</w:t>
      </w:r>
      <w:proofErr w:type="spellEnd"/>
      <w:r w:rsidRPr="00F13319">
        <w:rPr>
          <w:rFonts w:asciiTheme="majorBidi" w:hAnsiTheme="majorBidi" w:cstheme="majorBidi"/>
          <w:highlight w:val="lightGray"/>
        </w:rPr>
        <w:t xml:space="preserve">: </w:t>
      </w:r>
      <w:proofErr w:type="spellStart"/>
      <w:r w:rsidRPr="00F13319">
        <w:rPr>
          <w:rFonts w:asciiTheme="majorBidi" w:hAnsiTheme="majorBidi" w:cstheme="majorBidi"/>
          <w:highlight w:val="lightGray"/>
        </w:rPr>
        <w:t>Review</w:t>
      </w:r>
      <w:proofErr w:type="spellEnd"/>
      <w:r w:rsidRPr="00F13319">
        <w:rPr>
          <w:rFonts w:asciiTheme="majorBidi" w:hAnsiTheme="majorBidi" w:cstheme="majorBidi"/>
          <w:highlight w:val="lightGray"/>
        </w:rPr>
        <w:t xml:space="preserve"> </w:t>
      </w:r>
      <w:proofErr w:type="spellStart"/>
      <w:r w:rsidRPr="00F13319">
        <w:rPr>
          <w:rFonts w:asciiTheme="majorBidi" w:hAnsiTheme="majorBidi" w:cstheme="majorBidi"/>
          <w:highlight w:val="lightGray"/>
        </w:rPr>
        <w:t>of</w:t>
      </w:r>
      <w:proofErr w:type="spellEnd"/>
      <w:r w:rsidRPr="00F13319">
        <w:rPr>
          <w:rFonts w:asciiTheme="majorBidi" w:hAnsiTheme="majorBidi" w:cstheme="majorBidi"/>
          <w:highlight w:val="lightGray"/>
        </w:rPr>
        <w:t xml:space="preserve"> </w:t>
      </w:r>
      <w:proofErr w:type="spellStart"/>
      <w:r w:rsidRPr="00F13319">
        <w:rPr>
          <w:rFonts w:asciiTheme="majorBidi" w:hAnsiTheme="majorBidi" w:cstheme="majorBidi"/>
          <w:highlight w:val="lightGray"/>
        </w:rPr>
        <w:t>Current</w:t>
      </w:r>
      <w:proofErr w:type="spellEnd"/>
      <w:r w:rsidRPr="00F13319">
        <w:rPr>
          <w:rFonts w:asciiTheme="majorBidi" w:hAnsiTheme="majorBidi" w:cstheme="majorBidi"/>
          <w:highlight w:val="lightGray"/>
        </w:rPr>
        <w:t xml:space="preserve"> </w:t>
      </w:r>
      <w:proofErr w:type="spellStart"/>
      <w:r w:rsidRPr="00F13319">
        <w:rPr>
          <w:rFonts w:asciiTheme="majorBidi" w:hAnsiTheme="majorBidi" w:cstheme="majorBidi"/>
          <w:highlight w:val="lightGray"/>
        </w:rPr>
        <w:t>National</w:t>
      </w:r>
      <w:proofErr w:type="spellEnd"/>
      <w:r w:rsidRPr="00F13319">
        <w:rPr>
          <w:rFonts w:asciiTheme="majorBidi" w:hAnsiTheme="majorBidi" w:cstheme="majorBidi"/>
          <w:highlight w:val="lightGray"/>
        </w:rPr>
        <w:t xml:space="preserve"> </w:t>
      </w:r>
      <w:proofErr w:type="spellStart"/>
      <w:r w:rsidRPr="00F13319">
        <w:rPr>
          <w:rFonts w:asciiTheme="majorBidi" w:hAnsiTheme="majorBidi" w:cstheme="majorBidi"/>
          <w:highlight w:val="lightGray"/>
        </w:rPr>
        <w:t>Measures</w:t>
      </w:r>
      <w:proofErr w:type="spellEnd"/>
      <w:r w:rsidRPr="00F13319">
        <w:rPr>
          <w:rFonts w:asciiTheme="majorBidi" w:hAnsiTheme="majorBidi" w:cstheme="majorBidi"/>
          <w:highlight w:val="lightGray"/>
        </w:rPr>
        <w:t xml:space="preserve"> (</w:t>
      </w:r>
      <w:r w:rsidR="00271A4F">
        <w:rPr>
          <w:rFonts w:asciiTheme="majorBidi" w:hAnsiTheme="majorBidi" w:cstheme="majorBidi"/>
          <w:highlight w:val="lightGray"/>
        </w:rPr>
        <w:t>«</w:t>
      </w:r>
      <w:r w:rsidRPr="00F13319">
        <w:rPr>
          <w:rFonts w:asciiTheme="majorBidi" w:hAnsiTheme="majorBidi" w:cstheme="majorBidi"/>
          <w:highlight w:val="lightGray"/>
        </w:rPr>
        <w:t>Оценка общемирового объема ртутных отходов: обзор мер, принимаемых на национальном уровне</w:t>
      </w:r>
      <w:r w:rsidR="00271A4F">
        <w:rPr>
          <w:rFonts w:asciiTheme="majorBidi" w:hAnsiTheme="majorBidi" w:cstheme="majorBidi"/>
          <w:highlight w:val="lightGray"/>
        </w:rPr>
        <w:t>»</w:t>
      </w:r>
      <w:r w:rsidRPr="00F13319">
        <w:rPr>
          <w:rFonts w:asciiTheme="majorBidi" w:hAnsiTheme="majorBidi" w:cstheme="majorBidi"/>
          <w:highlight w:val="lightGray"/>
        </w:rPr>
        <w:t>)</w:t>
      </w:r>
      <w:r w:rsidR="003B2A2E" w:rsidRPr="003B2A2E">
        <w:rPr>
          <w:rFonts w:asciiTheme="majorBidi" w:hAnsiTheme="majorBidi" w:cstheme="majorBidi"/>
          <w:highlight w:val="lightGray"/>
          <w:vertAlign w:val="superscript"/>
        </w:rPr>
        <w:fldChar w:fldCharType="begin"/>
      </w:r>
      <w:r w:rsidR="003B2A2E" w:rsidRPr="003B2A2E">
        <w:rPr>
          <w:rFonts w:asciiTheme="majorBidi" w:hAnsiTheme="majorBidi" w:cstheme="majorBidi"/>
          <w:highlight w:val="lightGray"/>
          <w:vertAlign w:val="superscript"/>
        </w:rPr>
        <w:instrText xml:space="preserve"> NOTEREF _Ref25316620 \h </w:instrText>
      </w:r>
      <w:r w:rsidR="003B2A2E">
        <w:rPr>
          <w:rFonts w:asciiTheme="majorBidi" w:hAnsiTheme="majorBidi" w:cstheme="majorBidi"/>
          <w:highlight w:val="lightGray"/>
          <w:vertAlign w:val="superscript"/>
        </w:rPr>
        <w:instrText xml:space="preserve"> \* MERGEFORMAT </w:instrText>
      </w:r>
      <w:r w:rsidR="003B2A2E" w:rsidRPr="003B2A2E">
        <w:rPr>
          <w:rFonts w:asciiTheme="majorBidi" w:hAnsiTheme="majorBidi" w:cstheme="majorBidi"/>
          <w:highlight w:val="lightGray"/>
          <w:vertAlign w:val="superscript"/>
        </w:rPr>
      </w:r>
      <w:r w:rsidR="003B2A2E" w:rsidRPr="003B2A2E">
        <w:rPr>
          <w:rFonts w:asciiTheme="majorBidi" w:hAnsiTheme="majorBidi" w:cstheme="majorBidi"/>
          <w:highlight w:val="lightGray"/>
          <w:vertAlign w:val="superscript"/>
        </w:rPr>
        <w:fldChar w:fldCharType="separate"/>
      </w:r>
      <w:r w:rsidR="0096427B">
        <w:rPr>
          <w:rFonts w:asciiTheme="majorBidi" w:hAnsiTheme="majorBidi" w:cstheme="majorBidi"/>
          <w:highlight w:val="lightGray"/>
          <w:vertAlign w:val="superscript"/>
        </w:rPr>
        <w:t>8</w:t>
      </w:r>
      <w:r w:rsidR="003B2A2E" w:rsidRPr="003B2A2E">
        <w:rPr>
          <w:rFonts w:asciiTheme="majorBidi" w:hAnsiTheme="majorBidi" w:cstheme="majorBidi"/>
          <w:highlight w:val="lightGray"/>
          <w:vertAlign w:val="superscript"/>
        </w:rPr>
        <w:fldChar w:fldCharType="end"/>
      </w:r>
      <w:r w:rsidRPr="00F13319">
        <w:rPr>
          <w:rFonts w:asciiTheme="majorBidi" w:hAnsiTheme="majorBidi" w:cstheme="majorBidi"/>
          <w:highlight w:val="lightGray"/>
        </w:rPr>
        <w:t>;</w:t>
      </w:r>
    </w:p>
    <w:p w14:paraId="33D993B3" w14:textId="2EB9E284" w:rsidR="007F41F5" w:rsidRPr="007F41F5" w:rsidRDefault="007F41F5" w:rsidP="00EE7BDD">
      <w:pPr>
        <w:tabs>
          <w:tab w:val="clear" w:pos="1247"/>
          <w:tab w:val="clear" w:pos="1814"/>
          <w:tab w:val="clear" w:pos="2381"/>
          <w:tab w:val="clear" w:pos="2948"/>
          <w:tab w:val="clear" w:pos="3515"/>
        </w:tabs>
        <w:spacing w:after="120"/>
        <w:ind w:left="3120" w:hanging="624"/>
        <w:rPr>
          <w:rFonts w:asciiTheme="majorBidi" w:hAnsiTheme="majorBidi" w:cstheme="majorBidi"/>
        </w:rPr>
      </w:pPr>
      <w:r w:rsidRPr="007F41F5">
        <w:rPr>
          <w:rFonts w:asciiTheme="majorBidi" w:hAnsiTheme="majorBidi" w:cstheme="majorBidi"/>
        </w:rPr>
        <w:t>v)</w:t>
      </w:r>
      <w:r w:rsidRPr="007F41F5">
        <w:rPr>
          <w:rFonts w:asciiTheme="majorBidi" w:hAnsiTheme="majorBidi" w:cstheme="majorBidi"/>
        </w:rPr>
        <w:tab/>
        <w:t xml:space="preserve">доклад о мониторинге, включающий информацию о глобальных уровнях содержания ртути в окружающей среде, </w:t>
      </w:r>
      <w:r w:rsidR="00110A13" w:rsidRPr="00110A13">
        <w:rPr>
          <w:rFonts w:asciiTheme="majorBidi" w:hAnsiTheme="majorBidi" w:cstheme="majorBidi"/>
        </w:rPr>
        <w:t>биотических средах</w:t>
      </w:r>
      <w:r w:rsidRPr="007F41F5">
        <w:rPr>
          <w:rFonts w:asciiTheme="majorBidi" w:hAnsiTheme="majorBidi" w:cstheme="majorBidi"/>
        </w:rPr>
        <w:t xml:space="preserve"> и организмах людей, относящихся к уязвимым группам населения, а также о тенденциях их изменения с течением времени.</w:t>
      </w:r>
    </w:p>
    <w:p w14:paraId="3D0407CE" w14:textId="7B06C182" w:rsidR="007F41F5" w:rsidRPr="007F41F5" w:rsidRDefault="007F41F5" w:rsidP="00EE7BDD">
      <w:pPr>
        <w:tabs>
          <w:tab w:val="clear" w:pos="1247"/>
          <w:tab w:val="clear" w:pos="1814"/>
          <w:tab w:val="clear" w:pos="2381"/>
          <w:tab w:val="clear" w:pos="2948"/>
          <w:tab w:val="clear" w:pos="3515"/>
        </w:tabs>
        <w:spacing w:after="120"/>
        <w:ind w:left="1871"/>
        <w:rPr>
          <w:rFonts w:asciiTheme="majorBidi" w:hAnsiTheme="majorBidi" w:cstheme="majorBidi"/>
        </w:rPr>
      </w:pPr>
      <w:r w:rsidRPr="007F41F5">
        <w:rPr>
          <w:rFonts w:asciiTheme="majorBidi" w:hAnsiTheme="majorBidi" w:cstheme="majorBidi"/>
        </w:rPr>
        <w:t>В этих докладах будет представлена информация о показателях процесса, показателях результата и контрольных показателях, что облегчит рассмотрение комитетом по оценке эффективности четырех предметных вопросов. В эти доклады буд</w:t>
      </w:r>
      <w:r w:rsidR="00F13319">
        <w:rPr>
          <w:rFonts w:asciiTheme="majorBidi" w:hAnsiTheme="majorBidi" w:cstheme="majorBidi"/>
        </w:rPr>
        <w:t>у</w:t>
      </w:r>
      <w:r w:rsidRPr="007F41F5">
        <w:rPr>
          <w:rFonts w:asciiTheme="majorBidi" w:hAnsiTheme="majorBidi" w:cstheme="majorBidi"/>
        </w:rPr>
        <w:t>т включен</w:t>
      </w:r>
      <w:r w:rsidR="00F13319">
        <w:rPr>
          <w:rFonts w:asciiTheme="majorBidi" w:hAnsiTheme="majorBidi" w:cstheme="majorBidi"/>
        </w:rPr>
        <w:t>ы</w:t>
      </w:r>
      <w:r w:rsidRPr="007F41F5">
        <w:rPr>
          <w:rFonts w:asciiTheme="majorBidi" w:hAnsiTheme="majorBidi" w:cstheme="majorBidi"/>
        </w:rPr>
        <w:t xml:space="preserve"> научная и техническая информация и доступные наглядные материалы.</w:t>
      </w:r>
    </w:p>
    <w:p w14:paraId="5EAC4925" w14:textId="22953BFB" w:rsidR="007F41F5" w:rsidRPr="007F41F5" w:rsidRDefault="007F41F5" w:rsidP="00EE7BDD">
      <w:pPr>
        <w:tabs>
          <w:tab w:val="clear" w:pos="1247"/>
          <w:tab w:val="clear" w:pos="1814"/>
          <w:tab w:val="clear" w:pos="2381"/>
          <w:tab w:val="clear" w:pos="2948"/>
          <w:tab w:val="clear" w:pos="3515"/>
        </w:tabs>
        <w:spacing w:after="120"/>
        <w:ind w:left="1247" w:firstLine="624"/>
        <w:rPr>
          <w:rFonts w:asciiTheme="majorBidi" w:hAnsiTheme="majorBidi" w:cstheme="majorBidi"/>
        </w:rPr>
      </w:pPr>
      <w:r w:rsidRPr="007F41F5">
        <w:rPr>
          <w:rFonts w:asciiTheme="majorBidi" w:hAnsiTheme="majorBidi" w:cstheme="majorBidi"/>
        </w:rPr>
        <w:t>d)</w:t>
      </w:r>
      <w:r w:rsidRPr="007F41F5">
        <w:rPr>
          <w:rFonts w:asciiTheme="majorBidi" w:hAnsiTheme="majorBidi" w:cstheme="majorBidi"/>
        </w:rPr>
        <w:tab/>
        <w:t xml:space="preserve">Уровень 4 </w:t>
      </w:r>
      <w:r w:rsidR="000D7B0E" w:rsidRPr="00AA0928">
        <w:rPr>
          <w:rFonts w:asciiTheme="majorBidi" w:hAnsiTheme="majorBidi" w:cstheme="majorBidi"/>
        </w:rPr>
        <w:t>–</w:t>
      </w:r>
      <w:r w:rsidRPr="007F41F5">
        <w:rPr>
          <w:rFonts w:asciiTheme="majorBidi" w:hAnsiTheme="majorBidi" w:cstheme="majorBidi"/>
        </w:rPr>
        <w:t xml:space="preserve"> установление взаимосвязи. Сводные доклады (и, при необходимости, основные и/или дополнительные данные) о деятельности по осуществлению Конвенции, выбросах, высвобождени</w:t>
      </w:r>
      <w:r w:rsidR="00110A13">
        <w:rPr>
          <w:rFonts w:asciiTheme="majorBidi" w:hAnsiTheme="majorBidi" w:cstheme="majorBidi"/>
        </w:rPr>
        <w:t>ях</w:t>
      </w:r>
      <w:r w:rsidRPr="007F41F5">
        <w:rPr>
          <w:rFonts w:asciiTheme="majorBidi" w:hAnsiTheme="majorBidi" w:cstheme="majorBidi"/>
        </w:rPr>
        <w:t xml:space="preserve"> и данные мониторинга могут быть использованы для подготовки шестого доклада, а именно доклада о взаимосвязи, когда инструменты для его подготовки станут доступными. В докладе о взаимосвязи будет проводиться различие между показателями процесса, показателями результата и контрольными показателями, что будет способствовать работе комитета по оценке эффективности по рассмотрению четырех предметных вопросов. При необходимости в нем будет учитываться другая информация (например, информация социально-экономического характера, информация о технических инновациях, сведения о климате и об основных глобальных стратегиях). Доклад о взаимосвязи будет готовиться подгруппой по моделированию (подробное описание доклада о взаимосвязи см. в до</w:t>
      </w:r>
      <w:r w:rsidR="00F13319">
        <w:rPr>
          <w:rFonts w:asciiTheme="majorBidi" w:hAnsiTheme="majorBidi" w:cstheme="majorBidi"/>
        </w:rPr>
        <w:t>полн</w:t>
      </w:r>
      <w:r w:rsidRPr="007F41F5">
        <w:rPr>
          <w:rFonts w:asciiTheme="majorBidi" w:hAnsiTheme="majorBidi" w:cstheme="majorBidi"/>
        </w:rPr>
        <w:t>ении IV).</w:t>
      </w:r>
    </w:p>
    <w:p w14:paraId="127EEC15" w14:textId="08C5776F" w:rsidR="007F41F5" w:rsidRPr="007F41F5" w:rsidRDefault="007F41F5" w:rsidP="00C87C97">
      <w:pPr>
        <w:tabs>
          <w:tab w:val="clear" w:pos="1247"/>
          <w:tab w:val="clear" w:pos="1814"/>
          <w:tab w:val="clear" w:pos="2381"/>
          <w:tab w:val="clear" w:pos="2948"/>
          <w:tab w:val="clear" w:pos="3515"/>
        </w:tabs>
        <w:spacing w:after="120"/>
        <w:ind w:left="1248"/>
        <w:rPr>
          <w:rFonts w:asciiTheme="majorBidi" w:hAnsiTheme="majorBidi" w:cstheme="majorBidi"/>
        </w:rPr>
      </w:pPr>
      <w:r w:rsidRPr="007F41F5">
        <w:rPr>
          <w:rFonts w:asciiTheme="majorBidi" w:hAnsiTheme="majorBidi" w:cstheme="majorBidi"/>
        </w:rPr>
        <w:t>Проводимый на уровне 4 анализ будет, вероятно, включать моделирование для оценки того, как изменения объема выбросов и высвобождени</w:t>
      </w:r>
      <w:r w:rsidR="007E391E">
        <w:rPr>
          <w:rFonts w:asciiTheme="majorBidi" w:hAnsiTheme="majorBidi" w:cstheme="majorBidi"/>
        </w:rPr>
        <w:t>й</w:t>
      </w:r>
      <w:r w:rsidRPr="007F41F5">
        <w:rPr>
          <w:rFonts w:asciiTheme="majorBidi" w:hAnsiTheme="majorBidi" w:cstheme="majorBidi"/>
        </w:rPr>
        <w:t xml:space="preserve"> в результате принятия предусмотренных Конвенцией мер способствовали изменени</w:t>
      </w:r>
      <w:r w:rsidR="007B718E">
        <w:rPr>
          <w:rFonts w:asciiTheme="majorBidi" w:hAnsiTheme="majorBidi" w:cstheme="majorBidi"/>
        </w:rPr>
        <w:t>ю</w:t>
      </w:r>
      <w:r w:rsidRPr="007F41F5">
        <w:rPr>
          <w:rFonts w:asciiTheme="majorBidi" w:hAnsiTheme="majorBidi" w:cstheme="majorBidi"/>
        </w:rPr>
        <w:t xml:space="preserve"> уровней содержания ртути в окружающей среде, </w:t>
      </w:r>
      <w:r w:rsidR="00110A13" w:rsidRPr="00110A13">
        <w:rPr>
          <w:rFonts w:asciiTheme="majorBidi" w:hAnsiTheme="majorBidi" w:cstheme="majorBidi"/>
        </w:rPr>
        <w:t>биотических средах</w:t>
      </w:r>
      <w:r w:rsidRPr="007F41F5">
        <w:rPr>
          <w:rFonts w:asciiTheme="majorBidi" w:hAnsiTheme="majorBidi" w:cstheme="majorBidi"/>
        </w:rPr>
        <w:t xml:space="preserve"> и организмах людей, относящихся к уязвимым группам населения. В рамках оценки взаимосвязи будет также предпринята попытка дать оценку долгосрочным </w:t>
      </w:r>
      <w:r w:rsidRPr="007F41F5">
        <w:rPr>
          <w:rFonts w:asciiTheme="majorBidi" w:hAnsiTheme="majorBidi" w:cstheme="majorBidi"/>
        </w:rPr>
        <w:lastRenderedPageBreak/>
        <w:t xml:space="preserve">тенденциям, с тем чтобы истолковать релевантность </w:t>
      </w:r>
      <w:r w:rsidR="007B718E">
        <w:rPr>
          <w:rFonts w:asciiTheme="majorBidi" w:hAnsiTheme="majorBidi" w:cstheme="majorBidi"/>
        </w:rPr>
        <w:t>данных</w:t>
      </w:r>
      <w:r w:rsidR="007B718E" w:rsidRPr="007F41F5">
        <w:rPr>
          <w:rFonts w:asciiTheme="majorBidi" w:hAnsiTheme="majorBidi" w:cstheme="majorBidi"/>
        </w:rPr>
        <w:t xml:space="preserve"> </w:t>
      </w:r>
      <w:r w:rsidRPr="007F41F5">
        <w:rPr>
          <w:rFonts w:asciiTheme="majorBidi" w:hAnsiTheme="majorBidi" w:cstheme="majorBidi"/>
        </w:rPr>
        <w:t>социального, технического и экономического характера в контексте эффективности Конвенции с точки зрения ее целей. Хотя доклад о взаимосвязи будет представлять собой основанный на свидетельствах научно</w:t>
      </w:r>
      <w:r w:rsidR="00F13319">
        <w:rPr>
          <w:rFonts w:asciiTheme="majorBidi" w:hAnsiTheme="majorBidi" w:cstheme="majorBidi"/>
        </w:rPr>
        <w:noBreakHyphen/>
      </w:r>
      <w:r w:rsidRPr="007F41F5">
        <w:rPr>
          <w:rFonts w:asciiTheme="majorBidi" w:hAnsiTheme="majorBidi" w:cstheme="majorBidi"/>
        </w:rPr>
        <w:t>технический доклад, он будет также доступен для читателей, не являющихся техническими экспертами, и будет включать наглядные материалы.</w:t>
      </w:r>
    </w:p>
    <w:p w14:paraId="2A339ABA" w14:textId="5007F6D4" w:rsidR="007F41F5" w:rsidRPr="007F41F5" w:rsidRDefault="007F41F5" w:rsidP="00C87C97">
      <w:pPr>
        <w:tabs>
          <w:tab w:val="clear" w:pos="1247"/>
          <w:tab w:val="clear" w:pos="1814"/>
          <w:tab w:val="clear" w:pos="2381"/>
          <w:tab w:val="clear" w:pos="2948"/>
          <w:tab w:val="clear" w:pos="3515"/>
        </w:tabs>
        <w:spacing w:after="120"/>
        <w:ind w:left="1247" w:firstLine="624"/>
        <w:rPr>
          <w:rFonts w:asciiTheme="majorBidi" w:eastAsiaTheme="minorHAnsi" w:hAnsiTheme="majorBidi" w:cstheme="majorBidi"/>
        </w:rPr>
      </w:pPr>
      <w:r w:rsidRPr="007F41F5">
        <w:rPr>
          <w:rFonts w:asciiTheme="majorBidi" w:eastAsiaTheme="minorHAnsi" w:hAnsiTheme="majorBidi" w:cstheme="majorBidi"/>
        </w:rPr>
        <w:t>e)</w:t>
      </w:r>
      <w:r w:rsidRPr="007F41F5">
        <w:rPr>
          <w:rFonts w:asciiTheme="majorBidi" w:eastAsiaTheme="minorHAnsi" w:hAnsiTheme="majorBidi" w:cstheme="majorBidi"/>
        </w:rPr>
        <w:tab/>
      </w:r>
      <w:r w:rsidRPr="007F41F5">
        <w:rPr>
          <w:rFonts w:asciiTheme="majorBidi" w:hAnsiTheme="majorBidi" w:cstheme="majorBidi"/>
        </w:rPr>
        <w:t xml:space="preserve">Уровень 5 </w:t>
      </w:r>
      <w:r w:rsidR="000D7B0E" w:rsidRPr="00AA0928">
        <w:rPr>
          <w:rFonts w:asciiTheme="majorBidi" w:hAnsiTheme="majorBidi" w:cstheme="majorBidi"/>
        </w:rPr>
        <w:t>–</w:t>
      </w:r>
      <w:r w:rsidRPr="007F41F5">
        <w:rPr>
          <w:rFonts w:asciiTheme="majorBidi" w:hAnsiTheme="majorBidi" w:cstheme="majorBidi"/>
        </w:rPr>
        <w:t xml:space="preserve"> обобщение. Пять сводных докладов, дополняемых, при его наличии, докладом о взаимосвязи, будут подготовлены для комитета по оценке эффективности, который использует эту информацию в рамках комплексного подхода для </w:t>
      </w:r>
      <w:r w:rsidR="007B718E">
        <w:rPr>
          <w:rFonts w:asciiTheme="majorBidi" w:hAnsiTheme="majorBidi" w:cstheme="majorBidi"/>
        </w:rPr>
        <w:t>рассмотрения</w:t>
      </w:r>
      <w:r w:rsidR="007B718E" w:rsidRPr="007F41F5">
        <w:rPr>
          <w:rFonts w:asciiTheme="majorBidi" w:hAnsiTheme="majorBidi" w:cstheme="majorBidi"/>
        </w:rPr>
        <w:t xml:space="preserve"> </w:t>
      </w:r>
      <w:r w:rsidRPr="007F41F5">
        <w:rPr>
          <w:rFonts w:asciiTheme="majorBidi" w:hAnsiTheme="majorBidi" w:cstheme="majorBidi"/>
        </w:rPr>
        <w:t>четырех предметных вопросов и подготовки выводов для представления Конференции Сторон. Комитет может включить в свой доклад предложения по совершенствованию последующих циклов оценки эффективности.</w:t>
      </w:r>
      <w:bookmarkStart w:id="13" w:name="_Hlk10383875"/>
      <w:bookmarkEnd w:id="13"/>
    </w:p>
    <w:p w14:paraId="18C394C9" w14:textId="1A838FFA" w:rsidR="007F41F5" w:rsidRPr="007F41F5" w:rsidRDefault="007F41F5" w:rsidP="00C87C97">
      <w:pPr>
        <w:tabs>
          <w:tab w:val="clear" w:pos="1247"/>
          <w:tab w:val="clear" w:pos="1814"/>
          <w:tab w:val="clear" w:pos="2381"/>
          <w:tab w:val="clear" w:pos="2948"/>
          <w:tab w:val="clear" w:pos="3515"/>
        </w:tabs>
        <w:spacing w:after="120"/>
        <w:ind w:left="1247" w:firstLine="624"/>
        <w:rPr>
          <w:rFonts w:asciiTheme="majorBidi" w:eastAsiaTheme="minorHAnsi" w:hAnsiTheme="majorBidi" w:cstheme="majorBidi"/>
        </w:rPr>
      </w:pPr>
      <w:r w:rsidRPr="007F41F5">
        <w:rPr>
          <w:rFonts w:asciiTheme="majorBidi" w:eastAsiaTheme="minorHAnsi" w:hAnsiTheme="majorBidi" w:cstheme="majorBidi"/>
        </w:rPr>
        <w:t>f)</w:t>
      </w:r>
      <w:r w:rsidRPr="007F41F5">
        <w:rPr>
          <w:rFonts w:asciiTheme="majorBidi" w:eastAsiaTheme="minorHAnsi" w:hAnsiTheme="majorBidi" w:cstheme="majorBidi"/>
        </w:rPr>
        <w:tab/>
      </w:r>
      <w:r w:rsidRPr="007F41F5">
        <w:rPr>
          <w:rFonts w:asciiTheme="majorBidi" w:hAnsiTheme="majorBidi" w:cstheme="majorBidi"/>
        </w:rPr>
        <w:t xml:space="preserve">Уровень 6 </w:t>
      </w:r>
      <w:r w:rsidR="000D7B0E" w:rsidRPr="00AA0928">
        <w:rPr>
          <w:rFonts w:asciiTheme="majorBidi" w:hAnsiTheme="majorBidi" w:cstheme="majorBidi"/>
        </w:rPr>
        <w:t>–</w:t>
      </w:r>
      <w:r w:rsidRPr="007F41F5">
        <w:rPr>
          <w:rFonts w:asciiTheme="majorBidi" w:hAnsiTheme="majorBidi" w:cstheme="majorBidi"/>
        </w:rPr>
        <w:t xml:space="preserve"> Конференция Сторон. На этом заключительном уровне Конференция Сторон получает и рассматривает выводы комитета по оценке эффективности и выносит свое определение в отношении эффективности Конвенции.</w:t>
      </w:r>
    </w:p>
    <w:p w14:paraId="222F93E0" w14:textId="77777777" w:rsidR="007F41F5" w:rsidRPr="000D7B0E" w:rsidRDefault="007F41F5" w:rsidP="000D7B0E">
      <w:pPr>
        <w:tabs>
          <w:tab w:val="clear" w:pos="1247"/>
          <w:tab w:val="clear" w:pos="1814"/>
          <w:tab w:val="clear" w:pos="2381"/>
          <w:tab w:val="clear" w:pos="2948"/>
          <w:tab w:val="clear" w:pos="3515"/>
          <w:tab w:val="right" w:pos="851"/>
        </w:tabs>
        <w:spacing w:after="120"/>
        <w:ind w:left="1247" w:right="284" w:hanging="1247"/>
        <w:rPr>
          <w:b/>
          <w:bCs/>
          <w:sz w:val="24"/>
          <w:szCs w:val="24"/>
        </w:rPr>
      </w:pPr>
      <w:r w:rsidRPr="000D7B0E">
        <w:rPr>
          <w:b/>
          <w:bCs/>
          <w:sz w:val="24"/>
          <w:szCs w:val="24"/>
        </w:rPr>
        <w:tab/>
        <w:t>B.</w:t>
      </w:r>
      <w:r w:rsidRPr="000D7B0E">
        <w:rPr>
          <w:b/>
          <w:bCs/>
          <w:sz w:val="24"/>
          <w:szCs w:val="24"/>
        </w:rPr>
        <w:tab/>
        <w:t>Разработка показателей</w:t>
      </w:r>
    </w:p>
    <w:p w14:paraId="1648BC56" w14:textId="44373B91" w:rsidR="007F41F5" w:rsidRPr="007F41F5" w:rsidRDefault="007F41F5" w:rsidP="004F79F2">
      <w:pPr>
        <w:tabs>
          <w:tab w:val="clear" w:pos="1247"/>
          <w:tab w:val="clear" w:pos="1814"/>
          <w:tab w:val="clear" w:pos="2381"/>
          <w:tab w:val="clear" w:pos="2948"/>
          <w:tab w:val="clear" w:pos="3515"/>
        </w:tabs>
        <w:spacing w:after="120"/>
        <w:ind w:left="1247"/>
        <w:rPr>
          <w:rFonts w:asciiTheme="majorBidi" w:hAnsiTheme="majorBidi" w:cstheme="majorBidi"/>
        </w:rPr>
      </w:pPr>
      <w:r w:rsidRPr="007F41F5">
        <w:rPr>
          <w:rFonts w:asciiTheme="majorBidi" w:hAnsiTheme="majorBidi" w:cstheme="majorBidi"/>
        </w:rPr>
        <w:t>40.</w:t>
      </w:r>
      <w:r w:rsidRPr="007F41F5">
        <w:rPr>
          <w:rFonts w:asciiTheme="majorBidi" w:hAnsiTheme="majorBidi" w:cstheme="majorBidi"/>
        </w:rPr>
        <w:tab/>
      </w:r>
      <w:proofErr w:type="spellStart"/>
      <w:r w:rsidRPr="007F41F5">
        <w:rPr>
          <w:rFonts w:asciiTheme="majorBidi" w:hAnsiTheme="majorBidi" w:cstheme="majorBidi"/>
        </w:rPr>
        <w:t>Минаматская</w:t>
      </w:r>
      <w:proofErr w:type="spellEnd"/>
      <w:r w:rsidRPr="007F41F5">
        <w:rPr>
          <w:rFonts w:asciiTheme="majorBidi" w:hAnsiTheme="majorBidi" w:cstheme="majorBidi"/>
        </w:rPr>
        <w:t xml:space="preserve"> конвенция предусматривает ряд мер, направленных на контроль, сокращение или ликвидацию основных источников ртути и видов ее применения, а также ряд дополнительных положений, обязывающих Стороны проводить совместную работу для оказания друг другу поддержки в общих усилиях по защите людей и окружающей среды от вредного воздействия ртути. Для получения целостной картины об эффективности мер и положений Конвенции специальная техническая группа экспертов применила комплексный подход </w:t>
      </w:r>
      <w:r w:rsidR="00596774">
        <w:rPr>
          <w:rFonts w:asciiTheme="majorBidi" w:hAnsiTheme="majorBidi" w:cstheme="majorBidi"/>
        </w:rPr>
        <w:t>для</w:t>
      </w:r>
      <w:r w:rsidR="00596774" w:rsidRPr="007F41F5">
        <w:rPr>
          <w:rFonts w:asciiTheme="majorBidi" w:hAnsiTheme="majorBidi" w:cstheme="majorBidi"/>
        </w:rPr>
        <w:t xml:space="preserve"> </w:t>
      </w:r>
      <w:r w:rsidRPr="007F41F5">
        <w:rPr>
          <w:rFonts w:asciiTheme="majorBidi" w:hAnsiTheme="majorBidi" w:cstheme="majorBidi"/>
        </w:rPr>
        <w:t>определени</w:t>
      </w:r>
      <w:r w:rsidR="00596774">
        <w:rPr>
          <w:rFonts w:asciiTheme="majorBidi" w:hAnsiTheme="majorBidi" w:cstheme="majorBidi"/>
        </w:rPr>
        <w:t>я</w:t>
      </w:r>
      <w:r w:rsidRPr="007F41F5">
        <w:rPr>
          <w:rFonts w:asciiTheme="majorBidi" w:hAnsiTheme="majorBidi" w:cstheme="majorBidi"/>
        </w:rPr>
        <w:t xml:space="preserve"> набора возможных показателей.</w:t>
      </w:r>
    </w:p>
    <w:p w14:paraId="7F6DFF69" w14:textId="15F50A09" w:rsidR="007F41F5" w:rsidRPr="007F41F5" w:rsidRDefault="007F41F5" w:rsidP="004F79F2">
      <w:pPr>
        <w:tabs>
          <w:tab w:val="clear" w:pos="1247"/>
          <w:tab w:val="clear" w:pos="1814"/>
          <w:tab w:val="clear" w:pos="2381"/>
          <w:tab w:val="clear" w:pos="2948"/>
          <w:tab w:val="clear" w:pos="3515"/>
        </w:tabs>
        <w:spacing w:after="120"/>
        <w:ind w:left="1247"/>
        <w:rPr>
          <w:rFonts w:asciiTheme="majorBidi" w:hAnsiTheme="majorBidi" w:cstheme="majorBidi"/>
        </w:rPr>
      </w:pPr>
      <w:r w:rsidRPr="007F41F5">
        <w:rPr>
          <w:rFonts w:asciiTheme="majorBidi" w:hAnsiTheme="majorBidi" w:cstheme="majorBidi"/>
        </w:rPr>
        <w:t>41.</w:t>
      </w:r>
      <w:r w:rsidRPr="007F41F5">
        <w:rPr>
          <w:rFonts w:asciiTheme="majorBidi" w:hAnsiTheme="majorBidi" w:cstheme="majorBidi"/>
        </w:rPr>
        <w:tab/>
        <w:t xml:space="preserve">Для обоснованного рассмотрения четырех предметных вопросов, лежащих в основе оценки эффективности, предлагаются три вида показателей: показатели процесса, показатели результата и </w:t>
      </w:r>
      <w:r w:rsidR="00CF7C11">
        <w:rPr>
          <w:rFonts w:asciiTheme="majorBidi" w:hAnsiTheme="majorBidi" w:cstheme="majorBidi"/>
        </w:rPr>
        <w:t xml:space="preserve">контрольные </w:t>
      </w:r>
      <w:r w:rsidRPr="007F41F5">
        <w:rPr>
          <w:rFonts w:asciiTheme="majorBidi" w:hAnsiTheme="majorBidi" w:cstheme="majorBidi"/>
        </w:rPr>
        <w:t>показатели. Предлагаемые показатели основаны на результатах выполненной ранее работы над элементами системы оценки эффективности и обзора потенциала и возможностей мониторинга.</w:t>
      </w:r>
    </w:p>
    <w:p w14:paraId="39EC6CFC" w14:textId="748EC55F" w:rsidR="007F41F5" w:rsidRPr="007F41F5" w:rsidRDefault="007F41F5" w:rsidP="004F79F2">
      <w:pPr>
        <w:tabs>
          <w:tab w:val="clear" w:pos="1247"/>
          <w:tab w:val="clear" w:pos="1814"/>
          <w:tab w:val="clear" w:pos="2381"/>
          <w:tab w:val="clear" w:pos="2948"/>
          <w:tab w:val="clear" w:pos="3515"/>
        </w:tabs>
        <w:spacing w:after="120"/>
        <w:ind w:left="1247"/>
        <w:rPr>
          <w:rFonts w:asciiTheme="majorBidi" w:hAnsiTheme="majorBidi" w:cstheme="majorBidi"/>
        </w:rPr>
      </w:pPr>
      <w:r w:rsidRPr="007F41F5">
        <w:rPr>
          <w:rFonts w:asciiTheme="majorBidi" w:hAnsiTheme="majorBidi" w:cstheme="majorBidi"/>
        </w:rPr>
        <w:t>42.</w:t>
      </w:r>
      <w:r w:rsidRPr="007F41F5">
        <w:rPr>
          <w:rFonts w:asciiTheme="majorBidi" w:hAnsiTheme="majorBidi" w:cstheme="majorBidi"/>
        </w:rPr>
        <w:tab/>
        <w:t>Для того чтобы обеспечить возможность проведения в предлагаемых докладах обобщенного анализа, предлагаемые показатели были после постатейного обзора следующим образом сгруппированы:</w:t>
      </w:r>
    </w:p>
    <w:p w14:paraId="3E1DD38B" w14:textId="77777777" w:rsidR="007F41F5" w:rsidRPr="007F41F5" w:rsidRDefault="007F41F5" w:rsidP="004F79F2">
      <w:pPr>
        <w:tabs>
          <w:tab w:val="clear" w:pos="1247"/>
          <w:tab w:val="clear" w:pos="1814"/>
          <w:tab w:val="clear" w:pos="2381"/>
          <w:tab w:val="clear" w:pos="2948"/>
          <w:tab w:val="clear" w:pos="3515"/>
        </w:tabs>
        <w:spacing w:after="120"/>
        <w:ind w:left="1247" w:firstLine="624"/>
        <w:rPr>
          <w:rFonts w:asciiTheme="majorBidi" w:hAnsiTheme="majorBidi" w:cstheme="majorBidi"/>
        </w:rPr>
      </w:pPr>
      <w:r w:rsidRPr="007F41F5">
        <w:rPr>
          <w:rFonts w:asciiTheme="majorBidi" w:hAnsiTheme="majorBidi" w:cstheme="majorBidi"/>
        </w:rPr>
        <w:t>a)</w:t>
      </w:r>
      <w:r w:rsidRPr="007F41F5">
        <w:rPr>
          <w:rFonts w:asciiTheme="majorBidi" w:hAnsiTheme="majorBidi" w:cstheme="majorBidi"/>
        </w:rPr>
        <w:tab/>
        <w:t>группа показателей, связанных с предложением (B): предложение, хранение и отходы (статьи 3, 10 и 11);</w:t>
      </w:r>
    </w:p>
    <w:p w14:paraId="194946BA" w14:textId="77777777" w:rsidR="007F41F5" w:rsidRPr="007F41F5" w:rsidRDefault="007F41F5" w:rsidP="004F79F2">
      <w:pPr>
        <w:tabs>
          <w:tab w:val="clear" w:pos="1247"/>
          <w:tab w:val="clear" w:pos="1814"/>
          <w:tab w:val="clear" w:pos="2381"/>
          <w:tab w:val="clear" w:pos="2948"/>
          <w:tab w:val="clear" w:pos="3515"/>
        </w:tabs>
        <w:spacing w:after="120"/>
        <w:ind w:left="1247" w:firstLine="624"/>
        <w:rPr>
          <w:rFonts w:asciiTheme="majorBidi" w:hAnsiTheme="majorBidi" w:cstheme="majorBidi"/>
        </w:rPr>
      </w:pPr>
      <w:r w:rsidRPr="007F41F5">
        <w:rPr>
          <w:rFonts w:asciiTheme="majorBidi" w:hAnsiTheme="majorBidi" w:cstheme="majorBidi"/>
        </w:rPr>
        <w:t>b)</w:t>
      </w:r>
      <w:r w:rsidRPr="007F41F5">
        <w:rPr>
          <w:rFonts w:asciiTheme="majorBidi" w:hAnsiTheme="majorBidi" w:cstheme="majorBidi"/>
        </w:rPr>
        <w:tab/>
        <w:t>группа показателей, связанных со спросом (С): продукты, процессы и кустарная и мелкомасштабная золотодобыча (статьи 4, 5 и 7);</w:t>
      </w:r>
    </w:p>
    <w:p w14:paraId="2B2B0F22" w14:textId="77777777" w:rsidR="007F41F5" w:rsidRPr="007F41F5" w:rsidRDefault="007F41F5" w:rsidP="004F79F2">
      <w:pPr>
        <w:tabs>
          <w:tab w:val="clear" w:pos="1247"/>
          <w:tab w:val="clear" w:pos="1814"/>
          <w:tab w:val="clear" w:pos="2381"/>
          <w:tab w:val="clear" w:pos="2948"/>
          <w:tab w:val="clear" w:pos="3515"/>
        </w:tabs>
        <w:spacing w:after="120"/>
        <w:ind w:left="1247" w:firstLine="624"/>
        <w:rPr>
          <w:rFonts w:asciiTheme="majorBidi" w:hAnsiTheme="majorBidi" w:cstheme="majorBidi"/>
        </w:rPr>
      </w:pPr>
      <w:r w:rsidRPr="007F41F5">
        <w:rPr>
          <w:rFonts w:asciiTheme="majorBidi" w:hAnsiTheme="majorBidi" w:cstheme="majorBidi"/>
        </w:rPr>
        <w:t>c)</w:t>
      </w:r>
      <w:r w:rsidRPr="007F41F5">
        <w:rPr>
          <w:rFonts w:asciiTheme="majorBidi" w:hAnsiTheme="majorBidi" w:cstheme="majorBidi"/>
        </w:rPr>
        <w:tab/>
        <w:t>группа показателей, связанных с последствиями (D): выбросы, высвобождение и загрязненные участки (статьи 8, 9 и 12);</w:t>
      </w:r>
    </w:p>
    <w:p w14:paraId="2DF062B8" w14:textId="2436C001" w:rsidR="007F41F5" w:rsidRPr="007F41F5" w:rsidRDefault="007F41F5" w:rsidP="004F79F2">
      <w:pPr>
        <w:tabs>
          <w:tab w:val="clear" w:pos="1247"/>
          <w:tab w:val="clear" w:pos="1814"/>
          <w:tab w:val="clear" w:pos="2381"/>
          <w:tab w:val="clear" w:pos="2948"/>
          <w:tab w:val="clear" w:pos="3515"/>
        </w:tabs>
        <w:spacing w:after="120"/>
        <w:ind w:left="1247" w:firstLine="624"/>
        <w:rPr>
          <w:rFonts w:asciiTheme="majorBidi" w:hAnsiTheme="majorBidi" w:cstheme="majorBidi"/>
        </w:rPr>
      </w:pPr>
      <w:r w:rsidRPr="007F41F5">
        <w:rPr>
          <w:rFonts w:asciiTheme="majorBidi" w:hAnsiTheme="majorBidi" w:cstheme="majorBidi"/>
        </w:rPr>
        <w:t>d)</w:t>
      </w:r>
      <w:r w:rsidRPr="007F41F5">
        <w:rPr>
          <w:rFonts w:asciiTheme="majorBidi" w:hAnsiTheme="majorBidi" w:cstheme="majorBidi"/>
        </w:rPr>
        <w:tab/>
        <w:t>группа показателей, связанных с поддержкой (Е): финансовое и техническое содействие (статьи 13 и 14);</w:t>
      </w:r>
    </w:p>
    <w:p w14:paraId="7A07FEBD" w14:textId="6370AED1" w:rsidR="007F41F5" w:rsidRPr="007F41F5" w:rsidRDefault="007F41F5" w:rsidP="004F79F2">
      <w:pPr>
        <w:tabs>
          <w:tab w:val="clear" w:pos="1247"/>
          <w:tab w:val="clear" w:pos="1814"/>
          <w:tab w:val="clear" w:pos="2381"/>
          <w:tab w:val="clear" w:pos="2948"/>
          <w:tab w:val="clear" w:pos="3515"/>
        </w:tabs>
        <w:spacing w:after="120"/>
        <w:ind w:left="1247" w:firstLine="624"/>
        <w:rPr>
          <w:rFonts w:asciiTheme="majorBidi" w:hAnsiTheme="majorBidi" w:cstheme="majorBidi"/>
        </w:rPr>
      </w:pPr>
      <w:r w:rsidRPr="007F41F5">
        <w:rPr>
          <w:rFonts w:asciiTheme="majorBidi" w:hAnsiTheme="majorBidi" w:cstheme="majorBidi"/>
        </w:rPr>
        <w:t>e)</w:t>
      </w:r>
      <w:r w:rsidRPr="007F41F5">
        <w:rPr>
          <w:rFonts w:asciiTheme="majorBidi" w:hAnsiTheme="majorBidi" w:cstheme="majorBidi"/>
        </w:rPr>
        <w:tab/>
        <w:t>группа показателей, связанных с информацией и исследованиями (H): обмен информацией, информирование и научные исследования (статьи 17, 18 и 19).</w:t>
      </w:r>
    </w:p>
    <w:p w14:paraId="1FC486F5" w14:textId="74EF7A90" w:rsidR="007F41F5" w:rsidRPr="007F41F5" w:rsidRDefault="007F41F5" w:rsidP="004F79F2">
      <w:pPr>
        <w:tabs>
          <w:tab w:val="clear" w:pos="1247"/>
          <w:tab w:val="clear" w:pos="1814"/>
          <w:tab w:val="clear" w:pos="2381"/>
          <w:tab w:val="clear" w:pos="2948"/>
          <w:tab w:val="clear" w:pos="3515"/>
        </w:tabs>
        <w:spacing w:after="120"/>
        <w:ind w:left="1247"/>
        <w:rPr>
          <w:rFonts w:asciiTheme="majorBidi" w:hAnsiTheme="majorBidi" w:cstheme="majorBidi"/>
        </w:rPr>
      </w:pPr>
      <w:r w:rsidRPr="007F41F5">
        <w:rPr>
          <w:rFonts w:asciiTheme="majorBidi" w:hAnsiTheme="majorBidi" w:cstheme="majorBidi"/>
        </w:rPr>
        <w:t>43.</w:t>
      </w:r>
      <w:r w:rsidRPr="007F41F5">
        <w:rPr>
          <w:rFonts w:asciiTheme="majorBidi" w:hAnsiTheme="majorBidi" w:cstheme="majorBidi"/>
        </w:rPr>
        <w:tab/>
        <w:t>С учетом центрального значения статьи 1 (в которой излагается цель Конвенции) и сквозного характера статьи 16 (о медико-санитарных аспектах) при определении набора показателей эти статьи рассматривались отдельно.</w:t>
      </w:r>
    </w:p>
    <w:p w14:paraId="517A26DD" w14:textId="223DE312" w:rsidR="007F41F5" w:rsidRPr="007F41F5" w:rsidRDefault="007F41F5" w:rsidP="004F79F2">
      <w:pPr>
        <w:tabs>
          <w:tab w:val="clear" w:pos="1247"/>
          <w:tab w:val="clear" w:pos="1814"/>
          <w:tab w:val="clear" w:pos="2381"/>
          <w:tab w:val="clear" w:pos="2948"/>
          <w:tab w:val="clear" w:pos="3515"/>
        </w:tabs>
        <w:spacing w:after="120"/>
        <w:ind w:left="1247"/>
        <w:rPr>
          <w:rFonts w:asciiTheme="majorBidi" w:hAnsiTheme="majorBidi" w:cstheme="majorBidi"/>
        </w:rPr>
      </w:pPr>
      <w:r w:rsidRPr="007F41F5">
        <w:rPr>
          <w:rFonts w:asciiTheme="majorBidi" w:hAnsiTheme="majorBidi" w:cstheme="majorBidi"/>
        </w:rPr>
        <w:t>44.</w:t>
      </w:r>
      <w:r w:rsidRPr="007F41F5">
        <w:rPr>
          <w:rFonts w:asciiTheme="majorBidi" w:hAnsiTheme="majorBidi" w:cstheme="majorBidi"/>
        </w:rPr>
        <w:tab/>
        <w:t>В основу выбора предлагаемых показателей положены следующие соображения:</w:t>
      </w:r>
    </w:p>
    <w:p w14:paraId="5631DF86" w14:textId="3B3CEDA6" w:rsidR="007F41F5" w:rsidRPr="007F41F5" w:rsidRDefault="007F41F5" w:rsidP="004F79F2">
      <w:pPr>
        <w:tabs>
          <w:tab w:val="clear" w:pos="1247"/>
          <w:tab w:val="clear" w:pos="1814"/>
          <w:tab w:val="clear" w:pos="2381"/>
          <w:tab w:val="clear" w:pos="2948"/>
          <w:tab w:val="clear" w:pos="3515"/>
        </w:tabs>
        <w:spacing w:after="120"/>
        <w:ind w:left="1247" w:firstLine="624"/>
        <w:rPr>
          <w:rFonts w:asciiTheme="majorBidi" w:hAnsiTheme="majorBidi" w:cstheme="majorBidi"/>
        </w:rPr>
      </w:pPr>
      <w:r w:rsidRPr="007F41F5">
        <w:rPr>
          <w:rFonts w:asciiTheme="majorBidi" w:hAnsiTheme="majorBidi" w:cstheme="majorBidi"/>
        </w:rPr>
        <w:t>a)</w:t>
      </w:r>
      <w:r w:rsidRPr="007F41F5">
        <w:rPr>
          <w:rFonts w:asciiTheme="majorBidi" w:hAnsiTheme="majorBidi" w:cstheme="majorBidi"/>
        </w:rPr>
        <w:tab/>
        <w:t>для определения того, приняли ли Стороны меры по осуществлению Минаматской конвенции, требуются показатели процесса;</w:t>
      </w:r>
    </w:p>
    <w:p w14:paraId="5258FF74" w14:textId="2B75D76B" w:rsidR="007F41F5" w:rsidRPr="007F41F5" w:rsidRDefault="007F41F5" w:rsidP="004F79F2">
      <w:pPr>
        <w:tabs>
          <w:tab w:val="clear" w:pos="1247"/>
          <w:tab w:val="clear" w:pos="1814"/>
          <w:tab w:val="clear" w:pos="2381"/>
          <w:tab w:val="clear" w:pos="2948"/>
          <w:tab w:val="clear" w:pos="3515"/>
        </w:tabs>
        <w:spacing w:after="120"/>
        <w:ind w:left="1247" w:firstLine="624"/>
        <w:rPr>
          <w:rFonts w:asciiTheme="majorBidi" w:hAnsiTheme="majorBidi" w:cstheme="majorBidi"/>
        </w:rPr>
      </w:pPr>
      <w:r w:rsidRPr="007F41F5">
        <w:rPr>
          <w:rFonts w:asciiTheme="majorBidi" w:hAnsiTheme="majorBidi" w:cstheme="majorBidi"/>
        </w:rPr>
        <w:t>b)</w:t>
      </w:r>
      <w:r w:rsidRPr="007F41F5">
        <w:rPr>
          <w:rFonts w:asciiTheme="majorBidi" w:hAnsiTheme="majorBidi" w:cstheme="majorBidi"/>
        </w:rPr>
        <w:tab/>
        <w:t>для определения того, привело ли принятие этих мер к изменениям в сфере предложения ртути, ее применения, выбросов и высвобождени</w:t>
      </w:r>
      <w:r w:rsidR="007E391E">
        <w:rPr>
          <w:rFonts w:asciiTheme="majorBidi" w:hAnsiTheme="majorBidi" w:cstheme="majorBidi"/>
        </w:rPr>
        <w:t>й</w:t>
      </w:r>
      <w:r w:rsidRPr="007F41F5">
        <w:rPr>
          <w:rFonts w:asciiTheme="majorBidi" w:hAnsiTheme="majorBidi" w:cstheme="majorBidi"/>
        </w:rPr>
        <w:t xml:space="preserve"> в окружающую среду, необходимы показатели результата</w:t>
      </w:r>
      <w:r w:rsidR="00596774">
        <w:rPr>
          <w:rFonts w:asciiTheme="majorBidi" w:hAnsiTheme="majorBidi" w:cstheme="majorBidi"/>
        </w:rPr>
        <w:t>.</w:t>
      </w:r>
      <w:r w:rsidRPr="007F41F5">
        <w:rPr>
          <w:rFonts w:asciiTheme="majorBidi" w:hAnsiTheme="majorBidi" w:cstheme="majorBidi"/>
        </w:rPr>
        <w:t xml:space="preserve"> Применительно к каждо</w:t>
      </w:r>
      <w:r w:rsidR="00596774">
        <w:rPr>
          <w:rFonts w:asciiTheme="majorBidi" w:hAnsiTheme="majorBidi" w:cstheme="majorBidi"/>
        </w:rPr>
        <w:t>й</w:t>
      </w:r>
      <w:r w:rsidRPr="007F41F5">
        <w:rPr>
          <w:rFonts w:asciiTheme="majorBidi" w:hAnsiTheme="majorBidi" w:cstheme="majorBidi"/>
        </w:rPr>
        <w:t xml:space="preserve"> </w:t>
      </w:r>
      <w:r w:rsidR="00596774">
        <w:rPr>
          <w:rFonts w:asciiTheme="majorBidi" w:hAnsiTheme="majorBidi" w:cstheme="majorBidi"/>
        </w:rPr>
        <w:t xml:space="preserve">группе </w:t>
      </w:r>
      <w:r w:rsidRPr="007F41F5">
        <w:rPr>
          <w:rFonts w:asciiTheme="majorBidi" w:hAnsiTheme="majorBidi" w:cstheme="majorBidi"/>
        </w:rPr>
        <w:t>статей специальная группа экспертов устанавливает, какие действия Стороны предприняли в отношении основных мер политического характера и какой результат такие действия принесли;</w:t>
      </w:r>
    </w:p>
    <w:p w14:paraId="3B4CF4EF" w14:textId="62D5DCBD" w:rsidR="007F41F5" w:rsidRPr="007F41F5" w:rsidRDefault="007F41F5" w:rsidP="004F79F2">
      <w:pPr>
        <w:tabs>
          <w:tab w:val="clear" w:pos="1247"/>
          <w:tab w:val="clear" w:pos="1814"/>
          <w:tab w:val="clear" w:pos="2381"/>
          <w:tab w:val="clear" w:pos="2948"/>
          <w:tab w:val="clear" w:pos="3515"/>
        </w:tabs>
        <w:spacing w:after="120"/>
        <w:ind w:left="1247" w:firstLine="624"/>
        <w:rPr>
          <w:rFonts w:asciiTheme="majorBidi" w:hAnsiTheme="majorBidi" w:cstheme="majorBidi"/>
        </w:rPr>
      </w:pPr>
      <w:r w:rsidRPr="007F41F5">
        <w:rPr>
          <w:rFonts w:asciiTheme="majorBidi" w:hAnsiTheme="majorBidi" w:cstheme="majorBidi"/>
        </w:rPr>
        <w:t>c)</w:t>
      </w:r>
      <w:r w:rsidRPr="007F41F5">
        <w:rPr>
          <w:rFonts w:asciiTheme="majorBidi" w:hAnsiTheme="majorBidi" w:cstheme="majorBidi"/>
        </w:rPr>
        <w:tab/>
      </w:r>
      <w:r w:rsidR="00922DC1" w:rsidRPr="007F41F5">
        <w:rPr>
          <w:rFonts w:asciiTheme="majorBidi" w:hAnsiTheme="majorBidi" w:cstheme="majorBidi"/>
        </w:rPr>
        <w:t xml:space="preserve">контрольные </w:t>
      </w:r>
      <w:r w:rsidRPr="007F41F5">
        <w:rPr>
          <w:rFonts w:asciiTheme="majorBidi" w:hAnsiTheme="majorBidi" w:cstheme="majorBidi"/>
        </w:rPr>
        <w:t xml:space="preserve">показатели (от которых могут зависеть результаты) нужны для предоставления проверенной научной информации, необходимой для обоснования и </w:t>
      </w:r>
      <w:r w:rsidRPr="007F41F5">
        <w:rPr>
          <w:rFonts w:asciiTheme="majorBidi" w:hAnsiTheme="majorBidi" w:cstheme="majorBidi"/>
        </w:rPr>
        <w:lastRenderedPageBreak/>
        <w:t>поддержки планируемых мер политического характера и для принятия решений о воздействии мер контроля.</w:t>
      </w:r>
    </w:p>
    <w:p w14:paraId="125D4EF7" w14:textId="418239B1" w:rsidR="007F41F5" w:rsidRPr="007F41F5" w:rsidRDefault="007F41F5" w:rsidP="004F79F2">
      <w:pPr>
        <w:tabs>
          <w:tab w:val="clear" w:pos="1247"/>
          <w:tab w:val="clear" w:pos="1814"/>
          <w:tab w:val="clear" w:pos="2381"/>
          <w:tab w:val="clear" w:pos="2948"/>
          <w:tab w:val="clear" w:pos="3515"/>
        </w:tabs>
        <w:spacing w:after="120"/>
        <w:ind w:left="1247"/>
        <w:rPr>
          <w:rFonts w:asciiTheme="majorBidi" w:hAnsiTheme="majorBidi" w:cstheme="majorBidi"/>
        </w:rPr>
      </w:pPr>
      <w:r w:rsidRPr="007F41F5">
        <w:rPr>
          <w:rFonts w:asciiTheme="majorBidi" w:hAnsiTheme="majorBidi" w:cstheme="majorBidi"/>
        </w:rPr>
        <w:t>45.</w:t>
      </w:r>
      <w:r w:rsidRPr="007F41F5">
        <w:rPr>
          <w:rFonts w:asciiTheme="majorBidi" w:hAnsiTheme="majorBidi" w:cstheme="majorBidi"/>
        </w:rPr>
        <w:tab/>
        <w:t>Показатели были разработаны преимущественно на основе данных и докладов, представляемых согласно решениям Конвенции или связанных с ней органов (включая, например, доклады Глобального экологического фонда). Эти доклады будут дополнены другими имеющимися данными, включенными в сводные доклады и доклад о взаимосвязи. Использование уже имеющихся данных обеспечивает экономическую эффективность показателей. Кроме того, эти данные будут подготавливаться на регулярной основе на протяжении всего срока действия Конвенции и, таким образом, будут иметь устойчивый характер.</w:t>
      </w:r>
    </w:p>
    <w:p w14:paraId="20AB20EA" w14:textId="3BEC1EE2" w:rsidR="007F41F5" w:rsidRPr="007F41F5" w:rsidRDefault="007F41F5" w:rsidP="004F79F2">
      <w:pPr>
        <w:tabs>
          <w:tab w:val="clear" w:pos="1247"/>
          <w:tab w:val="clear" w:pos="1814"/>
          <w:tab w:val="clear" w:pos="2381"/>
          <w:tab w:val="clear" w:pos="2948"/>
          <w:tab w:val="clear" w:pos="3515"/>
        </w:tabs>
        <w:spacing w:after="120"/>
        <w:ind w:left="1247"/>
        <w:rPr>
          <w:rFonts w:asciiTheme="majorBidi" w:hAnsiTheme="majorBidi" w:cstheme="majorBidi"/>
        </w:rPr>
      </w:pPr>
      <w:r w:rsidRPr="007F41F5">
        <w:rPr>
          <w:rFonts w:asciiTheme="majorBidi" w:hAnsiTheme="majorBidi" w:cstheme="majorBidi"/>
        </w:rPr>
        <w:t>46.</w:t>
      </w:r>
      <w:r w:rsidRPr="007F41F5">
        <w:rPr>
          <w:rFonts w:asciiTheme="majorBidi" w:hAnsiTheme="majorBidi" w:cstheme="majorBidi"/>
        </w:rPr>
        <w:tab/>
        <w:t>Показатели сформулированы таким образом, чтобы обеспечить их целесообразность и применимость. Они разработаны так, чтобы их было легко просчитывать, рассчитывать и понимать (они не требуют сложных вычислений). Если информация в соответствии со статьей</w:t>
      </w:r>
      <w:r w:rsidR="00922DC1">
        <w:rPr>
          <w:rFonts w:asciiTheme="majorBidi" w:hAnsiTheme="majorBidi" w:cstheme="majorBidi"/>
        </w:rPr>
        <w:t> </w:t>
      </w:r>
      <w:r w:rsidRPr="007F41F5">
        <w:rPr>
          <w:rFonts w:asciiTheme="majorBidi" w:hAnsiTheme="majorBidi" w:cstheme="majorBidi"/>
        </w:rPr>
        <w:t>21 будет представляться в секретариат в электронном виде, то ее обработка может быть особенно простой.</w:t>
      </w:r>
    </w:p>
    <w:p w14:paraId="601A79E9" w14:textId="5CAB4CD0" w:rsidR="007F41F5" w:rsidRPr="007F41F5" w:rsidRDefault="007F41F5" w:rsidP="004F79F2">
      <w:pPr>
        <w:tabs>
          <w:tab w:val="clear" w:pos="1247"/>
          <w:tab w:val="clear" w:pos="1814"/>
          <w:tab w:val="clear" w:pos="2381"/>
          <w:tab w:val="clear" w:pos="2948"/>
          <w:tab w:val="clear" w:pos="3515"/>
        </w:tabs>
        <w:spacing w:after="120"/>
        <w:ind w:left="1247"/>
        <w:rPr>
          <w:rFonts w:asciiTheme="majorBidi" w:hAnsiTheme="majorBidi" w:cstheme="majorBidi"/>
        </w:rPr>
      </w:pPr>
      <w:r w:rsidRPr="007F41F5">
        <w:rPr>
          <w:rFonts w:asciiTheme="majorBidi" w:hAnsiTheme="majorBidi" w:cstheme="majorBidi"/>
        </w:rPr>
        <w:t>47.</w:t>
      </w:r>
      <w:r w:rsidRPr="007F41F5">
        <w:rPr>
          <w:rFonts w:asciiTheme="majorBidi" w:hAnsiTheme="majorBidi" w:cstheme="majorBidi"/>
        </w:rPr>
        <w:tab/>
        <w:t>Исходные значения считаются крайне важными для оценки эффективности, поскольку именно с ними будут сравниваться значения показателей по прошествии времени. Конвенцией не установлен официальный процесс определения исходных значений. Существует два типа исходных значений: значения «до и после» и значения «</w:t>
      </w:r>
      <w:r w:rsidR="008F5040">
        <w:rPr>
          <w:rFonts w:asciiTheme="majorBidi" w:hAnsiTheme="majorBidi" w:cstheme="majorBidi"/>
        </w:rPr>
        <w:t>наличие–отсутствие</w:t>
      </w:r>
      <w:r w:rsidRPr="007F41F5">
        <w:rPr>
          <w:rFonts w:asciiTheme="majorBidi" w:hAnsiTheme="majorBidi" w:cstheme="majorBidi"/>
        </w:rPr>
        <w:t xml:space="preserve">». Первый вариант подходит для показателей, которые являются относительно стабильными и для которых данные, зафиксированные в период до вступления Конвенции в силу, могут использоваться на протяжении всего процесса оценки. Второй вариант подходит для показателей, которые с течением времени изменяются в силу воздействия других факторов помимо действий, предпринимаемых в результате применения положений Конвенции, </w:t>
      </w:r>
      <w:r w:rsidR="00922DC1">
        <w:rPr>
          <w:rFonts w:asciiTheme="majorBidi" w:hAnsiTheme="majorBidi" w:cstheme="majorBidi"/>
        </w:rPr>
        <w:t>–</w:t>
      </w:r>
      <w:r w:rsidRPr="007F41F5">
        <w:rPr>
          <w:rFonts w:asciiTheme="majorBidi" w:hAnsiTheme="majorBidi" w:cstheme="majorBidi"/>
        </w:rPr>
        <w:t xml:space="preserve"> таких как социально</w:t>
      </w:r>
      <w:r w:rsidR="00922DC1">
        <w:rPr>
          <w:rFonts w:asciiTheme="majorBidi" w:hAnsiTheme="majorBidi" w:cstheme="majorBidi"/>
        </w:rPr>
        <w:noBreakHyphen/>
      </w:r>
      <w:r w:rsidRPr="007F41F5">
        <w:rPr>
          <w:rFonts w:asciiTheme="majorBidi" w:hAnsiTheme="majorBidi" w:cstheme="majorBidi"/>
        </w:rPr>
        <w:t xml:space="preserve">экономические и демографические </w:t>
      </w:r>
      <w:r w:rsidR="008F5040">
        <w:rPr>
          <w:rFonts w:asciiTheme="majorBidi" w:hAnsiTheme="majorBidi" w:cstheme="majorBidi"/>
        </w:rPr>
        <w:t>факторы</w:t>
      </w:r>
      <w:r w:rsidRPr="007F41F5">
        <w:rPr>
          <w:rFonts w:asciiTheme="majorBidi" w:hAnsiTheme="majorBidi" w:cstheme="majorBidi"/>
        </w:rPr>
        <w:t>, изменение климата, реализуемые инициативы и изменение образа жизни, что будет оказывать воздействие на значения исходных показателей в среднесрочной и долгосрочной перспективе.</w:t>
      </w:r>
    </w:p>
    <w:p w14:paraId="72C3D5BB" w14:textId="0265494B" w:rsidR="007F41F5" w:rsidRDefault="007F41F5" w:rsidP="004F79F2">
      <w:pPr>
        <w:tabs>
          <w:tab w:val="clear" w:pos="1247"/>
          <w:tab w:val="clear" w:pos="1814"/>
          <w:tab w:val="clear" w:pos="2381"/>
          <w:tab w:val="clear" w:pos="2948"/>
          <w:tab w:val="clear" w:pos="3515"/>
        </w:tabs>
        <w:spacing w:after="120"/>
        <w:ind w:left="1247"/>
        <w:rPr>
          <w:rFonts w:asciiTheme="majorBidi" w:hAnsiTheme="majorBidi" w:cstheme="majorBidi"/>
        </w:rPr>
      </w:pPr>
      <w:r w:rsidRPr="007F41F5">
        <w:rPr>
          <w:rFonts w:asciiTheme="majorBidi" w:hAnsiTheme="majorBidi" w:cstheme="majorBidi"/>
        </w:rPr>
        <w:t>48.</w:t>
      </w:r>
      <w:r w:rsidRPr="007F41F5">
        <w:rPr>
          <w:rFonts w:asciiTheme="majorBidi" w:hAnsiTheme="majorBidi" w:cstheme="majorBidi"/>
        </w:rPr>
        <w:tab/>
        <w:t xml:space="preserve">В таблице 2 представлены предлагаемые показатели, которые дополняются контрольными показателями, приведенными в таблице 4. Следует отметить, что в таблице 2 </w:t>
      </w:r>
      <w:r w:rsidR="008F5040" w:rsidRPr="007F41F5">
        <w:rPr>
          <w:rFonts w:asciiTheme="majorBidi" w:hAnsiTheme="majorBidi" w:cstheme="majorBidi"/>
        </w:rPr>
        <w:t>для рассмотрения Конференцией Сторон</w:t>
      </w:r>
      <w:r w:rsidR="008F5040" w:rsidRPr="007F41F5" w:rsidDel="008F5040">
        <w:rPr>
          <w:rFonts w:asciiTheme="majorBidi" w:hAnsiTheme="majorBidi" w:cstheme="majorBidi"/>
        </w:rPr>
        <w:t xml:space="preserve"> </w:t>
      </w:r>
      <w:r w:rsidR="008F5040">
        <w:rPr>
          <w:rFonts w:asciiTheme="majorBidi" w:hAnsiTheme="majorBidi" w:cstheme="majorBidi"/>
        </w:rPr>
        <w:t xml:space="preserve">предлагается </w:t>
      </w:r>
      <w:r w:rsidRPr="007F41F5">
        <w:rPr>
          <w:rFonts w:asciiTheme="majorBidi" w:hAnsiTheme="majorBidi" w:cstheme="majorBidi"/>
        </w:rPr>
        <w:t>большое число показателей. Специальная техническая группа экспертов разраб</w:t>
      </w:r>
      <w:r w:rsidR="008F5040">
        <w:rPr>
          <w:rFonts w:asciiTheme="majorBidi" w:hAnsiTheme="majorBidi" w:cstheme="majorBidi"/>
        </w:rPr>
        <w:t>а</w:t>
      </w:r>
      <w:r w:rsidRPr="007F41F5">
        <w:rPr>
          <w:rFonts w:asciiTheme="majorBidi" w:hAnsiTheme="majorBidi" w:cstheme="majorBidi"/>
        </w:rPr>
        <w:t>т</w:t>
      </w:r>
      <w:r w:rsidR="008F5040">
        <w:rPr>
          <w:rFonts w:asciiTheme="majorBidi" w:hAnsiTheme="majorBidi" w:cstheme="majorBidi"/>
        </w:rPr>
        <w:t>ыв</w:t>
      </w:r>
      <w:r w:rsidRPr="007F41F5">
        <w:rPr>
          <w:rFonts w:asciiTheme="majorBidi" w:hAnsiTheme="majorBidi" w:cstheme="majorBidi"/>
        </w:rPr>
        <w:t>ала эти показатели в то время, когда сбор данных и информации еще не начался, и поэтому вполне вероятно, что некоторые из них придется скорректировать с учетом объема и качества доступных данных и информации и что потребуется восполнить остающиеся пробелы. Некоторые из показателей могут даже оказаться не подходящими для применения и в конечном счете не использоваться. Тем не менее, группа сочла важным представить на рассмотрение более объемный список показателей.</w:t>
      </w:r>
    </w:p>
    <w:p w14:paraId="16CB542E" w14:textId="77777777" w:rsidR="004F79F2" w:rsidRPr="007F41F5" w:rsidRDefault="004F79F2" w:rsidP="004F79F2">
      <w:pPr>
        <w:tabs>
          <w:tab w:val="clear" w:pos="1247"/>
          <w:tab w:val="clear" w:pos="1814"/>
          <w:tab w:val="clear" w:pos="2381"/>
          <w:tab w:val="clear" w:pos="2948"/>
          <w:tab w:val="clear" w:pos="3515"/>
        </w:tabs>
        <w:spacing w:after="120"/>
        <w:ind w:left="1247"/>
        <w:rPr>
          <w:rFonts w:asciiTheme="majorBidi" w:hAnsiTheme="majorBidi" w:cstheme="majorBidi"/>
        </w:rPr>
      </w:pPr>
    </w:p>
    <w:p w14:paraId="4FDADA94" w14:textId="77777777" w:rsidR="004F79F2" w:rsidRDefault="004F79F2" w:rsidP="005F70D6">
      <w:pPr>
        <w:pStyle w:val="Normalnumber"/>
        <w:numPr>
          <w:ilvl w:val="0"/>
          <w:numId w:val="0"/>
        </w:numPr>
        <w:tabs>
          <w:tab w:val="clear" w:pos="624"/>
        </w:tabs>
        <w:ind w:left="1247"/>
        <w:sectPr w:rsidR="004F79F2" w:rsidSect="007F41F5">
          <w:pgSz w:w="11906" w:h="16838" w:code="9"/>
          <w:pgMar w:top="907" w:right="992" w:bottom="1418" w:left="1418" w:header="539" w:footer="975" w:gutter="0"/>
          <w:cols w:space="539"/>
          <w:docGrid w:linePitch="360"/>
        </w:sectPr>
      </w:pPr>
    </w:p>
    <w:p w14:paraId="2736E782" w14:textId="50CF84BD" w:rsidR="00A839F6" w:rsidRPr="00922DC1" w:rsidRDefault="00A839F6" w:rsidP="00922DC1">
      <w:pPr>
        <w:tabs>
          <w:tab w:val="clear" w:pos="1247"/>
          <w:tab w:val="clear" w:pos="1814"/>
          <w:tab w:val="clear" w:pos="2381"/>
          <w:tab w:val="clear" w:pos="2948"/>
          <w:tab w:val="clear" w:pos="3515"/>
        </w:tabs>
        <w:spacing w:after="60"/>
        <w:rPr>
          <w:b/>
        </w:rPr>
      </w:pPr>
      <w:r w:rsidRPr="00922DC1">
        <w:lastRenderedPageBreak/>
        <w:t>Таблица 2</w:t>
      </w:r>
      <w:r w:rsidRPr="00922DC1">
        <w:br/>
      </w:r>
      <w:r w:rsidRPr="00922DC1">
        <w:rPr>
          <w:b/>
          <w:bCs/>
        </w:rPr>
        <w:t>Предлагаемые показатели для оценки эффективности Минаматской конвенции в разбивке по статьям</w:t>
      </w:r>
    </w:p>
    <w:tbl>
      <w:tblPr>
        <w:tblStyle w:val="TableGrid"/>
        <w:tblW w:w="5000" w:type="pct"/>
        <w:jc w:val="center"/>
        <w:tblLayout w:type="fixed"/>
        <w:tblCellMar>
          <w:left w:w="57" w:type="dxa"/>
          <w:right w:w="57" w:type="dxa"/>
        </w:tblCellMar>
        <w:tblLook w:val="04A0" w:firstRow="1" w:lastRow="0" w:firstColumn="1" w:lastColumn="0" w:noHBand="0" w:noVBand="1"/>
      </w:tblPr>
      <w:tblGrid>
        <w:gridCol w:w="3006"/>
        <w:gridCol w:w="6022"/>
        <w:gridCol w:w="2695"/>
        <w:gridCol w:w="2695"/>
      </w:tblGrid>
      <w:tr w:rsidR="00A839F6" w:rsidRPr="00766F1B" w14:paraId="6B7D0586" w14:textId="77777777" w:rsidTr="00766F1B">
        <w:trPr>
          <w:trHeight w:val="454"/>
          <w:jc w:val="center"/>
        </w:trPr>
        <w:tc>
          <w:tcPr>
            <w:tcW w:w="8404" w:type="dxa"/>
            <w:gridSpan w:val="2"/>
            <w:shd w:val="clear" w:color="auto" w:fill="B8CCE4"/>
          </w:tcPr>
          <w:p w14:paraId="005C3AFA" w14:textId="77777777" w:rsidR="00A839F6" w:rsidRPr="00766F1B" w:rsidRDefault="00A839F6" w:rsidP="00766F1B">
            <w:pPr>
              <w:tabs>
                <w:tab w:val="clear" w:pos="1247"/>
                <w:tab w:val="clear" w:pos="1814"/>
                <w:tab w:val="clear" w:pos="2381"/>
                <w:tab w:val="clear" w:pos="2948"/>
                <w:tab w:val="clear" w:pos="3515"/>
              </w:tabs>
              <w:spacing w:before="40" w:after="40"/>
              <w:rPr>
                <w:rFonts w:asciiTheme="majorBidi" w:eastAsia="Roboto" w:hAnsiTheme="majorBidi" w:cstheme="majorBidi"/>
                <w:b/>
                <w:sz w:val="18"/>
                <w:szCs w:val="18"/>
              </w:rPr>
            </w:pPr>
            <w:r w:rsidRPr="00766F1B">
              <w:rPr>
                <w:b/>
                <w:bCs/>
                <w:sz w:val="18"/>
                <w:szCs w:val="18"/>
              </w:rPr>
              <w:t>A. Статья 1 (цель)</w:t>
            </w:r>
          </w:p>
          <w:p w14:paraId="6D4F26A4" w14:textId="4A20A651" w:rsidR="00A839F6" w:rsidRPr="00766F1B" w:rsidRDefault="00A839F6" w:rsidP="00766F1B">
            <w:pPr>
              <w:tabs>
                <w:tab w:val="clear" w:pos="1247"/>
                <w:tab w:val="clear" w:pos="1814"/>
                <w:tab w:val="clear" w:pos="2381"/>
                <w:tab w:val="clear" w:pos="2948"/>
                <w:tab w:val="clear" w:pos="3515"/>
              </w:tabs>
              <w:spacing w:before="40" w:after="40"/>
              <w:ind w:left="698"/>
              <w:rPr>
                <w:rFonts w:asciiTheme="majorBidi" w:hAnsiTheme="majorBidi" w:cstheme="majorBidi"/>
                <w:b/>
                <w:bCs/>
                <w:sz w:val="18"/>
                <w:szCs w:val="18"/>
              </w:rPr>
            </w:pPr>
            <w:r w:rsidRPr="00766F1B">
              <w:rPr>
                <w:sz w:val="18"/>
                <w:szCs w:val="18"/>
              </w:rPr>
              <w:t>(Показатель для статьи 1 следует рассматривать вместе с соответствующим контрольным показателем, приведенным в таблице 4</w:t>
            </w:r>
            <w:r w:rsidR="00105BC8">
              <w:rPr>
                <w:sz w:val="18"/>
                <w:szCs w:val="18"/>
              </w:rPr>
              <w:t>.</w:t>
            </w:r>
            <w:r w:rsidRPr="00766F1B">
              <w:rPr>
                <w:sz w:val="18"/>
                <w:szCs w:val="18"/>
              </w:rPr>
              <w:t>)</w:t>
            </w:r>
          </w:p>
        </w:tc>
        <w:tc>
          <w:tcPr>
            <w:tcW w:w="2508" w:type="dxa"/>
            <w:shd w:val="clear" w:color="auto" w:fill="B8CCE4" w:themeFill="accent1" w:themeFillTint="66"/>
          </w:tcPr>
          <w:p w14:paraId="108A46A9" w14:textId="77777777" w:rsidR="00A839F6" w:rsidRPr="008F5040" w:rsidRDefault="00A839F6" w:rsidP="00766F1B">
            <w:pPr>
              <w:tabs>
                <w:tab w:val="clear" w:pos="1247"/>
                <w:tab w:val="clear" w:pos="1814"/>
                <w:tab w:val="clear" w:pos="2381"/>
                <w:tab w:val="clear" w:pos="2948"/>
                <w:tab w:val="clear" w:pos="3515"/>
              </w:tabs>
              <w:spacing w:before="40" w:after="40"/>
              <w:rPr>
                <w:rFonts w:asciiTheme="majorBidi" w:eastAsia="Roboto" w:hAnsiTheme="majorBidi" w:cstheme="majorBidi"/>
                <w:b/>
                <w:bCs/>
                <w:sz w:val="18"/>
                <w:szCs w:val="18"/>
              </w:rPr>
            </w:pPr>
            <w:r w:rsidRPr="008F5040">
              <w:rPr>
                <w:b/>
                <w:bCs/>
                <w:sz w:val="18"/>
                <w:szCs w:val="18"/>
              </w:rPr>
              <w:t>Источник информации для расчета показателя</w:t>
            </w:r>
          </w:p>
        </w:tc>
        <w:tc>
          <w:tcPr>
            <w:tcW w:w="2508" w:type="dxa"/>
            <w:shd w:val="clear" w:color="auto" w:fill="B8CCE4" w:themeFill="accent1" w:themeFillTint="66"/>
          </w:tcPr>
          <w:p w14:paraId="23C5849B" w14:textId="77777777" w:rsidR="00A839F6" w:rsidRPr="00766F1B" w:rsidRDefault="00A839F6" w:rsidP="00766F1B">
            <w:pPr>
              <w:tabs>
                <w:tab w:val="clear" w:pos="1247"/>
                <w:tab w:val="clear" w:pos="1814"/>
                <w:tab w:val="clear" w:pos="2381"/>
                <w:tab w:val="clear" w:pos="2948"/>
                <w:tab w:val="clear" w:pos="3515"/>
              </w:tabs>
              <w:spacing w:before="40" w:after="40"/>
              <w:rPr>
                <w:rFonts w:asciiTheme="majorBidi" w:eastAsia="Roboto" w:hAnsiTheme="majorBidi" w:cstheme="majorBidi"/>
                <w:b/>
                <w:bCs/>
                <w:sz w:val="18"/>
                <w:szCs w:val="18"/>
                <w:lang w:val="en-GB"/>
              </w:rPr>
            </w:pPr>
            <w:r w:rsidRPr="00766F1B">
              <w:rPr>
                <w:b/>
                <w:bCs/>
                <w:sz w:val="18"/>
                <w:szCs w:val="18"/>
              </w:rPr>
              <w:t>Исходное значение показателя</w:t>
            </w:r>
          </w:p>
        </w:tc>
      </w:tr>
      <w:tr w:rsidR="00A839F6" w:rsidRPr="00766F1B" w14:paraId="783045EB" w14:textId="77777777" w:rsidTr="00766F1B">
        <w:trPr>
          <w:trHeight w:val="454"/>
          <w:jc w:val="center"/>
        </w:trPr>
        <w:tc>
          <w:tcPr>
            <w:tcW w:w="2799" w:type="dxa"/>
          </w:tcPr>
          <w:p w14:paraId="3649D001" w14:textId="77777777" w:rsidR="00A839F6" w:rsidRPr="00766F1B" w:rsidRDefault="00A839F6" w:rsidP="00766F1B">
            <w:pPr>
              <w:tabs>
                <w:tab w:val="clear" w:pos="1247"/>
                <w:tab w:val="clear" w:pos="1814"/>
                <w:tab w:val="clear" w:pos="2381"/>
                <w:tab w:val="clear" w:pos="2948"/>
                <w:tab w:val="clear" w:pos="3515"/>
              </w:tabs>
              <w:spacing w:before="40" w:after="40"/>
              <w:rPr>
                <w:rFonts w:asciiTheme="majorBidi" w:hAnsiTheme="majorBidi" w:cstheme="majorBidi"/>
                <w:sz w:val="18"/>
                <w:szCs w:val="18"/>
                <w:lang w:val="en-GB"/>
              </w:rPr>
            </w:pPr>
            <w:r w:rsidRPr="00766F1B">
              <w:rPr>
                <w:sz w:val="18"/>
                <w:szCs w:val="18"/>
              </w:rPr>
              <w:t>A1. Сквозной контрольный показатель</w:t>
            </w:r>
          </w:p>
        </w:tc>
        <w:tc>
          <w:tcPr>
            <w:tcW w:w="5605" w:type="dxa"/>
          </w:tcPr>
          <w:p w14:paraId="48BD869C" w14:textId="77777777" w:rsidR="00A839F6" w:rsidRPr="00766F1B" w:rsidRDefault="00A839F6" w:rsidP="00766F1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766F1B">
              <w:rPr>
                <w:sz w:val="18"/>
                <w:szCs w:val="18"/>
              </w:rPr>
              <w:t>Уровни содержания ртути в окружающей среде и в организме человека, обусловленные антропогенными выбросами и высвобождениями</w:t>
            </w:r>
          </w:p>
        </w:tc>
        <w:tc>
          <w:tcPr>
            <w:tcW w:w="2508" w:type="dxa"/>
          </w:tcPr>
          <w:p w14:paraId="5DB837B2" w14:textId="00D39E91" w:rsidR="00A839F6" w:rsidRPr="00766F1B" w:rsidRDefault="00A839F6" w:rsidP="00763DAB">
            <w:pPr>
              <w:tabs>
                <w:tab w:val="clear" w:pos="1247"/>
                <w:tab w:val="clear" w:pos="1814"/>
                <w:tab w:val="clear" w:pos="2381"/>
                <w:tab w:val="clear" w:pos="2948"/>
                <w:tab w:val="clear" w:pos="3515"/>
              </w:tabs>
              <w:spacing w:before="40" w:after="40"/>
              <w:rPr>
                <w:rFonts w:asciiTheme="majorBidi" w:hAnsiTheme="majorBidi" w:cstheme="majorBidi"/>
                <w:sz w:val="18"/>
                <w:szCs w:val="18"/>
                <w:lang w:val="en-GB"/>
              </w:rPr>
            </w:pPr>
            <w:r w:rsidRPr="00766F1B">
              <w:rPr>
                <w:sz w:val="18"/>
                <w:szCs w:val="18"/>
              </w:rPr>
              <w:t>Моделирование для установления взаимосвязи</w:t>
            </w:r>
          </w:p>
        </w:tc>
        <w:tc>
          <w:tcPr>
            <w:tcW w:w="2508" w:type="dxa"/>
          </w:tcPr>
          <w:p w14:paraId="7F3D92A8" w14:textId="77777777" w:rsidR="00A839F6" w:rsidRPr="00766F1B" w:rsidRDefault="00A839F6" w:rsidP="00766F1B">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766F1B">
              <w:rPr>
                <w:sz w:val="18"/>
                <w:szCs w:val="18"/>
              </w:rPr>
              <w:t>Значение при проведении первой оценки (если модели доступны)</w:t>
            </w:r>
          </w:p>
        </w:tc>
      </w:tr>
      <w:tr w:rsidR="00A839F6" w:rsidRPr="00766F1B" w14:paraId="37D5F2AD" w14:textId="77777777" w:rsidTr="00766F1B">
        <w:trPr>
          <w:trHeight w:val="57"/>
          <w:jc w:val="center"/>
        </w:trPr>
        <w:tc>
          <w:tcPr>
            <w:tcW w:w="2799" w:type="dxa"/>
            <w:shd w:val="clear" w:color="auto" w:fill="B8CCE4"/>
          </w:tcPr>
          <w:p w14:paraId="6EF73131" w14:textId="77777777" w:rsidR="00A839F6" w:rsidRPr="00766F1B" w:rsidRDefault="00A839F6" w:rsidP="00766F1B">
            <w:pPr>
              <w:tabs>
                <w:tab w:val="clear" w:pos="1247"/>
                <w:tab w:val="clear" w:pos="1814"/>
                <w:tab w:val="clear" w:pos="2381"/>
                <w:tab w:val="clear" w:pos="2948"/>
                <w:tab w:val="clear" w:pos="3515"/>
              </w:tabs>
              <w:spacing w:before="40" w:after="40"/>
              <w:rPr>
                <w:rFonts w:asciiTheme="majorBidi" w:hAnsiTheme="majorBidi" w:cstheme="majorBidi"/>
                <w:b/>
                <w:bCs/>
                <w:sz w:val="18"/>
                <w:szCs w:val="18"/>
                <w:lang w:val="en-GB"/>
              </w:rPr>
            </w:pPr>
            <w:r w:rsidRPr="00766F1B">
              <w:rPr>
                <w:b/>
                <w:bCs/>
                <w:sz w:val="18"/>
                <w:szCs w:val="18"/>
              </w:rPr>
              <w:t>Примечания</w:t>
            </w:r>
          </w:p>
        </w:tc>
        <w:tc>
          <w:tcPr>
            <w:tcW w:w="10621" w:type="dxa"/>
            <w:gridSpan w:val="3"/>
          </w:tcPr>
          <w:p w14:paraId="1C272980" w14:textId="77777777" w:rsidR="00A839F6" w:rsidRPr="00766F1B" w:rsidRDefault="00A839F6" w:rsidP="00766F1B">
            <w:pPr>
              <w:pBdr>
                <w:top w:val="nil"/>
                <w:left w:val="nil"/>
                <w:bottom w:val="nil"/>
                <w:right w:val="nil"/>
                <w:between w:val="nil"/>
                <w:bar w:val="nil"/>
              </w:pBdr>
              <w:tabs>
                <w:tab w:val="clear" w:pos="1247"/>
                <w:tab w:val="clear" w:pos="1814"/>
                <w:tab w:val="clear" w:pos="2381"/>
                <w:tab w:val="clear" w:pos="2948"/>
                <w:tab w:val="clear" w:pos="3515"/>
              </w:tabs>
              <w:spacing w:before="40" w:after="40"/>
              <w:ind w:left="202" w:hanging="202"/>
              <w:rPr>
                <w:rFonts w:asciiTheme="majorBidi" w:hAnsiTheme="majorBidi" w:cstheme="majorBidi"/>
                <w:sz w:val="18"/>
                <w:szCs w:val="18"/>
              </w:rPr>
            </w:pPr>
            <w:r w:rsidRPr="00766F1B">
              <w:rPr>
                <w:rFonts w:ascii="Wingdings" w:hAnsi="Wingdings" w:cstheme="majorBidi"/>
                <w:sz w:val="18"/>
                <w:szCs w:val="18"/>
              </w:rPr>
              <w:t></w:t>
            </w:r>
            <w:r w:rsidRPr="00766F1B">
              <w:rPr>
                <w:rFonts w:ascii="Wingdings" w:hAnsi="Wingdings" w:cstheme="majorBidi"/>
                <w:sz w:val="18"/>
                <w:szCs w:val="18"/>
              </w:rPr>
              <w:tab/>
            </w:r>
            <w:r w:rsidRPr="00766F1B">
              <w:rPr>
                <w:sz w:val="18"/>
                <w:szCs w:val="18"/>
              </w:rPr>
              <w:t>Оценка взаимосвязи должна проводиться с применением моделей, которые еще предстоит разработать; таким образом, в ходе первого цикла оценки эффективности информация по данному показателю может быть доступна, а может отсутствовать.</w:t>
            </w:r>
          </w:p>
          <w:p w14:paraId="256FE15A" w14:textId="77777777" w:rsidR="00A839F6" w:rsidRPr="00766F1B" w:rsidRDefault="00A839F6" w:rsidP="00766F1B">
            <w:pPr>
              <w:pBdr>
                <w:top w:val="nil"/>
                <w:left w:val="nil"/>
                <w:bottom w:val="nil"/>
                <w:right w:val="nil"/>
                <w:between w:val="nil"/>
                <w:bar w:val="nil"/>
              </w:pBdr>
              <w:tabs>
                <w:tab w:val="clear" w:pos="1247"/>
                <w:tab w:val="clear" w:pos="1814"/>
                <w:tab w:val="clear" w:pos="2381"/>
                <w:tab w:val="clear" w:pos="2948"/>
                <w:tab w:val="clear" w:pos="3515"/>
              </w:tabs>
              <w:spacing w:before="40" w:after="40"/>
              <w:ind w:left="202" w:hanging="202"/>
              <w:rPr>
                <w:rFonts w:asciiTheme="majorBidi" w:hAnsiTheme="majorBidi" w:cstheme="majorBidi"/>
                <w:sz w:val="18"/>
                <w:szCs w:val="18"/>
              </w:rPr>
            </w:pPr>
            <w:r w:rsidRPr="00766F1B">
              <w:rPr>
                <w:rFonts w:ascii="Wingdings" w:hAnsi="Wingdings" w:cstheme="majorBidi"/>
                <w:sz w:val="18"/>
                <w:szCs w:val="18"/>
              </w:rPr>
              <w:t></w:t>
            </w:r>
            <w:r w:rsidRPr="00766F1B">
              <w:rPr>
                <w:rFonts w:ascii="Wingdings" w:hAnsi="Wingdings" w:cstheme="majorBidi"/>
                <w:sz w:val="18"/>
                <w:szCs w:val="18"/>
              </w:rPr>
              <w:tab/>
            </w:r>
            <w:r w:rsidRPr="00766F1B">
              <w:rPr>
                <w:sz w:val="18"/>
                <w:szCs w:val="18"/>
              </w:rPr>
              <w:t>Оценки на основе моделирования должны сопровождаться соответствующими примечаниями о возможных погрешностях моделирования.</w:t>
            </w:r>
          </w:p>
          <w:p w14:paraId="502508F8" w14:textId="02B976DA" w:rsidR="00A839F6" w:rsidRPr="00766F1B" w:rsidRDefault="00A839F6" w:rsidP="00766F1B">
            <w:pPr>
              <w:pBdr>
                <w:top w:val="nil"/>
                <w:left w:val="nil"/>
                <w:bottom w:val="nil"/>
                <w:right w:val="nil"/>
                <w:between w:val="nil"/>
                <w:bar w:val="nil"/>
              </w:pBdr>
              <w:tabs>
                <w:tab w:val="clear" w:pos="1247"/>
                <w:tab w:val="clear" w:pos="1814"/>
                <w:tab w:val="clear" w:pos="2381"/>
                <w:tab w:val="clear" w:pos="2948"/>
                <w:tab w:val="clear" w:pos="3515"/>
              </w:tabs>
              <w:spacing w:before="40" w:after="40"/>
              <w:ind w:left="202" w:hanging="202"/>
              <w:rPr>
                <w:rFonts w:asciiTheme="majorBidi" w:hAnsiTheme="majorBidi" w:cstheme="majorBidi"/>
                <w:sz w:val="18"/>
                <w:szCs w:val="18"/>
              </w:rPr>
            </w:pPr>
            <w:r w:rsidRPr="00766F1B">
              <w:rPr>
                <w:rFonts w:ascii="Wingdings" w:hAnsi="Wingdings" w:cstheme="majorBidi"/>
                <w:sz w:val="18"/>
                <w:szCs w:val="18"/>
              </w:rPr>
              <w:t></w:t>
            </w:r>
            <w:r w:rsidRPr="00766F1B">
              <w:rPr>
                <w:rFonts w:ascii="Wingdings" w:hAnsi="Wingdings" w:cstheme="majorBidi"/>
                <w:sz w:val="18"/>
                <w:szCs w:val="18"/>
              </w:rPr>
              <w:tab/>
            </w:r>
            <w:r w:rsidRPr="00766F1B">
              <w:rPr>
                <w:sz w:val="18"/>
                <w:szCs w:val="18"/>
              </w:rPr>
              <w:t>В случае отсутствия информации, получаемой при помощи моделей, для целей установления взаимосвязи могут использоваться показатели уровней содержания ртути и тенденции их изменений (</w:t>
            </w:r>
            <w:proofErr w:type="spellStart"/>
            <w:r w:rsidR="00AD451C">
              <w:rPr>
                <w:sz w:val="18"/>
                <w:szCs w:val="18"/>
              </w:rPr>
              <w:t>временн</w:t>
            </w:r>
            <w:r w:rsidR="00AD451C" w:rsidRPr="00AD451C">
              <w:rPr>
                <w:sz w:val="18"/>
                <w:szCs w:val="18"/>
              </w:rPr>
              <w:t>ы́</w:t>
            </w:r>
            <w:r w:rsidR="00AD451C">
              <w:rPr>
                <w:sz w:val="18"/>
                <w:szCs w:val="18"/>
              </w:rPr>
              <w:t>х</w:t>
            </w:r>
            <w:proofErr w:type="spellEnd"/>
            <w:r w:rsidR="00AD451C">
              <w:rPr>
                <w:sz w:val="18"/>
                <w:szCs w:val="18"/>
              </w:rPr>
              <w:t xml:space="preserve"> </w:t>
            </w:r>
            <w:r w:rsidRPr="00766F1B">
              <w:rPr>
                <w:sz w:val="18"/>
                <w:szCs w:val="18"/>
              </w:rPr>
              <w:t>изменений).</w:t>
            </w:r>
          </w:p>
        </w:tc>
      </w:tr>
    </w:tbl>
    <w:p w14:paraId="25CBB5DC" w14:textId="77777777" w:rsidR="00A839F6" w:rsidRPr="00A839F6" w:rsidRDefault="00A839F6" w:rsidP="00A839F6">
      <w:pPr>
        <w:rPr>
          <w:rFonts w:asciiTheme="majorBidi" w:hAnsiTheme="majorBidi" w:cstheme="majorBidi"/>
          <w:sz w:val="12"/>
          <w:szCs w:val="12"/>
        </w:rPr>
      </w:pPr>
    </w:p>
    <w:tbl>
      <w:tblPr>
        <w:tblStyle w:val="TableGrid"/>
        <w:tblW w:w="5000" w:type="pct"/>
        <w:jc w:val="center"/>
        <w:tblLayout w:type="fixed"/>
        <w:tblCellMar>
          <w:left w:w="57" w:type="dxa"/>
          <w:right w:w="57" w:type="dxa"/>
        </w:tblCellMar>
        <w:tblLook w:val="04A0" w:firstRow="1" w:lastRow="0" w:firstColumn="1" w:lastColumn="0" w:noHBand="0" w:noVBand="1"/>
      </w:tblPr>
      <w:tblGrid>
        <w:gridCol w:w="3006"/>
        <w:gridCol w:w="6022"/>
        <w:gridCol w:w="2695"/>
        <w:gridCol w:w="2695"/>
      </w:tblGrid>
      <w:tr w:rsidR="00A839F6" w:rsidRPr="00766F1B" w14:paraId="3BDFD07D" w14:textId="77777777" w:rsidTr="00766F1B">
        <w:trPr>
          <w:trHeight w:val="454"/>
          <w:jc w:val="center"/>
        </w:trPr>
        <w:tc>
          <w:tcPr>
            <w:tcW w:w="8075" w:type="dxa"/>
            <w:gridSpan w:val="2"/>
            <w:shd w:val="clear" w:color="auto" w:fill="B8CCE4" w:themeFill="accent1" w:themeFillTint="66"/>
          </w:tcPr>
          <w:p w14:paraId="130C78B0" w14:textId="6C6986EF" w:rsidR="00A839F6" w:rsidRPr="00766F1B" w:rsidRDefault="00A839F6" w:rsidP="006C0CC0">
            <w:pPr>
              <w:tabs>
                <w:tab w:val="clear" w:pos="1247"/>
                <w:tab w:val="clear" w:pos="1814"/>
                <w:tab w:val="clear" w:pos="2381"/>
                <w:tab w:val="clear" w:pos="2948"/>
                <w:tab w:val="clear" w:pos="3515"/>
              </w:tabs>
              <w:spacing w:before="40" w:after="40"/>
              <w:rPr>
                <w:rFonts w:eastAsia="Roboto"/>
                <w:b/>
                <w:sz w:val="18"/>
                <w:szCs w:val="18"/>
              </w:rPr>
            </w:pPr>
            <w:r w:rsidRPr="00766F1B">
              <w:rPr>
                <w:b/>
                <w:bCs/>
                <w:sz w:val="18"/>
                <w:szCs w:val="18"/>
              </w:rPr>
              <w:t>B. Группа показателей, связанных с предложением</w:t>
            </w:r>
          </w:p>
          <w:p w14:paraId="607EC184" w14:textId="77777777" w:rsidR="00A839F6" w:rsidRPr="00766F1B" w:rsidRDefault="00A839F6" w:rsidP="007F29FD">
            <w:pPr>
              <w:tabs>
                <w:tab w:val="clear" w:pos="1247"/>
                <w:tab w:val="clear" w:pos="1814"/>
                <w:tab w:val="clear" w:pos="2381"/>
                <w:tab w:val="clear" w:pos="2948"/>
                <w:tab w:val="clear" w:pos="3515"/>
              </w:tabs>
              <w:spacing w:before="40" w:after="40"/>
              <w:rPr>
                <w:b/>
                <w:bCs/>
                <w:sz w:val="18"/>
                <w:szCs w:val="18"/>
              </w:rPr>
            </w:pPr>
            <w:r w:rsidRPr="00766F1B">
              <w:rPr>
                <w:b/>
                <w:bCs/>
                <w:sz w:val="18"/>
                <w:szCs w:val="18"/>
              </w:rPr>
              <w:t>Статья 3 (источники поставок ртути и торговля ею);</w:t>
            </w:r>
            <w:r w:rsidRPr="00766F1B">
              <w:rPr>
                <w:sz w:val="18"/>
                <w:szCs w:val="18"/>
              </w:rPr>
              <w:t xml:space="preserve"> </w:t>
            </w:r>
            <w:r w:rsidRPr="00766F1B">
              <w:rPr>
                <w:b/>
                <w:bCs/>
                <w:sz w:val="18"/>
                <w:szCs w:val="18"/>
              </w:rPr>
              <w:t>статья 10 (экологически безопасное временное хранение ртути, кроме ртутных отходов);</w:t>
            </w:r>
            <w:r w:rsidRPr="00766F1B">
              <w:rPr>
                <w:sz w:val="18"/>
                <w:szCs w:val="18"/>
              </w:rPr>
              <w:t xml:space="preserve"> </w:t>
            </w:r>
            <w:r w:rsidRPr="00766F1B">
              <w:rPr>
                <w:b/>
                <w:bCs/>
                <w:sz w:val="18"/>
                <w:szCs w:val="18"/>
              </w:rPr>
              <w:t>статья 11 (ртутные отходы)</w:t>
            </w:r>
            <w:r w:rsidRPr="00766F1B">
              <w:rPr>
                <w:sz w:val="18"/>
                <w:szCs w:val="18"/>
              </w:rPr>
              <w:t xml:space="preserve"> </w:t>
            </w:r>
          </w:p>
        </w:tc>
        <w:tc>
          <w:tcPr>
            <w:tcW w:w="2410" w:type="dxa"/>
            <w:shd w:val="clear" w:color="auto" w:fill="B8CCE4" w:themeFill="accent1" w:themeFillTint="66"/>
          </w:tcPr>
          <w:p w14:paraId="79D2CD06" w14:textId="77777777" w:rsidR="00A839F6" w:rsidRPr="008F5040" w:rsidRDefault="00A839F6" w:rsidP="009148B3">
            <w:pPr>
              <w:tabs>
                <w:tab w:val="clear" w:pos="1247"/>
                <w:tab w:val="clear" w:pos="1814"/>
                <w:tab w:val="clear" w:pos="2381"/>
                <w:tab w:val="clear" w:pos="2948"/>
                <w:tab w:val="clear" w:pos="3515"/>
              </w:tabs>
              <w:spacing w:before="40" w:after="40"/>
              <w:rPr>
                <w:b/>
                <w:bCs/>
                <w:sz w:val="18"/>
                <w:szCs w:val="18"/>
              </w:rPr>
            </w:pPr>
            <w:r w:rsidRPr="008F5040">
              <w:rPr>
                <w:b/>
                <w:bCs/>
                <w:sz w:val="18"/>
                <w:szCs w:val="18"/>
              </w:rPr>
              <w:t>Источник информации для расчета показателя</w:t>
            </w:r>
          </w:p>
        </w:tc>
        <w:tc>
          <w:tcPr>
            <w:tcW w:w="2410" w:type="dxa"/>
            <w:shd w:val="clear" w:color="auto" w:fill="B8CCE4" w:themeFill="accent1" w:themeFillTint="66"/>
          </w:tcPr>
          <w:p w14:paraId="27106AD9" w14:textId="77777777" w:rsidR="00A839F6" w:rsidRPr="00766F1B" w:rsidRDefault="00A839F6" w:rsidP="009148B3">
            <w:pPr>
              <w:tabs>
                <w:tab w:val="clear" w:pos="1247"/>
                <w:tab w:val="clear" w:pos="1814"/>
                <w:tab w:val="clear" w:pos="2381"/>
                <w:tab w:val="clear" w:pos="2948"/>
                <w:tab w:val="clear" w:pos="3515"/>
              </w:tabs>
              <w:spacing w:before="40" w:after="40"/>
              <w:rPr>
                <w:b/>
                <w:bCs/>
                <w:sz w:val="18"/>
                <w:szCs w:val="18"/>
                <w:lang w:val="en-GB"/>
              </w:rPr>
            </w:pPr>
            <w:r w:rsidRPr="00766F1B">
              <w:rPr>
                <w:b/>
                <w:bCs/>
                <w:sz w:val="18"/>
                <w:szCs w:val="18"/>
              </w:rPr>
              <w:t>Исходное значение показателя</w:t>
            </w:r>
          </w:p>
        </w:tc>
      </w:tr>
      <w:tr w:rsidR="00A839F6" w:rsidRPr="00766F1B" w14:paraId="5B1597AE" w14:textId="77777777" w:rsidTr="00766F1B">
        <w:trPr>
          <w:trHeight w:val="624"/>
          <w:jc w:val="center"/>
        </w:trPr>
        <w:tc>
          <w:tcPr>
            <w:tcW w:w="2689" w:type="dxa"/>
          </w:tcPr>
          <w:p w14:paraId="144E1418" w14:textId="77777777" w:rsidR="00A839F6" w:rsidRPr="00766F1B" w:rsidRDefault="00A839F6" w:rsidP="009148B3">
            <w:pPr>
              <w:tabs>
                <w:tab w:val="clear" w:pos="1247"/>
                <w:tab w:val="clear" w:pos="1814"/>
                <w:tab w:val="clear" w:pos="2381"/>
                <w:tab w:val="clear" w:pos="2948"/>
                <w:tab w:val="clear" w:pos="3515"/>
              </w:tabs>
              <w:spacing w:before="40" w:after="40"/>
              <w:rPr>
                <w:bCs/>
                <w:sz w:val="18"/>
                <w:szCs w:val="18"/>
              </w:rPr>
            </w:pPr>
            <w:r w:rsidRPr="00766F1B">
              <w:rPr>
                <w:sz w:val="18"/>
                <w:szCs w:val="18"/>
              </w:rPr>
              <w:t>B1. Общий показатель процесса для статей 3, 10 и 11</w:t>
            </w:r>
          </w:p>
        </w:tc>
        <w:tc>
          <w:tcPr>
            <w:tcW w:w="5386" w:type="dxa"/>
          </w:tcPr>
          <w:p w14:paraId="1265978A"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Доля Сторон, выполнивших основные положения в рамках данной группы показателей (включая все нижеприведенные показатели процесса, т.е. В5, В6, В7, В8, В9 и В13)</w:t>
            </w:r>
          </w:p>
        </w:tc>
        <w:tc>
          <w:tcPr>
            <w:tcW w:w="2410" w:type="dxa"/>
          </w:tcPr>
          <w:p w14:paraId="5E735329"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iCs/>
                <w:sz w:val="18"/>
                <w:szCs w:val="18"/>
              </w:rPr>
            </w:pPr>
            <w:r w:rsidRPr="00766F1B">
              <w:rPr>
                <w:sz w:val="18"/>
                <w:szCs w:val="18"/>
              </w:rPr>
              <w:t>- Отчетность в соответствии со статьей 21</w:t>
            </w:r>
          </w:p>
        </w:tc>
        <w:tc>
          <w:tcPr>
            <w:tcW w:w="2410" w:type="dxa"/>
          </w:tcPr>
          <w:p w14:paraId="7F3CD072" w14:textId="5D322754" w:rsidR="00A839F6" w:rsidRPr="00766F1B" w:rsidRDefault="00A839F6" w:rsidP="00752407">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Значение при проведении первой оценки</w:t>
            </w:r>
          </w:p>
        </w:tc>
      </w:tr>
      <w:tr w:rsidR="00A839F6" w:rsidRPr="00766F1B" w14:paraId="31BE8B33" w14:textId="77777777" w:rsidTr="00766F1B">
        <w:trPr>
          <w:trHeight w:val="624"/>
          <w:jc w:val="center"/>
        </w:trPr>
        <w:tc>
          <w:tcPr>
            <w:tcW w:w="2689" w:type="dxa"/>
          </w:tcPr>
          <w:p w14:paraId="6668C833" w14:textId="77777777" w:rsidR="00A839F6" w:rsidRPr="00766F1B" w:rsidRDefault="00A839F6" w:rsidP="009148B3">
            <w:pPr>
              <w:tabs>
                <w:tab w:val="clear" w:pos="1247"/>
                <w:tab w:val="clear" w:pos="1814"/>
                <w:tab w:val="clear" w:pos="2381"/>
                <w:tab w:val="clear" w:pos="2948"/>
                <w:tab w:val="clear" w:pos="3515"/>
              </w:tabs>
              <w:spacing w:before="40" w:after="40"/>
              <w:rPr>
                <w:bCs/>
                <w:sz w:val="18"/>
                <w:szCs w:val="18"/>
              </w:rPr>
            </w:pPr>
            <w:r w:rsidRPr="00766F1B">
              <w:rPr>
                <w:sz w:val="18"/>
                <w:szCs w:val="18"/>
              </w:rPr>
              <w:t>B2. Дополнительный сквозной показатель результата для статей 3, 10 и 11</w:t>
            </w:r>
          </w:p>
        </w:tc>
        <w:tc>
          <w:tcPr>
            <w:tcW w:w="5386" w:type="dxa"/>
          </w:tcPr>
          <w:p w14:paraId="5CD52C22"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766F1B">
              <w:rPr>
                <w:sz w:val="18"/>
                <w:szCs w:val="18"/>
              </w:rPr>
              <w:t>Ориентировочный объем глобального предложения ртути, в тоннах в год</w:t>
            </w:r>
          </w:p>
        </w:tc>
        <w:tc>
          <w:tcPr>
            <w:tcW w:w="2410" w:type="dxa"/>
          </w:tcPr>
          <w:p w14:paraId="790B0BDC"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 Информация, обобщенная на основе отдельных показателей для статей 3, 10 и 11</w:t>
            </w:r>
          </w:p>
        </w:tc>
        <w:tc>
          <w:tcPr>
            <w:tcW w:w="2410" w:type="dxa"/>
          </w:tcPr>
          <w:p w14:paraId="37D2EC43"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Значение при проведении первой оценки</w:t>
            </w:r>
          </w:p>
        </w:tc>
      </w:tr>
      <w:tr w:rsidR="00A839F6" w:rsidRPr="00766F1B" w14:paraId="342C238D" w14:textId="77777777" w:rsidTr="00766F1B">
        <w:trPr>
          <w:trHeight w:val="57"/>
          <w:jc w:val="center"/>
        </w:trPr>
        <w:tc>
          <w:tcPr>
            <w:tcW w:w="2689" w:type="dxa"/>
            <w:shd w:val="clear" w:color="auto" w:fill="B8CCE4" w:themeFill="accent1" w:themeFillTint="66"/>
          </w:tcPr>
          <w:p w14:paraId="75EEFA97" w14:textId="77777777" w:rsidR="00A839F6" w:rsidRPr="00766F1B" w:rsidRDefault="00A839F6" w:rsidP="009148B3">
            <w:pPr>
              <w:tabs>
                <w:tab w:val="clear" w:pos="1247"/>
                <w:tab w:val="clear" w:pos="1814"/>
                <w:tab w:val="clear" w:pos="2381"/>
                <w:tab w:val="clear" w:pos="2948"/>
                <w:tab w:val="clear" w:pos="3515"/>
              </w:tabs>
              <w:spacing w:before="40" w:after="40"/>
              <w:rPr>
                <w:b/>
                <w:sz w:val="18"/>
                <w:szCs w:val="18"/>
                <w:lang w:val="en-GB"/>
              </w:rPr>
            </w:pPr>
            <w:r w:rsidRPr="00766F1B">
              <w:rPr>
                <w:b/>
                <w:bCs/>
                <w:sz w:val="18"/>
                <w:szCs w:val="18"/>
              </w:rPr>
              <w:t>Статья 3</w:t>
            </w:r>
          </w:p>
        </w:tc>
        <w:tc>
          <w:tcPr>
            <w:tcW w:w="5386" w:type="dxa"/>
            <w:shd w:val="clear" w:color="auto" w:fill="B8CCE4" w:themeFill="accent1" w:themeFillTint="66"/>
          </w:tcPr>
          <w:p w14:paraId="6C10759A" w14:textId="77777777" w:rsidR="00A839F6" w:rsidRPr="00766F1B" w:rsidRDefault="00A839F6" w:rsidP="009148B3">
            <w:pPr>
              <w:tabs>
                <w:tab w:val="clear" w:pos="1247"/>
                <w:tab w:val="clear" w:pos="1814"/>
                <w:tab w:val="clear" w:pos="2381"/>
                <w:tab w:val="clear" w:pos="2948"/>
                <w:tab w:val="clear" w:pos="3515"/>
              </w:tabs>
              <w:spacing w:before="40" w:after="40"/>
              <w:rPr>
                <w:sz w:val="18"/>
                <w:szCs w:val="18"/>
                <w:lang w:val="en-GB"/>
              </w:rPr>
            </w:pPr>
          </w:p>
        </w:tc>
        <w:tc>
          <w:tcPr>
            <w:tcW w:w="2410" w:type="dxa"/>
            <w:shd w:val="clear" w:color="auto" w:fill="B8CCE4" w:themeFill="accent1" w:themeFillTint="66"/>
          </w:tcPr>
          <w:p w14:paraId="4E7C93CC" w14:textId="77777777" w:rsidR="00A839F6" w:rsidRPr="00766F1B" w:rsidRDefault="00A839F6" w:rsidP="009148B3">
            <w:pPr>
              <w:tabs>
                <w:tab w:val="clear" w:pos="1247"/>
                <w:tab w:val="clear" w:pos="1814"/>
                <w:tab w:val="clear" w:pos="2381"/>
                <w:tab w:val="clear" w:pos="2948"/>
                <w:tab w:val="clear" w:pos="3515"/>
              </w:tabs>
              <w:spacing w:before="40" w:after="40"/>
              <w:ind w:right="-1192"/>
              <w:rPr>
                <w:sz w:val="18"/>
                <w:szCs w:val="18"/>
                <w:lang w:val="en-GB"/>
              </w:rPr>
            </w:pPr>
          </w:p>
        </w:tc>
        <w:tc>
          <w:tcPr>
            <w:tcW w:w="2410" w:type="dxa"/>
            <w:shd w:val="clear" w:color="auto" w:fill="B8CCE4" w:themeFill="accent1" w:themeFillTint="66"/>
          </w:tcPr>
          <w:p w14:paraId="1C3EE6E2" w14:textId="77777777" w:rsidR="00A839F6" w:rsidRPr="00766F1B" w:rsidRDefault="00A839F6" w:rsidP="009148B3">
            <w:pPr>
              <w:tabs>
                <w:tab w:val="clear" w:pos="1247"/>
                <w:tab w:val="clear" w:pos="1814"/>
                <w:tab w:val="clear" w:pos="2381"/>
                <w:tab w:val="clear" w:pos="2948"/>
                <w:tab w:val="clear" w:pos="3515"/>
              </w:tabs>
              <w:spacing w:before="40" w:after="40"/>
              <w:ind w:right="-1192"/>
              <w:rPr>
                <w:sz w:val="18"/>
                <w:szCs w:val="18"/>
                <w:lang w:val="en-GB"/>
              </w:rPr>
            </w:pPr>
          </w:p>
        </w:tc>
      </w:tr>
      <w:tr w:rsidR="00A839F6" w:rsidRPr="00766F1B" w14:paraId="478F1D57" w14:textId="77777777" w:rsidTr="00766F1B">
        <w:trPr>
          <w:trHeight w:val="57"/>
          <w:jc w:val="center"/>
        </w:trPr>
        <w:tc>
          <w:tcPr>
            <w:tcW w:w="2689" w:type="dxa"/>
          </w:tcPr>
          <w:p w14:paraId="1C5C9B96" w14:textId="536E539A" w:rsidR="00A839F6" w:rsidRPr="00766F1B" w:rsidRDefault="00A839F6" w:rsidP="009148B3">
            <w:pPr>
              <w:tabs>
                <w:tab w:val="clear" w:pos="1247"/>
                <w:tab w:val="clear" w:pos="1814"/>
                <w:tab w:val="clear" w:pos="2381"/>
                <w:tab w:val="clear" w:pos="2948"/>
                <w:tab w:val="clear" w:pos="3515"/>
              </w:tabs>
              <w:spacing w:before="40" w:after="40"/>
              <w:rPr>
                <w:sz w:val="18"/>
                <w:szCs w:val="18"/>
              </w:rPr>
            </w:pPr>
            <w:r w:rsidRPr="00766F1B">
              <w:rPr>
                <w:sz w:val="18"/>
                <w:szCs w:val="18"/>
              </w:rPr>
              <w:t>B3. Показатель результата для статьи</w:t>
            </w:r>
            <w:r w:rsidR="00763DAB">
              <w:rPr>
                <w:sz w:val="18"/>
                <w:szCs w:val="18"/>
                <w:lang w:val="en-GB"/>
              </w:rPr>
              <w:t> </w:t>
            </w:r>
            <w:r w:rsidRPr="00766F1B">
              <w:rPr>
                <w:sz w:val="18"/>
                <w:szCs w:val="18"/>
              </w:rPr>
              <w:t>3</w:t>
            </w:r>
          </w:p>
        </w:tc>
        <w:tc>
          <w:tcPr>
            <w:tcW w:w="5386" w:type="dxa"/>
          </w:tcPr>
          <w:p w14:paraId="27C98849" w14:textId="25BCA701"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b/>
                <w:bCs/>
                <w:sz w:val="18"/>
                <w:szCs w:val="18"/>
              </w:rPr>
            </w:pPr>
            <w:r w:rsidRPr="00766F1B">
              <w:rPr>
                <w:sz w:val="18"/>
                <w:szCs w:val="18"/>
              </w:rPr>
              <w:t>Общий объем ртути, полученной из рудников первичной добычи</w:t>
            </w:r>
          </w:p>
        </w:tc>
        <w:tc>
          <w:tcPr>
            <w:tcW w:w="2410" w:type="dxa"/>
          </w:tcPr>
          <w:p w14:paraId="797E143C"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 Доклад 2017 года о глобальном предложении ртути, торговле ею и спросе на нее</w:t>
            </w:r>
          </w:p>
          <w:p w14:paraId="74DB3914" w14:textId="77777777" w:rsidR="00A839F6" w:rsidRPr="00766F1B" w:rsidRDefault="00A839F6" w:rsidP="00752407">
            <w:pPr>
              <w:pBdr>
                <w:top w:val="nil"/>
                <w:left w:val="nil"/>
                <w:bottom w:val="nil"/>
                <w:right w:val="nil"/>
                <w:between w:val="nil"/>
                <w:bar w:val="nil"/>
              </w:pBdr>
              <w:tabs>
                <w:tab w:val="clear" w:pos="1247"/>
                <w:tab w:val="clear" w:pos="1814"/>
                <w:tab w:val="clear" w:pos="2381"/>
                <w:tab w:val="clear" w:pos="2948"/>
                <w:tab w:val="clear" w:pos="3515"/>
              </w:tabs>
              <w:spacing w:before="40" w:after="40"/>
              <w:rPr>
                <w:iCs/>
                <w:sz w:val="18"/>
                <w:szCs w:val="18"/>
              </w:rPr>
            </w:pPr>
            <w:r w:rsidRPr="00766F1B">
              <w:rPr>
                <w:sz w:val="18"/>
                <w:szCs w:val="18"/>
              </w:rPr>
              <w:t>- Отчетность в соответствии со статьей 21</w:t>
            </w:r>
          </w:p>
          <w:p w14:paraId="1929BB10" w14:textId="77777777" w:rsidR="00A839F6" w:rsidRPr="00766F1B" w:rsidRDefault="00A839F6" w:rsidP="009148B3">
            <w:pPr>
              <w:tabs>
                <w:tab w:val="clear" w:pos="1247"/>
                <w:tab w:val="clear" w:pos="1814"/>
                <w:tab w:val="clear" w:pos="2381"/>
                <w:tab w:val="clear" w:pos="2948"/>
                <w:tab w:val="clear" w:pos="3515"/>
              </w:tabs>
              <w:spacing w:before="40" w:after="40"/>
              <w:rPr>
                <w:sz w:val="18"/>
                <w:szCs w:val="18"/>
              </w:rPr>
            </w:pPr>
            <w:r w:rsidRPr="00766F1B">
              <w:rPr>
                <w:sz w:val="18"/>
                <w:szCs w:val="18"/>
              </w:rPr>
              <w:t>- Доклады о национальных планах действий по КМЗ</w:t>
            </w:r>
          </w:p>
        </w:tc>
        <w:tc>
          <w:tcPr>
            <w:tcW w:w="2410" w:type="dxa"/>
          </w:tcPr>
          <w:p w14:paraId="70FA25F5"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Значение при проведении первой оценки</w:t>
            </w:r>
          </w:p>
        </w:tc>
      </w:tr>
      <w:tr w:rsidR="00A839F6" w:rsidRPr="00766F1B" w14:paraId="12C6E361" w14:textId="77777777" w:rsidTr="00766F1B">
        <w:trPr>
          <w:trHeight w:val="283"/>
          <w:jc w:val="center"/>
        </w:trPr>
        <w:tc>
          <w:tcPr>
            <w:tcW w:w="2689" w:type="dxa"/>
          </w:tcPr>
          <w:p w14:paraId="58657DD4" w14:textId="1C673C1E" w:rsidR="00A839F6" w:rsidRPr="00766F1B" w:rsidRDefault="00A839F6" w:rsidP="009148B3">
            <w:pPr>
              <w:tabs>
                <w:tab w:val="clear" w:pos="1247"/>
                <w:tab w:val="clear" w:pos="1814"/>
                <w:tab w:val="clear" w:pos="2381"/>
                <w:tab w:val="clear" w:pos="2948"/>
                <w:tab w:val="clear" w:pos="3515"/>
              </w:tabs>
              <w:spacing w:before="40" w:after="40"/>
              <w:rPr>
                <w:sz w:val="18"/>
                <w:szCs w:val="18"/>
              </w:rPr>
            </w:pPr>
            <w:r w:rsidRPr="00766F1B">
              <w:rPr>
                <w:sz w:val="18"/>
                <w:szCs w:val="18"/>
              </w:rPr>
              <w:t>B4. Показатель результата для статьи</w:t>
            </w:r>
            <w:r w:rsidR="0072441F">
              <w:rPr>
                <w:sz w:val="18"/>
                <w:szCs w:val="18"/>
                <w:lang w:val="en-GB"/>
              </w:rPr>
              <w:t> </w:t>
            </w:r>
            <w:r w:rsidRPr="00766F1B">
              <w:rPr>
                <w:sz w:val="18"/>
                <w:szCs w:val="18"/>
              </w:rPr>
              <w:t>3</w:t>
            </w:r>
          </w:p>
        </w:tc>
        <w:tc>
          <w:tcPr>
            <w:tcW w:w="5386" w:type="dxa"/>
          </w:tcPr>
          <w:p w14:paraId="48990515"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Объем торговли ртутью с разбивкой по конкретным целям</w:t>
            </w:r>
          </w:p>
        </w:tc>
        <w:tc>
          <w:tcPr>
            <w:tcW w:w="2410" w:type="dxa"/>
          </w:tcPr>
          <w:p w14:paraId="3164D304"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iCs/>
                <w:sz w:val="18"/>
                <w:szCs w:val="18"/>
                <w:lang w:val="en-GB"/>
              </w:rPr>
            </w:pPr>
            <w:r w:rsidRPr="00766F1B">
              <w:rPr>
                <w:sz w:val="18"/>
                <w:szCs w:val="18"/>
              </w:rPr>
              <w:t>- Формы согласно статье 3</w:t>
            </w:r>
          </w:p>
        </w:tc>
        <w:tc>
          <w:tcPr>
            <w:tcW w:w="2410" w:type="dxa"/>
          </w:tcPr>
          <w:p w14:paraId="040018DF"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Значение на момент проведения первой оценки</w:t>
            </w:r>
          </w:p>
        </w:tc>
      </w:tr>
      <w:tr w:rsidR="00A839F6" w:rsidRPr="00766F1B" w14:paraId="5DE89065" w14:textId="77777777" w:rsidTr="00766F1B">
        <w:trPr>
          <w:trHeight w:val="454"/>
          <w:jc w:val="center"/>
        </w:trPr>
        <w:tc>
          <w:tcPr>
            <w:tcW w:w="2689" w:type="dxa"/>
          </w:tcPr>
          <w:p w14:paraId="730DB4D6" w14:textId="77777777" w:rsidR="00A839F6" w:rsidRPr="00766F1B" w:rsidRDefault="00A839F6" w:rsidP="009148B3">
            <w:pPr>
              <w:tabs>
                <w:tab w:val="clear" w:pos="1247"/>
                <w:tab w:val="clear" w:pos="1814"/>
                <w:tab w:val="clear" w:pos="2381"/>
                <w:tab w:val="clear" w:pos="2948"/>
                <w:tab w:val="clear" w:pos="3515"/>
              </w:tabs>
              <w:spacing w:before="40" w:after="40"/>
              <w:rPr>
                <w:sz w:val="18"/>
                <w:szCs w:val="18"/>
              </w:rPr>
            </w:pPr>
            <w:r w:rsidRPr="00766F1B">
              <w:rPr>
                <w:sz w:val="18"/>
                <w:szCs w:val="18"/>
              </w:rPr>
              <w:t>B5. Показатель процесса для статьи 3</w:t>
            </w:r>
          </w:p>
        </w:tc>
        <w:tc>
          <w:tcPr>
            <w:tcW w:w="5386" w:type="dxa"/>
          </w:tcPr>
          <w:p w14:paraId="6FDF6336" w14:textId="4D82DB7C"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766F1B">
              <w:rPr>
                <w:sz w:val="18"/>
                <w:szCs w:val="18"/>
              </w:rPr>
              <w:t>Число Сторон, предприня</w:t>
            </w:r>
            <w:r w:rsidR="000C61C3">
              <w:rPr>
                <w:sz w:val="18"/>
                <w:szCs w:val="18"/>
              </w:rPr>
              <w:t>вших</w:t>
            </w:r>
            <w:r w:rsidRPr="00766F1B">
              <w:rPr>
                <w:sz w:val="18"/>
                <w:szCs w:val="18"/>
              </w:rPr>
              <w:t xml:space="preserve"> усилия для определения запасов и источников предложения</w:t>
            </w:r>
          </w:p>
        </w:tc>
        <w:tc>
          <w:tcPr>
            <w:tcW w:w="2410" w:type="dxa"/>
          </w:tcPr>
          <w:p w14:paraId="67EDF6FD" w14:textId="77777777" w:rsidR="00A839F6" w:rsidRPr="00766F1B" w:rsidRDefault="00A839F6" w:rsidP="006F6CB5">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766F1B">
              <w:rPr>
                <w:sz w:val="18"/>
                <w:szCs w:val="18"/>
              </w:rPr>
              <w:t>- Отчетность в соответствии со статьей 21</w:t>
            </w:r>
          </w:p>
        </w:tc>
        <w:tc>
          <w:tcPr>
            <w:tcW w:w="2410" w:type="dxa"/>
          </w:tcPr>
          <w:p w14:paraId="2F29492A"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Значение на момент проведения первой оценки</w:t>
            </w:r>
          </w:p>
        </w:tc>
      </w:tr>
      <w:tr w:rsidR="00A839F6" w:rsidRPr="00766F1B" w14:paraId="3235E99A" w14:textId="77777777" w:rsidTr="00766F1B">
        <w:trPr>
          <w:trHeight w:val="624"/>
          <w:jc w:val="center"/>
        </w:trPr>
        <w:tc>
          <w:tcPr>
            <w:tcW w:w="2689" w:type="dxa"/>
          </w:tcPr>
          <w:p w14:paraId="3DF85F1D"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B6. Показатель процесса для статьи 3</w:t>
            </w:r>
          </w:p>
        </w:tc>
        <w:tc>
          <w:tcPr>
            <w:tcW w:w="5386" w:type="dxa"/>
          </w:tcPr>
          <w:p w14:paraId="7C65AF00" w14:textId="4E8F93BB"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766F1B">
              <w:rPr>
                <w:sz w:val="18"/>
                <w:szCs w:val="18"/>
              </w:rPr>
              <w:t xml:space="preserve">Доля Сторон, которые обладают избытком ртути в результате </w:t>
            </w:r>
            <w:proofErr w:type="spellStart"/>
            <w:r w:rsidRPr="00766F1B">
              <w:rPr>
                <w:sz w:val="18"/>
                <w:szCs w:val="18"/>
              </w:rPr>
              <w:t>xлорно</w:t>
            </w:r>
            <w:proofErr w:type="spellEnd"/>
            <w:r w:rsidRPr="00766F1B">
              <w:rPr>
                <w:sz w:val="18"/>
                <w:szCs w:val="18"/>
              </w:rPr>
              <w:t xml:space="preserve">-щелочного производства и приняли </w:t>
            </w:r>
            <w:r w:rsidR="000C61C3">
              <w:rPr>
                <w:sz w:val="18"/>
                <w:szCs w:val="18"/>
              </w:rPr>
              <w:t xml:space="preserve">меры </w:t>
            </w:r>
            <w:r w:rsidRPr="00766F1B">
              <w:rPr>
                <w:sz w:val="18"/>
                <w:szCs w:val="18"/>
              </w:rPr>
              <w:t>для окончательного удаления такой ртути.</w:t>
            </w:r>
          </w:p>
        </w:tc>
        <w:tc>
          <w:tcPr>
            <w:tcW w:w="2410" w:type="dxa"/>
          </w:tcPr>
          <w:p w14:paraId="63F7A08A" w14:textId="276A7FED" w:rsidR="00A839F6" w:rsidRPr="00766F1B" w:rsidRDefault="00A839F6" w:rsidP="006F6CB5">
            <w:pPr>
              <w:tabs>
                <w:tab w:val="clear" w:pos="1247"/>
                <w:tab w:val="clear" w:pos="1814"/>
                <w:tab w:val="clear" w:pos="2381"/>
                <w:tab w:val="clear" w:pos="2948"/>
                <w:tab w:val="clear" w:pos="3515"/>
              </w:tabs>
              <w:spacing w:before="40" w:after="40"/>
              <w:rPr>
                <w:iCs/>
                <w:sz w:val="18"/>
                <w:szCs w:val="18"/>
              </w:rPr>
            </w:pPr>
            <w:r w:rsidRPr="00766F1B">
              <w:rPr>
                <w:sz w:val="18"/>
                <w:szCs w:val="18"/>
              </w:rPr>
              <w:t>- Отчетность в соответствии со статьей 21</w:t>
            </w:r>
          </w:p>
          <w:p w14:paraId="2DD6AC9E" w14:textId="77777777" w:rsidR="00A839F6" w:rsidRPr="00766F1B" w:rsidRDefault="00A839F6" w:rsidP="006F6CB5">
            <w:pPr>
              <w:tabs>
                <w:tab w:val="clear" w:pos="1247"/>
                <w:tab w:val="clear" w:pos="1814"/>
                <w:tab w:val="clear" w:pos="2381"/>
                <w:tab w:val="clear" w:pos="2948"/>
                <w:tab w:val="clear" w:pos="3515"/>
              </w:tabs>
              <w:spacing w:before="40" w:after="40"/>
              <w:rPr>
                <w:iCs/>
                <w:sz w:val="18"/>
                <w:szCs w:val="18"/>
              </w:rPr>
            </w:pPr>
            <w:r w:rsidRPr="00766F1B">
              <w:rPr>
                <w:sz w:val="18"/>
                <w:szCs w:val="18"/>
              </w:rPr>
              <w:t>- Доклады Всемирного совета по хлору</w:t>
            </w:r>
          </w:p>
        </w:tc>
        <w:tc>
          <w:tcPr>
            <w:tcW w:w="2410" w:type="dxa"/>
          </w:tcPr>
          <w:p w14:paraId="1FA9051D"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Значение на момент проведения первой оценки</w:t>
            </w:r>
          </w:p>
        </w:tc>
      </w:tr>
      <w:tr w:rsidR="00A839F6" w:rsidRPr="00766F1B" w14:paraId="52D5277D" w14:textId="77777777" w:rsidTr="00766F1B">
        <w:trPr>
          <w:trHeight w:val="454"/>
          <w:jc w:val="center"/>
        </w:trPr>
        <w:tc>
          <w:tcPr>
            <w:tcW w:w="2689" w:type="dxa"/>
          </w:tcPr>
          <w:p w14:paraId="594F7809"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lastRenderedPageBreak/>
              <w:t>B7. Показатель процесса для статьи 3</w:t>
            </w:r>
          </w:p>
        </w:tc>
        <w:tc>
          <w:tcPr>
            <w:tcW w:w="5386" w:type="dxa"/>
          </w:tcPr>
          <w:p w14:paraId="58BCC8DC"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766F1B">
              <w:rPr>
                <w:sz w:val="18"/>
                <w:szCs w:val="18"/>
              </w:rPr>
              <w:t>Число и доля Сторон, участвующих в торговле ртутью</w:t>
            </w:r>
          </w:p>
        </w:tc>
        <w:tc>
          <w:tcPr>
            <w:tcW w:w="2410" w:type="dxa"/>
          </w:tcPr>
          <w:p w14:paraId="5D7286B9" w14:textId="3BBA7FBD" w:rsidR="00A839F6" w:rsidRPr="00766F1B" w:rsidRDefault="00A839F6" w:rsidP="006F6CB5">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766F1B">
              <w:rPr>
                <w:sz w:val="18"/>
                <w:szCs w:val="18"/>
              </w:rPr>
              <w:t>- Отчетность в соответствии со статьей 21</w:t>
            </w:r>
          </w:p>
          <w:p w14:paraId="0DA74924" w14:textId="77777777" w:rsidR="00A839F6" w:rsidRPr="00766F1B" w:rsidRDefault="00A839F6" w:rsidP="006F6CB5">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r w:rsidRPr="00766F1B">
              <w:rPr>
                <w:sz w:val="18"/>
                <w:szCs w:val="18"/>
              </w:rPr>
              <w:t>- Формы согласно статье 3</w:t>
            </w:r>
          </w:p>
        </w:tc>
        <w:tc>
          <w:tcPr>
            <w:tcW w:w="2410" w:type="dxa"/>
          </w:tcPr>
          <w:p w14:paraId="65ADAD10"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Значение на момент проведения первой оценки</w:t>
            </w:r>
          </w:p>
        </w:tc>
      </w:tr>
      <w:tr w:rsidR="00A839F6" w:rsidRPr="00766F1B" w14:paraId="32582B16" w14:textId="77777777" w:rsidTr="00766F1B">
        <w:trPr>
          <w:trHeight w:val="283"/>
          <w:jc w:val="center"/>
        </w:trPr>
        <w:tc>
          <w:tcPr>
            <w:tcW w:w="2689" w:type="dxa"/>
          </w:tcPr>
          <w:p w14:paraId="5658B6BB"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B8. Показатель процесса для статьи 3</w:t>
            </w:r>
          </w:p>
        </w:tc>
        <w:tc>
          <w:tcPr>
            <w:tcW w:w="5386" w:type="dxa"/>
          </w:tcPr>
          <w:p w14:paraId="24671959" w14:textId="7EB3841B" w:rsidR="00A839F6" w:rsidRPr="00056B67"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766F1B">
              <w:rPr>
                <w:sz w:val="18"/>
                <w:szCs w:val="18"/>
              </w:rPr>
              <w:t>Объем ртут</w:t>
            </w:r>
            <w:r w:rsidR="000C61C3">
              <w:rPr>
                <w:sz w:val="18"/>
                <w:szCs w:val="18"/>
              </w:rPr>
              <w:t>и в торговом обороте</w:t>
            </w:r>
          </w:p>
        </w:tc>
        <w:tc>
          <w:tcPr>
            <w:tcW w:w="2410" w:type="dxa"/>
          </w:tcPr>
          <w:p w14:paraId="22443703" w14:textId="77777777" w:rsidR="00A839F6" w:rsidRPr="00766F1B" w:rsidRDefault="00A839F6" w:rsidP="006F6CB5">
            <w:pPr>
              <w:pBdr>
                <w:top w:val="nil"/>
                <w:left w:val="nil"/>
                <w:bottom w:val="nil"/>
                <w:right w:val="nil"/>
                <w:between w:val="nil"/>
                <w:bar w:val="nil"/>
              </w:pBdr>
              <w:tabs>
                <w:tab w:val="clear" w:pos="1247"/>
                <w:tab w:val="clear" w:pos="1814"/>
                <w:tab w:val="clear" w:pos="2381"/>
                <w:tab w:val="clear" w:pos="2948"/>
                <w:tab w:val="clear" w:pos="3515"/>
              </w:tabs>
              <w:spacing w:before="40" w:after="40"/>
              <w:rPr>
                <w:iCs/>
                <w:sz w:val="18"/>
                <w:szCs w:val="18"/>
              </w:rPr>
            </w:pPr>
            <w:r w:rsidRPr="00766F1B">
              <w:rPr>
                <w:sz w:val="18"/>
                <w:szCs w:val="18"/>
              </w:rPr>
              <w:t xml:space="preserve">- Отчетность в соответствии со статьей 21 </w:t>
            </w:r>
          </w:p>
        </w:tc>
        <w:tc>
          <w:tcPr>
            <w:tcW w:w="2410" w:type="dxa"/>
          </w:tcPr>
          <w:p w14:paraId="2DFF331A"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Значение на момент проведения первой оценки</w:t>
            </w:r>
          </w:p>
        </w:tc>
      </w:tr>
      <w:tr w:rsidR="00A839F6" w:rsidRPr="00766F1B" w14:paraId="4EDC977B" w14:textId="77777777" w:rsidTr="00766F1B">
        <w:trPr>
          <w:trHeight w:val="57"/>
          <w:jc w:val="center"/>
        </w:trPr>
        <w:tc>
          <w:tcPr>
            <w:tcW w:w="2689" w:type="dxa"/>
            <w:shd w:val="clear" w:color="auto" w:fill="B8CCE4" w:themeFill="accent1" w:themeFillTint="66"/>
          </w:tcPr>
          <w:p w14:paraId="7B79BF22"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b/>
                <w:sz w:val="18"/>
                <w:szCs w:val="18"/>
                <w:lang w:val="en-GB"/>
              </w:rPr>
            </w:pPr>
            <w:r w:rsidRPr="00766F1B">
              <w:rPr>
                <w:b/>
                <w:bCs/>
                <w:sz w:val="18"/>
                <w:szCs w:val="18"/>
              </w:rPr>
              <w:t>Статья 10</w:t>
            </w:r>
          </w:p>
        </w:tc>
        <w:tc>
          <w:tcPr>
            <w:tcW w:w="5386" w:type="dxa"/>
            <w:shd w:val="clear" w:color="auto" w:fill="B8CCE4" w:themeFill="accent1" w:themeFillTint="66"/>
          </w:tcPr>
          <w:p w14:paraId="08A67AE2"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c>
          <w:tcPr>
            <w:tcW w:w="2410" w:type="dxa"/>
            <w:shd w:val="clear" w:color="auto" w:fill="B8CCE4" w:themeFill="accent1" w:themeFillTint="66"/>
          </w:tcPr>
          <w:p w14:paraId="75C4E992"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ind w:right="-1192"/>
              <w:rPr>
                <w:rFonts w:eastAsia="Roboto"/>
                <w:sz w:val="18"/>
                <w:szCs w:val="18"/>
                <w:lang w:val="en-GB"/>
              </w:rPr>
            </w:pPr>
          </w:p>
        </w:tc>
        <w:tc>
          <w:tcPr>
            <w:tcW w:w="2410" w:type="dxa"/>
            <w:shd w:val="clear" w:color="auto" w:fill="B8CCE4" w:themeFill="accent1" w:themeFillTint="66"/>
          </w:tcPr>
          <w:p w14:paraId="1E416C18"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lang w:val="en-GB"/>
              </w:rPr>
            </w:pPr>
          </w:p>
        </w:tc>
      </w:tr>
      <w:tr w:rsidR="00A839F6" w:rsidRPr="00766F1B" w14:paraId="374A7E19" w14:textId="77777777" w:rsidTr="00766F1B">
        <w:trPr>
          <w:trHeight w:val="454"/>
          <w:jc w:val="center"/>
        </w:trPr>
        <w:tc>
          <w:tcPr>
            <w:tcW w:w="2689" w:type="dxa"/>
          </w:tcPr>
          <w:p w14:paraId="7FAC1D73" w14:textId="4A64C96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B9. Показатель процесса для статьи</w:t>
            </w:r>
            <w:r w:rsidR="0072441F">
              <w:rPr>
                <w:sz w:val="18"/>
                <w:szCs w:val="18"/>
                <w:lang w:val="en-GB"/>
              </w:rPr>
              <w:t> </w:t>
            </w:r>
            <w:r w:rsidRPr="00766F1B">
              <w:rPr>
                <w:sz w:val="18"/>
                <w:szCs w:val="18"/>
              </w:rPr>
              <w:t>10</w:t>
            </w:r>
          </w:p>
        </w:tc>
        <w:tc>
          <w:tcPr>
            <w:tcW w:w="5386" w:type="dxa"/>
          </w:tcPr>
          <w:p w14:paraId="08F2C7D5"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766F1B">
              <w:rPr>
                <w:sz w:val="18"/>
                <w:szCs w:val="18"/>
              </w:rPr>
              <w:t>Число и доля Сторон, принявших меры для обеспечения безопасного временного хранения</w:t>
            </w:r>
          </w:p>
        </w:tc>
        <w:tc>
          <w:tcPr>
            <w:tcW w:w="2410" w:type="dxa"/>
          </w:tcPr>
          <w:p w14:paraId="64E8DE04" w14:textId="77777777" w:rsidR="00A839F6" w:rsidRPr="00766F1B" w:rsidRDefault="00A839F6" w:rsidP="006F6CB5">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766F1B">
              <w:rPr>
                <w:sz w:val="18"/>
                <w:szCs w:val="18"/>
              </w:rPr>
              <w:t>- Отчетность в соответствии со статьей 21</w:t>
            </w:r>
          </w:p>
        </w:tc>
        <w:tc>
          <w:tcPr>
            <w:tcW w:w="2410" w:type="dxa"/>
          </w:tcPr>
          <w:p w14:paraId="549A1CAA"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Значение на момент проведения первой оценки</w:t>
            </w:r>
          </w:p>
        </w:tc>
      </w:tr>
      <w:tr w:rsidR="00A839F6" w:rsidRPr="00766F1B" w14:paraId="2E093786" w14:textId="77777777" w:rsidTr="00766F1B">
        <w:trPr>
          <w:trHeight w:val="454"/>
          <w:jc w:val="center"/>
        </w:trPr>
        <w:tc>
          <w:tcPr>
            <w:tcW w:w="2689" w:type="dxa"/>
          </w:tcPr>
          <w:p w14:paraId="3FD464D7"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ind w:right="-57"/>
              <w:rPr>
                <w:spacing w:val="-2"/>
                <w:sz w:val="18"/>
                <w:szCs w:val="18"/>
              </w:rPr>
            </w:pPr>
            <w:r w:rsidRPr="00766F1B">
              <w:rPr>
                <w:sz w:val="18"/>
                <w:szCs w:val="18"/>
              </w:rPr>
              <w:t>B10. Показатель результата для статьи 10</w:t>
            </w:r>
          </w:p>
        </w:tc>
        <w:tc>
          <w:tcPr>
            <w:tcW w:w="5386" w:type="dxa"/>
          </w:tcPr>
          <w:p w14:paraId="522D6B30"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766F1B">
              <w:rPr>
                <w:sz w:val="18"/>
                <w:szCs w:val="18"/>
              </w:rPr>
              <w:t>Объем ртути, хранящейся экологически безопасно (как установлено в кадастре запасов)</w:t>
            </w:r>
          </w:p>
        </w:tc>
        <w:tc>
          <w:tcPr>
            <w:tcW w:w="2410" w:type="dxa"/>
          </w:tcPr>
          <w:p w14:paraId="3375FD89"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766F1B">
              <w:rPr>
                <w:sz w:val="18"/>
                <w:szCs w:val="18"/>
              </w:rPr>
              <w:t>- Отчетность в соответствии со статьей 21</w:t>
            </w:r>
          </w:p>
        </w:tc>
        <w:tc>
          <w:tcPr>
            <w:tcW w:w="2410" w:type="dxa"/>
          </w:tcPr>
          <w:p w14:paraId="508C363A"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Значение на момент проведения первой оценки</w:t>
            </w:r>
          </w:p>
        </w:tc>
      </w:tr>
      <w:tr w:rsidR="00A839F6" w:rsidRPr="00766F1B" w14:paraId="5324E777" w14:textId="77777777" w:rsidTr="00766F1B">
        <w:trPr>
          <w:trHeight w:val="57"/>
          <w:jc w:val="center"/>
        </w:trPr>
        <w:tc>
          <w:tcPr>
            <w:tcW w:w="2689" w:type="dxa"/>
            <w:shd w:val="clear" w:color="auto" w:fill="B8CCE4" w:themeFill="accent1" w:themeFillTint="66"/>
          </w:tcPr>
          <w:p w14:paraId="32A3CB19" w14:textId="77777777" w:rsidR="00A839F6" w:rsidRPr="00766F1B" w:rsidRDefault="00A839F6" w:rsidP="009148B3">
            <w:pPr>
              <w:keepNext/>
              <w:pBdr>
                <w:top w:val="nil"/>
                <w:left w:val="nil"/>
                <w:bottom w:val="nil"/>
                <w:right w:val="nil"/>
                <w:between w:val="nil"/>
                <w:bar w:val="nil"/>
              </w:pBdr>
              <w:tabs>
                <w:tab w:val="clear" w:pos="1247"/>
                <w:tab w:val="clear" w:pos="1814"/>
                <w:tab w:val="clear" w:pos="2381"/>
                <w:tab w:val="clear" w:pos="2948"/>
                <w:tab w:val="clear" w:pos="3515"/>
              </w:tabs>
              <w:spacing w:before="40" w:after="40"/>
              <w:rPr>
                <w:b/>
                <w:sz w:val="18"/>
                <w:szCs w:val="18"/>
                <w:lang w:val="en-GB"/>
              </w:rPr>
            </w:pPr>
            <w:r w:rsidRPr="00766F1B">
              <w:rPr>
                <w:b/>
                <w:bCs/>
                <w:sz w:val="18"/>
                <w:szCs w:val="18"/>
              </w:rPr>
              <w:t>Статья 11</w:t>
            </w:r>
          </w:p>
        </w:tc>
        <w:tc>
          <w:tcPr>
            <w:tcW w:w="5386" w:type="dxa"/>
            <w:shd w:val="clear" w:color="auto" w:fill="B8CCE4" w:themeFill="accent1" w:themeFillTint="66"/>
          </w:tcPr>
          <w:p w14:paraId="50B3597E" w14:textId="77777777" w:rsidR="00A839F6" w:rsidRPr="00766F1B" w:rsidRDefault="00A839F6" w:rsidP="009148B3">
            <w:pPr>
              <w:keepNext/>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c>
          <w:tcPr>
            <w:tcW w:w="2410" w:type="dxa"/>
            <w:shd w:val="clear" w:color="auto" w:fill="B8CCE4" w:themeFill="accent1" w:themeFillTint="66"/>
          </w:tcPr>
          <w:p w14:paraId="0B7D27B2" w14:textId="77777777" w:rsidR="00A839F6" w:rsidRPr="00766F1B" w:rsidRDefault="00A839F6" w:rsidP="009148B3">
            <w:pPr>
              <w:keepNext/>
              <w:pBdr>
                <w:top w:val="nil"/>
                <w:left w:val="nil"/>
                <w:bottom w:val="nil"/>
                <w:right w:val="nil"/>
                <w:between w:val="nil"/>
                <w:bar w:val="nil"/>
              </w:pBdr>
              <w:tabs>
                <w:tab w:val="clear" w:pos="1247"/>
                <w:tab w:val="clear" w:pos="1814"/>
                <w:tab w:val="clear" w:pos="2381"/>
                <w:tab w:val="clear" w:pos="2948"/>
                <w:tab w:val="clear" w:pos="3515"/>
              </w:tabs>
              <w:spacing w:before="40" w:after="40"/>
              <w:ind w:right="-1192"/>
              <w:rPr>
                <w:rFonts w:eastAsia="Roboto"/>
                <w:sz w:val="18"/>
                <w:szCs w:val="18"/>
                <w:lang w:val="en-GB"/>
              </w:rPr>
            </w:pPr>
          </w:p>
        </w:tc>
        <w:tc>
          <w:tcPr>
            <w:tcW w:w="2410" w:type="dxa"/>
            <w:shd w:val="clear" w:color="auto" w:fill="B8CCE4" w:themeFill="accent1" w:themeFillTint="66"/>
          </w:tcPr>
          <w:p w14:paraId="5B6880E0" w14:textId="77777777" w:rsidR="00A839F6" w:rsidRPr="00766F1B" w:rsidRDefault="00A839F6" w:rsidP="009148B3">
            <w:pPr>
              <w:keepNext/>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lang w:val="en-GB"/>
              </w:rPr>
            </w:pPr>
          </w:p>
        </w:tc>
      </w:tr>
      <w:tr w:rsidR="00A839F6" w:rsidRPr="00766F1B" w14:paraId="25AF099A" w14:textId="77777777" w:rsidTr="00766F1B">
        <w:trPr>
          <w:trHeight w:val="454"/>
          <w:jc w:val="center"/>
        </w:trPr>
        <w:tc>
          <w:tcPr>
            <w:tcW w:w="2689" w:type="dxa"/>
          </w:tcPr>
          <w:p w14:paraId="49D0B51E"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ind w:right="-57"/>
              <w:rPr>
                <w:spacing w:val="-2"/>
                <w:sz w:val="18"/>
                <w:szCs w:val="18"/>
              </w:rPr>
            </w:pPr>
            <w:r w:rsidRPr="00766F1B">
              <w:rPr>
                <w:sz w:val="18"/>
                <w:szCs w:val="18"/>
              </w:rPr>
              <w:t>B11. Показатель результата для статьи 11</w:t>
            </w:r>
          </w:p>
        </w:tc>
        <w:tc>
          <w:tcPr>
            <w:tcW w:w="5386" w:type="dxa"/>
          </w:tcPr>
          <w:p w14:paraId="66C12786"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766F1B">
              <w:rPr>
                <w:sz w:val="18"/>
                <w:szCs w:val="18"/>
              </w:rPr>
              <w:t>Объем содержащих ртуть или ртутные соединения отходов, подлежащих окончательному удалению</w:t>
            </w:r>
          </w:p>
        </w:tc>
        <w:tc>
          <w:tcPr>
            <w:tcW w:w="2410" w:type="dxa"/>
          </w:tcPr>
          <w:p w14:paraId="1B16218A"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766F1B">
              <w:rPr>
                <w:sz w:val="18"/>
                <w:szCs w:val="18"/>
              </w:rPr>
              <w:t>- Отчетность в соответствии со статьей 21</w:t>
            </w:r>
          </w:p>
        </w:tc>
        <w:tc>
          <w:tcPr>
            <w:tcW w:w="2410" w:type="dxa"/>
          </w:tcPr>
          <w:p w14:paraId="3B116727"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Значение на момент проведения первой оценки</w:t>
            </w:r>
          </w:p>
        </w:tc>
      </w:tr>
      <w:tr w:rsidR="00A839F6" w:rsidRPr="00766F1B" w14:paraId="53AD9716" w14:textId="77777777" w:rsidTr="00766F1B">
        <w:trPr>
          <w:trHeight w:val="454"/>
          <w:jc w:val="center"/>
        </w:trPr>
        <w:tc>
          <w:tcPr>
            <w:tcW w:w="2689" w:type="dxa"/>
          </w:tcPr>
          <w:p w14:paraId="471028E5"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ind w:right="-57"/>
              <w:rPr>
                <w:spacing w:val="-2"/>
                <w:sz w:val="18"/>
                <w:szCs w:val="18"/>
              </w:rPr>
            </w:pPr>
            <w:r w:rsidRPr="00766F1B">
              <w:rPr>
                <w:sz w:val="18"/>
                <w:szCs w:val="18"/>
              </w:rPr>
              <w:t>B12. Показатель результата для статьи 11</w:t>
            </w:r>
          </w:p>
        </w:tc>
        <w:tc>
          <w:tcPr>
            <w:tcW w:w="5386" w:type="dxa"/>
          </w:tcPr>
          <w:p w14:paraId="51FDABC3"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766F1B">
              <w:rPr>
                <w:sz w:val="18"/>
                <w:szCs w:val="18"/>
              </w:rPr>
              <w:t>Число Сторон, имеющих объекты для окончательного удаления отходов, содержащих ртуть или ртутные соединения</w:t>
            </w:r>
          </w:p>
        </w:tc>
        <w:tc>
          <w:tcPr>
            <w:tcW w:w="2410" w:type="dxa"/>
          </w:tcPr>
          <w:p w14:paraId="0BB33820"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iCs/>
                <w:sz w:val="18"/>
                <w:szCs w:val="18"/>
              </w:rPr>
            </w:pPr>
            <w:r w:rsidRPr="00766F1B">
              <w:rPr>
                <w:sz w:val="18"/>
                <w:szCs w:val="18"/>
              </w:rPr>
              <w:t>- Отчетность в соответствии со статьей 21</w:t>
            </w:r>
          </w:p>
        </w:tc>
        <w:tc>
          <w:tcPr>
            <w:tcW w:w="2410" w:type="dxa"/>
          </w:tcPr>
          <w:p w14:paraId="757CE6C2"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Значение на момент проведения первой оценки</w:t>
            </w:r>
          </w:p>
        </w:tc>
      </w:tr>
      <w:tr w:rsidR="00A839F6" w:rsidRPr="00766F1B" w14:paraId="0EDCE170" w14:textId="77777777" w:rsidTr="00766F1B">
        <w:trPr>
          <w:trHeight w:val="454"/>
          <w:jc w:val="center"/>
        </w:trPr>
        <w:tc>
          <w:tcPr>
            <w:tcW w:w="2689" w:type="dxa"/>
          </w:tcPr>
          <w:p w14:paraId="458A1583" w14:textId="70B14086"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ind w:right="-57"/>
              <w:rPr>
                <w:sz w:val="18"/>
                <w:szCs w:val="18"/>
              </w:rPr>
            </w:pPr>
            <w:r w:rsidRPr="00766F1B">
              <w:rPr>
                <w:sz w:val="18"/>
                <w:szCs w:val="18"/>
              </w:rPr>
              <w:t>B13. Показатель процесса для статьи</w:t>
            </w:r>
            <w:r w:rsidR="0072441F">
              <w:rPr>
                <w:sz w:val="18"/>
                <w:szCs w:val="18"/>
                <w:lang w:val="en-GB"/>
              </w:rPr>
              <w:t> </w:t>
            </w:r>
            <w:r w:rsidRPr="00766F1B">
              <w:rPr>
                <w:sz w:val="18"/>
                <w:szCs w:val="18"/>
              </w:rPr>
              <w:t>11</w:t>
            </w:r>
          </w:p>
        </w:tc>
        <w:tc>
          <w:tcPr>
            <w:tcW w:w="5386" w:type="dxa"/>
          </w:tcPr>
          <w:p w14:paraId="5D68195B"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766F1B">
              <w:rPr>
                <w:sz w:val="18"/>
                <w:szCs w:val="18"/>
              </w:rPr>
              <w:t>Число Сторон, применяющих меры по регулированию экологически безопасного обращения с ртутными отходами</w:t>
            </w:r>
          </w:p>
        </w:tc>
        <w:tc>
          <w:tcPr>
            <w:tcW w:w="2410" w:type="dxa"/>
          </w:tcPr>
          <w:p w14:paraId="7DA19EEF" w14:textId="77777777" w:rsidR="00A839F6" w:rsidRPr="00766F1B" w:rsidRDefault="00A839F6" w:rsidP="006F6CB5">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766F1B">
              <w:rPr>
                <w:sz w:val="18"/>
                <w:szCs w:val="18"/>
              </w:rPr>
              <w:t>- Отчетность в соответствии со статьей 21</w:t>
            </w:r>
          </w:p>
        </w:tc>
        <w:tc>
          <w:tcPr>
            <w:tcW w:w="2410" w:type="dxa"/>
          </w:tcPr>
          <w:p w14:paraId="3C5B1FB9"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766F1B">
              <w:rPr>
                <w:sz w:val="18"/>
                <w:szCs w:val="18"/>
              </w:rPr>
              <w:t>Значение на момент проведения первой оценки</w:t>
            </w:r>
          </w:p>
        </w:tc>
      </w:tr>
      <w:tr w:rsidR="00A839F6" w:rsidRPr="00766F1B" w14:paraId="18EA68A8" w14:textId="77777777" w:rsidTr="00766F1B">
        <w:trPr>
          <w:trHeight w:val="227"/>
          <w:jc w:val="center"/>
        </w:trPr>
        <w:tc>
          <w:tcPr>
            <w:tcW w:w="2689" w:type="dxa"/>
            <w:shd w:val="clear" w:color="auto" w:fill="B8CCE4" w:themeFill="accent1" w:themeFillTint="66"/>
          </w:tcPr>
          <w:p w14:paraId="4AC14860" w14:textId="47DFEE41" w:rsidR="00A839F6" w:rsidRPr="00766F1B" w:rsidRDefault="00A839F6" w:rsidP="009148B3">
            <w:pPr>
              <w:tabs>
                <w:tab w:val="clear" w:pos="1247"/>
                <w:tab w:val="clear" w:pos="1814"/>
                <w:tab w:val="clear" w:pos="2381"/>
                <w:tab w:val="clear" w:pos="2948"/>
                <w:tab w:val="clear" w:pos="3515"/>
              </w:tabs>
              <w:spacing w:before="40" w:after="40"/>
              <w:rPr>
                <w:b/>
                <w:bCs/>
                <w:sz w:val="18"/>
                <w:szCs w:val="18"/>
                <w:lang w:val="en-GB"/>
              </w:rPr>
            </w:pPr>
            <w:r w:rsidRPr="00766F1B">
              <w:rPr>
                <w:b/>
                <w:bCs/>
                <w:sz w:val="18"/>
                <w:szCs w:val="18"/>
              </w:rPr>
              <w:t>Примечани</w:t>
            </w:r>
            <w:r w:rsidR="000C61C3">
              <w:rPr>
                <w:b/>
                <w:bCs/>
                <w:sz w:val="18"/>
                <w:szCs w:val="18"/>
              </w:rPr>
              <w:t>е</w:t>
            </w:r>
          </w:p>
        </w:tc>
        <w:tc>
          <w:tcPr>
            <w:tcW w:w="10206" w:type="dxa"/>
            <w:gridSpan w:val="3"/>
          </w:tcPr>
          <w:p w14:paraId="740257AC" w14:textId="77777777" w:rsidR="00A839F6" w:rsidRPr="00766F1B" w:rsidRDefault="00A839F6" w:rsidP="009148B3">
            <w:pPr>
              <w:pBdr>
                <w:top w:val="nil"/>
                <w:left w:val="nil"/>
                <w:bottom w:val="nil"/>
                <w:right w:val="nil"/>
                <w:between w:val="nil"/>
                <w:bar w:val="nil"/>
              </w:pBdr>
              <w:tabs>
                <w:tab w:val="clear" w:pos="1247"/>
                <w:tab w:val="clear" w:pos="1814"/>
                <w:tab w:val="clear" w:pos="2381"/>
                <w:tab w:val="clear" w:pos="2948"/>
                <w:tab w:val="clear" w:pos="3515"/>
              </w:tabs>
              <w:spacing w:before="40" w:after="40"/>
              <w:ind w:left="360" w:right="-1192" w:hanging="360"/>
              <w:rPr>
                <w:sz w:val="18"/>
                <w:szCs w:val="18"/>
              </w:rPr>
            </w:pPr>
            <w:r w:rsidRPr="00766F1B">
              <w:rPr>
                <w:rFonts w:ascii="Wingdings" w:hAnsi="Wingdings"/>
                <w:sz w:val="18"/>
                <w:szCs w:val="18"/>
              </w:rPr>
              <w:t></w:t>
            </w:r>
            <w:r w:rsidRPr="00766F1B">
              <w:rPr>
                <w:rFonts w:ascii="Wingdings" w:hAnsi="Wingdings"/>
                <w:sz w:val="18"/>
                <w:szCs w:val="18"/>
              </w:rPr>
              <w:tab/>
            </w:r>
            <w:r w:rsidRPr="00766F1B">
              <w:rPr>
                <w:sz w:val="18"/>
                <w:szCs w:val="18"/>
              </w:rPr>
              <w:t>В некоторых случаях важную роль могут также играть данные, получаемые от государств, не являющихся Сторонами.</w:t>
            </w:r>
          </w:p>
        </w:tc>
      </w:tr>
    </w:tbl>
    <w:p w14:paraId="73BDC294" w14:textId="77777777" w:rsidR="00A839F6" w:rsidRPr="00A839F6" w:rsidRDefault="00A839F6" w:rsidP="00A839F6">
      <w:pPr>
        <w:rPr>
          <w:rFonts w:asciiTheme="majorBidi" w:hAnsiTheme="majorBidi" w:cstheme="majorBidi"/>
          <w:sz w:val="12"/>
          <w:szCs w:val="12"/>
        </w:rPr>
      </w:pPr>
    </w:p>
    <w:tbl>
      <w:tblPr>
        <w:tblStyle w:val="TableGrid"/>
        <w:tblW w:w="5000" w:type="pct"/>
        <w:jc w:val="center"/>
        <w:tblLayout w:type="fixed"/>
        <w:tblCellMar>
          <w:left w:w="57" w:type="dxa"/>
          <w:right w:w="57" w:type="dxa"/>
        </w:tblCellMar>
        <w:tblLook w:val="04A0" w:firstRow="1" w:lastRow="0" w:firstColumn="1" w:lastColumn="0" w:noHBand="0" w:noVBand="1"/>
      </w:tblPr>
      <w:tblGrid>
        <w:gridCol w:w="3151"/>
        <w:gridCol w:w="5840"/>
        <w:gridCol w:w="2792"/>
        <w:gridCol w:w="2635"/>
      </w:tblGrid>
      <w:tr w:rsidR="00A839F6" w:rsidRPr="006C0CC0" w14:paraId="47A80134" w14:textId="77777777" w:rsidTr="006C0CC0">
        <w:trPr>
          <w:trHeight w:val="454"/>
          <w:jc w:val="center"/>
        </w:trPr>
        <w:tc>
          <w:tcPr>
            <w:tcW w:w="8075" w:type="dxa"/>
            <w:gridSpan w:val="2"/>
            <w:shd w:val="clear" w:color="auto" w:fill="B8CCE4" w:themeFill="accent1" w:themeFillTint="66"/>
          </w:tcPr>
          <w:p w14:paraId="51DEA7E4" w14:textId="7CC34AED" w:rsidR="00A839F6" w:rsidRPr="006C0CC0" w:rsidRDefault="00A839F6" w:rsidP="006C0CC0">
            <w:pPr>
              <w:tabs>
                <w:tab w:val="clear" w:pos="1247"/>
                <w:tab w:val="clear" w:pos="1814"/>
                <w:tab w:val="clear" w:pos="2381"/>
                <w:tab w:val="clear" w:pos="2948"/>
                <w:tab w:val="clear" w:pos="3515"/>
              </w:tabs>
              <w:spacing w:before="40" w:after="40"/>
              <w:rPr>
                <w:rFonts w:eastAsia="Roboto"/>
                <w:b/>
                <w:bCs/>
                <w:sz w:val="18"/>
                <w:szCs w:val="18"/>
                <w:u w:color="4F81BD"/>
              </w:rPr>
            </w:pPr>
            <w:r w:rsidRPr="006C0CC0">
              <w:rPr>
                <w:rFonts w:eastAsia="Roboto"/>
                <w:b/>
                <w:bCs/>
                <w:sz w:val="18"/>
                <w:szCs w:val="18"/>
                <w:u w:color="4F81BD"/>
              </w:rPr>
              <w:t>C. Группа показателей, касающихся спроса</w:t>
            </w:r>
          </w:p>
          <w:p w14:paraId="65DBC70B" w14:textId="77777777" w:rsidR="00A839F6" w:rsidRPr="006C0CC0" w:rsidRDefault="00A839F6" w:rsidP="007F29FD">
            <w:pPr>
              <w:tabs>
                <w:tab w:val="clear" w:pos="1247"/>
                <w:tab w:val="clear" w:pos="1814"/>
                <w:tab w:val="clear" w:pos="2381"/>
                <w:tab w:val="clear" w:pos="2948"/>
                <w:tab w:val="clear" w:pos="3515"/>
              </w:tabs>
              <w:spacing w:before="40" w:after="40"/>
              <w:rPr>
                <w:rFonts w:eastAsia="Roboto"/>
                <w:bCs/>
                <w:sz w:val="18"/>
                <w:szCs w:val="18"/>
                <w:u w:color="4F81BD"/>
              </w:rPr>
            </w:pPr>
            <w:r w:rsidRPr="006C0CC0">
              <w:rPr>
                <w:rFonts w:eastAsia="Roboto"/>
                <w:b/>
                <w:bCs/>
                <w:sz w:val="18"/>
                <w:szCs w:val="18"/>
                <w:u w:color="4F81BD"/>
              </w:rPr>
              <w:t>Статья 4 (продукты с добавлением ртути);</w:t>
            </w:r>
            <w:r w:rsidRPr="006C0CC0">
              <w:rPr>
                <w:rFonts w:eastAsia="Roboto"/>
                <w:bCs/>
                <w:sz w:val="18"/>
                <w:szCs w:val="18"/>
                <w:u w:color="4F81BD"/>
              </w:rPr>
              <w:t xml:space="preserve"> </w:t>
            </w:r>
            <w:r w:rsidRPr="006C0CC0">
              <w:rPr>
                <w:rFonts w:eastAsia="Roboto"/>
                <w:b/>
                <w:bCs/>
                <w:sz w:val="18"/>
                <w:szCs w:val="18"/>
                <w:u w:color="4F81BD"/>
              </w:rPr>
              <w:t>статья 5 (производственные процессы, в которых применяются ртуть или ртутные соединения);</w:t>
            </w:r>
            <w:r w:rsidRPr="006C0CC0">
              <w:rPr>
                <w:rFonts w:eastAsia="Roboto"/>
                <w:bCs/>
                <w:sz w:val="18"/>
                <w:szCs w:val="18"/>
                <w:u w:color="4F81BD"/>
              </w:rPr>
              <w:t xml:space="preserve"> </w:t>
            </w:r>
            <w:r w:rsidRPr="006C0CC0">
              <w:rPr>
                <w:rFonts w:eastAsia="Roboto"/>
                <w:b/>
                <w:bCs/>
                <w:sz w:val="18"/>
                <w:szCs w:val="18"/>
                <w:u w:color="4F81BD"/>
              </w:rPr>
              <w:t>статья 7 (кустарная и мелкомасштабная золотодобыча)</w:t>
            </w:r>
            <w:r w:rsidRPr="006C0CC0">
              <w:rPr>
                <w:rFonts w:eastAsia="Roboto"/>
                <w:bCs/>
                <w:sz w:val="18"/>
                <w:szCs w:val="18"/>
                <w:u w:color="4F81BD"/>
              </w:rPr>
              <w:t xml:space="preserve"> </w:t>
            </w:r>
          </w:p>
        </w:tc>
        <w:tc>
          <w:tcPr>
            <w:tcW w:w="2508" w:type="dxa"/>
            <w:shd w:val="clear" w:color="auto" w:fill="B8CCE4" w:themeFill="accent1" w:themeFillTint="66"/>
          </w:tcPr>
          <w:p w14:paraId="3B6FDC72" w14:textId="77777777" w:rsidR="00A839F6" w:rsidRPr="008F5040" w:rsidRDefault="00A839F6" w:rsidP="000C61C3">
            <w:pPr>
              <w:tabs>
                <w:tab w:val="clear" w:pos="1247"/>
                <w:tab w:val="clear" w:pos="1814"/>
                <w:tab w:val="clear" w:pos="2381"/>
                <w:tab w:val="clear" w:pos="2948"/>
                <w:tab w:val="clear" w:pos="3515"/>
              </w:tabs>
              <w:spacing w:before="40" w:after="40"/>
              <w:rPr>
                <w:rFonts w:eastAsia="Roboto"/>
                <w:b/>
                <w:sz w:val="18"/>
                <w:szCs w:val="18"/>
                <w:u w:color="4F81BD"/>
              </w:rPr>
            </w:pPr>
            <w:r w:rsidRPr="000C61C3">
              <w:rPr>
                <w:b/>
                <w:bCs/>
                <w:sz w:val="18"/>
                <w:szCs w:val="18"/>
              </w:rPr>
              <w:t>Источник информации для расчета показателя</w:t>
            </w:r>
          </w:p>
        </w:tc>
        <w:tc>
          <w:tcPr>
            <w:tcW w:w="2367" w:type="dxa"/>
            <w:shd w:val="clear" w:color="auto" w:fill="B8CCE4" w:themeFill="accent1" w:themeFillTint="66"/>
          </w:tcPr>
          <w:p w14:paraId="4D68C706" w14:textId="77777777" w:rsidR="00A839F6" w:rsidRPr="008F5040" w:rsidRDefault="00A839F6" w:rsidP="000C61C3">
            <w:pPr>
              <w:tabs>
                <w:tab w:val="clear" w:pos="1247"/>
                <w:tab w:val="clear" w:pos="1814"/>
                <w:tab w:val="clear" w:pos="2381"/>
                <w:tab w:val="clear" w:pos="2948"/>
                <w:tab w:val="clear" w:pos="3515"/>
              </w:tabs>
              <w:spacing w:before="40" w:after="40"/>
              <w:rPr>
                <w:rFonts w:eastAsia="Roboto"/>
                <w:b/>
                <w:sz w:val="18"/>
                <w:szCs w:val="18"/>
                <w:u w:color="4F81BD"/>
                <w:lang w:val="en-GB"/>
              </w:rPr>
            </w:pPr>
            <w:r w:rsidRPr="000C61C3">
              <w:rPr>
                <w:b/>
                <w:bCs/>
                <w:sz w:val="18"/>
                <w:szCs w:val="18"/>
              </w:rPr>
              <w:t>Исходное значение показателя</w:t>
            </w:r>
          </w:p>
        </w:tc>
      </w:tr>
      <w:tr w:rsidR="00A839F6" w:rsidRPr="006C0CC0" w14:paraId="6E2AD77F" w14:textId="77777777" w:rsidTr="006C0CC0">
        <w:trPr>
          <w:trHeight w:val="624"/>
          <w:jc w:val="center"/>
        </w:trPr>
        <w:tc>
          <w:tcPr>
            <w:tcW w:w="2830" w:type="dxa"/>
          </w:tcPr>
          <w:p w14:paraId="1343016F" w14:textId="77777777" w:rsidR="00A839F6" w:rsidRPr="006C0CC0" w:rsidRDefault="00A839F6" w:rsidP="006C0CC0">
            <w:pPr>
              <w:tabs>
                <w:tab w:val="clear" w:pos="1247"/>
                <w:tab w:val="clear" w:pos="1814"/>
                <w:tab w:val="clear" w:pos="2381"/>
                <w:tab w:val="clear" w:pos="2948"/>
                <w:tab w:val="clear" w:pos="3515"/>
              </w:tabs>
              <w:spacing w:before="40" w:after="40"/>
              <w:rPr>
                <w:bCs/>
                <w:sz w:val="18"/>
                <w:szCs w:val="18"/>
              </w:rPr>
            </w:pPr>
            <w:r w:rsidRPr="006C0CC0">
              <w:rPr>
                <w:sz w:val="18"/>
                <w:szCs w:val="18"/>
              </w:rPr>
              <w:t>C1. Сквозной показатель процесса для статей 4, 5 и 7</w:t>
            </w:r>
          </w:p>
        </w:tc>
        <w:tc>
          <w:tcPr>
            <w:tcW w:w="5245" w:type="dxa"/>
          </w:tcPr>
          <w:p w14:paraId="0C9AB520"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 xml:space="preserve">Доля </w:t>
            </w:r>
            <w:proofErr w:type="spellStart"/>
            <w:r w:rsidRPr="006C0CC0">
              <w:rPr>
                <w:sz w:val="18"/>
                <w:szCs w:val="18"/>
              </w:rPr>
              <w:t>Cторон</w:t>
            </w:r>
            <w:proofErr w:type="spellEnd"/>
            <w:r w:rsidRPr="006C0CC0">
              <w:rPr>
                <w:sz w:val="18"/>
                <w:szCs w:val="18"/>
              </w:rPr>
              <w:t>, выполнивших ключевые положения в рамках данной группы показателей</w:t>
            </w:r>
          </w:p>
          <w:p w14:paraId="26235023" w14:textId="77777777" w:rsidR="00A839F6" w:rsidRPr="006C0CC0" w:rsidRDefault="00A839F6" w:rsidP="006C0CC0">
            <w:pPr>
              <w:tabs>
                <w:tab w:val="clear" w:pos="1247"/>
                <w:tab w:val="clear" w:pos="1814"/>
                <w:tab w:val="clear" w:pos="2381"/>
                <w:tab w:val="clear" w:pos="2948"/>
                <w:tab w:val="clear" w:pos="3515"/>
              </w:tabs>
              <w:spacing w:before="40" w:after="40"/>
              <w:rPr>
                <w:sz w:val="18"/>
                <w:szCs w:val="18"/>
              </w:rPr>
            </w:pPr>
          </w:p>
        </w:tc>
        <w:tc>
          <w:tcPr>
            <w:tcW w:w="2508" w:type="dxa"/>
          </w:tcPr>
          <w:p w14:paraId="33C61B71"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 Информация, обобщенная на основе отдельных показателей для статей 4, 5 и 7</w:t>
            </w:r>
          </w:p>
        </w:tc>
        <w:tc>
          <w:tcPr>
            <w:tcW w:w="2367" w:type="dxa"/>
          </w:tcPr>
          <w:p w14:paraId="521797E4"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Значение на момент проведения первой оценки</w:t>
            </w:r>
          </w:p>
        </w:tc>
      </w:tr>
      <w:tr w:rsidR="00A839F6" w:rsidRPr="006C0CC0" w14:paraId="6690D79A" w14:textId="77777777" w:rsidTr="006C0CC0">
        <w:trPr>
          <w:trHeight w:val="454"/>
          <w:jc w:val="center"/>
        </w:trPr>
        <w:tc>
          <w:tcPr>
            <w:tcW w:w="2830" w:type="dxa"/>
          </w:tcPr>
          <w:p w14:paraId="7C9A22E3" w14:textId="77777777" w:rsidR="00A839F6" w:rsidRPr="006C0CC0" w:rsidRDefault="00A839F6" w:rsidP="006C0CC0">
            <w:pPr>
              <w:tabs>
                <w:tab w:val="clear" w:pos="1247"/>
                <w:tab w:val="clear" w:pos="1814"/>
                <w:tab w:val="clear" w:pos="2381"/>
                <w:tab w:val="clear" w:pos="2948"/>
                <w:tab w:val="clear" w:pos="3515"/>
              </w:tabs>
              <w:spacing w:before="40" w:after="40"/>
              <w:rPr>
                <w:bCs/>
                <w:sz w:val="18"/>
                <w:szCs w:val="18"/>
              </w:rPr>
            </w:pPr>
            <w:r w:rsidRPr="006C0CC0">
              <w:rPr>
                <w:sz w:val="18"/>
                <w:szCs w:val="18"/>
              </w:rPr>
              <w:t>C2. Сквозной показатель результата для статей 4, 5 и 7</w:t>
            </w:r>
          </w:p>
        </w:tc>
        <w:tc>
          <w:tcPr>
            <w:tcW w:w="5245" w:type="dxa"/>
          </w:tcPr>
          <w:p w14:paraId="40395321" w14:textId="77777777" w:rsidR="00A839F6" w:rsidRPr="006C0CC0" w:rsidRDefault="00A839F6" w:rsidP="006C0CC0">
            <w:pPr>
              <w:tabs>
                <w:tab w:val="clear" w:pos="1247"/>
                <w:tab w:val="clear" w:pos="1814"/>
                <w:tab w:val="clear" w:pos="2381"/>
                <w:tab w:val="clear" w:pos="2948"/>
                <w:tab w:val="clear" w:pos="3515"/>
              </w:tabs>
              <w:spacing w:before="40" w:after="40"/>
              <w:rPr>
                <w:sz w:val="18"/>
                <w:szCs w:val="18"/>
              </w:rPr>
            </w:pPr>
            <w:r w:rsidRPr="006C0CC0">
              <w:rPr>
                <w:sz w:val="18"/>
                <w:szCs w:val="18"/>
              </w:rPr>
              <w:t xml:space="preserve">Общемировой объем ртути, применяемой в производстве продукции или в процессах, в тоннах на одну заявку </w:t>
            </w:r>
          </w:p>
        </w:tc>
        <w:tc>
          <w:tcPr>
            <w:tcW w:w="2508" w:type="dxa"/>
          </w:tcPr>
          <w:p w14:paraId="7236EBC8" w14:textId="77777777" w:rsidR="00A839F6" w:rsidRPr="006C0CC0" w:rsidRDefault="00A839F6" w:rsidP="006C0CC0">
            <w:pPr>
              <w:tabs>
                <w:tab w:val="clear" w:pos="1247"/>
                <w:tab w:val="clear" w:pos="1814"/>
                <w:tab w:val="clear" w:pos="2381"/>
                <w:tab w:val="clear" w:pos="2948"/>
                <w:tab w:val="clear" w:pos="3515"/>
              </w:tabs>
              <w:spacing w:before="40" w:after="40"/>
              <w:rPr>
                <w:rFonts w:eastAsia="Roboto"/>
                <w:sz w:val="18"/>
                <w:szCs w:val="18"/>
                <w:lang w:val="en-GB"/>
              </w:rPr>
            </w:pPr>
            <w:r w:rsidRPr="006C0CC0">
              <w:rPr>
                <w:sz w:val="18"/>
                <w:szCs w:val="18"/>
              </w:rPr>
              <w:t>- Информация из промышленных источников</w:t>
            </w:r>
          </w:p>
        </w:tc>
        <w:tc>
          <w:tcPr>
            <w:tcW w:w="2367" w:type="dxa"/>
          </w:tcPr>
          <w:p w14:paraId="40004CD8" w14:textId="77777777" w:rsidR="00A839F6" w:rsidRPr="006C0CC0" w:rsidRDefault="00A839F6" w:rsidP="006C0CC0">
            <w:pPr>
              <w:tabs>
                <w:tab w:val="clear" w:pos="1247"/>
                <w:tab w:val="clear" w:pos="1814"/>
                <w:tab w:val="clear" w:pos="2381"/>
                <w:tab w:val="clear" w:pos="2948"/>
                <w:tab w:val="clear" w:pos="3515"/>
              </w:tabs>
              <w:spacing w:before="40" w:after="40"/>
              <w:rPr>
                <w:sz w:val="18"/>
                <w:szCs w:val="18"/>
              </w:rPr>
            </w:pPr>
            <w:r w:rsidRPr="006C0CC0">
              <w:rPr>
                <w:sz w:val="18"/>
                <w:szCs w:val="18"/>
              </w:rPr>
              <w:t>Значение на момент проведения первой оценки</w:t>
            </w:r>
          </w:p>
        </w:tc>
      </w:tr>
      <w:tr w:rsidR="00A839F6" w:rsidRPr="006C0CC0" w14:paraId="7BA00605" w14:textId="77777777" w:rsidTr="006C0CC0">
        <w:trPr>
          <w:trHeight w:val="57"/>
          <w:jc w:val="center"/>
        </w:trPr>
        <w:tc>
          <w:tcPr>
            <w:tcW w:w="2830" w:type="dxa"/>
            <w:shd w:val="clear" w:color="auto" w:fill="B8CCE4" w:themeFill="accent1" w:themeFillTint="66"/>
          </w:tcPr>
          <w:p w14:paraId="5DAC26AE" w14:textId="77777777" w:rsidR="00A839F6" w:rsidRPr="006C0CC0" w:rsidRDefault="00A839F6" w:rsidP="006C0CC0">
            <w:pPr>
              <w:tabs>
                <w:tab w:val="clear" w:pos="1247"/>
                <w:tab w:val="clear" w:pos="1814"/>
                <w:tab w:val="clear" w:pos="2381"/>
                <w:tab w:val="clear" w:pos="2948"/>
                <w:tab w:val="clear" w:pos="3515"/>
              </w:tabs>
              <w:spacing w:before="40" w:after="40"/>
              <w:rPr>
                <w:b/>
                <w:sz w:val="18"/>
                <w:szCs w:val="18"/>
                <w:lang w:val="en-GB"/>
              </w:rPr>
            </w:pPr>
            <w:r w:rsidRPr="006C0CC0">
              <w:rPr>
                <w:b/>
                <w:bCs/>
                <w:sz w:val="18"/>
                <w:szCs w:val="18"/>
              </w:rPr>
              <w:t>Статья 4</w:t>
            </w:r>
          </w:p>
        </w:tc>
        <w:tc>
          <w:tcPr>
            <w:tcW w:w="5245" w:type="dxa"/>
            <w:shd w:val="clear" w:color="auto" w:fill="B8CCE4" w:themeFill="accent1" w:themeFillTint="66"/>
          </w:tcPr>
          <w:p w14:paraId="3054C517" w14:textId="77777777" w:rsidR="00A839F6" w:rsidRPr="006C0CC0" w:rsidRDefault="00A839F6" w:rsidP="006C0CC0">
            <w:pPr>
              <w:tabs>
                <w:tab w:val="clear" w:pos="1247"/>
                <w:tab w:val="clear" w:pos="1814"/>
                <w:tab w:val="clear" w:pos="2381"/>
                <w:tab w:val="clear" w:pos="2948"/>
                <w:tab w:val="clear" w:pos="3515"/>
              </w:tabs>
              <w:spacing w:before="40" w:after="40"/>
              <w:rPr>
                <w:sz w:val="18"/>
                <w:szCs w:val="18"/>
                <w:lang w:val="en-GB"/>
              </w:rPr>
            </w:pPr>
          </w:p>
        </w:tc>
        <w:tc>
          <w:tcPr>
            <w:tcW w:w="2508" w:type="dxa"/>
            <w:shd w:val="clear" w:color="auto" w:fill="B8CCE4" w:themeFill="accent1" w:themeFillTint="66"/>
          </w:tcPr>
          <w:p w14:paraId="3F19E211" w14:textId="77777777" w:rsidR="00A839F6" w:rsidRPr="006C0CC0" w:rsidRDefault="00A839F6" w:rsidP="006C0CC0">
            <w:pPr>
              <w:tabs>
                <w:tab w:val="clear" w:pos="1247"/>
                <w:tab w:val="clear" w:pos="1814"/>
                <w:tab w:val="clear" w:pos="2381"/>
                <w:tab w:val="clear" w:pos="2948"/>
                <w:tab w:val="clear" w:pos="3515"/>
              </w:tabs>
              <w:spacing w:before="40" w:after="40"/>
              <w:rPr>
                <w:sz w:val="18"/>
                <w:szCs w:val="18"/>
                <w:lang w:val="en-GB"/>
              </w:rPr>
            </w:pPr>
          </w:p>
        </w:tc>
        <w:tc>
          <w:tcPr>
            <w:tcW w:w="2367" w:type="dxa"/>
            <w:shd w:val="clear" w:color="auto" w:fill="B8CCE4" w:themeFill="accent1" w:themeFillTint="66"/>
          </w:tcPr>
          <w:p w14:paraId="5F02706E" w14:textId="77777777" w:rsidR="00A839F6" w:rsidRPr="006C0CC0" w:rsidRDefault="00A839F6" w:rsidP="006C0CC0">
            <w:pPr>
              <w:tabs>
                <w:tab w:val="clear" w:pos="1247"/>
                <w:tab w:val="clear" w:pos="1814"/>
                <w:tab w:val="clear" w:pos="2381"/>
                <w:tab w:val="clear" w:pos="2948"/>
                <w:tab w:val="clear" w:pos="3515"/>
              </w:tabs>
              <w:spacing w:before="40" w:after="40"/>
              <w:rPr>
                <w:sz w:val="18"/>
                <w:szCs w:val="18"/>
                <w:lang w:val="en-GB"/>
              </w:rPr>
            </w:pPr>
          </w:p>
        </w:tc>
      </w:tr>
      <w:tr w:rsidR="00A839F6" w:rsidRPr="006C0CC0" w14:paraId="2F98F8B7" w14:textId="77777777" w:rsidTr="006C0CC0">
        <w:trPr>
          <w:trHeight w:val="624"/>
          <w:jc w:val="center"/>
        </w:trPr>
        <w:tc>
          <w:tcPr>
            <w:tcW w:w="2830" w:type="dxa"/>
          </w:tcPr>
          <w:p w14:paraId="4513FAC2" w14:textId="77777777" w:rsidR="00A839F6" w:rsidRPr="006C0CC0" w:rsidRDefault="00A839F6" w:rsidP="006C0CC0">
            <w:pPr>
              <w:tabs>
                <w:tab w:val="clear" w:pos="1247"/>
                <w:tab w:val="clear" w:pos="1814"/>
                <w:tab w:val="clear" w:pos="2381"/>
                <w:tab w:val="clear" w:pos="2948"/>
                <w:tab w:val="clear" w:pos="3515"/>
              </w:tabs>
              <w:spacing w:before="40" w:after="40"/>
              <w:rPr>
                <w:sz w:val="18"/>
                <w:szCs w:val="18"/>
              </w:rPr>
            </w:pPr>
            <w:r w:rsidRPr="006C0CC0">
              <w:rPr>
                <w:sz w:val="18"/>
                <w:szCs w:val="18"/>
              </w:rPr>
              <w:t>C3. Показатель процесса для статьи 4</w:t>
            </w:r>
          </w:p>
        </w:tc>
        <w:tc>
          <w:tcPr>
            <w:tcW w:w="5245" w:type="dxa"/>
          </w:tcPr>
          <w:p w14:paraId="2A87B194"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Число Сторон, принявших надлежащие меры для предотвращения производства, экспорта или импорта продуктов с добавлением ртути, перечисленных в части I приложения А</w:t>
            </w:r>
          </w:p>
        </w:tc>
        <w:tc>
          <w:tcPr>
            <w:tcW w:w="2508" w:type="dxa"/>
          </w:tcPr>
          <w:p w14:paraId="32B45116"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lang w:eastAsia="ja-JP"/>
              </w:rPr>
            </w:pPr>
            <w:r w:rsidRPr="006C0CC0">
              <w:rPr>
                <w:sz w:val="18"/>
                <w:szCs w:val="18"/>
              </w:rPr>
              <w:t>- Отчетность в соответствии со статьей 21</w:t>
            </w:r>
          </w:p>
        </w:tc>
        <w:tc>
          <w:tcPr>
            <w:tcW w:w="2367" w:type="dxa"/>
          </w:tcPr>
          <w:p w14:paraId="4A97760F"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Значение на момент проведения первой оценки</w:t>
            </w:r>
          </w:p>
        </w:tc>
      </w:tr>
      <w:tr w:rsidR="00A839F6" w:rsidRPr="006C0CC0" w14:paraId="017633BD" w14:textId="77777777" w:rsidTr="006C0CC0">
        <w:trPr>
          <w:trHeight w:val="283"/>
          <w:jc w:val="center"/>
        </w:trPr>
        <w:tc>
          <w:tcPr>
            <w:tcW w:w="2830" w:type="dxa"/>
          </w:tcPr>
          <w:p w14:paraId="1A8A411A" w14:textId="77777777" w:rsidR="00A839F6" w:rsidRPr="006C0CC0" w:rsidRDefault="00A839F6" w:rsidP="006C0CC0">
            <w:pPr>
              <w:tabs>
                <w:tab w:val="clear" w:pos="1247"/>
                <w:tab w:val="clear" w:pos="1814"/>
                <w:tab w:val="clear" w:pos="2381"/>
                <w:tab w:val="clear" w:pos="2948"/>
                <w:tab w:val="clear" w:pos="3515"/>
              </w:tabs>
              <w:spacing w:before="40" w:after="40"/>
              <w:rPr>
                <w:sz w:val="18"/>
                <w:szCs w:val="18"/>
              </w:rPr>
            </w:pPr>
            <w:r w:rsidRPr="006C0CC0">
              <w:rPr>
                <w:sz w:val="18"/>
                <w:szCs w:val="18"/>
              </w:rPr>
              <w:t>C4. Показатель процесса для статьи 4</w:t>
            </w:r>
          </w:p>
        </w:tc>
        <w:tc>
          <w:tcPr>
            <w:tcW w:w="5245" w:type="dxa"/>
          </w:tcPr>
          <w:p w14:paraId="44F033E6"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Количество все еще действующих исключений из правил по каждой товарной категории</w:t>
            </w:r>
          </w:p>
        </w:tc>
        <w:tc>
          <w:tcPr>
            <w:tcW w:w="2508" w:type="dxa"/>
          </w:tcPr>
          <w:p w14:paraId="4E03D3E6"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r w:rsidRPr="006C0CC0">
              <w:rPr>
                <w:sz w:val="18"/>
                <w:szCs w:val="18"/>
              </w:rPr>
              <w:t>- Реестр исключений</w:t>
            </w:r>
          </w:p>
        </w:tc>
        <w:tc>
          <w:tcPr>
            <w:tcW w:w="2367" w:type="dxa"/>
          </w:tcPr>
          <w:p w14:paraId="03E4F420"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Значение на момент проведения первой оценки</w:t>
            </w:r>
          </w:p>
        </w:tc>
      </w:tr>
      <w:tr w:rsidR="00A839F6" w:rsidRPr="006C0CC0" w14:paraId="57140F85" w14:textId="77777777" w:rsidTr="006C0CC0">
        <w:trPr>
          <w:trHeight w:val="454"/>
          <w:jc w:val="center"/>
        </w:trPr>
        <w:tc>
          <w:tcPr>
            <w:tcW w:w="2830" w:type="dxa"/>
          </w:tcPr>
          <w:p w14:paraId="2EAB9168" w14:textId="77777777" w:rsidR="00A839F6" w:rsidRPr="006C0CC0" w:rsidRDefault="00A839F6" w:rsidP="006C0CC0">
            <w:pPr>
              <w:tabs>
                <w:tab w:val="clear" w:pos="1247"/>
                <w:tab w:val="clear" w:pos="1814"/>
                <w:tab w:val="clear" w:pos="2381"/>
                <w:tab w:val="clear" w:pos="2948"/>
                <w:tab w:val="clear" w:pos="3515"/>
              </w:tabs>
              <w:spacing w:before="40" w:after="40"/>
              <w:rPr>
                <w:sz w:val="18"/>
                <w:szCs w:val="18"/>
              </w:rPr>
            </w:pPr>
            <w:r w:rsidRPr="006C0CC0">
              <w:rPr>
                <w:sz w:val="18"/>
                <w:szCs w:val="18"/>
              </w:rPr>
              <w:t>C5. Показатель процесса для статьи 4</w:t>
            </w:r>
          </w:p>
        </w:tc>
        <w:tc>
          <w:tcPr>
            <w:tcW w:w="5245" w:type="dxa"/>
          </w:tcPr>
          <w:p w14:paraId="06F62205"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Число Сторон, принявших две или более мер в отношении продуктов с добавлением ртути, перечисленных в части II приложения А</w:t>
            </w:r>
          </w:p>
        </w:tc>
        <w:tc>
          <w:tcPr>
            <w:tcW w:w="2508" w:type="dxa"/>
          </w:tcPr>
          <w:p w14:paraId="2B83D3A0"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 Отчетность в соответствии со статьей 21</w:t>
            </w:r>
          </w:p>
        </w:tc>
        <w:tc>
          <w:tcPr>
            <w:tcW w:w="2367" w:type="dxa"/>
          </w:tcPr>
          <w:p w14:paraId="7B5A6CFD"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Значение на момент проведения первой оценки</w:t>
            </w:r>
          </w:p>
        </w:tc>
      </w:tr>
      <w:tr w:rsidR="00A839F6" w:rsidRPr="006C0CC0" w14:paraId="4A97293F" w14:textId="77777777" w:rsidTr="006C0CC0">
        <w:trPr>
          <w:trHeight w:val="624"/>
          <w:jc w:val="center"/>
        </w:trPr>
        <w:tc>
          <w:tcPr>
            <w:tcW w:w="2830" w:type="dxa"/>
          </w:tcPr>
          <w:p w14:paraId="37A44F3D"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C6. Дополнительный показатель результата для статьи 4</w:t>
            </w:r>
          </w:p>
        </w:tc>
        <w:tc>
          <w:tcPr>
            <w:tcW w:w="5245" w:type="dxa"/>
          </w:tcPr>
          <w:p w14:paraId="35809C8B"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Объем (в тоннах) продукции с добавлением ртути, а) импортированной и b) экспортированной (в единицах в год) по каждой товарной категории согласно части I приложения А.</w:t>
            </w:r>
          </w:p>
        </w:tc>
        <w:tc>
          <w:tcPr>
            <w:tcW w:w="2508" w:type="dxa"/>
          </w:tcPr>
          <w:p w14:paraId="220261FB"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 Данные о торговле и таможенные сведения</w:t>
            </w:r>
          </w:p>
        </w:tc>
        <w:tc>
          <w:tcPr>
            <w:tcW w:w="2367" w:type="dxa"/>
          </w:tcPr>
          <w:p w14:paraId="507599B9"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Значение на момент проведения первой оценки</w:t>
            </w:r>
          </w:p>
        </w:tc>
      </w:tr>
      <w:tr w:rsidR="00A839F6" w:rsidRPr="006C0CC0" w14:paraId="3741121F" w14:textId="77777777" w:rsidTr="006C0CC0">
        <w:trPr>
          <w:trHeight w:val="57"/>
          <w:jc w:val="center"/>
        </w:trPr>
        <w:tc>
          <w:tcPr>
            <w:tcW w:w="2830" w:type="dxa"/>
            <w:shd w:val="clear" w:color="auto" w:fill="B8CCE4" w:themeFill="accent1" w:themeFillTint="66"/>
          </w:tcPr>
          <w:p w14:paraId="241623F7"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b/>
                <w:sz w:val="18"/>
                <w:szCs w:val="18"/>
                <w:lang w:val="en-GB"/>
              </w:rPr>
            </w:pPr>
            <w:r w:rsidRPr="006C0CC0">
              <w:rPr>
                <w:b/>
                <w:bCs/>
                <w:sz w:val="18"/>
                <w:szCs w:val="18"/>
              </w:rPr>
              <w:lastRenderedPageBreak/>
              <w:t>Статья 5</w:t>
            </w:r>
          </w:p>
        </w:tc>
        <w:tc>
          <w:tcPr>
            <w:tcW w:w="5245" w:type="dxa"/>
            <w:shd w:val="clear" w:color="auto" w:fill="B8CCE4" w:themeFill="accent1" w:themeFillTint="66"/>
          </w:tcPr>
          <w:p w14:paraId="006E788D"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c>
          <w:tcPr>
            <w:tcW w:w="2508" w:type="dxa"/>
            <w:shd w:val="clear" w:color="auto" w:fill="B8CCE4" w:themeFill="accent1" w:themeFillTint="66"/>
          </w:tcPr>
          <w:p w14:paraId="29136715"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c>
          <w:tcPr>
            <w:tcW w:w="2367" w:type="dxa"/>
            <w:shd w:val="clear" w:color="auto" w:fill="B8CCE4" w:themeFill="accent1" w:themeFillTint="66"/>
          </w:tcPr>
          <w:p w14:paraId="68664A66"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r>
      <w:tr w:rsidR="00A839F6" w:rsidRPr="006C0CC0" w14:paraId="23FC5E50" w14:textId="77777777" w:rsidTr="006C0CC0">
        <w:trPr>
          <w:trHeight w:val="454"/>
          <w:jc w:val="center"/>
        </w:trPr>
        <w:tc>
          <w:tcPr>
            <w:tcW w:w="2830" w:type="dxa"/>
          </w:tcPr>
          <w:p w14:paraId="5660F000"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C7. Показатель процесса для статьи 5</w:t>
            </w:r>
          </w:p>
        </w:tc>
        <w:tc>
          <w:tcPr>
            <w:tcW w:w="5245" w:type="dxa"/>
          </w:tcPr>
          <w:p w14:paraId="5FE40771"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Число Сторон, которым предоставлены действующие по настоящее время исключения в отношении процессов, перечисленных в части I приложения В</w:t>
            </w:r>
          </w:p>
        </w:tc>
        <w:tc>
          <w:tcPr>
            <w:tcW w:w="2508" w:type="dxa"/>
          </w:tcPr>
          <w:p w14:paraId="49FE52EA"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r w:rsidRPr="006C0CC0">
              <w:rPr>
                <w:sz w:val="18"/>
                <w:szCs w:val="18"/>
              </w:rPr>
              <w:t>- Реестр исключений</w:t>
            </w:r>
          </w:p>
        </w:tc>
        <w:tc>
          <w:tcPr>
            <w:tcW w:w="2367" w:type="dxa"/>
          </w:tcPr>
          <w:p w14:paraId="3CBFC52F"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Значение на момент проведения первой оценки</w:t>
            </w:r>
          </w:p>
        </w:tc>
      </w:tr>
      <w:tr w:rsidR="00A839F6" w:rsidRPr="006C0CC0" w14:paraId="0DE4A31D" w14:textId="77777777" w:rsidTr="006C0CC0">
        <w:trPr>
          <w:trHeight w:val="624"/>
          <w:jc w:val="center"/>
        </w:trPr>
        <w:tc>
          <w:tcPr>
            <w:tcW w:w="2830" w:type="dxa"/>
          </w:tcPr>
          <w:p w14:paraId="23BAEC6B"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C8. Показатель процесса для статьи 5</w:t>
            </w:r>
          </w:p>
        </w:tc>
        <w:tc>
          <w:tcPr>
            <w:tcW w:w="5245" w:type="dxa"/>
          </w:tcPr>
          <w:p w14:paraId="550C980A" w14:textId="77777777" w:rsidR="00A839F6" w:rsidRPr="006C0CC0" w:rsidRDefault="00A839F6" w:rsidP="00844866">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Число Сторон, принимающих меры по недопущению использования ртути или ртутных соединений в производственных процессах, перечисленных в части I приложения В</w:t>
            </w:r>
          </w:p>
        </w:tc>
        <w:tc>
          <w:tcPr>
            <w:tcW w:w="2508" w:type="dxa"/>
          </w:tcPr>
          <w:p w14:paraId="5F31A94C"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 Отчетность в соответствии со статьей 21</w:t>
            </w:r>
          </w:p>
        </w:tc>
        <w:tc>
          <w:tcPr>
            <w:tcW w:w="2367" w:type="dxa"/>
          </w:tcPr>
          <w:p w14:paraId="0F38B782"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Значение на момент проведения первой оценки</w:t>
            </w:r>
          </w:p>
        </w:tc>
      </w:tr>
      <w:tr w:rsidR="00A839F6" w:rsidRPr="006C0CC0" w14:paraId="4FDE40F4" w14:textId="77777777" w:rsidTr="006C0CC0">
        <w:trPr>
          <w:trHeight w:val="624"/>
          <w:jc w:val="center"/>
        </w:trPr>
        <w:tc>
          <w:tcPr>
            <w:tcW w:w="2830" w:type="dxa"/>
          </w:tcPr>
          <w:p w14:paraId="17523B72"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C9. Показатель процесса для статьи 5</w:t>
            </w:r>
          </w:p>
        </w:tc>
        <w:tc>
          <w:tcPr>
            <w:tcW w:w="5245" w:type="dxa"/>
          </w:tcPr>
          <w:p w14:paraId="48BF48D3"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Доля Сторон, в отношении которых действуют процедуры, предусмотренные пунктом 3 статьи 5, и которые приняли все меры в отношении соответствующих процессов, перечисленных в части II приложения B</w:t>
            </w:r>
          </w:p>
        </w:tc>
        <w:tc>
          <w:tcPr>
            <w:tcW w:w="2508" w:type="dxa"/>
          </w:tcPr>
          <w:p w14:paraId="6D599A45"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 Отчетность в соответствии со статьей 21</w:t>
            </w:r>
          </w:p>
        </w:tc>
        <w:tc>
          <w:tcPr>
            <w:tcW w:w="2367" w:type="dxa"/>
          </w:tcPr>
          <w:p w14:paraId="21803E2E"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Значение на момент проведения первой оценки</w:t>
            </w:r>
          </w:p>
        </w:tc>
      </w:tr>
      <w:tr w:rsidR="00A839F6" w:rsidRPr="006C0CC0" w14:paraId="5A226C08" w14:textId="77777777" w:rsidTr="006C0CC0">
        <w:trPr>
          <w:trHeight w:val="57"/>
          <w:jc w:val="center"/>
        </w:trPr>
        <w:tc>
          <w:tcPr>
            <w:tcW w:w="2830" w:type="dxa"/>
            <w:shd w:val="clear" w:color="auto" w:fill="B8CCE4" w:themeFill="accent1" w:themeFillTint="66"/>
          </w:tcPr>
          <w:p w14:paraId="1C6EAD1B"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b/>
                <w:sz w:val="18"/>
                <w:szCs w:val="18"/>
                <w:lang w:val="en-GB"/>
              </w:rPr>
            </w:pPr>
            <w:r w:rsidRPr="006C0CC0">
              <w:rPr>
                <w:b/>
                <w:bCs/>
                <w:sz w:val="18"/>
                <w:szCs w:val="18"/>
              </w:rPr>
              <w:t>Статья 7</w:t>
            </w:r>
          </w:p>
        </w:tc>
        <w:tc>
          <w:tcPr>
            <w:tcW w:w="5245" w:type="dxa"/>
            <w:shd w:val="clear" w:color="auto" w:fill="B8CCE4" w:themeFill="accent1" w:themeFillTint="66"/>
          </w:tcPr>
          <w:p w14:paraId="5CF39DD4"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c>
          <w:tcPr>
            <w:tcW w:w="2508" w:type="dxa"/>
            <w:shd w:val="clear" w:color="auto" w:fill="B8CCE4" w:themeFill="accent1" w:themeFillTint="66"/>
          </w:tcPr>
          <w:p w14:paraId="08FAB0A0"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c>
          <w:tcPr>
            <w:tcW w:w="2367" w:type="dxa"/>
            <w:shd w:val="clear" w:color="auto" w:fill="B8CCE4" w:themeFill="accent1" w:themeFillTint="66"/>
          </w:tcPr>
          <w:p w14:paraId="14569F1A"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r>
      <w:tr w:rsidR="00A839F6" w:rsidRPr="006C0CC0" w14:paraId="1A46B262" w14:textId="77777777" w:rsidTr="006C0CC0">
        <w:trPr>
          <w:trHeight w:val="850"/>
          <w:jc w:val="center"/>
        </w:trPr>
        <w:tc>
          <w:tcPr>
            <w:tcW w:w="2830" w:type="dxa"/>
          </w:tcPr>
          <w:p w14:paraId="75974299" w14:textId="542FC91C"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C10. Показатель результата для статьи</w:t>
            </w:r>
            <w:r w:rsidR="008041AB">
              <w:rPr>
                <w:sz w:val="18"/>
                <w:szCs w:val="18"/>
                <w:lang w:val="en-GB"/>
              </w:rPr>
              <w:t> </w:t>
            </w:r>
            <w:r w:rsidRPr="006C0CC0">
              <w:rPr>
                <w:sz w:val="18"/>
                <w:szCs w:val="18"/>
              </w:rPr>
              <w:t>7</w:t>
            </w:r>
          </w:p>
        </w:tc>
        <w:tc>
          <w:tcPr>
            <w:tcW w:w="5245" w:type="dxa"/>
          </w:tcPr>
          <w:p w14:paraId="0944C2CF" w14:textId="0E76350F" w:rsidR="00A839F6" w:rsidRPr="006C0CC0" w:rsidRDefault="00A839F6" w:rsidP="008041AB">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 xml:space="preserve">Общий объем ртути, используемой в КМЗ в общемировом масштабе, в тоннах в год </w:t>
            </w:r>
          </w:p>
        </w:tc>
        <w:tc>
          <w:tcPr>
            <w:tcW w:w="2508" w:type="dxa"/>
          </w:tcPr>
          <w:p w14:paraId="2DF22EB5"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 Отчетность в соответствии со статьей 21</w:t>
            </w:r>
          </w:p>
          <w:p w14:paraId="3EF68F60"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 Национальные планы действий по КМЗ и их обзоры</w:t>
            </w:r>
          </w:p>
          <w:p w14:paraId="13E72381"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r w:rsidRPr="006C0CC0">
              <w:rPr>
                <w:sz w:val="18"/>
                <w:szCs w:val="18"/>
              </w:rPr>
              <w:t>- Уведомления</w:t>
            </w:r>
          </w:p>
        </w:tc>
        <w:tc>
          <w:tcPr>
            <w:tcW w:w="2367" w:type="dxa"/>
          </w:tcPr>
          <w:p w14:paraId="2549C63C"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Значение на момент проведения первой оценки</w:t>
            </w:r>
          </w:p>
        </w:tc>
      </w:tr>
      <w:tr w:rsidR="00A839F6" w:rsidRPr="006C0CC0" w14:paraId="332575F4" w14:textId="77777777" w:rsidTr="006C0CC0">
        <w:trPr>
          <w:trHeight w:val="454"/>
          <w:jc w:val="center"/>
        </w:trPr>
        <w:tc>
          <w:tcPr>
            <w:tcW w:w="2830" w:type="dxa"/>
          </w:tcPr>
          <w:p w14:paraId="25361120"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C11. Показатель процесса для статьи 7</w:t>
            </w:r>
          </w:p>
        </w:tc>
        <w:tc>
          <w:tcPr>
            <w:tcW w:w="5245" w:type="dxa"/>
          </w:tcPr>
          <w:p w14:paraId="263BC2F5"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Доля представивших национальные планы действий Сторон от числа Сторон, сообщивших, что КМЗ на их территории выходит за рамки незначительной</w:t>
            </w:r>
          </w:p>
        </w:tc>
        <w:tc>
          <w:tcPr>
            <w:tcW w:w="2508" w:type="dxa"/>
          </w:tcPr>
          <w:p w14:paraId="5DB2EBAC"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r w:rsidRPr="006C0CC0">
              <w:rPr>
                <w:sz w:val="18"/>
                <w:szCs w:val="18"/>
              </w:rPr>
              <w:t>- Уведомления</w:t>
            </w:r>
          </w:p>
        </w:tc>
        <w:tc>
          <w:tcPr>
            <w:tcW w:w="2367" w:type="dxa"/>
          </w:tcPr>
          <w:p w14:paraId="340807F1"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Значение при проведении первой оценки</w:t>
            </w:r>
          </w:p>
        </w:tc>
      </w:tr>
      <w:tr w:rsidR="00A839F6" w:rsidRPr="006C0CC0" w14:paraId="42ED6A5F" w14:textId="77777777" w:rsidTr="006C0CC0">
        <w:trPr>
          <w:trHeight w:val="454"/>
          <w:jc w:val="center"/>
        </w:trPr>
        <w:tc>
          <w:tcPr>
            <w:tcW w:w="2830" w:type="dxa"/>
          </w:tcPr>
          <w:p w14:paraId="3F2ADD78"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C12. Показатель процесса для статьи 7</w:t>
            </w:r>
          </w:p>
        </w:tc>
        <w:tc>
          <w:tcPr>
            <w:tcW w:w="5245" w:type="dxa"/>
          </w:tcPr>
          <w:p w14:paraId="28B6E5E5" w14:textId="1EC97DE3" w:rsidR="00A839F6" w:rsidRPr="006C0CC0" w:rsidRDefault="00A839F6" w:rsidP="00FC27EE">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C0CC0">
              <w:rPr>
                <w:sz w:val="18"/>
                <w:szCs w:val="18"/>
              </w:rPr>
              <w:t>Доля Сторон, представивших национальны</w:t>
            </w:r>
            <w:r w:rsidR="000C61C3">
              <w:rPr>
                <w:sz w:val="18"/>
                <w:szCs w:val="18"/>
              </w:rPr>
              <w:t>е</w:t>
            </w:r>
            <w:r w:rsidRPr="006C0CC0">
              <w:rPr>
                <w:sz w:val="18"/>
                <w:szCs w:val="18"/>
              </w:rPr>
              <w:t xml:space="preserve"> план</w:t>
            </w:r>
            <w:r w:rsidR="000C61C3">
              <w:rPr>
                <w:sz w:val="18"/>
                <w:szCs w:val="18"/>
              </w:rPr>
              <w:t>ы</w:t>
            </w:r>
            <w:r w:rsidRPr="006C0CC0">
              <w:rPr>
                <w:sz w:val="18"/>
                <w:szCs w:val="18"/>
              </w:rPr>
              <w:t xml:space="preserve"> действий и проведших </w:t>
            </w:r>
            <w:r w:rsidR="000C61C3">
              <w:rPr>
                <w:sz w:val="18"/>
                <w:szCs w:val="18"/>
              </w:rPr>
              <w:t xml:space="preserve">их </w:t>
            </w:r>
            <w:r w:rsidRPr="006C0CC0">
              <w:rPr>
                <w:sz w:val="18"/>
                <w:szCs w:val="18"/>
              </w:rPr>
              <w:t>обзор</w:t>
            </w:r>
            <w:r w:rsidR="000C61C3">
              <w:rPr>
                <w:sz w:val="18"/>
                <w:szCs w:val="18"/>
              </w:rPr>
              <w:t>ы</w:t>
            </w:r>
          </w:p>
        </w:tc>
        <w:tc>
          <w:tcPr>
            <w:tcW w:w="2508" w:type="dxa"/>
          </w:tcPr>
          <w:p w14:paraId="0B9E5717"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lang w:val="en-GB"/>
              </w:rPr>
            </w:pPr>
            <w:r w:rsidRPr="006C0CC0">
              <w:rPr>
                <w:sz w:val="18"/>
                <w:szCs w:val="18"/>
              </w:rPr>
              <w:t>- Обзоры по статье 7</w:t>
            </w:r>
          </w:p>
        </w:tc>
        <w:tc>
          <w:tcPr>
            <w:tcW w:w="2367" w:type="dxa"/>
          </w:tcPr>
          <w:p w14:paraId="547FB91D"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C0CC0">
              <w:rPr>
                <w:sz w:val="18"/>
                <w:szCs w:val="18"/>
              </w:rPr>
              <w:t>Значение при проведении первой оценки</w:t>
            </w:r>
          </w:p>
        </w:tc>
      </w:tr>
      <w:tr w:rsidR="00A839F6" w:rsidRPr="006C0CC0" w14:paraId="559FC896" w14:textId="77777777" w:rsidTr="006C0CC0">
        <w:trPr>
          <w:trHeight w:val="227"/>
          <w:jc w:val="center"/>
        </w:trPr>
        <w:tc>
          <w:tcPr>
            <w:tcW w:w="2830" w:type="dxa"/>
            <w:shd w:val="clear" w:color="auto" w:fill="B8CCE4" w:themeFill="accent1" w:themeFillTint="66"/>
          </w:tcPr>
          <w:p w14:paraId="29169A60" w14:textId="32EF2789" w:rsidR="00A839F6" w:rsidRPr="006C0CC0" w:rsidRDefault="00A839F6" w:rsidP="006C0CC0">
            <w:pPr>
              <w:tabs>
                <w:tab w:val="clear" w:pos="1247"/>
                <w:tab w:val="clear" w:pos="1814"/>
                <w:tab w:val="clear" w:pos="2381"/>
                <w:tab w:val="clear" w:pos="2948"/>
                <w:tab w:val="clear" w:pos="3515"/>
              </w:tabs>
              <w:spacing w:before="40" w:after="40"/>
              <w:rPr>
                <w:sz w:val="18"/>
                <w:szCs w:val="18"/>
                <w:lang w:val="en-GB"/>
              </w:rPr>
            </w:pPr>
            <w:r w:rsidRPr="006C0CC0">
              <w:rPr>
                <w:b/>
                <w:bCs/>
                <w:sz w:val="18"/>
                <w:szCs w:val="18"/>
              </w:rPr>
              <w:t>Примечани</w:t>
            </w:r>
            <w:r w:rsidR="000C61C3">
              <w:rPr>
                <w:b/>
                <w:bCs/>
                <w:sz w:val="18"/>
                <w:szCs w:val="18"/>
              </w:rPr>
              <w:t>е</w:t>
            </w:r>
          </w:p>
        </w:tc>
        <w:tc>
          <w:tcPr>
            <w:tcW w:w="10120" w:type="dxa"/>
            <w:gridSpan w:val="3"/>
          </w:tcPr>
          <w:p w14:paraId="632D22E0" w14:textId="77777777" w:rsidR="00A839F6" w:rsidRPr="006C0CC0" w:rsidRDefault="00A839F6" w:rsidP="006C0CC0">
            <w:pPr>
              <w:pBdr>
                <w:top w:val="nil"/>
                <w:left w:val="nil"/>
                <w:bottom w:val="nil"/>
                <w:right w:val="nil"/>
                <w:between w:val="nil"/>
                <w:bar w:val="nil"/>
              </w:pBdr>
              <w:tabs>
                <w:tab w:val="clear" w:pos="1247"/>
                <w:tab w:val="clear" w:pos="1814"/>
                <w:tab w:val="clear" w:pos="2381"/>
                <w:tab w:val="clear" w:pos="2948"/>
                <w:tab w:val="clear" w:pos="3515"/>
              </w:tabs>
              <w:spacing w:before="40" w:after="40"/>
              <w:ind w:left="360" w:hanging="360"/>
              <w:rPr>
                <w:sz w:val="18"/>
                <w:szCs w:val="18"/>
              </w:rPr>
            </w:pPr>
            <w:r w:rsidRPr="006C0CC0">
              <w:rPr>
                <w:rFonts w:ascii="Wingdings" w:hAnsi="Wingdings"/>
                <w:sz w:val="18"/>
                <w:szCs w:val="18"/>
              </w:rPr>
              <w:t></w:t>
            </w:r>
            <w:r w:rsidRPr="006C0CC0">
              <w:rPr>
                <w:rFonts w:ascii="Wingdings" w:hAnsi="Wingdings"/>
                <w:sz w:val="18"/>
                <w:szCs w:val="18"/>
              </w:rPr>
              <w:tab/>
            </w:r>
            <w:r w:rsidRPr="006C0CC0">
              <w:rPr>
                <w:sz w:val="18"/>
                <w:szCs w:val="18"/>
              </w:rPr>
              <w:t>Некоторые данные о продуктах могут быть труднодоступны.</w:t>
            </w:r>
          </w:p>
        </w:tc>
      </w:tr>
    </w:tbl>
    <w:p w14:paraId="6DDEFAD5" w14:textId="77777777" w:rsidR="00A839F6" w:rsidRPr="00A839F6" w:rsidRDefault="00A839F6" w:rsidP="00A839F6">
      <w:pPr>
        <w:rPr>
          <w:rFonts w:asciiTheme="majorBidi" w:hAnsiTheme="majorBidi" w:cstheme="majorBidi"/>
        </w:rPr>
      </w:pPr>
    </w:p>
    <w:tbl>
      <w:tblPr>
        <w:tblStyle w:val="TableGrid"/>
        <w:tblW w:w="5000" w:type="pct"/>
        <w:jc w:val="center"/>
        <w:tblLayout w:type="fixed"/>
        <w:tblCellMar>
          <w:left w:w="57" w:type="dxa"/>
          <w:right w:w="57" w:type="dxa"/>
        </w:tblCellMar>
        <w:tblLook w:val="04A0" w:firstRow="1" w:lastRow="0" w:firstColumn="1" w:lastColumn="0" w:noHBand="0" w:noVBand="1"/>
      </w:tblPr>
      <w:tblGrid>
        <w:gridCol w:w="3150"/>
        <w:gridCol w:w="5840"/>
        <w:gridCol w:w="2788"/>
        <w:gridCol w:w="2640"/>
      </w:tblGrid>
      <w:tr w:rsidR="00A839F6" w:rsidRPr="002D6E8C" w14:paraId="4B7B61F9" w14:textId="77777777" w:rsidTr="002D6E8C">
        <w:trPr>
          <w:trHeight w:val="454"/>
          <w:jc w:val="center"/>
        </w:trPr>
        <w:tc>
          <w:tcPr>
            <w:tcW w:w="8075" w:type="dxa"/>
            <w:gridSpan w:val="2"/>
            <w:shd w:val="clear" w:color="auto" w:fill="B8CCE4" w:themeFill="accent1" w:themeFillTint="66"/>
          </w:tcPr>
          <w:p w14:paraId="1E499D24" w14:textId="6B1E5B0F" w:rsidR="00A839F6" w:rsidRPr="002D6E8C" w:rsidRDefault="00A839F6" w:rsidP="002D6E8C">
            <w:pPr>
              <w:tabs>
                <w:tab w:val="clear" w:pos="1247"/>
                <w:tab w:val="clear" w:pos="1814"/>
                <w:tab w:val="clear" w:pos="2381"/>
                <w:tab w:val="clear" w:pos="2948"/>
                <w:tab w:val="clear" w:pos="3515"/>
              </w:tabs>
              <w:spacing w:before="40" w:after="40"/>
              <w:rPr>
                <w:rFonts w:eastAsia="Roboto"/>
                <w:b/>
                <w:bCs/>
                <w:sz w:val="18"/>
                <w:szCs w:val="18"/>
                <w:u w:color="4F81BD"/>
              </w:rPr>
            </w:pPr>
            <w:r w:rsidRPr="002D6E8C">
              <w:rPr>
                <w:rFonts w:eastAsia="Roboto"/>
                <w:b/>
                <w:bCs/>
                <w:sz w:val="18"/>
                <w:szCs w:val="18"/>
                <w:u w:color="4F81BD"/>
              </w:rPr>
              <w:t>D. Группа показателей, связанных с последствиями</w:t>
            </w:r>
          </w:p>
          <w:p w14:paraId="091E26F4" w14:textId="77777777" w:rsidR="00A839F6" w:rsidRPr="002D6E8C" w:rsidRDefault="00A839F6" w:rsidP="007F29FD">
            <w:pPr>
              <w:tabs>
                <w:tab w:val="clear" w:pos="1247"/>
                <w:tab w:val="clear" w:pos="1814"/>
                <w:tab w:val="clear" w:pos="2381"/>
                <w:tab w:val="clear" w:pos="2948"/>
                <w:tab w:val="clear" w:pos="3515"/>
              </w:tabs>
              <w:spacing w:before="40" w:after="40"/>
              <w:rPr>
                <w:rFonts w:eastAsia="Roboto"/>
                <w:bCs/>
                <w:sz w:val="18"/>
                <w:szCs w:val="18"/>
                <w:u w:color="4F81BD"/>
              </w:rPr>
            </w:pPr>
            <w:r w:rsidRPr="002D6E8C">
              <w:rPr>
                <w:rFonts w:eastAsia="Roboto"/>
                <w:b/>
                <w:bCs/>
                <w:sz w:val="18"/>
                <w:szCs w:val="18"/>
                <w:u w:color="4F81BD"/>
              </w:rPr>
              <w:t>Статья 8 (выбросы);</w:t>
            </w:r>
            <w:r w:rsidRPr="002D6E8C">
              <w:rPr>
                <w:rFonts w:eastAsia="Roboto"/>
                <w:bCs/>
                <w:sz w:val="18"/>
                <w:szCs w:val="18"/>
                <w:u w:color="4F81BD"/>
              </w:rPr>
              <w:t xml:space="preserve"> </w:t>
            </w:r>
            <w:r w:rsidRPr="002D6E8C">
              <w:rPr>
                <w:rFonts w:eastAsia="Roboto"/>
                <w:b/>
                <w:bCs/>
                <w:sz w:val="18"/>
                <w:szCs w:val="18"/>
                <w:u w:color="4F81BD"/>
              </w:rPr>
              <w:t>статья 9 (высвобождения);</w:t>
            </w:r>
            <w:r w:rsidRPr="002D6E8C">
              <w:rPr>
                <w:rFonts w:eastAsia="Roboto"/>
                <w:bCs/>
                <w:sz w:val="18"/>
                <w:szCs w:val="18"/>
                <w:u w:color="4F81BD"/>
              </w:rPr>
              <w:t xml:space="preserve"> </w:t>
            </w:r>
            <w:r w:rsidRPr="002D6E8C">
              <w:rPr>
                <w:rFonts w:eastAsia="Roboto"/>
                <w:b/>
                <w:bCs/>
                <w:sz w:val="18"/>
                <w:szCs w:val="18"/>
                <w:u w:color="4F81BD"/>
              </w:rPr>
              <w:t>статья 12 (загрязненные участки)</w:t>
            </w:r>
            <w:r w:rsidRPr="002D6E8C">
              <w:rPr>
                <w:rFonts w:eastAsia="Roboto"/>
                <w:bCs/>
                <w:sz w:val="18"/>
                <w:szCs w:val="18"/>
                <w:u w:color="4F81BD"/>
              </w:rPr>
              <w:t xml:space="preserve"> </w:t>
            </w:r>
          </w:p>
        </w:tc>
        <w:tc>
          <w:tcPr>
            <w:tcW w:w="2504" w:type="dxa"/>
            <w:shd w:val="clear" w:color="auto" w:fill="B8CCE4" w:themeFill="accent1" w:themeFillTint="66"/>
          </w:tcPr>
          <w:p w14:paraId="64C90CF2" w14:textId="77777777" w:rsidR="00A839F6" w:rsidRPr="000C61C3" w:rsidRDefault="00A839F6" w:rsidP="000C61C3">
            <w:pPr>
              <w:tabs>
                <w:tab w:val="clear" w:pos="1247"/>
                <w:tab w:val="clear" w:pos="1814"/>
                <w:tab w:val="clear" w:pos="2381"/>
                <w:tab w:val="clear" w:pos="2948"/>
                <w:tab w:val="clear" w:pos="3515"/>
              </w:tabs>
              <w:spacing w:before="40" w:after="40"/>
              <w:rPr>
                <w:b/>
                <w:bCs/>
                <w:sz w:val="18"/>
                <w:szCs w:val="18"/>
              </w:rPr>
            </w:pPr>
            <w:r w:rsidRPr="000C61C3">
              <w:rPr>
                <w:b/>
                <w:bCs/>
                <w:sz w:val="18"/>
                <w:szCs w:val="18"/>
              </w:rPr>
              <w:t>Источник информации для расчета показателя</w:t>
            </w:r>
          </w:p>
        </w:tc>
        <w:tc>
          <w:tcPr>
            <w:tcW w:w="2371" w:type="dxa"/>
            <w:shd w:val="clear" w:color="auto" w:fill="B8CCE4" w:themeFill="accent1" w:themeFillTint="66"/>
          </w:tcPr>
          <w:p w14:paraId="1002837F" w14:textId="77777777" w:rsidR="00A839F6" w:rsidRPr="000C61C3" w:rsidRDefault="00A839F6" w:rsidP="000C61C3">
            <w:pPr>
              <w:tabs>
                <w:tab w:val="clear" w:pos="1247"/>
                <w:tab w:val="clear" w:pos="1814"/>
                <w:tab w:val="clear" w:pos="2381"/>
                <w:tab w:val="clear" w:pos="2948"/>
                <w:tab w:val="clear" w:pos="3515"/>
              </w:tabs>
              <w:spacing w:before="40" w:after="40"/>
              <w:rPr>
                <w:b/>
                <w:bCs/>
                <w:sz w:val="18"/>
                <w:szCs w:val="18"/>
              </w:rPr>
            </w:pPr>
            <w:r w:rsidRPr="000C61C3">
              <w:rPr>
                <w:b/>
                <w:bCs/>
                <w:sz w:val="18"/>
                <w:szCs w:val="18"/>
              </w:rPr>
              <w:t>Исходное значение показателя</w:t>
            </w:r>
          </w:p>
        </w:tc>
      </w:tr>
      <w:tr w:rsidR="00A839F6" w:rsidRPr="002D6E8C" w14:paraId="4CCC502C" w14:textId="77777777" w:rsidTr="002D6E8C">
        <w:trPr>
          <w:trHeight w:val="454"/>
          <w:jc w:val="center"/>
        </w:trPr>
        <w:tc>
          <w:tcPr>
            <w:tcW w:w="2830" w:type="dxa"/>
          </w:tcPr>
          <w:p w14:paraId="576A6832" w14:textId="77777777" w:rsidR="00A839F6" w:rsidRPr="002D6E8C" w:rsidRDefault="00A839F6" w:rsidP="002D6E8C">
            <w:pPr>
              <w:tabs>
                <w:tab w:val="clear" w:pos="1247"/>
                <w:tab w:val="clear" w:pos="1814"/>
                <w:tab w:val="clear" w:pos="2381"/>
                <w:tab w:val="clear" w:pos="2948"/>
                <w:tab w:val="clear" w:pos="3515"/>
              </w:tabs>
              <w:spacing w:before="40" w:after="40"/>
              <w:rPr>
                <w:bCs/>
                <w:sz w:val="18"/>
                <w:szCs w:val="18"/>
              </w:rPr>
            </w:pPr>
            <w:r w:rsidRPr="002D6E8C">
              <w:rPr>
                <w:sz w:val="18"/>
                <w:szCs w:val="18"/>
              </w:rPr>
              <w:t>D1. Общий показатель процесса для статей 8, 9 и 12</w:t>
            </w:r>
          </w:p>
        </w:tc>
        <w:tc>
          <w:tcPr>
            <w:tcW w:w="5245" w:type="dxa"/>
          </w:tcPr>
          <w:p w14:paraId="282C1EBB"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Доля Сторон, выполнивших ключевые положения в рамках данной группы показателей</w:t>
            </w:r>
          </w:p>
        </w:tc>
        <w:tc>
          <w:tcPr>
            <w:tcW w:w="2504" w:type="dxa"/>
          </w:tcPr>
          <w:p w14:paraId="3FA3BA3C"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 Отчетность в соответствии со статьей 21</w:t>
            </w:r>
          </w:p>
        </w:tc>
        <w:tc>
          <w:tcPr>
            <w:tcW w:w="2371" w:type="dxa"/>
          </w:tcPr>
          <w:p w14:paraId="072C6286"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Значение при проведении первой оценки</w:t>
            </w:r>
          </w:p>
        </w:tc>
      </w:tr>
      <w:tr w:rsidR="00A839F6" w:rsidRPr="002D6E8C" w14:paraId="565234E2" w14:textId="77777777" w:rsidTr="002D6E8C">
        <w:trPr>
          <w:trHeight w:val="1077"/>
          <w:jc w:val="center"/>
        </w:trPr>
        <w:tc>
          <w:tcPr>
            <w:tcW w:w="2830" w:type="dxa"/>
          </w:tcPr>
          <w:p w14:paraId="552C893E" w14:textId="77777777" w:rsidR="00A839F6" w:rsidRPr="002D6E8C" w:rsidRDefault="00A839F6" w:rsidP="002D6E8C">
            <w:pPr>
              <w:tabs>
                <w:tab w:val="clear" w:pos="1247"/>
                <w:tab w:val="clear" w:pos="1814"/>
                <w:tab w:val="clear" w:pos="2381"/>
                <w:tab w:val="clear" w:pos="2948"/>
                <w:tab w:val="clear" w:pos="3515"/>
              </w:tabs>
              <w:spacing w:before="40" w:after="40"/>
              <w:rPr>
                <w:bCs/>
                <w:sz w:val="18"/>
                <w:szCs w:val="18"/>
              </w:rPr>
            </w:pPr>
            <w:r w:rsidRPr="002D6E8C">
              <w:rPr>
                <w:sz w:val="18"/>
                <w:szCs w:val="18"/>
              </w:rPr>
              <w:t>D2. Сквозной показатель результата для статей 8, 9 и 12</w:t>
            </w:r>
          </w:p>
        </w:tc>
        <w:tc>
          <w:tcPr>
            <w:tcW w:w="5245" w:type="dxa"/>
          </w:tcPr>
          <w:p w14:paraId="2899E086" w14:textId="1BCC83D8" w:rsidR="00A839F6" w:rsidRPr="002D6E8C" w:rsidRDefault="00A839F6" w:rsidP="002D6E8C">
            <w:pPr>
              <w:tabs>
                <w:tab w:val="clear" w:pos="1247"/>
                <w:tab w:val="clear" w:pos="1814"/>
                <w:tab w:val="clear" w:pos="2381"/>
                <w:tab w:val="clear" w:pos="2948"/>
                <w:tab w:val="clear" w:pos="3515"/>
              </w:tabs>
              <w:spacing w:before="40" w:after="40"/>
              <w:rPr>
                <w:sz w:val="18"/>
                <w:szCs w:val="18"/>
              </w:rPr>
            </w:pPr>
            <w:r w:rsidRPr="002D6E8C">
              <w:rPr>
                <w:sz w:val="18"/>
                <w:szCs w:val="18"/>
              </w:rPr>
              <w:t>Общий объем выбросов и высвобождени</w:t>
            </w:r>
            <w:r w:rsidR="007E391E">
              <w:rPr>
                <w:sz w:val="18"/>
                <w:szCs w:val="18"/>
              </w:rPr>
              <w:t>й</w:t>
            </w:r>
            <w:r w:rsidRPr="002D6E8C">
              <w:rPr>
                <w:sz w:val="18"/>
                <w:szCs w:val="18"/>
              </w:rPr>
              <w:t xml:space="preserve"> ртути </w:t>
            </w:r>
          </w:p>
        </w:tc>
        <w:tc>
          <w:tcPr>
            <w:tcW w:w="2504" w:type="dxa"/>
          </w:tcPr>
          <w:p w14:paraId="324735B8" w14:textId="7AA2AE4C" w:rsidR="00A839F6" w:rsidRPr="002D6E8C" w:rsidRDefault="00A839F6" w:rsidP="002D6E8C">
            <w:pP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 xml:space="preserve">- </w:t>
            </w:r>
            <w:r w:rsidR="000C61C3">
              <w:rPr>
                <w:sz w:val="18"/>
                <w:szCs w:val="18"/>
              </w:rPr>
              <w:t xml:space="preserve">Доклад </w:t>
            </w:r>
            <w:proofErr w:type="spellStart"/>
            <w:r w:rsidRPr="002D6E8C">
              <w:rPr>
                <w:sz w:val="18"/>
                <w:szCs w:val="18"/>
              </w:rPr>
              <w:t>Global</w:t>
            </w:r>
            <w:proofErr w:type="spellEnd"/>
            <w:r w:rsidRPr="002D6E8C">
              <w:rPr>
                <w:sz w:val="18"/>
                <w:szCs w:val="18"/>
              </w:rPr>
              <w:t xml:space="preserve"> </w:t>
            </w:r>
            <w:proofErr w:type="spellStart"/>
            <w:r w:rsidRPr="002D6E8C">
              <w:rPr>
                <w:sz w:val="18"/>
                <w:szCs w:val="18"/>
              </w:rPr>
              <w:t>Mercury</w:t>
            </w:r>
            <w:proofErr w:type="spellEnd"/>
            <w:r w:rsidRPr="002D6E8C">
              <w:rPr>
                <w:sz w:val="18"/>
                <w:szCs w:val="18"/>
              </w:rPr>
              <w:t xml:space="preserve"> </w:t>
            </w:r>
            <w:proofErr w:type="spellStart"/>
            <w:r w:rsidRPr="002D6E8C">
              <w:rPr>
                <w:sz w:val="18"/>
                <w:szCs w:val="18"/>
              </w:rPr>
              <w:t>Assessment</w:t>
            </w:r>
            <w:proofErr w:type="spellEnd"/>
            <w:r w:rsidRPr="002D6E8C">
              <w:rPr>
                <w:sz w:val="18"/>
                <w:szCs w:val="18"/>
              </w:rPr>
              <w:t xml:space="preserve"> 2018 (</w:t>
            </w:r>
            <w:r w:rsidR="000C61C3">
              <w:rPr>
                <w:sz w:val="18"/>
                <w:szCs w:val="18"/>
              </w:rPr>
              <w:t>«</w:t>
            </w:r>
            <w:r w:rsidRPr="002D6E8C">
              <w:rPr>
                <w:sz w:val="18"/>
                <w:szCs w:val="18"/>
              </w:rPr>
              <w:t>Глобальная оценка ртути, 2018</w:t>
            </w:r>
            <w:r w:rsidR="00FC27EE">
              <w:rPr>
                <w:sz w:val="18"/>
                <w:szCs w:val="18"/>
                <w:lang w:val="en-GB"/>
              </w:rPr>
              <w:t> </w:t>
            </w:r>
            <w:r w:rsidRPr="002D6E8C">
              <w:rPr>
                <w:sz w:val="18"/>
                <w:szCs w:val="18"/>
              </w:rPr>
              <w:t>год</w:t>
            </w:r>
            <w:r w:rsidR="000C61C3">
              <w:rPr>
                <w:sz w:val="18"/>
                <w:szCs w:val="18"/>
              </w:rPr>
              <w:t>»</w:t>
            </w:r>
            <w:r w:rsidRPr="002D6E8C">
              <w:rPr>
                <w:sz w:val="18"/>
                <w:szCs w:val="18"/>
              </w:rPr>
              <w:t>)</w:t>
            </w:r>
          </w:p>
          <w:p w14:paraId="70E4A0CB" w14:textId="77777777" w:rsidR="00A839F6" w:rsidRPr="002D6E8C" w:rsidRDefault="00A839F6" w:rsidP="002D6E8C">
            <w:pP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 Кадастры</w:t>
            </w:r>
          </w:p>
          <w:p w14:paraId="0DF97A7E" w14:textId="77777777" w:rsidR="00A839F6" w:rsidRPr="002D6E8C" w:rsidRDefault="00A839F6" w:rsidP="002D6E8C">
            <w:pP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 Первоначальные оценки в рамках Минаматской конвенции</w:t>
            </w:r>
          </w:p>
        </w:tc>
        <w:tc>
          <w:tcPr>
            <w:tcW w:w="2371" w:type="dxa"/>
          </w:tcPr>
          <w:p w14:paraId="36DCF93C" w14:textId="77777777" w:rsidR="00A839F6" w:rsidRPr="002D6E8C" w:rsidRDefault="00A839F6" w:rsidP="002D6E8C">
            <w:pP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Значение на момент проведения первой оценки</w:t>
            </w:r>
          </w:p>
        </w:tc>
      </w:tr>
      <w:tr w:rsidR="00A839F6" w:rsidRPr="002D6E8C" w14:paraId="2E72F084" w14:textId="77777777" w:rsidTr="002D6E8C">
        <w:trPr>
          <w:trHeight w:val="227"/>
          <w:jc w:val="center"/>
        </w:trPr>
        <w:tc>
          <w:tcPr>
            <w:tcW w:w="12950" w:type="dxa"/>
            <w:gridSpan w:val="4"/>
            <w:shd w:val="clear" w:color="auto" w:fill="B8CCE4" w:themeFill="accent1" w:themeFillTint="66"/>
          </w:tcPr>
          <w:p w14:paraId="2AC3A3E2" w14:textId="48451D9A" w:rsidR="00A839F6" w:rsidRPr="002D6E8C" w:rsidRDefault="00A839F6" w:rsidP="008041AB">
            <w:pPr>
              <w:keepNext/>
              <w:keepLines/>
              <w:tabs>
                <w:tab w:val="clear" w:pos="1247"/>
                <w:tab w:val="clear" w:pos="1814"/>
                <w:tab w:val="clear" w:pos="2381"/>
                <w:tab w:val="clear" w:pos="2948"/>
                <w:tab w:val="clear" w:pos="3515"/>
              </w:tabs>
              <w:spacing w:before="40" w:after="40"/>
              <w:rPr>
                <w:sz w:val="18"/>
                <w:szCs w:val="18"/>
              </w:rPr>
            </w:pPr>
            <w:r w:rsidRPr="002D6E8C">
              <w:rPr>
                <w:b/>
                <w:bCs/>
                <w:sz w:val="18"/>
                <w:szCs w:val="18"/>
              </w:rPr>
              <w:lastRenderedPageBreak/>
              <w:t xml:space="preserve">Статья 8 </w:t>
            </w:r>
            <w:r w:rsidRPr="002D6E8C">
              <w:rPr>
                <w:sz w:val="18"/>
                <w:szCs w:val="18"/>
              </w:rPr>
              <w:t>(Показатели для статьи 8 следует рассматривать вместе с соответствующими контрольными показателями, приведенными в таблице 4</w:t>
            </w:r>
            <w:r w:rsidR="00105BC8">
              <w:rPr>
                <w:sz w:val="18"/>
                <w:szCs w:val="18"/>
              </w:rPr>
              <w:t>.</w:t>
            </w:r>
            <w:r w:rsidRPr="002D6E8C">
              <w:rPr>
                <w:sz w:val="18"/>
                <w:szCs w:val="18"/>
              </w:rPr>
              <w:t>)</w:t>
            </w:r>
          </w:p>
        </w:tc>
      </w:tr>
      <w:tr w:rsidR="00A839F6" w:rsidRPr="002D6E8C" w14:paraId="5F18F106" w14:textId="77777777" w:rsidTr="002D6E8C">
        <w:trPr>
          <w:trHeight w:val="454"/>
          <w:jc w:val="center"/>
        </w:trPr>
        <w:tc>
          <w:tcPr>
            <w:tcW w:w="2830" w:type="dxa"/>
          </w:tcPr>
          <w:p w14:paraId="0A81C283" w14:textId="77777777" w:rsidR="00A839F6" w:rsidRPr="002D6E8C" w:rsidRDefault="00A839F6" w:rsidP="008041AB">
            <w:pPr>
              <w:keepNext/>
              <w:keepLines/>
              <w:tabs>
                <w:tab w:val="clear" w:pos="1247"/>
                <w:tab w:val="clear" w:pos="1814"/>
                <w:tab w:val="clear" w:pos="2381"/>
                <w:tab w:val="clear" w:pos="2948"/>
                <w:tab w:val="clear" w:pos="3515"/>
              </w:tabs>
              <w:spacing w:before="40" w:after="40"/>
              <w:rPr>
                <w:sz w:val="18"/>
                <w:szCs w:val="18"/>
              </w:rPr>
            </w:pPr>
            <w:r w:rsidRPr="002D6E8C">
              <w:rPr>
                <w:sz w:val="18"/>
                <w:szCs w:val="18"/>
              </w:rPr>
              <w:t>D3. Показатель результата для статьи 8</w:t>
            </w:r>
          </w:p>
        </w:tc>
        <w:tc>
          <w:tcPr>
            <w:tcW w:w="5245" w:type="dxa"/>
          </w:tcPr>
          <w:p w14:paraId="2F0FC4CD" w14:textId="77777777" w:rsidR="00A839F6" w:rsidRPr="002D6E8C" w:rsidRDefault="00A839F6" w:rsidP="008041AB">
            <w:pPr>
              <w:keepNext/>
              <w:keepLines/>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2D6E8C">
              <w:rPr>
                <w:sz w:val="18"/>
                <w:szCs w:val="18"/>
              </w:rPr>
              <w:t xml:space="preserve">Общий объем выбросов ртути по каждой категории точечных источников, перечисленных в приложении D </w:t>
            </w:r>
          </w:p>
        </w:tc>
        <w:tc>
          <w:tcPr>
            <w:tcW w:w="2504" w:type="dxa"/>
          </w:tcPr>
          <w:p w14:paraId="0AFDC292" w14:textId="77777777" w:rsidR="00A839F6" w:rsidRPr="002D6E8C" w:rsidRDefault="00A839F6" w:rsidP="008041AB">
            <w:pPr>
              <w:keepNext/>
              <w:keepLines/>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 Отчетность в соответствии со статьей 21</w:t>
            </w:r>
          </w:p>
          <w:p w14:paraId="441E0333" w14:textId="77777777" w:rsidR="00A839F6" w:rsidRPr="002D6E8C" w:rsidRDefault="00A839F6" w:rsidP="008041AB">
            <w:pPr>
              <w:keepNext/>
              <w:keepLines/>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r w:rsidRPr="002D6E8C">
              <w:rPr>
                <w:sz w:val="18"/>
                <w:szCs w:val="18"/>
              </w:rPr>
              <w:t>- Кадастры</w:t>
            </w:r>
          </w:p>
        </w:tc>
        <w:tc>
          <w:tcPr>
            <w:tcW w:w="2371" w:type="dxa"/>
          </w:tcPr>
          <w:p w14:paraId="4E6DA327" w14:textId="77777777" w:rsidR="00A839F6" w:rsidRPr="002D6E8C" w:rsidRDefault="00A839F6" w:rsidP="008041AB">
            <w:pPr>
              <w:keepNext/>
              <w:keepLines/>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Значение при проведении первой оценки</w:t>
            </w:r>
          </w:p>
        </w:tc>
      </w:tr>
      <w:tr w:rsidR="00A839F6" w:rsidRPr="002D6E8C" w14:paraId="56A31AD8" w14:textId="77777777" w:rsidTr="002D6E8C">
        <w:trPr>
          <w:trHeight w:val="454"/>
          <w:jc w:val="center"/>
        </w:trPr>
        <w:tc>
          <w:tcPr>
            <w:tcW w:w="2830" w:type="dxa"/>
          </w:tcPr>
          <w:p w14:paraId="5AE3558F" w14:textId="77777777" w:rsidR="00A839F6" w:rsidRPr="002D6E8C" w:rsidRDefault="00A839F6" w:rsidP="002D6E8C">
            <w:pPr>
              <w:tabs>
                <w:tab w:val="clear" w:pos="1247"/>
                <w:tab w:val="clear" w:pos="1814"/>
                <w:tab w:val="clear" w:pos="2381"/>
                <w:tab w:val="clear" w:pos="2948"/>
                <w:tab w:val="clear" w:pos="3515"/>
              </w:tabs>
              <w:spacing w:before="40" w:after="40"/>
              <w:rPr>
                <w:sz w:val="18"/>
                <w:szCs w:val="18"/>
              </w:rPr>
            </w:pPr>
            <w:r w:rsidRPr="002D6E8C">
              <w:rPr>
                <w:sz w:val="18"/>
                <w:szCs w:val="18"/>
              </w:rPr>
              <w:t>D4. Показатель процесса для статьи 8</w:t>
            </w:r>
          </w:p>
        </w:tc>
        <w:tc>
          <w:tcPr>
            <w:tcW w:w="5245" w:type="dxa"/>
          </w:tcPr>
          <w:p w14:paraId="5E563BBE" w14:textId="61B932EC"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 xml:space="preserve">Число Сторон, которым требуются НИМ/НПД или </w:t>
            </w:r>
            <w:r w:rsidR="000C61C3">
              <w:rPr>
                <w:sz w:val="18"/>
                <w:szCs w:val="18"/>
              </w:rPr>
              <w:t xml:space="preserve">достижение </w:t>
            </w:r>
            <w:r w:rsidRPr="002D6E8C">
              <w:rPr>
                <w:sz w:val="18"/>
                <w:szCs w:val="18"/>
              </w:rPr>
              <w:t>предельны</w:t>
            </w:r>
            <w:r w:rsidR="000C61C3">
              <w:rPr>
                <w:sz w:val="18"/>
                <w:szCs w:val="18"/>
              </w:rPr>
              <w:t>х</w:t>
            </w:r>
            <w:r w:rsidRPr="002D6E8C">
              <w:rPr>
                <w:sz w:val="18"/>
                <w:szCs w:val="18"/>
              </w:rPr>
              <w:t xml:space="preserve"> значени</w:t>
            </w:r>
            <w:r w:rsidR="000C61C3">
              <w:rPr>
                <w:sz w:val="18"/>
                <w:szCs w:val="18"/>
              </w:rPr>
              <w:t>й</w:t>
            </w:r>
            <w:r w:rsidRPr="002D6E8C">
              <w:rPr>
                <w:sz w:val="18"/>
                <w:szCs w:val="18"/>
              </w:rPr>
              <w:t xml:space="preserve"> выбросов, согласующи</w:t>
            </w:r>
            <w:r w:rsidR="000C61C3">
              <w:rPr>
                <w:sz w:val="18"/>
                <w:szCs w:val="18"/>
              </w:rPr>
              <w:t>х</w:t>
            </w:r>
            <w:r w:rsidRPr="002D6E8C">
              <w:rPr>
                <w:sz w:val="18"/>
                <w:szCs w:val="18"/>
              </w:rPr>
              <w:t>ся с применением НИМ</w:t>
            </w:r>
          </w:p>
        </w:tc>
        <w:tc>
          <w:tcPr>
            <w:tcW w:w="2504" w:type="dxa"/>
          </w:tcPr>
          <w:p w14:paraId="2D3EDE56"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 Отчетность в соответствии со статьей 21</w:t>
            </w:r>
          </w:p>
        </w:tc>
        <w:tc>
          <w:tcPr>
            <w:tcW w:w="2371" w:type="dxa"/>
          </w:tcPr>
          <w:p w14:paraId="5FE45BD0"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Значение при проведении первой оценки</w:t>
            </w:r>
          </w:p>
        </w:tc>
      </w:tr>
      <w:tr w:rsidR="00A839F6" w:rsidRPr="002D6E8C" w14:paraId="2CADF651" w14:textId="77777777" w:rsidTr="002D6E8C">
        <w:trPr>
          <w:trHeight w:val="454"/>
          <w:jc w:val="center"/>
        </w:trPr>
        <w:tc>
          <w:tcPr>
            <w:tcW w:w="2830" w:type="dxa"/>
          </w:tcPr>
          <w:p w14:paraId="4A49B9F8" w14:textId="77777777" w:rsidR="00A839F6" w:rsidRPr="002D6E8C" w:rsidRDefault="00A839F6" w:rsidP="002D6E8C">
            <w:pPr>
              <w:tabs>
                <w:tab w:val="clear" w:pos="1247"/>
                <w:tab w:val="clear" w:pos="1814"/>
                <w:tab w:val="clear" w:pos="2381"/>
                <w:tab w:val="clear" w:pos="2948"/>
                <w:tab w:val="clear" w:pos="3515"/>
              </w:tabs>
              <w:spacing w:before="40" w:after="40"/>
              <w:rPr>
                <w:sz w:val="18"/>
                <w:szCs w:val="18"/>
              </w:rPr>
            </w:pPr>
            <w:r w:rsidRPr="002D6E8C">
              <w:rPr>
                <w:sz w:val="18"/>
                <w:szCs w:val="18"/>
              </w:rPr>
              <w:t>D5. Показатель процесса для статьи 8</w:t>
            </w:r>
          </w:p>
        </w:tc>
        <w:tc>
          <w:tcPr>
            <w:tcW w:w="5245" w:type="dxa"/>
          </w:tcPr>
          <w:p w14:paraId="09702F58" w14:textId="287E0645" w:rsidR="00A839F6" w:rsidRPr="002D6E8C" w:rsidRDefault="00A839F6" w:rsidP="002D6E8C">
            <w:pPr>
              <w:tabs>
                <w:tab w:val="clear" w:pos="1247"/>
                <w:tab w:val="clear" w:pos="1814"/>
                <w:tab w:val="clear" w:pos="2381"/>
                <w:tab w:val="clear" w:pos="2948"/>
                <w:tab w:val="clear" w:pos="3515"/>
              </w:tabs>
              <w:spacing w:before="40" w:after="40"/>
              <w:rPr>
                <w:sz w:val="18"/>
                <w:szCs w:val="18"/>
              </w:rPr>
            </w:pPr>
            <w:r w:rsidRPr="002D6E8C">
              <w:rPr>
                <w:sz w:val="18"/>
                <w:szCs w:val="18"/>
              </w:rPr>
              <w:t>Число Сторон, которые ввели меры контроля в отношении существующих источников (указывается по каждой из мер, предусмотренных в п</w:t>
            </w:r>
            <w:r w:rsidR="009E55F7">
              <w:rPr>
                <w:sz w:val="18"/>
                <w:szCs w:val="18"/>
              </w:rPr>
              <w:t>ункте</w:t>
            </w:r>
            <w:r w:rsidRPr="002D6E8C">
              <w:rPr>
                <w:sz w:val="18"/>
                <w:szCs w:val="18"/>
              </w:rPr>
              <w:t xml:space="preserve"> 5 статьи 8)</w:t>
            </w:r>
          </w:p>
        </w:tc>
        <w:tc>
          <w:tcPr>
            <w:tcW w:w="2504" w:type="dxa"/>
          </w:tcPr>
          <w:p w14:paraId="2FD50B0D" w14:textId="77777777" w:rsidR="00A839F6" w:rsidRPr="002D6E8C" w:rsidRDefault="00A839F6" w:rsidP="002D6E8C">
            <w:pP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 Отчетность в соответствии со статьей 21</w:t>
            </w:r>
          </w:p>
        </w:tc>
        <w:tc>
          <w:tcPr>
            <w:tcW w:w="2371" w:type="dxa"/>
          </w:tcPr>
          <w:p w14:paraId="1B15C186" w14:textId="77777777" w:rsidR="00A839F6" w:rsidRPr="002D6E8C" w:rsidRDefault="00A839F6" w:rsidP="002D6E8C">
            <w:pP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Значение при проведении первой оценки</w:t>
            </w:r>
          </w:p>
        </w:tc>
      </w:tr>
      <w:tr w:rsidR="00A839F6" w:rsidRPr="002D6E8C" w14:paraId="1B4C549D" w14:textId="77777777" w:rsidTr="002D6E8C">
        <w:trPr>
          <w:trHeight w:val="454"/>
          <w:jc w:val="center"/>
        </w:trPr>
        <w:tc>
          <w:tcPr>
            <w:tcW w:w="2830" w:type="dxa"/>
          </w:tcPr>
          <w:p w14:paraId="28CF4397" w14:textId="77777777" w:rsidR="00A839F6" w:rsidRPr="002D6E8C" w:rsidRDefault="00A839F6" w:rsidP="002D6E8C">
            <w:pPr>
              <w:tabs>
                <w:tab w:val="clear" w:pos="1247"/>
                <w:tab w:val="clear" w:pos="1814"/>
                <w:tab w:val="clear" w:pos="2381"/>
                <w:tab w:val="clear" w:pos="2948"/>
                <w:tab w:val="clear" w:pos="3515"/>
              </w:tabs>
              <w:spacing w:before="40" w:after="40"/>
              <w:rPr>
                <w:sz w:val="18"/>
                <w:szCs w:val="18"/>
              </w:rPr>
            </w:pPr>
            <w:r w:rsidRPr="002D6E8C">
              <w:rPr>
                <w:sz w:val="18"/>
                <w:szCs w:val="18"/>
              </w:rPr>
              <w:t>D6. Показатель процесса для статьи 8</w:t>
            </w:r>
          </w:p>
        </w:tc>
        <w:tc>
          <w:tcPr>
            <w:tcW w:w="5245" w:type="dxa"/>
          </w:tcPr>
          <w:p w14:paraId="3260BA3E" w14:textId="18E36FE3" w:rsidR="00A839F6" w:rsidRPr="002D6E8C" w:rsidRDefault="00A839F6" w:rsidP="002D6E8C">
            <w:pP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Число Сторон, которые создали кадастр</w:t>
            </w:r>
            <w:r w:rsidR="000C61C3">
              <w:rPr>
                <w:sz w:val="18"/>
                <w:szCs w:val="18"/>
              </w:rPr>
              <w:t>ы</w:t>
            </w:r>
            <w:r w:rsidRPr="002D6E8C">
              <w:rPr>
                <w:sz w:val="18"/>
                <w:szCs w:val="18"/>
              </w:rPr>
              <w:t xml:space="preserve"> выбросов и ведут </w:t>
            </w:r>
            <w:r w:rsidR="000C61C3">
              <w:rPr>
                <w:sz w:val="18"/>
                <w:szCs w:val="18"/>
              </w:rPr>
              <w:t>их</w:t>
            </w:r>
          </w:p>
        </w:tc>
        <w:tc>
          <w:tcPr>
            <w:tcW w:w="2504" w:type="dxa"/>
          </w:tcPr>
          <w:p w14:paraId="43D5B3D1" w14:textId="77777777" w:rsidR="00A839F6" w:rsidRPr="002D6E8C" w:rsidRDefault="00A839F6" w:rsidP="002D6E8C">
            <w:pPr>
              <w:tabs>
                <w:tab w:val="clear" w:pos="1247"/>
                <w:tab w:val="clear" w:pos="1814"/>
                <w:tab w:val="clear" w:pos="2381"/>
                <w:tab w:val="clear" w:pos="2948"/>
                <w:tab w:val="clear" w:pos="3515"/>
              </w:tabs>
              <w:spacing w:before="40" w:after="40"/>
              <w:rPr>
                <w:iCs/>
                <w:sz w:val="18"/>
                <w:szCs w:val="18"/>
              </w:rPr>
            </w:pPr>
            <w:r w:rsidRPr="002D6E8C">
              <w:rPr>
                <w:sz w:val="18"/>
                <w:szCs w:val="18"/>
              </w:rPr>
              <w:t>- Отчетность в соответствии со статьей 21</w:t>
            </w:r>
          </w:p>
        </w:tc>
        <w:tc>
          <w:tcPr>
            <w:tcW w:w="2371" w:type="dxa"/>
          </w:tcPr>
          <w:p w14:paraId="786023DA" w14:textId="77777777" w:rsidR="00A839F6" w:rsidRPr="002D6E8C" w:rsidRDefault="00A839F6" w:rsidP="002D6E8C">
            <w:pPr>
              <w:tabs>
                <w:tab w:val="clear" w:pos="1247"/>
                <w:tab w:val="clear" w:pos="1814"/>
                <w:tab w:val="clear" w:pos="2381"/>
                <w:tab w:val="clear" w:pos="2948"/>
                <w:tab w:val="clear" w:pos="3515"/>
              </w:tabs>
              <w:spacing w:before="40" w:after="40"/>
              <w:rPr>
                <w:sz w:val="18"/>
                <w:szCs w:val="18"/>
              </w:rPr>
            </w:pPr>
            <w:r w:rsidRPr="002D6E8C">
              <w:rPr>
                <w:sz w:val="18"/>
                <w:szCs w:val="18"/>
              </w:rPr>
              <w:t>Значение при проведении первой оценки</w:t>
            </w:r>
          </w:p>
        </w:tc>
      </w:tr>
      <w:tr w:rsidR="00A839F6" w:rsidRPr="002D6E8C" w14:paraId="4EF3E0F3" w14:textId="77777777" w:rsidTr="002D6E8C">
        <w:trPr>
          <w:trHeight w:val="227"/>
          <w:jc w:val="center"/>
        </w:trPr>
        <w:tc>
          <w:tcPr>
            <w:tcW w:w="12950" w:type="dxa"/>
            <w:gridSpan w:val="4"/>
            <w:shd w:val="clear" w:color="auto" w:fill="B8CCE4" w:themeFill="accent1" w:themeFillTint="66"/>
          </w:tcPr>
          <w:p w14:paraId="5A56CC99" w14:textId="325DE25A" w:rsidR="00A839F6" w:rsidRPr="002D6E8C" w:rsidRDefault="00A839F6" w:rsidP="002D6E8C">
            <w:pPr>
              <w:tabs>
                <w:tab w:val="clear" w:pos="1247"/>
                <w:tab w:val="clear" w:pos="1814"/>
                <w:tab w:val="clear" w:pos="2381"/>
                <w:tab w:val="clear" w:pos="2948"/>
                <w:tab w:val="clear" w:pos="3515"/>
              </w:tabs>
              <w:spacing w:before="40" w:after="40"/>
              <w:rPr>
                <w:sz w:val="18"/>
                <w:szCs w:val="18"/>
              </w:rPr>
            </w:pPr>
            <w:r w:rsidRPr="006D3527">
              <w:rPr>
                <w:b/>
                <w:bCs/>
                <w:sz w:val="18"/>
                <w:szCs w:val="18"/>
              </w:rPr>
              <w:t>Статья 9</w:t>
            </w:r>
            <w:r w:rsidRPr="002D6E8C">
              <w:rPr>
                <w:sz w:val="18"/>
                <w:szCs w:val="18"/>
              </w:rPr>
              <w:t xml:space="preserve"> (Показатели для статьи 9 следует рассматривать вместе с соответствующими контрольными показателями, приведенными в таблице 4</w:t>
            </w:r>
            <w:r w:rsidR="00105BC8">
              <w:rPr>
                <w:sz w:val="18"/>
                <w:szCs w:val="18"/>
              </w:rPr>
              <w:t>.</w:t>
            </w:r>
            <w:r w:rsidRPr="002D6E8C">
              <w:rPr>
                <w:sz w:val="18"/>
                <w:szCs w:val="18"/>
              </w:rPr>
              <w:t>)</w:t>
            </w:r>
          </w:p>
        </w:tc>
      </w:tr>
      <w:tr w:rsidR="00A839F6" w:rsidRPr="002D6E8C" w14:paraId="52248275" w14:textId="77777777" w:rsidTr="002D6E8C">
        <w:trPr>
          <w:trHeight w:val="454"/>
          <w:jc w:val="center"/>
        </w:trPr>
        <w:tc>
          <w:tcPr>
            <w:tcW w:w="2830" w:type="dxa"/>
          </w:tcPr>
          <w:p w14:paraId="7D099C2C"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2D6E8C">
              <w:rPr>
                <w:sz w:val="18"/>
                <w:szCs w:val="18"/>
              </w:rPr>
              <w:t>D7. Показатель результата для статьи 9</w:t>
            </w:r>
          </w:p>
        </w:tc>
        <w:tc>
          <w:tcPr>
            <w:tcW w:w="5245" w:type="dxa"/>
          </w:tcPr>
          <w:p w14:paraId="74B93247" w14:textId="68481D5F"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Общий объем учтенного в кадастре высвобождени</w:t>
            </w:r>
            <w:r w:rsidR="007E391E">
              <w:rPr>
                <w:sz w:val="18"/>
                <w:szCs w:val="18"/>
              </w:rPr>
              <w:t>й</w:t>
            </w:r>
            <w:r w:rsidRPr="002D6E8C">
              <w:rPr>
                <w:sz w:val="18"/>
                <w:szCs w:val="18"/>
              </w:rPr>
              <w:t xml:space="preserve"> ртути из соответствующих источников </w:t>
            </w:r>
          </w:p>
        </w:tc>
        <w:tc>
          <w:tcPr>
            <w:tcW w:w="2504" w:type="dxa"/>
          </w:tcPr>
          <w:p w14:paraId="7FCAB604"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 Отчетность в соответствии со статьей 21</w:t>
            </w:r>
          </w:p>
          <w:p w14:paraId="1EB5AAC5"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r w:rsidRPr="002D6E8C">
              <w:rPr>
                <w:sz w:val="18"/>
                <w:szCs w:val="18"/>
              </w:rPr>
              <w:t>Кадастры</w:t>
            </w:r>
          </w:p>
        </w:tc>
        <w:tc>
          <w:tcPr>
            <w:tcW w:w="2371" w:type="dxa"/>
          </w:tcPr>
          <w:p w14:paraId="3A651006"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Значение при проведении первой оценки</w:t>
            </w:r>
          </w:p>
        </w:tc>
      </w:tr>
      <w:tr w:rsidR="00A839F6" w:rsidRPr="002D6E8C" w14:paraId="3B11A792" w14:textId="77777777" w:rsidTr="002D6E8C">
        <w:trPr>
          <w:trHeight w:val="255"/>
          <w:jc w:val="center"/>
        </w:trPr>
        <w:tc>
          <w:tcPr>
            <w:tcW w:w="2830" w:type="dxa"/>
          </w:tcPr>
          <w:p w14:paraId="5DAD98E5"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2D6E8C">
              <w:rPr>
                <w:sz w:val="18"/>
                <w:szCs w:val="18"/>
              </w:rPr>
              <w:t>D8. Показатель процесса для статьи 9</w:t>
            </w:r>
          </w:p>
        </w:tc>
        <w:tc>
          <w:tcPr>
            <w:tcW w:w="5245" w:type="dxa"/>
          </w:tcPr>
          <w:p w14:paraId="67CF7396"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Число Сторон, выявивших соответствующие загрязненные участки</w:t>
            </w:r>
          </w:p>
        </w:tc>
        <w:tc>
          <w:tcPr>
            <w:tcW w:w="2504" w:type="dxa"/>
          </w:tcPr>
          <w:p w14:paraId="1C923F00"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 Отчетность в соответствии со статьей 21</w:t>
            </w:r>
          </w:p>
        </w:tc>
        <w:tc>
          <w:tcPr>
            <w:tcW w:w="2371" w:type="dxa"/>
          </w:tcPr>
          <w:p w14:paraId="31879FFE"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Значение при проведении первой оценки</w:t>
            </w:r>
          </w:p>
        </w:tc>
      </w:tr>
      <w:tr w:rsidR="00A839F6" w:rsidRPr="002D6E8C" w14:paraId="21012DC7" w14:textId="77777777" w:rsidTr="002D6E8C">
        <w:trPr>
          <w:trHeight w:val="454"/>
          <w:jc w:val="center"/>
        </w:trPr>
        <w:tc>
          <w:tcPr>
            <w:tcW w:w="2830" w:type="dxa"/>
          </w:tcPr>
          <w:p w14:paraId="2F564CC7"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2D6E8C">
              <w:rPr>
                <w:sz w:val="18"/>
                <w:szCs w:val="18"/>
              </w:rPr>
              <w:t>D9. Показатель процесса для статьи 9</w:t>
            </w:r>
          </w:p>
        </w:tc>
        <w:tc>
          <w:tcPr>
            <w:tcW w:w="5245" w:type="dxa"/>
          </w:tcPr>
          <w:p w14:paraId="1CCC45BD" w14:textId="3CF1D233"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Число Сторон, которые создали кадастр</w:t>
            </w:r>
            <w:r w:rsidR="00E308A4">
              <w:rPr>
                <w:sz w:val="18"/>
                <w:szCs w:val="18"/>
              </w:rPr>
              <w:t>ы</w:t>
            </w:r>
            <w:r w:rsidRPr="002D6E8C">
              <w:rPr>
                <w:sz w:val="18"/>
                <w:szCs w:val="18"/>
              </w:rPr>
              <w:t xml:space="preserve"> высвобождени</w:t>
            </w:r>
            <w:r w:rsidR="00E308A4">
              <w:rPr>
                <w:sz w:val="18"/>
                <w:szCs w:val="18"/>
              </w:rPr>
              <w:t>й</w:t>
            </w:r>
            <w:r w:rsidRPr="002D6E8C">
              <w:rPr>
                <w:sz w:val="18"/>
                <w:szCs w:val="18"/>
              </w:rPr>
              <w:t xml:space="preserve"> из соответствующих источников</w:t>
            </w:r>
            <w:r w:rsidR="00C956E9">
              <w:rPr>
                <w:sz w:val="18"/>
                <w:szCs w:val="18"/>
              </w:rPr>
              <w:t xml:space="preserve"> </w:t>
            </w:r>
            <w:r w:rsidR="00C956E9" w:rsidRPr="002D6E8C">
              <w:rPr>
                <w:sz w:val="18"/>
                <w:szCs w:val="18"/>
              </w:rPr>
              <w:t xml:space="preserve">и ведут </w:t>
            </w:r>
            <w:r w:rsidR="00E308A4">
              <w:rPr>
                <w:sz w:val="18"/>
                <w:szCs w:val="18"/>
              </w:rPr>
              <w:t>их</w:t>
            </w:r>
          </w:p>
        </w:tc>
        <w:tc>
          <w:tcPr>
            <w:tcW w:w="2504" w:type="dxa"/>
          </w:tcPr>
          <w:p w14:paraId="639C1629"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 Отчетность в соответствии со статьей 21</w:t>
            </w:r>
          </w:p>
        </w:tc>
        <w:tc>
          <w:tcPr>
            <w:tcW w:w="2371" w:type="dxa"/>
          </w:tcPr>
          <w:p w14:paraId="760B0D11"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Значение при проведении первой оценки</w:t>
            </w:r>
          </w:p>
        </w:tc>
      </w:tr>
      <w:tr w:rsidR="00A839F6" w:rsidRPr="002D6E8C" w14:paraId="0D961848" w14:textId="77777777" w:rsidTr="002D6E8C">
        <w:trPr>
          <w:trHeight w:val="227"/>
          <w:jc w:val="center"/>
        </w:trPr>
        <w:tc>
          <w:tcPr>
            <w:tcW w:w="2830" w:type="dxa"/>
            <w:shd w:val="clear" w:color="auto" w:fill="B8CCE4" w:themeFill="accent1" w:themeFillTint="66"/>
          </w:tcPr>
          <w:p w14:paraId="4545F4A6"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b/>
                <w:sz w:val="18"/>
                <w:szCs w:val="18"/>
                <w:lang w:val="en-GB"/>
              </w:rPr>
            </w:pPr>
            <w:r w:rsidRPr="002D6E8C">
              <w:rPr>
                <w:b/>
                <w:bCs/>
                <w:sz w:val="18"/>
                <w:szCs w:val="18"/>
              </w:rPr>
              <w:t>Статья 12</w:t>
            </w:r>
          </w:p>
        </w:tc>
        <w:tc>
          <w:tcPr>
            <w:tcW w:w="5245" w:type="dxa"/>
            <w:shd w:val="clear" w:color="auto" w:fill="B8CCE4" w:themeFill="accent1" w:themeFillTint="66"/>
          </w:tcPr>
          <w:p w14:paraId="27C7577A" w14:textId="77777777" w:rsidR="00A839F6" w:rsidRPr="002D6E8C" w:rsidRDefault="00A839F6" w:rsidP="002D6E8C">
            <w:pPr>
              <w:tabs>
                <w:tab w:val="clear" w:pos="1247"/>
                <w:tab w:val="clear" w:pos="1814"/>
                <w:tab w:val="clear" w:pos="2381"/>
                <w:tab w:val="clear" w:pos="2948"/>
                <w:tab w:val="clear" w:pos="3515"/>
              </w:tabs>
              <w:spacing w:before="40" w:after="40"/>
              <w:rPr>
                <w:i/>
                <w:iCs/>
                <w:color w:val="4F81BD" w:themeColor="accent1"/>
                <w:sz w:val="18"/>
                <w:szCs w:val="18"/>
                <w:lang w:val="en-GB"/>
              </w:rPr>
            </w:pPr>
          </w:p>
        </w:tc>
        <w:tc>
          <w:tcPr>
            <w:tcW w:w="2504" w:type="dxa"/>
            <w:shd w:val="clear" w:color="auto" w:fill="B8CCE4" w:themeFill="accent1" w:themeFillTint="66"/>
          </w:tcPr>
          <w:p w14:paraId="2573AEA0" w14:textId="77777777" w:rsidR="00A839F6" w:rsidRPr="002D6E8C" w:rsidRDefault="00A839F6" w:rsidP="002D6E8C">
            <w:pPr>
              <w:tabs>
                <w:tab w:val="clear" w:pos="1247"/>
                <w:tab w:val="clear" w:pos="1814"/>
                <w:tab w:val="clear" w:pos="2381"/>
                <w:tab w:val="clear" w:pos="2948"/>
                <w:tab w:val="clear" w:pos="3515"/>
              </w:tabs>
              <w:spacing w:before="40" w:after="40"/>
              <w:rPr>
                <w:i/>
                <w:iCs/>
                <w:color w:val="4F81BD" w:themeColor="accent1"/>
                <w:sz w:val="18"/>
                <w:szCs w:val="18"/>
                <w:lang w:val="en-GB"/>
              </w:rPr>
            </w:pPr>
          </w:p>
        </w:tc>
        <w:tc>
          <w:tcPr>
            <w:tcW w:w="2371" w:type="dxa"/>
            <w:shd w:val="clear" w:color="auto" w:fill="B8CCE4" w:themeFill="accent1" w:themeFillTint="66"/>
          </w:tcPr>
          <w:p w14:paraId="61FEF8A7" w14:textId="77777777" w:rsidR="00A839F6" w:rsidRPr="002D6E8C" w:rsidRDefault="00A839F6" w:rsidP="002D6E8C">
            <w:pPr>
              <w:tabs>
                <w:tab w:val="clear" w:pos="1247"/>
                <w:tab w:val="clear" w:pos="1814"/>
                <w:tab w:val="clear" w:pos="2381"/>
                <w:tab w:val="clear" w:pos="2948"/>
                <w:tab w:val="clear" w:pos="3515"/>
              </w:tabs>
              <w:spacing w:before="40" w:after="40"/>
              <w:rPr>
                <w:i/>
                <w:iCs/>
                <w:color w:val="4F81BD" w:themeColor="accent1"/>
                <w:sz w:val="18"/>
                <w:szCs w:val="18"/>
                <w:lang w:val="en-GB"/>
              </w:rPr>
            </w:pPr>
          </w:p>
        </w:tc>
      </w:tr>
      <w:tr w:rsidR="00A839F6" w:rsidRPr="002D6E8C" w14:paraId="676D4DAF" w14:textId="77777777" w:rsidTr="002D6E8C">
        <w:trPr>
          <w:trHeight w:val="454"/>
          <w:jc w:val="center"/>
        </w:trPr>
        <w:tc>
          <w:tcPr>
            <w:tcW w:w="2830" w:type="dxa"/>
          </w:tcPr>
          <w:p w14:paraId="522E2E10" w14:textId="32A8242C"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2D6E8C">
              <w:rPr>
                <w:sz w:val="18"/>
                <w:szCs w:val="18"/>
              </w:rPr>
              <w:t>D10. Показатель процесса для статьи</w:t>
            </w:r>
            <w:r w:rsidR="002D1250">
              <w:rPr>
                <w:sz w:val="18"/>
                <w:szCs w:val="18"/>
                <w:lang w:val="en-GB"/>
              </w:rPr>
              <w:t> </w:t>
            </w:r>
            <w:r w:rsidRPr="002D6E8C">
              <w:rPr>
                <w:sz w:val="18"/>
                <w:szCs w:val="18"/>
              </w:rPr>
              <w:t>12</w:t>
            </w:r>
          </w:p>
        </w:tc>
        <w:tc>
          <w:tcPr>
            <w:tcW w:w="5245" w:type="dxa"/>
          </w:tcPr>
          <w:p w14:paraId="50AA0696"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Число Сторон, разработавших надлежащие стратегии по выявлению и оценке участков, загрязненных ртутью или ртутными соединениями</w:t>
            </w:r>
          </w:p>
        </w:tc>
        <w:tc>
          <w:tcPr>
            <w:tcW w:w="2504" w:type="dxa"/>
          </w:tcPr>
          <w:p w14:paraId="25CB7C1D"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 Отчетность в соответствии со статьей 21</w:t>
            </w:r>
          </w:p>
        </w:tc>
        <w:tc>
          <w:tcPr>
            <w:tcW w:w="2371" w:type="dxa"/>
          </w:tcPr>
          <w:p w14:paraId="0A65334A"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Значение при проведении первой оценки</w:t>
            </w:r>
          </w:p>
        </w:tc>
      </w:tr>
      <w:tr w:rsidR="00A839F6" w:rsidRPr="002D6E8C" w14:paraId="324508C3" w14:textId="77777777" w:rsidTr="002D6E8C">
        <w:trPr>
          <w:trHeight w:val="255"/>
          <w:jc w:val="center"/>
        </w:trPr>
        <w:tc>
          <w:tcPr>
            <w:tcW w:w="2830" w:type="dxa"/>
          </w:tcPr>
          <w:p w14:paraId="674A2E6E" w14:textId="175BAFAF"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2D6E8C">
              <w:rPr>
                <w:sz w:val="18"/>
                <w:szCs w:val="18"/>
              </w:rPr>
              <w:t>D11. Показатель процесса для статьи</w:t>
            </w:r>
            <w:r w:rsidR="002D1250">
              <w:rPr>
                <w:sz w:val="18"/>
                <w:szCs w:val="18"/>
                <w:lang w:val="en-GB"/>
              </w:rPr>
              <w:t> </w:t>
            </w:r>
            <w:r w:rsidRPr="002D6E8C">
              <w:rPr>
                <w:sz w:val="18"/>
                <w:szCs w:val="18"/>
              </w:rPr>
              <w:t>12</w:t>
            </w:r>
          </w:p>
        </w:tc>
        <w:tc>
          <w:tcPr>
            <w:tcW w:w="5245" w:type="dxa"/>
          </w:tcPr>
          <w:p w14:paraId="23E41578"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pacing w:val="-2"/>
                <w:sz w:val="18"/>
                <w:szCs w:val="18"/>
              </w:rPr>
            </w:pPr>
            <w:r w:rsidRPr="002D6E8C">
              <w:rPr>
                <w:sz w:val="18"/>
                <w:szCs w:val="18"/>
              </w:rPr>
              <w:t>Число Сторон, которые создали кадастры загрязненных участков</w:t>
            </w:r>
          </w:p>
        </w:tc>
        <w:tc>
          <w:tcPr>
            <w:tcW w:w="2504" w:type="dxa"/>
          </w:tcPr>
          <w:p w14:paraId="00185877"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 Отчетность в соответствии со статьей 21</w:t>
            </w:r>
          </w:p>
        </w:tc>
        <w:tc>
          <w:tcPr>
            <w:tcW w:w="2371" w:type="dxa"/>
          </w:tcPr>
          <w:p w14:paraId="410685BA" w14:textId="77777777"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2D6E8C">
              <w:rPr>
                <w:sz w:val="18"/>
                <w:szCs w:val="18"/>
              </w:rPr>
              <w:t>Значение при проведении первой оценки</w:t>
            </w:r>
          </w:p>
        </w:tc>
      </w:tr>
      <w:tr w:rsidR="00A839F6" w:rsidRPr="002D6E8C" w14:paraId="5FB3DB4A" w14:textId="77777777" w:rsidTr="002D6E8C">
        <w:trPr>
          <w:trHeight w:val="227"/>
          <w:jc w:val="center"/>
        </w:trPr>
        <w:tc>
          <w:tcPr>
            <w:tcW w:w="2830" w:type="dxa"/>
            <w:shd w:val="clear" w:color="auto" w:fill="B8CCE4" w:themeFill="accent1" w:themeFillTint="66"/>
          </w:tcPr>
          <w:p w14:paraId="1D6E004D" w14:textId="2419CC31" w:rsidR="00A839F6" w:rsidRPr="002D6E8C" w:rsidRDefault="00A839F6" w:rsidP="002D6E8C">
            <w:pPr>
              <w:tabs>
                <w:tab w:val="clear" w:pos="1247"/>
                <w:tab w:val="clear" w:pos="1814"/>
                <w:tab w:val="clear" w:pos="2381"/>
                <w:tab w:val="clear" w:pos="2948"/>
                <w:tab w:val="clear" w:pos="3515"/>
              </w:tabs>
              <w:spacing w:before="40" w:after="40"/>
              <w:rPr>
                <w:sz w:val="18"/>
                <w:szCs w:val="18"/>
                <w:lang w:val="en-GB"/>
              </w:rPr>
            </w:pPr>
            <w:r w:rsidRPr="002D6E8C">
              <w:rPr>
                <w:b/>
                <w:bCs/>
                <w:sz w:val="18"/>
                <w:szCs w:val="18"/>
              </w:rPr>
              <w:t>Примечани</w:t>
            </w:r>
            <w:r w:rsidR="00E308A4">
              <w:rPr>
                <w:b/>
                <w:bCs/>
                <w:sz w:val="18"/>
                <w:szCs w:val="18"/>
              </w:rPr>
              <w:t>е</w:t>
            </w:r>
          </w:p>
        </w:tc>
        <w:tc>
          <w:tcPr>
            <w:tcW w:w="10120" w:type="dxa"/>
            <w:gridSpan w:val="3"/>
          </w:tcPr>
          <w:p w14:paraId="200E4D30" w14:textId="0CBB293A" w:rsidR="00A839F6" w:rsidRPr="002D6E8C" w:rsidRDefault="00A839F6" w:rsidP="002D6E8C">
            <w:pPr>
              <w:pBdr>
                <w:top w:val="nil"/>
                <w:left w:val="nil"/>
                <w:bottom w:val="nil"/>
                <w:right w:val="nil"/>
                <w:between w:val="nil"/>
                <w:bar w:val="nil"/>
              </w:pBdr>
              <w:tabs>
                <w:tab w:val="clear" w:pos="1247"/>
                <w:tab w:val="clear" w:pos="1814"/>
                <w:tab w:val="clear" w:pos="2381"/>
                <w:tab w:val="clear" w:pos="2948"/>
                <w:tab w:val="clear" w:pos="3515"/>
              </w:tabs>
              <w:spacing w:before="40" w:after="40"/>
              <w:ind w:left="360" w:hanging="360"/>
              <w:rPr>
                <w:sz w:val="18"/>
                <w:szCs w:val="18"/>
              </w:rPr>
            </w:pPr>
            <w:r w:rsidRPr="002D6E8C">
              <w:rPr>
                <w:rFonts w:ascii="Wingdings" w:hAnsi="Wingdings"/>
                <w:sz w:val="18"/>
                <w:szCs w:val="18"/>
              </w:rPr>
              <w:t></w:t>
            </w:r>
            <w:r w:rsidRPr="002D6E8C">
              <w:rPr>
                <w:rFonts w:ascii="Wingdings" w:hAnsi="Wingdings"/>
                <w:sz w:val="18"/>
                <w:szCs w:val="18"/>
              </w:rPr>
              <w:tab/>
            </w:r>
            <w:r w:rsidRPr="002D6E8C">
              <w:rPr>
                <w:sz w:val="18"/>
                <w:szCs w:val="18"/>
              </w:rPr>
              <w:t>Поскольку Стороны не обязаны обмениваться информацией, собранной в их кадастрах, сведения могут быть неполными.</w:t>
            </w:r>
          </w:p>
        </w:tc>
      </w:tr>
    </w:tbl>
    <w:p w14:paraId="11F09036" w14:textId="77777777" w:rsidR="00A839F6" w:rsidRPr="00A839F6" w:rsidRDefault="00A839F6" w:rsidP="00A839F6">
      <w:pPr>
        <w:rPr>
          <w:rFonts w:asciiTheme="majorBidi" w:hAnsiTheme="majorBidi" w:cstheme="majorBidi"/>
          <w:sz w:val="12"/>
          <w:szCs w:val="12"/>
        </w:rPr>
      </w:pPr>
    </w:p>
    <w:p w14:paraId="54D9116D" w14:textId="77777777" w:rsidR="00A839F6" w:rsidRPr="00A839F6" w:rsidRDefault="00A839F6" w:rsidP="00A839F6">
      <w:pPr>
        <w:rPr>
          <w:rFonts w:asciiTheme="majorBidi" w:hAnsiTheme="majorBidi" w:cstheme="majorBidi"/>
          <w:sz w:val="12"/>
          <w:szCs w:val="12"/>
        </w:rPr>
      </w:pPr>
    </w:p>
    <w:tbl>
      <w:tblPr>
        <w:tblStyle w:val="TableGrid"/>
        <w:tblW w:w="5000" w:type="pct"/>
        <w:jc w:val="center"/>
        <w:tblLayout w:type="fixed"/>
        <w:tblCellMar>
          <w:left w:w="57" w:type="dxa"/>
          <w:right w:w="57" w:type="dxa"/>
        </w:tblCellMar>
        <w:tblLook w:val="04A0" w:firstRow="1" w:lastRow="0" w:firstColumn="1" w:lastColumn="0" w:noHBand="0" w:noVBand="1"/>
      </w:tblPr>
      <w:tblGrid>
        <w:gridCol w:w="3152"/>
        <w:gridCol w:w="5839"/>
        <w:gridCol w:w="2822"/>
        <w:gridCol w:w="2605"/>
      </w:tblGrid>
      <w:tr w:rsidR="00A839F6" w:rsidRPr="006D3527" w14:paraId="6107F34A" w14:textId="77777777" w:rsidTr="006D3527">
        <w:trPr>
          <w:trHeight w:val="454"/>
          <w:jc w:val="center"/>
        </w:trPr>
        <w:tc>
          <w:tcPr>
            <w:tcW w:w="8368" w:type="dxa"/>
            <w:gridSpan w:val="2"/>
            <w:shd w:val="clear" w:color="auto" w:fill="B8CCE4" w:themeFill="accent1" w:themeFillTint="66"/>
          </w:tcPr>
          <w:p w14:paraId="267E6A13" w14:textId="06983D1F" w:rsidR="00A839F6" w:rsidRPr="006D3527" w:rsidRDefault="00A839F6" w:rsidP="006D3527">
            <w:pPr>
              <w:tabs>
                <w:tab w:val="clear" w:pos="1247"/>
                <w:tab w:val="clear" w:pos="1814"/>
                <w:tab w:val="clear" w:pos="2381"/>
                <w:tab w:val="clear" w:pos="2948"/>
                <w:tab w:val="clear" w:pos="3515"/>
              </w:tabs>
              <w:spacing w:before="40" w:after="40"/>
              <w:rPr>
                <w:rFonts w:eastAsia="Roboto"/>
                <w:b/>
                <w:bCs/>
                <w:sz w:val="18"/>
                <w:szCs w:val="18"/>
                <w:u w:color="4F81BD"/>
              </w:rPr>
            </w:pPr>
            <w:r w:rsidRPr="006D3527">
              <w:rPr>
                <w:rFonts w:eastAsia="Roboto"/>
                <w:b/>
                <w:bCs/>
                <w:sz w:val="18"/>
                <w:szCs w:val="18"/>
                <w:u w:color="4F81BD"/>
              </w:rPr>
              <w:t>E. Группа показателей, связанных с поддержкой</w:t>
            </w:r>
          </w:p>
          <w:p w14:paraId="5AB82ED2" w14:textId="77777777" w:rsidR="00A839F6" w:rsidRPr="006D3527" w:rsidRDefault="00A839F6" w:rsidP="00C956E9">
            <w:pPr>
              <w:tabs>
                <w:tab w:val="clear" w:pos="1247"/>
                <w:tab w:val="clear" w:pos="1814"/>
                <w:tab w:val="clear" w:pos="2381"/>
                <w:tab w:val="clear" w:pos="2948"/>
                <w:tab w:val="clear" w:pos="3515"/>
              </w:tabs>
              <w:spacing w:before="40" w:after="40"/>
              <w:rPr>
                <w:rFonts w:eastAsia="Roboto"/>
                <w:bCs/>
                <w:sz w:val="18"/>
                <w:szCs w:val="18"/>
                <w:u w:color="4F81BD"/>
              </w:rPr>
            </w:pPr>
            <w:r w:rsidRPr="006D3527">
              <w:rPr>
                <w:rFonts w:eastAsia="Roboto"/>
                <w:b/>
                <w:bCs/>
                <w:sz w:val="18"/>
                <w:szCs w:val="18"/>
                <w:u w:color="4F81BD"/>
              </w:rPr>
              <w:t>Статья 13 (финансовые ресурсы и механизм финансирования);</w:t>
            </w:r>
            <w:r w:rsidRPr="006D3527">
              <w:rPr>
                <w:rFonts w:eastAsia="Roboto"/>
                <w:bCs/>
                <w:sz w:val="18"/>
                <w:szCs w:val="18"/>
                <w:u w:color="4F81BD"/>
              </w:rPr>
              <w:t xml:space="preserve"> </w:t>
            </w:r>
            <w:r w:rsidRPr="006D3527">
              <w:rPr>
                <w:rFonts w:eastAsia="Roboto"/>
                <w:b/>
                <w:bCs/>
                <w:sz w:val="18"/>
                <w:szCs w:val="18"/>
                <w:u w:color="4F81BD"/>
              </w:rPr>
              <w:t>статья 14 (создание потенциала, техническое содействие и передача технологии)</w:t>
            </w:r>
            <w:r w:rsidRPr="006D3527">
              <w:rPr>
                <w:rFonts w:eastAsia="Roboto"/>
                <w:bCs/>
                <w:sz w:val="18"/>
                <w:szCs w:val="18"/>
                <w:u w:color="4F81BD"/>
              </w:rPr>
              <w:t xml:space="preserve"> </w:t>
            </w:r>
          </w:p>
        </w:tc>
        <w:tc>
          <w:tcPr>
            <w:tcW w:w="2627" w:type="dxa"/>
            <w:shd w:val="clear" w:color="auto" w:fill="B8CCE4" w:themeFill="accent1" w:themeFillTint="66"/>
          </w:tcPr>
          <w:p w14:paraId="66E918E9" w14:textId="77777777" w:rsidR="00A839F6" w:rsidRPr="000C61C3" w:rsidRDefault="00A839F6" w:rsidP="000C61C3">
            <w:pPr>
              <w:tabs>
                <w:tab w:val="clear" w:pos="1247"/>
                <w:tab w:val="clear" w:pos="1814"/>
                <w:tab w:val="clear" w:pos="2381"/>
                <w:tab w:val="clear" w:pos="2948"/>
                <w:tab w:val="clear" w:pos="3515"/>
              </w:tabs>
              <w:spacing w:before="40" w:after="40"/>
              <w:rPr>
                <w:b/>
                <w:bCs/>
                <w:sz w:val="18"/>
                <w:szCs w:val="18"/>
              </w:rPr>
            </w:pPr>
            <w:r w:rsidRPr="000C61C3">
              <w:rPr>
                <w:b/>
                <w:bCs/>
                <w:sz w:val="18"/>
                <w:szCs w:val="18"/>
              </w:rPr>
              <w:t>Источник информации для расчета показателя</w:t>
            </w:r>
          </w:p>
        </w:tc>
        <w:tc>
          <w:tcPr>
            <w:tcW w:w="2425" w:type="dxa"/>
            <w:shd w:val="clear" w:color="auto" w:fill="B8CCE4" w:themeFill="accent1" w:themeFillTint="66"/>
          </w:tcPr>
          <w:p w14:paraId="176D8EB2" w14:textId="77777777" w:rsidR="00A839F6" w:rsidRPr="000C61C3" w:rsidRDefault="00A839F6" w:rsidP="000C61C3">
            <w:pPr>
              <w:tabs>
                <w:tab w:val="clear" w:pos="1247"/>
                <w:tab w:val="clear" w:pos="1814"/>
                <w:tab w:val="clear" w:pos="2381"/>
                <w:tab w:val="clear" w:pos="2948"/>
                <w:tab w:val="clear" w:pos="3515"/>
              </w:tabs>
              <w:spacing w:before="40" w:after="40"/>
              <w:rPr>
                <w:b/>
                <w:bCs/>
                <w:sz w:val="18"/>
                <w:szCs w:val="18"/>
              </w:rPr>
            </w:pPr>
            <w:r w:rsidRPr="000C61C3">
              <w:rPr>
                <w:b/>
                <w:bCs/>
                <w:sz w:val="18"/>
                <w:szCs w:val="18"/>
              </w:rPr>
              <w:t>Исходное значение показателя</w:t>
            </w:r>
          </w:p>
        </w:tc>
      </w:tr>
      <w:tr w:rsidR="00A839F6" w:rsidRPr="006D3527" w14:paraId="3BC755E3" w14:textId="77777777" w:rsidTr="006D3527">
        <w:trPr>
          <w:trHeight w:val="227"/>
          <w:jc w:val="center"/>
        </w:trPr>
        <w:tc>
          <w:tcPr>
            <w:tcW w:w="2933" w:type="dxa"/>
            <w:shd w:val="clear" w:color="auto" w:fill="B8CCE4" w:themeFill="accent1" w:themeFillTint="66"/>
          </w:tcPr>
          <w:p w14:paraId="090D59AB" w14:textId="77777777" w:rsidR="00A839F6" w:rsidRPr="006D3527" w:rsidRDefault="00A839F6" w:rsidP="006D3527">
            <w:pPr>
              <w:tabs>
                <w:tab w:val="clear" w:pos="1247"/>
                <w:tab w:val="clear" w:pos="1814"/>
                <w:tab w:val="clear" w:pos="2381"/>
                <w:tab w:val="clear" w:pos="2948"/>
                <w:tab w:val="clear" w:pos="3515"/>
              </w:tabs>
              <w:spacing w:before="40" w:after="40"/>
              <w:rPr>
                <w:b/>
                <w:sz w:val="18"/>
                <w:szCs w:val="18"/>
                <w:lang w:val="en-GB"/>
              </w:rPr>
            </w:pPr>
            <w:r w:rsidRPr="006D3527">
              <w:rPr>
                <w:b/>
                <w:bCs/>
                <w:sz w:val="18"/>
                <w:szCs w:val="18"/>
              </w:rPr>
              <w:t>Статья 13</w:t>
            </w:r>
          </w:p>
        </w:tc>
        <w:tc>
          <w:tcPr>
            <w:tcW w:w="5435" w:type="dxa"/>
            <w:shd w:val="clear" w:color="auto" w:fill="B8CCE4" w:themeFill="accent1" w:themeFillTint="66"/>
          </w:tcPr>
          <w:p w14:paraId="6035AB4B" w14:textId="77777777" w:rsidR="00A839F6" w:rsidRPr="006D3527" w:rsidRDefault="00A839F6" w:rsidP="006D3527">
            <w:pPr>
              <w:tabs>
                <w:tab w:val="clear" w:pos="1247"/>
                <w:tab w:val="clear" w:pos="1814"/>
                <w:tab w:val="clear" w:pos="2381"/>
                <w:tab w:val="clear" w:pos="2948"/>
                <w:tab w:val="clear" w:pos="3515"/>
              </w:tabs>
              <w:spacing w:before="40" w:after="40"/>
              <w:rPr>
                <w:sz w:val="18"/>
                <w:szCs w:val="18"/>
                <w:lang w:val="en-GB"/>
              </w:rPr>
            </w:pPr>
          </w:p>
        </w:tc>
        <w:tc>
          <w:tcPr>
            <w:tcW w:w="2627" w:type="dxa"/>
            <w:shd w:val="clear" w:color="auto" w:fill="B8CCE4" w:themeFill="accent1" w:themeFillTint="66"/>
          </w:tcPr>
          <w:p w14:paraId="05F9429A" w14:textId="77777777" w:rsidR="00A839F6" w:rsidRPr="006D3527" w:rsidRDefault="00A839F6" w:rsidP="006D3527">
            <w:pPr>
              <w:tabs>
                <w:tab w:val="clear" w:pos="1247"/>
                <w:tab w:val="clear" w:pos="1814"/>
                <w:tab w:val="clear" w:pos="2381"/>
                <w:tab w:val="clear" w:pos="2948"/>
                <w:tab w:val="clear" w:pos="3515"/>
              </w:tabs>
              <w:spacing w:before="40" w:after="40"/>
              <w:rPr>
                <w:sz w:val="18"/>
                <w:szCs w:val="18"/>
                <w:lang w:val="en-GB"/>
              </w:rPr>
            </w:pPr>
          </w:p>
        </w:tc>
        <w:tc>
          <w:tcPr>
            <w:tcW w:w="2425" w:type="dxa"/>
            <w:shd w:val="clear" w:color="auto" w:fill="B8CCE4" w:themeFill="accent1" w:themeFillTint="66"/>
          </w:tcPr>
          <w:p w14:paraId="467CC611" w14:textId="77777777" w:rsidR="00A839F6" w:rsidRPr="006D3527" w:rsidRDefault="00A839F6" w:rsidP="006D3527">
            <w:pPr>
              <w:tabs>
                <w:tab w:val="clear" w:pos="1247"/>
                <w:tab w:val="clear" w:pos="1814"/>
                <w:tab w:val="clear" w:pos="2381"/>
                <w:tab w:val="clear" w:pos="2948"/>
                <w:tab w:val="clear" w:pos="3515"/>
              </w:tabs>
              <w:spacing w:before="40" w:after="40"/>
              <w:rPr>
                <w:sz w:val="18"/>
                <w:szCs w:val="18"/>
                <w:lang w:val="en-GB"/>
              </w:rPr>
            </w:pPr>
          </w:p>
        </w:tc>
      </w:tr>
      <w:tr w:rsidR="00A839F6" w:rsidRPr="006D3527" w14:paraId="6C0340B0" w14:textId="77777777" w:rsidTr="006D3527">
        <w:trPr>
          <w:trHeight w:val="1276"/>
          <w:jc w:val="center"/>
        </w:trPr>
        <w:tc>
          <w:tcPr>
            <w:tcW w:w="2933" w:type="dxa"/>
          </w:tcPr>
          <w:p w14:paraId="6936CBE4" w14:textId="77777777" w:rsidR="00A839F6" w:rsidRPr="006D3527" w:rsidRDefault="00A839F6" w:rsidP="006D3527">
            <w:pPr>
              <w:tabs>
                <w:tab w:val="clear" w:pos="1247"/>
                <w:tab w:val="clear" w:pos="1814"/>
                <w:tab w:val="clear" w:pos="2381"/>
                <w:tab w:val="clear" w:pos="2948"/>
                <w:tab w:val="clear" w:pos="3515"/>
              </w:tabs>
              <w:spacing w:before="40" w:after="40"/>
              <w:rPr>
                <w:sz w:val="18"/>
                <w:szCs w:val="18"/>
              </w:rPr>
            </w:pPr>
            <w:r w:rsidRPr="006D3527">
              <w:rPr>
                <w:sz w:val="18"/>
                <w:szCs w:val="18"/>
              </w:rPr>
              <w:t>E1. Показатель процесса для статьи 13</w:t>
            </w:r>
          </w:p>
        </w:tc>
        <w:tc>
          <w:tcPr>
            <w:tcW w:w="5435" w:type="dxa"/>
          </w:tcPr>
          <w:p w14:paraId="7638CF47" w14:textId="196D8CAE"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D3527">
              <w:rPr>
                <w:sz w:val="18"/>
                <w:szCs w:val="18"/>
              </w:rPr>
              <w:t>Число Сторон, которые:</w:t>
            </w:r>
          </w:p>
          <w:p w14:paraId="7C74D4BE" w14:textId="1ABAAE74"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ind w:left="283" w:hanging="170"/>
              <w:rPr>
                <w:rFonts w:eastAsia="Roboto"/>
                <w:sz w:val="18"/>
                <w:szCs w:val="18"/>
              </w:rPr>
            </w:pPr>
            <w:r w:rsidRPr="006D3527">
              <w:rPr>
                <w:rFonts w:ascii="Courier New" w:eastAsia="Roboto" w:hAnsi="Courier New" w:cs="Courier New"/>
                <w:sz w:val="18"/>
                <w:szCs w:val="18"/>
              </w:rPr>
              <w:t>o</w:t>
            </w:r>
            <w:r w:rsidRPr="006D3527">
              <w:rPr>
                <w:rFonts w:ascii="Courier New" w:eastAsia="Roboto" w:hAnsi="Courier New" w:cs="Courier New"/>
                <w:sz w:val="18"/>
                <w:szCs w:val="18"/>
              </w:rPr>
              <w:tab/>
            </w:r>
            <w:r w:rsidRPr="006D3527">
              <w:rPr>
                <w:sz w:val="18"/>
                <w:szCs w:val="18"/>
              </w:rPr>
              <w:t xml:space="preserve">сделали вклад в механизм финансирования, </w:t>
            </w:r>
            <w:r w:rsidR="00E308A4">
              <w:rPr>
                <w:sz w:val="18"/>
                <w:szCs w:val="18"/>
              </w:rPr>
              <w:t xml:space="preserve">упоминаемом </w:t>
            </w:r>
            <w:r w:rsidRPr="006D3527">
              <w:rPr>
                <w:sz w:val="18"/>
                <w:szCs w:val="18"/>
              </w:rPr>
              <w:t>в п</w:t>
            </w:r>
            <w:r w:rsidR="00C956E9">
              <w:rPr>
                <w:sz w:val="18"/>
                <w:szCs w:val="18"/>
              </w:rPr>
              <w:t>ункте</w:t>
            </w:r>
            <w:r w:rsidRPr="006D3527">
              <w:rPr>
                <w:sz w:val="18"/>
                <w:szCs w:val="18"/>
              </w:rPr>
              <w:t xml:space="preserve"> 5 статьи 13</w:t>
            </w:r>
          </w:p>
          <w:p w14:paraId="29128A44"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ind w:left="283" w:hanging="170"/>
              <w:rPr>
                <w:rFonts w:eastAsia="Roboto"/>
                <w:sz w:val="18"/>
                <w:szCs w:val="18"/>
              </w:rPr>
            </w:pPr>
            <w:r w:rsidRPr="006D3527">
              <w:rPr>
                <w:rFonts w:ascii="Courier New" w:eastAsia="Roboto" w:hAnsi="Courier New" w:cs="Courier New"/>
                <w:sz w:val="18"/>
                <w:szCs w:val="18"/>
              </w:rPr>
              <w:t>o</w:t>
            </w:r>
            <w:r w:rsidRPr="006D3527">
              <w:rPr>
                <w:rFonts w:ascii="Courier New" w:eastAsia="Roboto" w:hAnsi="Courier New" w:cs="Courier New"/>
                <w:sz w:val="18"/>
                <w:szCs w:val="18"/>
              </w:rPr>
              <w:tab/>
            </w:r>
            <w:r w:rsidRPr="006D3527">
              <w:rPr>
                <w:sz w:val="18"/>
                <w:szCs w:val="18"/>
              </w:rPr>
              <w:t>получили ресурсы по линии Глобального экологического фонда</w:t>
            </w:r>
          </w:p>
          <w:p w14:paraId="474F1550"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ind w:left="283" w:hanging="170"/>
              <w:rPr>
                <w:rFonts w:eastAsia="Roboto"/>
                <w:sz w:val="18"/>
                <w:szCs w:val="18"/>
              </w:rPr>
            </w:pPr>
            <w:r w:rsidRPr="006D3527">
              <w:rPr>
                <w:rFonts w:ascii="Courier New" w:eastAsia="Roboto" w:hAnsi="Courier New" w:cs="Courier New"/>
                <w:sz w:val="18"/>
                <w:szCs w:val="18"/>
                <w:lang w:val="en-GB"/>
              </w:rPr>
              <w:t>o</w:t>
            </w:r>
            <w:r w:rsidRPr="006D3527">
              <w:rPr>
                <w:rFonts w:ascii="Courier New" w:eastAsia="Roboto" w:hAnsi="Courier New" w:cs="Courier New"/>
                <w:sz w:val="18"/>
                <w:szCs w:val="18"/>
              </w:rPr>
              <w:tab/>
            </w:r>
            <w:r w:rsidRPr="006D3527">
              <w:rPr>
                <w:sz w:val="18"/>
                <w:szCs w:val="18"/>
              </w:rPr>
              <w:t>получили ресурсы по линии ЦМП</w:t>
            </w:r>
          </w:p>
          <w:p w14:paraId="3051EAE8" w14:textId="26783CDD" w:rsidR="00A839F6" w:rsidRPr="006D3527" w:rsidRDefault="00A839F6" w:rsidP="002212DC">
            <w:pPr>
              <w:pBdr>
                <w:top w:val="nil"/>
                <w:left w:val="nil"/>
                <w:bottom w:val="nil"/>
                <w:right w:val="nil"/>
                <w:between w:val="nil"/>
                <w:bar w:val="nil"/>
              </w:pBdr>
              <w:tabs>
                <w:tab w:val="clear" w:pos="1247"/>
                <w:tab w:val="clear" w:pos="1814"/>
                <w:tab w:val="clear" w:pos="2381"/>
                <w:tab w:val="clear" w:pos="2948"/>
                <w:tab w:val="clear" w:pos="3515"/>
              </w:tabs>
              <w:spacing w:before="40" w:after="40"/>
              <w:ind w:left="283" w:hanging="175"/>
              <w:rPr>
                <w:rFonts w:eastAsia="Roboto"/>
                <w:sz w:val="18"/>
                <w:szCs w:val="18"/>
              </w:rPr>
            </w:pPr>
            <w:r w:rsidRPr="006D3527">
              <w:rPr>
                <w:rFonts w:ascii="Courier New" w:eastAsia="Roboto" w:hAnsi="Courier New" w:cs="Courier New"/>
                <w:sz w:val="18"/>
                <w:szCs w:val="18"/>
              </w:rPr>
              <w:t>o</w:t>
            </w:r>
            <w:r w:rsidRPr="006D3527">
              <w:rPr>
                <w:rFonts w:ascii="Courier New" w:eastAsia="Roboto" w:hAnsi="Courier New" w:cs="Courier New"/>
                <w:sz w:val="18"/>
                <w:szCs w:val="18"/>
              </w:rPr>
              <w:tab/>
            </w:r>
            <w:r w:rsidRPr="006D3527">
              <w:rPr>
                <w:sz w:val="18"/>
                <w:szCs w:val="18"/>
              </w:rPr>
              <w:t>в течение отчетного периода мобилизовали для осуществления Конвенции ресурсы на национальном уровне</w:t>
            </w:r>
          </w:p>
        </w:tc>
        <w:tc>
          <w:tcPr>
            <w:tcW w:w="2627" w:type="dxa"/>
          </w:tcPr>
          <w:p w14:paraId="51AD9375"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D3527">
              <w:rPr>
                <w:sz w:val="18"/>
                <w:szCs w:val="18"/>
              </w:rPr>
              <w:t>- Отчетность в соответствии со статьей 21</w:t>
            </w:r>
          </w:p>
        </w:tc>
        <w:tc>
          <w:tcPr>
            <w:tcW w:w="2425" w:type="dxa"/>
          </w:tcPr>
          <w:p w14:paraId="0AFECCCB"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D3527">
              <w:rPr>
                <w:sz w:val="18"/>
                <w:szCs w:val="18"/>
              </w:rPr>
              <w:t>Значение при проведении первой оценки</w:t>
            </w:r>
          </w:p>
        </w:tc>
      </w:tr>
      <w:tr w:rsidR="00A839F6" w:rsidRPr="006D3527" w14:paraId="02CC1324" w14:textId="77777777" w:rsidTr="006D3527">
        <w:trPr>
          <w:trHeight w:val="1077"/>
          <w:jc w:val="center"/>
        </w:trPr>
        <w:tc>
          <w:tcPr>
            <w:tcW w:w="2933" w:type="dxa"/>
          </w:tcPr>
          <w:p w14:paraId="53D5A1F0" w14:textId="77777777" w:rsidR="00A839F6" w:rsidRPr="006D3527" w:rsidRDefault="00A839F6" w:rsidP="006D3527">
            <w:pPr>
              <w:tabs>
                <w:tab w:val="clear" w:pos="1247"/>
                <w:tab w:val="clear" w:pos="1814"/>
                <w:tab w:val="clear" w:pos="2381"/>
                <w:tab w:val="clear" w:pos="2948"/>
                <w:tab w:val="clear" w:pos="3515"/>
              </w:tabs>
              <w:spacing w:before="40" w:after="40"/>
              <w:rPr>
                <w:sz w:val="18"/>
                <w:szCs w:val="18"/>
              </w:rPr>
            </w:pPr>
            <w:r w:rsidRPr="006D3527">
              <w:rPr>
                <w:sz w:val="18"/>
                <w:szCs w:val="18"/>
              </w:rPr>
              <w:lastRenderedPageBreak/>
              <w:t>E2. Показатель процесса для статьи 13</w:t>
            </w:r>
          </w:p>
        </w:tc>
        <w:tc>
          <w:tcPr>
            <w:tcW w:w="5435" w:type="dxa"/>
          </w:tcPr>
          <w:p w14:paraId="45B253B9" w14:textId="06C3574F"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D3527">
              <w:rPr>
                <w:sz w:val="18"/>
                <w:szCs w:val="18"/>
              </w:rPr>
              <w:t>Объем ресурсов, предоставленных:</w:t>
            </w:r>
          </w:p>
          <w:p w14:paraId="6542AA62"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ind w:left="283" w:hanging="170"/>
              <w:rPr>
                <w:rFonts w:eastAsia="Roboto"/>
                <w:sz w:val="18"/>
                <w:szCs w:val="18"/>
              </w:rPr>
            </w:pPr>
            <w:r w:rsidRPr="006D3527">
              <w:rPr>
                <w:rFonts w:ascii="Courier New" w:eastAsia="Roboto" w:hAnsi="Courier New" w:cs="Courier New"/>
                <w:sz w:val="18"/>
                <w:szCs w:val="18"/>
                <w:lang w:val="en-GB"/>
              </w:rPr>
              <w:t>o</w:t>
            </w:r>
            <w:r w:rsidRPr="006D3527">
              <w:rPr>
                <w:rFonts w:ascii="Courier New" w:eastAsia="Roboto" w:hAnsi="Courier New" w:cs="Courier New"/>
                <w:sz w:val="18"/>
                <w:szCs w:val="18"/>
              </w:rPr>
              <w:tab/>
            </w:r>
            <w:r w:rsidRPr="006D3527">
              <w:rPr>
                <w:sz w:val="18"/>
                <w:szCs w:val="18"/>
              </w:rPr>
              <w:t>по линии Глобального экологического фонда</w:t>
            </w:r>
          </w:p>
          <w:p w14:paraId="498F6B0F"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ind w:left="283" w:hanging="170"/>
              <w:rPr>
                <w:rFonts w:eastAsia="Roboto"/>
                <w:sz w:val="18"/>
                <w:szCs w:val="18"/>
              </w:rPr>
            </w:pPr>
            <w:r w:rsidRPr="006D3527">
              <w:rPr>
                <w:rFonts w:ascii="Courier New" w:eastAsia="Roboto" w:hAnsi="Courier New" w:cs="Courier New"/>
                <w:sz w:val="18"/>
                <w:szCs w:val="18"/>
                <w:lang w:val="en-GB"/>
              </w:rPr>
              <w:t>o</w:t>
            </w:r>
            <w:r w:rsidRPr="006D3527">
              <w:rPr>
                <w:rFonts w:ascii="Courier New" w:eastAsia="Roboto" w:hAnsi="Courier New" w:cs="Courier New"/>
                <w:sz w:val="18"/>
                <w:szCs w:val="18"/>
              </w:rPr>
              <w:tab/>
            </w:r>
            <w:r w:rsidRPr="006D3527">
              <w:rPr>
                <w:sz w:val="18"/>
                <w:szCs w:val="18"/>
              </w:rPr>
              <w:t>в рамках ЦМП</w:t>
            </w:r>
          </w:p>
          <w:p w14:paraId="1E0B0926"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ind w:left="283" w:hanging="170"/>
              <w:rPr>
                <w:rFonts w:eastAsia="Roboto"/>
                <w:sz w:val="18"/>
                <w:szCs w:val="18"/>
              </w:rPr>
            </w:pPr>
            <w:r w:rsidRPr="006D3527">
              <w:rPr>
                <w:rFonts w:ascii="Courier New" w:eastAsia="Roboto" w:hAnsi="Courier New" w:cs="Courier New"/>
                <w:sz w:val="18"/>
                <w:szCs w:val="18"/>
              </w:rPr>
              <w:t>o</w:t>
            </w:r>
            <w:r w:rsidRPr="006D3527">
              <w:rPr>
                <w:rFonts w:ascii="Courier New" w:eastAsia="Roboto" w:hAnsi="Courier New" w:cs="Courier New"/>
                <w:sz w:val="18"/>
                <w:szCs w:val="18"/>
              </w:rPr>
              <w:tab/>
            </w:r>
            <w:r w:rsidRPr="006D3527">
              <w:rPr>
                <w:sz w:val="18"/>
                <w:szCs w:val="18"/>
              </w:rPr>
              <w:t>в рамках двусторонней поддержки в течение отчетного периода</w:t>
            </w:r>
          </w:p>
        </w:tc>
        <w:tc>
          <w:tcPr>
            <w:tcW w:w="2627" w:type="dxa"/>
          </w:tcPr>
          <w:p w14:paraId="286AC375"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rPr>
                <w:iCs/>
                <w:sz w:val="18"/>
                <w:szCs w:val="18"/>
              </w:rPr>
            </w:pPr>
            <w:r w:rsidRPr="006D3527">
              <w:rPr>
                <w:sz w:val="18"/>
                <w:szCs w:val="18"/>
              </w:rPr>
              <w:t>- Отчетность в соответствии со статьей 21</w:t>
            </w:r>
          </w:p>
          <w:p w14:paraId="22D93260"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r w:rsidRPr="006D3527">
              <w:rPr>
                <w:sz w:val="18"/>
                <w:szCs w:val="18"/>
              </w:rPr>
              <w:t>- Другие открытые источники</w:t>
            </w:r>
          </w:p>
        </w:tc>
        <w:tc>
          <w:tcPr>
            <w:tcW w:w="2425" w:type="dxa"/>
          </w:tcPr>
          <w:p w14:paraId="016E62AC"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D3527">
              <w:rPr>
                <w:sz w:val="18"/>
                <w:szCs w:val="18"/>
              </w:rPr>
              <w:t>Значение при проведении первой оценки</w:t>
            </w:r>
          </w:p>
        </w:tc>
      </w:tr>
      <w:tr w:rsidR="00A839F6" w:rsidRPr="006D3527" w14:paraId="70B68769" w14:textId="77777777" w:rsidTr="006D3527">
        <w:trPr>
          <w:trHeight w:val="454"/>
          <w:jc w:val="center"/>
        </w:trPr>
        <w:tc>
          <w:tcPr>
            <w:tcW w:w="2933" w:type="dxa"/>
          </w:tcPr>
          <w:p w14:paraId="6A06F776"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D3527">
              <w:rPr>
                <w:sz w:val="18"/>
                <w:szCs w:val="18"/>
              </w:rPr>
              <w:t>E3. Дополнительный показатель результата для статьи 13</w:t>
            </w:r>
          </w:p>
        </w:tc>
        <w:tc>
          <w:tcPr>
            <w:tcW w:w="5435" w:type="dxa"/>
          </w:tcPr>
          <w:p w14:paraId="285055BA"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D3527">
              <w:rPr>
                <w:sz w:val="18"/>
                <w:szCs w:val="18"/>
              </w:rPr>
              <w:t>Количество вынесенных по результатам финансового обзора рекомендаций, отраженных в директивных документах Глобального экологического фонда/ЦМП</w:t>
            </w:r>
          </w:p>
        </w:tc>
        <w:tc>
          <w:tcPr>
            <w:tcW w:w="2627" w:type="dxa"/>
          </w:tcPr>
          <w:p w14:paraId="2CF5825C"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r w:rsidRPr="006D3527">
              <w:rPr>
                <w:sz w:val="18"/>
                <w:szCs w:val="18"/>
              </w:rPr>
              <w:t>- Информация из директивных документов</w:t>
            </w:r>
          </w:p>
        </w:tc>
        <w:tc>
          <w:tcPr>
            <w:tcW w:w="2425" w:type="dxa"/>
          </w:tcPr>
          <w:p w14:paraId="6196C954" w14:textId="64E58FC6"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r w:rsidRPr="006D3527">
              <w:rPr>
                <w:sz w:val="18"/>
                <w:szCs w:val="18"/>
              </w:rPr>
              <w:t>Нулево</w:t>
            </w:r>
            <w:r w:rsidR="00E308A4">
              <w:rPr>
                <w:sz w:val="18"/>
                <w:szCs w:val="18"/>
              </w:rPr>
              <w:t>е значение</w:t>
            </w:r>
          </w:p>
        </w:tc>
      </w:tr>
      <w:tr w:rsidR="00A839F6" w:rsidRPr="006D3527" w14:paraId="3EE0BAE8" w14:textId="77777777" w:rsidTr="006D3527">
        <w:trPr>
          <w:trHeight w:val="227"/>
          <w:jc w:val="center"/>
        </w:trPr>
        <w:tc>
          <w:tcPr>
            <w:tcW w:w="2933" w:type="dxa"/>
            <w:shd w:val="clear" w:color="auto" w:fill="B8CCE4" w:themeFill="accent1" w:themeFillTint="66"/>
          </w:tcPr>
          <w:p w14:paraId="2575B691" w14:textId="77777777" w:rsidR="00A839F6" w:rsidRPr="006D3527" w:rsidRDefault="00A839F6" w:rsidP="006D3527">
            <w:pPr>
              <w:keepNext/>
              <w:pBdr>
                <w:top w:val="nil"/>
                <w:left w:val="nil"/>
                <w:bottom w:val="nil"/>
                <w:right w:val="nil"/>
                <w:between w:val="nil"/>
                <w:bar w:val="nil"/>
              </w:pBdr>
              <w:tabs>
                <w:tab w:val="clear" w:pos="1247"/>
                <w:tab w:val="clear" w:pos="1814"/>
                <w:tab w:val="clear" w:pos="2381"/>
                <w:tab w:val="clear" w:pos="2948"/>
                <w:tab w:val="clear" w:pos="3515"/>
              </w:tabs>
              <w:spacing w:before="40" w:after="40"/>
              <w:rPr>
                <w:b/>
                <w:sz w:val="18"/>
                <w:szCs w:val="18"/>
                <w:lang w:val="en-GB"/>
              </w:rPr>
            </w:pPr>
            <w:r w:rsidRPr="006D3527">
              <w:rPr>
                <w:b/>
                <w:bCs/>
                <w:sz w:val="18"/>
                <w:szCs w:val="18"/>
              </w:rPr>
              <w:t>Статья 14</w:t>
            </w:r>
          </w:p>
        </w:tc>
        <w:tc>
          <w:tcPr>
            <w:tcW w:w="5435" w:type="dxa"/>
            <w:shd w:val="clear" w:color="auto" w:fill="B8CCE4" w:themeFill="accent1" w:themeFillTint="66"/>
          </w:tcPr>
          <w:p w14:paraId="2FE9900D" w14:textId="77777777" w:rsidR="00A839F6" w:rsidRPr="006D3527" w:rsidRDefault="00A839F6" w:rsidP="006D3527">
            <w:pPr>
              <w:keepNext/>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c>
          <w:tcPr>
            <w:tcW w:w="2627" w:type="dxa"/>
            <w:shd w:val="clear" w:color="auto" w:fill="B8CCE4" w:themeFill="accent1" w:themeFillTint="66"/>
          </w:tcPr>
          <w:p w14:paraId="2E47FF1E" w14:textId="77777777" w:rsidR="00A839F6" w:rsidRPr="006D3527" w:rsidRDefault="00A839F6" w:rsidP="006D3527">
            <w:pPr>
              <w:keepNext/>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c>
          <w:tcPr>
            <w:tcW w:w="2425" w:type="dxa"/>
            <w:shd w:val="clear" w:color="auto" w:fill="B8CCE4" w:themeFill="accent1" w:themeFillTint="66"/>
          </w:tcPr>
          <w:p w14:paraId="1B12E4D0" w14:textId="77777777" w:rsidR="00A839F6" w:rsidRPr="006D3527" w:rsidRDefault="00A839F6" w:rsidP="006D3527">
            <w:pPr>
              <w:keepNext/>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r>
      <w:tr w:rsidR="00A839F6" w:rsidRPr="006D3527" w14:paraId="7F5F90F3" w14:textId="77777777" w:rsidTr="006D3527">
        <w:trPr>
          <w:trHeight w:val="1276"/>
          <w:jc w:val="center"/>
        </w:trPr>
        <w:tc>
          <w:tcPr>
            <w:tcW w:w="2933" w:type="dxa"/>
          </w:tcPr>
          <w:p w14:paraId="4E6F2ABA"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6D3527">
              <w:rPr>
                <w:sz w:val="18"/>
                <w:szCs w:val="18"/>
              </w:rPr>
              <w:t>E4. Показатель процесса для статьи 14</w:t>
            </w:r>
          </w:p>
        </w:tc>
        <w:tc>
          <w:tcPr>
            <w:tcW w:w="5435" w:type="dxa"/>
          </w:tcPr>
          <w:p w14:paraId="19C6F03F"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D3527">
              <w:rPr>
                <w:sz w:val="18"/>
                <w:szCs w:val="18"/>
              </w:rPr>
              <w:t>Число Сторон, которые:</w:t>
            </w:r>
          </w:p>
          <w:p w14:paraId="7FFB7015" w14:textId="55C99D43"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ind w:left="283" w:hanging="170"/>
              <w:rPr>
                <w:rFonts w:eastAsia="Roboto"/>
                <w:sz w:val="18"/>
                <w:szCs w:val="18"/>
              </w:rPr>
            </w:pPr>
            <w:r w:rsidRPr="006D3527">
              <w:rPr>
                <w:rFonts w:ascii="Courier New" w:eastAsia="Roboto" w:hAnsi="Courier New" w:cs="Courier New"/>
                <w:sz w:val="18"/>
                <w:szCs w:val="18"/>
              </w:rPr>
              <w:t>o</w:t>
            </w:r>
            <w:r w:rsidRPr="006D3527">
              <w:rPr>
                <w:rFonts w:ascii="Courier New" w:eastAsia="Roboto" w:hAnsi="Courier New" w:cs="Courier New"/>
                <w:sz w:val="18"/>
                <w:szCs w:val="18"/>
              </w:rPr>
              <w:tab/>
            </w:r>
            <w:r w:rsidRPr="006D3527">
              <w:rPr>
                <w:sz w:val="18"/>
                <w:szCs w:val="18"/>
              </w:rPr>
              <w:t>прин</w:t>
            </w:r>
            <w:r w:rsidR="00E308A4">
              <w:rPr>
                <w:sz w:val="18"/>
                <w:szCs w:val="18"/>
              </w:rPr>
              <w:t>я</w:t>
            </w:r>
            <w:r w:rsidRPr="006D3527">
              <w:rPr>
                <w:sz w:val="18"/>
                <w:szCs w:val="18"/>
              </w:rPr>
              <w:t>ли участие в создании потенциала другой Стороны и в оказании ей технического содействия</w:t>
            </w:r>
          </w:p>
          <w:p w14:paraId="6C07D59B"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ind w:left="283" w:hanging="170"/>
              <w:rPr>
                <w:rFonts w:eastAsia="Roboto"/>
                <w:sz w:val="18"/>
                <w:szCs w:val="18"/>
              </w:rPr>
            </w:pPr>
            <w:r w:rsidRPr="006D3527">
              <w:rPr>
                <w:rFonts w:ascii="Courier New" w:eastAsia="Roboto" w:hAnsi="Courier New" w:cs="Courier New"/>
                <w:sz w:val="18"/>
                <w:szCs w:val="18"/>
              </w:rPr>
              <w:t>o</w:t>
            </w:r>
            <w:r w:rsidRPr="006D3527">
              <w:rPr>
                <w:rFonts w:ascii="Courier New" w:eastAsia="Roboto" w:hAnsi="Courier New" w:cs="Courier New"/>
                <w:sz w:val="18"/>
                <w:szCs w:val="18"/>
              </w:rPr>
              <w:tab/>
            </w:r>
            <w:r w:rsidRPr="006D3527">
              <w:rPr>
                <w:sz w:val="18"/>
                <w:szCs w:val="18"/>
              </w:rPr>
              <w:t>обращались с просьбой об оказании им технического содействия</w:t>
            </w:r>
          </w:p>
          <w:p w14:paraId="039A7E71"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ind w:left="283" w:hanging="170"/>
              <w:rPr>
                <w:rFonts w:eastAsia="Roboto"/>
                <w:sz w:val="18"/>
                <w:szCs w:val="18"/>
              </w:rPr>
            </w:pPr>
            <w:r w:rsidRPr="006D3527">
              <w:rPr>
                <w:rFonts w:ascii="Courier New" w:eastAsia="Roboto" w:hAnsi="Courier New" w:cs="Courier New"/>
                <w:sz w:val="18"/>
                <w:szCs w:val="18"/>
              </w:rPr>
              <w:t>o</w:t>
            </w:r>
            <w:r w:rsidRPr="006D3527">
              <w:rPr>
                <w:rFonts w:ascii="Courier New" w:eastAsia="Roboto" w:hAnsi="Courier New" w:cs="Courier New"/>
                <w:sz w:val="18"/>
                <w:szCs w:val="18"/>
              </w:rPr>
              <w:tab/>
            </w:r>
            <w:r w:rsidRPr="006D3527">
              <w:rPr>
                <w:sz w:val="18"/>
                <w:szCs w:val="18"/>
              </w:rPr>
              <w:t>получили помощь в создании потенциала или техническое содействие</w:t>
            </w:r>
          </w:p>
          <w:p w14:paraId="58F17484" w14:textId="32A2E743"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ind w:left="283" w:hanging="170"/>
              <w:rPr>
                <w:rFonts w:eastAsia="Roboto"/>
                <w:sz w:val="18"/>
                <w:szCs w:val="18"/>
              </w:rPr>
            </w:pPr>
            <w:r w:rsidRPr="006D3527">
              <w:rPr>
                <w:rFonts w:ascii="Courier New" w:eastAsia="Roboto" w:hAnsi="Courier New" w:cs="Courier New"/>
                <w:sz w:val="18"/>
                <w:szCs w:val="18"/>
              </w:rPr>
              <w:t>o</w:t>
            </w:r>
            <w:r w:rsidRPr="006D3527">
              <w:rPr>
                <w:rFonts w:ascii="Courier New" w:eastAsia="Roboto" w:hAnsi="Courier New" w:cs="Courier New"/>
                <w:sz w:val="18"/>
                <w:szCs w:val="18"/>
              </w:rPr>
              <w:tab/>
            </w:r>
            <w:r w:rsidRPr="006D3527">
              <w:rPr>
                <w:sz w:val="18"/>
                <w:szCs w:val="18"/>
              </w:rPr>
              <w:t>содействовали или способствовали передаче технологи</w:t>
            </w:r>
            <w:r w:rsidR="00E308A4">
              <w:rPr>
                <w:sz w:val="18"/>
                <w:szCs w:val="18"/>
              </w:rPr>
              <w:t>и</w:t>
            </w:r>
            <w:r w:rsidRPr="006D3527">
              <w:rPr>
                <w:sz w:val="18"/>
                <w:szCs w:val="18"/>
              </w:rPr>
              <w:t xml:space="preserve"> </w:t>
            </w:r>
          </w:p>
        </w:tc>
        <w:tc>
          <w:tcPr>
            <w:tcW w:w="2627" w:type="dxa"/>
          </w:tcPr>
          <w:p w14:paraId="420FC006"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rPr>
                <w:iCs/>
                <w:sz w:val="18"/>
                <w:szCs w:val="18"/>
              </w:rPr>
            </w:pPr>
            <w:r w:rsidRPr="006D3527">
              <w:rPr>
                <w:sz w:val="18"/>
                <w:szCs w:val="18"/>
              </w:rPr>
              <w:t>- Отчетность в соответствии со статьей 21</w:t>
            </w:r>
          </w:p>
          <w:p w14:paraId="71467860"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r w:rsidRPr="006D3527">
              <w:rPr>
                <w:sz w:val="18"/>
                <w:szCs w:val="18"/>
              </w:rPr>
              <w:t>- Другие открытые источники</w:t>
            </w:r>
          </w:p>
        </w:tc>
        <w:tc>
          <w:tcPr>
            <w:tcW w:w="2425" w:type="dxa"/>
          </w:tcPr>
          <w:p w14:paraId="3784DEAE"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6D3527">
              <w:rPr>
                <w:sz w:val="18"/>
                <w:szCs w:val="18"/>
              </w:rPr>
              <w:t>Значение при проведении первой оценки</w:t>
            </w:r>
          </w:p>
        </w:tc>
      </w:tr>
      <w:tr w:rsidR="00A839F6" w:rsidRPr="006D3527" w14:paraId="549ADCC2" w14:textId="77777777" w:rsidTr="006D3527">
        <w:trPr>
          <w:trHeight w:val="454"/>
          <w:jc w:val="center"/>
        </w:trPr>
        <w:tc>
          <w:tcPr>
            <w:tcW w:w="2933" w:type="dxa"/>
            <w:shd w:val="clear" w:color="auto" w:fill="B8CCE4" w:themeFill="accent1" w:themeFillTint="66"/>
          </w:tcPr>
          <w:p w14:paraId="1048AF05" w14:textId="77777777" w:rsidR="00A839F6" w:rsidRPr="006D3527" w:rsidRDefault="00A839F6" w:rsidP="006D3527">
            <w:pPr>
              <w:tabs>
                <w:tab w:val="clear" w:pos="1247"/>
                <w:tab w:val="clear" w:pos="1814"/>
                <w:tab w:val="clear" w:pos="2381"/>
                <w:tab w:val="clear" w:pos="2948"/>
                <w:tab w:val="clear" w:pos="3515"/>
              </w:tabs>
              <w:spacing w:before="40" w:after="40"/>
              <w:rPr>
                <w:b/>
                <w:bCs/>
                <w:sz w:val="18"/>
                <w:szCs w:val="18"/>
                <w:lang w:val="en-GB"/>
              </w:rPr>
            </w:pPr>
            <w:r w:rsidRPr="006D3527">
              <w:rPr>
                <w:b/>
                <w:bCs/>
                <w:sz w:val="18"/>
                <w:szCs w:val="18"/>
              </w:rPr>
              <w:t>Примечания</w:t>
            </w:r>
          </w:p>
        </w:tc>
        <w:tc>
          <w:tcPr>
            <w:tcW w:w="10487" w:type="dxa"/>
            <w:gridSpan w:val="3"/>
          </w:tcPr>
          <w:p w14:paraId="4F6F064B" w14:textId="0EF929E6"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ind w:left="360" w:hanging="360"/>
              <w:rPr>
                <w:sz w:val="18"/>
                <w:szCs w:val="18"/>
              </w:rPr>
            </w:pPr>
            <w:r w:rsidRPr="006D3527">
              <w:rPr>
                <w:rFonts w:ascii="Wingdings" w:hAnsi="Wingdings"/>
                <w:sz w:val="18"/>
                <w:szCs w:val="18"/>
              </w:rPr>
              <w:t></w:t>
            </w:r>
            <w:r w:rsidRPr="006D3527">
              <w:rPr>
                <w:rFonts w:ascii="Wingdings" w:hAnsi="Wingdings"/>
                <w:sz w:val="18"/>
                <w:szCs w:val="18"/>
              </w:rPr>
              <w:tab/>
            </w:r>
            <w:r w:rsidRPr="006D3527">
              <w:rPr>
                <w:sz w:val="18"/>
                <w:szCs w:val="18"/>
              </w:rPr>
              <w:t>Цикл обзора финансового механизма может не совпадать с циклом оценки эффективности.</w:t>
            </w:r>
          </w:p>
          <w:p w14:paraId="71513CEA" w14:textId="77777777" w:rsidR="00A839F6" w:rsidRPr="006D3527" w:rsidRDefault="00A839F6" w:rsidP="006D3527">
            <w:pPr>
              <w:pBdr>
                <w:top w:val="nil"/>
                <w:left w:val="nil"/>
                <w:bottom w:val="nil"/>
                <w:right w:val="nil"/>
                <w:between w:val="nil"/>
                <w:bar w:val="nil"/>
              </w:pBdr>
              <w:tabs>
                <w:tab w:val="clear" w:pos="1247"/>
                <w:tab w:val="clear" w:pos="1814"/>
                <w:tab w:val="clear" w:pos="2381"/>
                <w:tab w:val="clear" w:pos="2948"/>
                <w:tab w:val="clear" w:pos="3515"/>
              </w:tabs>
              <w:spacing w:before="40" w:after="40"/>
              <w:ind w:left="360" w:hanging="360"/>
              <w:rPr>
                <w:sz w:val="18"/>
                <w:szCs w:val="18"/>
              </w:rPr>
            </w:pPr>
            <w:r w:rsidRPr="006D3527">
              <w:rPr>
                <w:rFonts w:ascii="Wingdings" w:hAnsi="Wingdings"/>
                <w:sz w:val="18"/>
                <w:szCs w:val="18"/>
              </w:rPr>
              <w:t></w:t>
            </w:r>
            <w:r w:rsidRPr="006D3527">
              <w:rPr>
                <w:rFonts w:ascii="Wingdings" w:hAnsi="Wingdings"/>
                <w:sz w:val="18"/>
                <w:szCs w:val="18"/>
              </w:rPr>
              <w:tab/>
            </w:r>
            <w:r w:rsidRPr="006D3527">
              <w:rPr>
                <w:sz w:val="18"/>
                <w:szCs w:val="18"/>
              </w:rPr>
              <w:t xml:space="preserve">Поскольку формат представления данных не требует определения долларового эквивалента полученных ресурсов, могут использоваться и другие открытые источники. </w:t>
            </w:r>
          </w:p>
        </w:tc>
      </w:tr>
    </w:tbl>
    <w:p w14:paraId="5413F324" w14:textId="77777777" w:rsidR="00A839F6" w:rsidRPr="00A839F6" w:rsidRDefault="00A839F6" w:rsidP="00A839F6">
      <w:pPr>
        <w:rPr>
          <w:rFonts w:asciiTheme="majorBidi" w:hAnsiTheme="majorBidi" w:cstheme="majorBidi"/>
          <w:sz w:val="12"/>
          <w:szCs w:val="12"/>
        </w:rPr>
      </w:pPr>
    </w:p>
    <w:tbl>
      <w:tblPr>
        <w:tblStyle w:val="TableGrid"/>
        <w:tblW w:w="5000" w:type="pct"/>
        <w:jc w:val="center"/>
        <w:tblLayout w:type="fixed"/>
        <w:tblCellMar>
          <w:left w:w="57" w:type="dxa"/>
          <w:right w:w="57" w:type="dxa"/>
        </w:tblCellMar>
        <w:tblLook w:val="04A0" w:firstRow="1" w:lastRow="0" w:firstColumn="1" w:lastColumn="0" w:noHBand="0" w:noVBand="1"/>
      </w:tblPr>
      <w:tblGrid>
        <w:gridCol w:w="3151"/>
        <w:gridCol w:w="5915"/>
        <w:gridCol w:w="2675"/>
        <w:gridCol w:w="2677"/>
      </w:tblGrid>
      <w:tr w:rsidR="00A839F6" w:rsidRPr="002212DC" w14:paraId="501DADED" w14:textId="77777777" w:rsidTr="002212DC">
        <w:trPr>
          <w:trHeight w:val="454"/>
          <w:jc w:val="center"/>
        </w:trPr>
        <w:tc>
          <w:tcPr>
            <w:tcW w:w="8143" w:type="dxa"/>
            <w:gridSpan w:val="2"/>
            <w:shd w:val="clear" w:color="auto" w:fill="B8CCE4" w:themeFill="accent1" w:themeFillTint="66"/>
          </w:tcPr>
          <w:p w14:paraId="1C637ECD" w14:textId="77777777" w:rsidR="00A839F6" w:rsidRPr="002212DC" w:rsidRDefault="00A839F6" w:rsidP="002212DC">
            <w:pPr>
              <w:tabs>
                <w:tab w:val="clear" w:pos="1247"/>
                <w:tab w:val="clear" w:pos="1814"/>
                <w:tab w:val="clear" w:pos="2381"/>
                <w:tab w:val="clear" w:pos="2948"/>
                <w:tab w:val="clear" w:pos="3515"/>
              </w:tabs>
              <w:spacing w:before="40" w:after="40"/>
              <w:rPr>
                <w:rFonts w:asciiTheme="majorBidi" w:hAnsiTheme="majorBidi" w:cstheme="majorBidi"/>
                <w:b/>
                <w:bCs/>
                <w:sz w:val="18"/>
                <w:szCs w:val="18"/>
              </w:rPr>
            </w:pPr>
            <w:r w:rsidRPr="002212DC">
              <w:rPr>
                <w:b/>
                <w:bCs/>
                <w:sz w:val="18"/>
                <w:szCs w:val="18"/>
              </w:rPr>
              <w:t>F. Статья 15 (Комитет по осуществлению и соблюдению)</w:t>
            </w:r>
          </w:p>
        </w:tc>
        <w:tc>
          <w:tcPr>
            <w:tcW w:w="2403" w:type="dxa"/>
            <w:shd w:val="clear" w:color="auto" w:fill="B8CCE4" w:themeFill="accent1" w:themeFillTint="66"/>
          </w:tcPr>
          <w:p w14:paraId="30044655" w14:textId="77777777" w:rsidR="00A839F6" w:rsidRPr="000C61C3" w:rsidRDefault="00A839F6" w:rsidP="002212DC">
            <w:pPr>
              <w:tabs>
                <w:tab w:val="clear" w:pos="1247"/>
                <w:tab w:val="clear" w:pos="1814"/>
                <w:tab w:val="clear" w:pos="2381"/>
                <w:tab w:val="clear" w:pos="2948"/>
                <w:tab w:val="clear" w:pos="3515"/>
              </w:tabs>
              <w:spacing w:before="40" w:after="40"/>
              <w:rPr>
                <w:b/>
                <w:bCs/>
                <w:sz w:val="18"/>
                <w:szCs w:val="18"/>
              </w:rPr>
            </w:pPr>
            <w:r w:rsidRPr="000C61C3">
              <w:rPr>
                <w:b/>
                <w:bCs/>
                <w:sz w:val="18"/>
                <w:szCs w:val="18"/>
              </w:rPr>
              <w:t>Источник информации для расчета показателя</w:t>
            </w:r>
          </w:p>
        </w:tc>
        <w:tc>
          <w:tcPr>
            <w:tcW w:w="2404" w:type="dxa"/>
            <w:shd w:val="clear" w:color="auto" w:fill="B8CCE4" w:themeFill="accent1" w:themeFillTint="66"/>
          </w:tcPr>
          <w:p w14:paraId="2F0AE5C6" w14:textId="77777777" w:rsidR="00A839F6" w:rsidRPr="000C61C3" w:rsidRDefault="00A839F6" w:rsidP="002212DC">
            <w:pPr>
              <w:tabs>
                <w:tab w:val="clear" w:pos="1247"/>
                <w:tab w:val="clear" w:pos="1814"/>
                <w:tab w:val="clear" w:pos="2381"/>
                <w:tab w:val="clear" w:pos="2948"/>
                <w:tab w:val="clear" w:pos="3515"/>
              </w:tabs>
              <w:spacing w:before="40" w:after="40"/>
              <w:rPr>
                <w:b/>
                <w:bCs/>
                <w:sz w:val="18"/>
                <w:szCs w:val="18"/>
              </w:rPr>
            </w:pPr>
            <w:r w:rsidRPr="002212DC">
              <w:rPr>
                <w:b/>
                <w:bCs/>
                <w:sz w:val="18"/>
                <w:szCs w:val="18"/>
              </w:rPr>
              <w:t>Исходное значение показателя</w:t>
            </w:r>
          </w:p>
        </w:tc>
      </w:tr>
      <w:tr w:rsidR="00A839F6" w:rsidRPr="002212DC" w14:paraId="3AD9FE80" w14:textId="77777777" w:rsidTr="002212DC">
        <w:trPr>
          <w:trHeight w:val="624"/>
          <w:jc w:val="center"/>
        </w:trPr>
        <w:tc>
          <w:tcPr>
            <w:tcW w:w="2830" w:type="dxa"/>
          </w:tcPr>
          <w:p w14:paraId="1DA64480" w14:textId="77777777" w:rsidR="00A839F6" w:rsidRPr="002212DC" w:rsidRDefault="00A839F6" w:rsidP="002212DC">
            <w:pPr>
              <w:tabs>
                <w:tab w:val="clear" w:pos="1247"/>
                <w:tab w:val="clear" w:pos="1814"/>
                <w:tab w:val="clear" w:pos="2381"/>
                <w:tab w:val="clear" w:pos="2948"/>
                <w:tab w:val="clear" w:pos="3515"/>
              </w:tabs>
              <w:spacing w:before="40" w:after="40"/>
              <w:rPr>
                <w:rFonts w:asciiTheme="majorBidi" w:hAnsiTheme="majorBidi" w:cstheme="majorBidi"/>
                <w:sz w:val="18"/>
                <w:szCs w:val="18"/>
                <w:lang w:val="en-GB"/>
              </w:rPr>
            </w:pPr>
            <w:r w:rsidRPr="002212DC">
              <w:rPr>
                <w:sz w:val="18"/>
                <w:szCs w:val="18"/>
              </w:rPr>
              <w:t>F1. Показатель процесса</w:t>
            </w:r>
          </w:p>
        </w:tc>
        <w:tc>
          <w:tcPr>
            <w:tcW w:w="5313" w:type="dxa"/>
          </w:tcPr>
          <w:p w14:paraId="0E9EAF74" w14:textId="77777777" w:rsidR="00A839F6" w:rsidRPr="002212DC" w:rsidRDefault="00A839F6" w:rsidP="002212DC">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2212DC">
              <w:rPr>
                <w:sz w:val="18"/>
                <w:szCs w:val="18"/>
              </w:rPr>
              <w:t>Доля вопросов, которые Комитет по осуществлению и соблюдению смог урегулировать, в том числе вопросов, имеющих признаки системных проблем, если таковые рассматривались</w:t>
            </w:r>
          </w:p>
        </w:tc>
        <w:tc>
          <w:tcPr>
            <w:tcW w:w="2403" w:type="dxa"/>
          </w:tcPr>
          <w:p w14:paraId="78BDBD85" w14:textId="77777777" w:rsidR="00A839F6" w:rsidRPr="002212DC" w:rsidRDefault="00A839F6" w:rsidP="002212DC">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2212DC">
              <w:rPr>
                <w:sz w:val="18"/>
                <w:szCs w:val="18"/>
              </w:rPr>
              <w:t>- Доклад Комитета по осуществлению и соблюдению, о котором идет речь в статье 21</w:t>
            </w:r>
          </w:p>
        </w:tc>
        <w:tc>
          <w:tcPr>
            <w:tcW w:w="2404" w:type="dxa"/>
          </w:tcPr>
          <w:p w14:paraId="221C82FE" w14:textId="77777777" w:rsidR="00A839F6" w:rsidRPr="002212DC" w:rsidRDefault="00A839F6" w:rsidP="002212DC">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2212DC">
              <w:rPr>
                <w:sz w:val="18"/>
                <w:szCs w:val="18"/>
              </w:rPr>
              <w:t>Значение при проведении первой оценки</w:t>
            </w:r>
          </w:p>
        </w:tc>
      </w:tr>
      <w:tr w:rsidR="00A839F6" w:rsidRPr="002212DC" w14:paraId="10E85262" w14:textId="77777777" w:rsidTr="002212DC">
        <w:trPr>
          <w:trHeight w:val="227"/>
          <w:jc w:val="center"/>
        </w:trPr>
        <w:tc>
          <w:tcPr>
            <w:tcW w:w="2830" w:type="dxa"/>
            <w:shd w:val="clear" w:color="auto" w:fill="B8CCE4" w:themeFill="accent1" w:themeFillTint="66"/>
          </w:tcPr>
          <w:p w14:paraId="58053F21" w14:textId="2E8EB99A" w:rsidR="00A839F6" w:rsidRPr="002212DC" w:rsidRDefault="00A839F6" w:rsidP="002212DC">
            <w:pPr>
              <w:tabs>
                <w:tab w:val="clear" w:pos="1247"/>
                <w:tab w:val="clear" w:pos="1814"/>
                <w:tab w:val="clear" w:pos="2381"/>
                <w:tab w:val="clear" w:pos="2948"/>
                <w:tab w:val="clear" w:pos="3515"/>
              </w:tabs>
              <w:spacing w:before="40" w:after="40"/>
              <w:rPr>
                <w:rFonts w:asciiTheme="majorBidi" w:hAnsiTheme="majorBidi" w:cstheme="majorBidi"/>
                <w:b/>
                <w:bCs/>
                <w:sz w:val="18"/>
                <w:szCs w:val="18"/>
                <w:lang w:val="en-GB"/>
              </w:rPr>
            </w:pPr>
            <w:r w:rsidRPr="002212DC">
              <w:rPr>
                <w:b/>
                <w:bCs/>
                <w:sz w:val="18"/>
                <w:szCs w:val="18"/>
              </w:rPr>
              <w:t>Примечани</w:t>
            </w:r>
            <w:r w:rsidR="00E308A4">
              <w:rPr>
                <w:b/>
                <w:bCs/>
                <w:sz w:val="18"/>
                <w:szCs w:val="18"/>
              </w:rPr>
              <w:t>е</w:t>
            </w:r>
          </w:p>
        </w:tc>
        <w:tc>
          <w:tcPr>
            <w:tcW w:w="10120" w:type="dxa"/>
            <w:gridSpan w:val="3"/>
          </w:tcPr>
          <w:p w14:paraId="5C53AB87" w14:textId="341A89EA" w:rsidR="00A839F6" w:rsidRPr="002212DC" w:rsidRDefault="00A839F6" w:rsidP="002212DC">
            <w:pPr>
              <w:pBdr>
                <w:top w:val="nil"/>
                <w:left w:val="nil"/>
                <w:bottom w:val="nil"/>
                <w:right w:val="nil"/>
                <w:between w:val="nil"/>
                <w:bar w:val="nil"/>
              </w:pBdr>
              <w:tabs>
                <w:tab w:val="clear" w:pos="1247"/>
                <w:tab w:val="clear" w:pos="1814"/>
                <w:tab w:val="clear" w:pos="2381"/>
                <w:tab w:val="clear" w:pos="2948"/>
                <w:tab w:val="clear" w:pos="3515"/>
              </w:tabs>
              <w:spacing w:before="40" w:after="40"/>
              <w:ind w:left="360" w:hanging="360"/>
              <w:rPr>
                <w:rFonts w:asciiTheme="majorBidi" w:hAnsiTheme="majorBidi" w:cstheme="majorBidi"/>
                <w:spacing w:val="-2"/>
                <w:sz w:val="18"/>
                <w:szCs w:val="18"/>
              </w:rPr>
            </w:pPr>
            <w:r w:rsidRPr="002212DC">
              <w:rPr>
                <w:rFonts w:ascii="Wingdings" w:hAnsi="Wingdings" w:cstheme="majorBidi"/>
                <w:spacing w:val="-2"/>
                <w:sz w:val="18"/>
                <w:szCs w:val="18"/>
              </w:rPr>
              <w:t></w:t>
            </w:r>
            <w:r w:rsidRPr="002212DC">
              <w:rPr>
                <w:rFonts w:ascii="Wingdings" w:hAnsi="Wingdings" w:cstheme="majorBidi"/>
                <w:spacing w:val="-2"/>
                <w:sz w:val="18"/>
                <w:szCs w:val="18"/>
              </w:rPr>
              <w:tab/>
            </w:r>
            <w:r w:rsidRPr="002212DC">
              <w:rPr>
                <w:sz w:val="18"/>
                <w:szCs w:val="18"/>
              </w:rPr>
              <w:t xml:space="preserve">На своем третьем совещании Конференция </w:t>
            </w:r>
            <w:r w:rsidR="00C956E9">
              <w:rPr>
                <w:sz w:val="18"/>
                <w:szCs w:val="18"/>
              </w:rPr>
              <w:t>Сторон</w:t>
            </w:r>
            <w:r w:rsidRPr="002212DC">
              <w:rPr>
                <w:sz w:val="18"/>
                <w:szCs w:val="18"/>
              </w:rPr>
              <w:t xml:space="preserve"> должна рассмотреть положение о Комитете по осуществлению и соблюдению.</w:t>
            </w:r>
          </w:p>
        </w:tc>
      </w:tr>
    </w:tbl>
    <w:p w14:paraId="3BAD2223" w14:textId="77777777" w:rsidR="00A839F6" w:rsidRPr="00A839F6" w:rsidRDefault="00A839F6" w:rsidP="00A839F6">
      <w:pPr>
        <w:rPr>
          <w:rFonts w:asciiTheme="majorBidi" w:hAnsiTheme="majorBidi" w:cstheme="majorBidi"/>
          <w:sz w:val="12"/>
          <w:szCs w:val="12"/>
        </w:rPr>
      </w:pPr>
    </w:p>
    <w:tbl>
      <w:tblPr>
        <w:tblStyle w:val="TableGrid"/>
        <w:tblW w:w="5000" w:type="pct"/>
        <w:jc w:val="center"/>
        <w:tblLayout w:type="fixed"/>
        <w:tblCellMar>
          <w:left w:w="57" w:type="dxa"/>
          <w:right w:w="57" w:type="dxa"/>
        </w:tblCellMar>
        <w:tblLook w:val="04A0" w:firstRow="1" w:lastRow="0" w:firstColumn="1" w:lastColumn="0" w:noHBand="0" w:noVBand="1"/>
      </w:tblPr>
      <w:tblGrid>
        <w:gridCol w:w="3150"/>
        <w:gridCol w:w="5840"/>
        <w:gridCol w:w="2785"/>
        <w:gridCol w:w="2643"/>
      </w:tblGrid>
      <w:tr w:rsidR="00A839F6" w:rsidRPr="009337A8" w14:paraId="2555A213" w14:textId="77777777" w:rsidTr="009337A8">
        <w:trPr>
          <w:trHeight w:val="454"/>
          <w:jc w:val="center"/>
        </w:trPr>
        <w:tc>
          <w:tcPr>
            <w:tcW w:w="8075" w:type="dxa"/>
            <w:gridSpan w:val="2"/>
            <w:shd w:val="clear" w:color="auto" w:fill="B8CCE4" w:themeFill="accent1" w:themeFillTint="66"/>
          </w:tcPr>
          <w:p w14:paraId="7C037CD1" w14:textId="07C918E0" w:rsidR="00A839F6" w:rsidRPr="009337A8" w:rsidRDefault="00A839F6" w:rsidP="009337A8">
            <w:pPr>
              <w:tabs>
                <w:tab w:val="clear" w:pos="1247"/>
                <w:tab w:val="clear" w:pos="1814"/>
                <w:tab w:val="clear" w:pos="2381"/>
                <w:tab w:val="clear" w:pos="2948"/>
                <w:tab w:val="clear" w:pos="3515"/>
              </w:tabs>
              <w:spacing w:before="40" w:after="40"/>
              <w:rPr>
                <w:rFonts w:asciiTheme="majorBidi" w:eastAsia="Roboto" w:hAnsiTheme="majorBidi" w:cstheme="majorBidi"/>
                <w:b/>
                <w:sz w:val="18"/>
                <w:szCs w:val="18"/>
              </w:rPr>
            </w:pPr>
            <w:r w:rsidRPr="009337A8">
              <w:rPr>
                <w:b/>
                <w:bCs/>
                <w:sz w:val="18"/>
                <w:szCs w:val="18"/>
              </w:rPr>
              <w:t>G. Статья 16 (медико-санитарные аспекты)</w:t>
            </w:r>
          </w:p>
          <w:p w14:paraId="2CD8518B" w14:textId="5218F6B4" w:rsidR="00A839F6" w:rsidRPr="009337A8" w:rsidRDefault="00A839F6" w:rsidP="009337A8">
            <w:pPr>
              <w:tabs>
                <w:tab w:val="clear" w:pos="1247"/>
                <w:tab w:val="clear" w:pos="1814"/>
                <w:tab w:val="clear" w:pos="2381"/>
                <w:tab w:val="clear" w:pos="2948"/>
                <w:tab w:val="clear" w:pos="3515"/>
              </w:tabs>
              <w:spacing w:before="40" w:after="40"/>
              <w:rPr>
                <w:rFonts w:asciiTheme="majorBidi" w:eastAsia="Roboto" w:hAnsiTheme="majorBidi" w:cstheme="majorBidi"/>
                <w:b/>
                <w:sz w:val="18"/>
                <w:szCs w:val="18"/>
              </w:rPr>
            </w:pPr>
            <w:r w:rsidRPr="009337A8">
              <w:rPr>
                <w:sz w:val="18"/>
                <w:szCs w:val="18"/>
              </w:rPr>
              <w:t>(Показатель для статьи 16 следует рассматривать вместе с соответствующими контрольными показателями, приведенными в таблице 4</w:t>
            </w:r>
            <w:r w:rsidR="00105BC8">
              <w:rPr>
                <w:sz w:val="18"/>
                <w:szCs w:val="18"/>
              </w:rPr>
              <w:t>.</w:t>
            </w:r>
            <w:r w:rsidRPr="009337A8">
              <w:rPr>
                <w:sz w:val="18"/>
                <w:szCs w:val="18"/>
              </w:rPr>
              <w:t>)</w:t>
            </w:r>
          </w:p>
        </w:tc>
        <w:tc>
          <w:tcPr>
            <w:tcW w:w="2501" w:type="dxa"/>
            <w:shd w:val="clear" w:color="auto" w:fill="B8CCE4" w:themeFill="accent1" w:themeFillTint="66"/>
          </w:tcPr>
          <w:p w14:paraId="01BCFF77" w14:textId="77777777" w:rsidR="00A839F6" w:rsidRPr="000C61C3" w:rsidRDefault="00A839F6" w:rsidP="009337A8">
            <w:pPr>
              <w:tabs>
                <w:tab w:val="clear" w:pos="1247"/>
                <w:tab w:val="clear" w:pos="1814"/>
                <w:tab w:val="clear" w:pos="2381"/>
                <w:tab w:val="clear" w:pos="2948"/>
                <w:tab w:val="clear" w:pos="3515"/>
              </w:tabs>
              <w:spacing w:before="40" w:after="40"/>
              <w:rPr>
                <w:b/>
                <w:bCs/>
                <w:sz w:val="18"/>
                <w:szCs w:val="18"/>
              </w:rPr>
            </w:pPr>
            <w:r w:rsidRPr="009337A8">
              <w:rPr>
                <w:b/>
                <w:bCs/>
                <w:sz w:val="18"/>
                <w:szCs w:val="18"/>
              </w:rPr>
              <w:t>Источник информации для расчета показат</w:t>
            </w:r>
            <w:r w:rsidRPr="000C61C3">
              <w:rPr>
                <w:b/>
                <w:bCs/>
                <w:sz w:val="18"/>
                <w:szCs w:val="18"/>
              </w:rPr>
              <w:t>еля</w:t>
            </w:r>
          </w:p>
        </w:tc>
        <w:tc>
          <w:tcPr>
            <w:tcW w:w="2374" w:type="dxa"/>
            <w:shd w:val="clear" w:color="auto" w:fill="B8CCE4" w:themeFill="accent1" w:themeFillTint="66"/>
          </w:tcPr>
          <w:p w14:paraId="4AA13406" w14:textId="77777777" w:rsidR="00A839F6" w:rsidRPr="000C61C3" w:rsidRDefault="00A839F6" w:rsidP="009337A8">
            <w:pPr>
              <w:tabs>
                <w:tab w:val="clear" w:pos="1247"/>
                <w:tab w:val="clear" w:pos="1814"/>
                <w:tab w:val="clear" w:pos="2381"/>
                <w:tab w:val="clear" w:pos="2948"/>
                <w:tab w:val="clear" w:pos="3515"/>
              </w:tabs>
              <w:spacing w:before="40" w:after="40"/>
              <w:rPr>
                <w:b/>
                <w:bCs/>
                <w:sz w:val="18"/>
                <w:szCs w:val="18"/>
              </w:rPr>
            </w:pPr>
            <w:r w:rsidRPr="009337A8">
              <w:rPr>
                <w:b/>
                <w:bCs/>
                <w:sz w:val="18"/>
                <w:szCs w:val="18"/>
              </w:rPr>
              <w:t>Исходное значение показателя</w:t>
            </w:r>
          </w:p>
        </w:tc>
      </w:tr>
      <w:tr w:rsidR="00A839F6" w:rsidRPr="009337A8" w14:paraId="2AFDF459" w14:textId="77777777" w:rsidTr="009337A8">
        <w:trPr>
          <w:trHeight w:val="454"/>
          <w:jc w:val="center"/>
        </w:trPr>
        <w:tc>
          <w:tcPr>
            <w:tcW w:w="2830" w:type="dxa"/>
          </w:tcPr>
          <w:p w14:paraId="61377FDA" w14:textId="77777777" w:rsidR="00A839F6" w:rsidRPr="009337A8" w:rsidRDefault="00A839F6" w:rsidP="009337A8">
            <w:pPr>
              <w:tabs>
                <w:tab w:val="clear" w:pos="1247"/>
                <w:tab w:val="clear" w:pos="1814"/>
                <w:tab w:val="clear" w:pos="2381"/>
                <w:tab w:val="clear" w:pos="2948"/>
                <w:tab w:val="clear" w:pos="3515"/>
              </w:tabs>
              <w:spacing w:before="40" w:after="40"/>
              <w:rPr>
                <w:rFonts w:asciiTheme="majorBidi" w:hAnsiTheme="majorBidi" w:cstheme="majorBidi"/>
                <w:sz w:val="18"/>
                <w:szCs w:val="18"/>
                <w:lang w:val="en-GB"/>
              </w:rPr>
            </w:pPr>
            <w:r w:rsidRPr="009337A8">
              <w:rPr>
                <w:sz w:val="18"/>
                <w:szCs w:val="18"/>
              </w:rPr>
              <w:t>G1. Контрольный показатель</w:t>
            </w:r>
          </w:p>
        </w:tc>
        <w:tc>
          <w:tcPr>
            <w:tcW w:w="5245" w:type="dxa"/>
          </w:tcPr>
          <w:p w14:paraId="2930BCF1" w14:textId="6C3A7A29" w:rsidR="00A839F6" w:rsidRPr="009337A8" w:rsidRDefault="00A839F6" w:rsidP="009337A8">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9337A8">
              <w:rPr>
                <w:sz w:val="18"/>
                <w:szCs w:val="18"/>
              </w:rPr>
              <w:t>Уровни содержания ртути в организмах людей, относящи</w:t>
            </w:r>
            <w:r w:rsidR="00AE5B0D">
              <w:rPr>
                <w:sz w:val="18"/>
                <w:szCs w:val="18"/>
              </w:rPr>
              <w:t>х</w:t>
            </w:r>
            <w:r w:rsidRPr="009337A8">
              <w:rPr>
                <w:sz w:val="18"/>
                <w:szCs w:val="18"/>
              </w:rPr>
              <w:t>ся к отдельным группам населения (определяются согласно механизмам контроля)</w:t>
            </w:r>
          </w:p>
        </w:tc>
        <w:tc>
          <w:tcPr>
            <w:tcW w:w="2501" w:type="dxa"/>
          </w:tcPr>
          <w:p w14:paraId="4DCD2EDC" w14:textId="77777777" w:rsidR="00A839F6" w:rsidRPr="009337A8" w:rsidRDefault="00A839F6" w:rsidP="009337A8">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9337A8">
              <w:rPr>
                <w:sz w:val="18"/>
                <w:szCs w:val="18"/>
              </w:rPr>
              <w:t>- Существующие данные мониторинга и данные, получаемые в ходе осуществления деятельности</w:t>
            </w:r>
          </w:p>
        </w:tc>
        <w:tc>
          <w:tcPr>
            <w:tcW w:w="2374" w:type="dxa"/>
          </w:tcPr>
          <w:p w14:paraId="538B886F" w14:textId="77777777" w:rsidR="00A839F6" w:rsidRPr="009337A8" w:rsidRDefault="00A839F6" w:rsidP="009337A8">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9337A8">
              <w:rPr>
                <w:sz w:val="18"/>
                <w:szCs w:val="18"/>
              </w:rPr>
              <w:t>Значение при проведении первой оценки</w:t>
            </w:r>
          </w:p>
        </w:tc>
      </w:tr>
      <w:tr w:rsidR="00A839F6" w:rsidRPr="009337A8" w14:paraId="6111E591" w14:textId="77777777" w:rsidTr="009337A8">
        <w:trPr>
          <w:trHeight w:val="624"/>
          <w:jc w:val="center"/>
        </w:trPr>
        <w:tc>
          <w:tcPr>
            <w:tcW w:w="2830" w:type="dxa"/>
          </w:tcPr>
          <w:p w14:paraId="6B93D4FE" w14:textId="77777777" w:rsidR="00A839F6" w:rsidRPr="009337A8" w:rsidRDefault="00A839F6" w:rsidP="009337A8">
            <w:pPr>
              <w:tabs>
                <w:tab w:val="clear" w:pos="1247"/>
                <w:tab w:val="clear" w:pos="1814"/>
                <w:tab w:val="clear" w:pos="2381"/>
                <w:tab w:val="clear" w:pos="2948"/>
                <w:tab w:val="clear" w:pos="3515"/>
              </w:tabs>
              <w:spacing w:before="40" w:after="40"/>
              <w:rPr>
                <w:rFonts w:asciiTheme="majorBidi" w:hAnsiTheme="majorBidi" w:cstheme="majorBidi"/>
                <w:sz w:val="18"/>
                <w:szCs w:val="18"/>
                <w:lang w:val="en-GB"/>
              </w:rPr>
            </w:pPr>
            <w:r w:rsidRPr="009337A8">
              <w:rPr>
                <w:sz w:val="18"/>
                <w:szCs w:val="18"/>
              </w:rPr>
              <w:t>G2. Показатель процесса</w:t>
            </w:r>
          </w:p>
        </w:tc>
        <w:tc>
          <w:tcPr>
            <w:tcW w:w="5245" w:type="dxa"/>
          </w:tcPr>
          <w:p w14:paraId="215F0C3C" w14:textId="34730EA1" w:rsidR="00A839F6" w:rsidRPr="009337A8" w:rsidRDefault="00A839F6" w:rsidP="009337A8">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9337A8">
              <w:rPr>
                <w:sz w:val="18"/>
                <w:szCs w:val="18"/>
              </w:rPr>
              <w:t xml:space="preserve">Число Сторон, которые приняли меры, </w:t>
            </w:r>
            <w:r w:rsidR="00E308A4" w:rsidRPr="009337A8">
              <w:rPr>
                <w:sz w:val="18"/>
                <w:szCs w:val="18"/>
              </w:rPr>
              <w:t xml:space="preserve">такие </w:t>
            </w:r>
            <w:r w:rsidRPr="009337A8">
              <w:rPr>
                <w:sz w:val="18"/>
                <w:szCs w:val="18"/>
              </w:rPr>
              <w:t>как подготовка информационных материалов о рыбе, для предоставления общественности информации о воздействии ртути в соответствии с пунктом 1 статьи 16</w:t>
            </w:r>
          </w:p>
        </w:tc>
        <w:tc>
          <w:tcPr>
            <w:tcW w:w="2501" w:type="dxa"/>
          </w:tcPr>
          <w:p w14:paraId="56652C4B" w14:textId="77777777" w:rsidR="00A839F6" w:rsidRPr="009337A8" w:rsidRDefault="00A839F6" w:rsidP="009337A8">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9337A8">
              <w:rPr>
                <w:sz w:val="18"/>
                <w:szCs w:val="18"/>
              </w:rPr>
              <w:t>- Отчетность в соответствии со статьей 21</w:t>
            </w:r>
          </w:p>
        </w:tc>
        <w:tc>
          <w:tcPr>
            <w:tcW w:w="2374" w:type="dxa"/>
          </w:tcPr>
          <w:p w14:paraId="02611291" w14:textId="77777777" w:rsidR="00A839F6" w:rsidRPr="009337A8" w:rsidRDefault="00A839F6" w:rsidP="009337A8">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9337A8">
              <w:rPr>
                <w:sz w:val="18"/>
                <w:szCs w:val="18"/>
              </w:rPr>
              <w:t>Значение при проведении первой оценки</w:t>
            </w:r>
          </w:p>
        </w:tc>
      </w:tr>
      <w:tr w:rsidR="00A839F6" w:rsidRPr="009337A8" w14:paraId="7744D3C5" w14:textId="77777777" w:rsidTr="009337A8">
        <w:trPr>
          <w:trHeight w:val="454"/>
          <w:jc w:val="center"/>
        </w:trPr>
        <w:tc>
          <w:tcPr>
            <w:tcW w:w="2830" w:type="dxa"/>
          </w:tcPr>
          <w:p w14:paraId="06A0E1EB" w14:textId="77777777" w:rsidR="00A839F6" w:rsidRPr="009337A8" w:rsidRDefault="00A839F6" w:rsidP="009337A8">
            <w:pPr>
              <w:tabs>
                <w:tab w:val="clear" w:pos="1247"/>
                <w:tab w:val="clear" w:pos="1814"/>
                <w:tab w:val="clear" w:pos="2381"/>
                <w:tab w:val="clear" w:pos="2948"/>
                <w:tab w:val="clear" w:pos="3515"/>
              </w:tabs>
              <w:spacing w:before="40" w:after="40"/>
              <w:rPr>
                <w:rFonts w:asciiTheme="majorBidi" w:hAnsiTheme="majorBidi" w:cstheme="majorBidi"/>
                <w:sz w:val="18"/>
                <w:szCs w:val="18"/>
                <w:lang w:val="en-GB"/>
              </w:rPr>
            </w:pPr>
            <w:r w:rsidRPr="009337A8">
              <w:rPr>
                <w:sz w:val="18"/>
                <w:szCs w:val="18"/>
              </w:rPr>
              <w:t>G3. Показатель процесса</w:t>
            </w:r>
          </w:p>
        </w:tc>
        <w:tc>
          <w:tcPr>
            <w:tcW w:w="5245" w:type="dxa"/>
          </w:tcPr>
          <w:p w14:paraId="6507B09D" w14:textId="1A6D572E" w:rsidR="00A839F6" w:rsidRPr="009337A8" w:rsidRDefault="00A839F6" w:rsidP="009337A8">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9337A8">
              <w:rPr>
                <w:sz w:val="18"/>
                <w:szCs w:val="18"/>
              </w:rPr>
              <w:t>Число Сторон, которые приняли меры для охраны здоровья человека в соответствии со статьей 16</w:t>
            </w:r>
          </w:p>
        </w:tc>
        <w:tc>
          <w:tcPr>
            <w:tcW w:w="2501" w:type="dxa"/>
          </w:tcPr>
          <w:p w14:paraId="730F525F" w14:textId="77777777" w:rsidR="00A839F6" w:rsidRPr="009337A8" w:rsidRDefault="00A839F6" w:rsidP="009337A8">
            <w:pPr>
              <w:tabs>
                <w:tab w:val="clear" w:pos="1247"/>
                <w:tab w:val="clear" w:pos="1814"/>
                <w:tab w:val="clear" w:pos="2381"/>
                <w:tab w:val="clear" w:pos="2948"/>
                <w:tab w:val="clear" w:pos="3515"/>
              </w:tabs>
              <w:spacing w:before="40" w:after="40"/>
              <w:rPr>
                <w:rFonts w:asciiTheme="majorBidi" w:hAnsiTheme="majorBidi" w:cstheme="majorBidi"/>
                <w:iCs/>
                <w:sz w:val="18"/>
                <w:szCs w:val="18"/>
              </w:rPr>
            </w:pPr>
            <w:r w:rsidRPr="009337A8">
              <w:rPr>
                <w:sz w:val="18"/>
                <w:szCs w:val="18"/>
              </w:rPr>
              <w:t>- Отчетность в соответствии со статьей 21</w:t>
            </w:r>
          </w:p>
          <w:p w14:paraId="2DD7F076" w14:textId="77777777" w:rsidR="00A839F6" w:rsidRPr="009337A8" w:rsidRDefault="00A839F6" w:rsidP="009337A8">
            <w:pPr>
              <w:tabs>
                <w:tab w:val="clear" w:pos="1247"/>
                <w:tab w:val="clear" w:pos="1814"/>
                <w:tab w:val="clear" w:pos="2381"/>
                <w:tab w:val="clear" w:pos="2948"/>
                <w:tab w:val="clear" w:pos="3515"/>
              </w:tabs>
              <w:spacing w:before="40" w:after="40"/>
              <w:rPr>
                <w:rFonts w:asciiTheme="majorBidi" w:hAnsiTheme="majorBidi" w:cstheme="majorBidi"/>
                <w:sz w:val="18"/>
                <w:szCs w:val="18"/>
                <w:lang w:val="en-GB"/>
              </w:rPr>
            </w:pPr>
            <w:r w:rsidRPr="009337A8">
              <w:rPr>
                <w:sz w:val="18"/>
                <w:szCs w:val="18"/>
              </w:rPr>
              <w:lastRenderedPageBreak/>
              <w:t>- Материалы, представленные секретариату</w:t>
            </w:r>
          </w:p>
        </w:tc>
        <w:tc>
          <w:tcPr>
            <w:tcW w:w="2374" w:type="dxa"/>
          </w:tcPr>
          <w:p w14:paraId="5030B2B6" w14:textId="77777777" w:rsidR="00A839F6" w:rsidRPr="009337A8" w:rsidRDefault="00A839F6" w:rsidP="009337A8">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9337A8">
              <w:rPr>
                <w:sz w:val="18"/>
                <w:szCs w:val="18"/>
              </w:rPr>
              <w:lastRenderedPageBreak/>
              <w:t>Значение при проведении первой оценки</w:t>
            </w:r>
          </w:p>
        </w:tc>
      </w:tr>
      <w:tr w:rsidR="00A839F6" w:rsidRPr="009337A8" w14:paraId="094B7FD2" w14:textId="77777777" w:rsidTr="009337A8">
        <w:trPr>
          <w:trHeight w:val="227"/>
          <w:jc w:val="center"/>
        </w:trPr>
        <w:tc>
          <w:tcPr>
            <w:tcW w:w="2830" w:type="dxa"/>
            <w:shd w:val="clear" w:color="auto" w:fill="B8CCE4" w:themeFill="accent1" w:themeFillTint="66"/>
          </w:tcPr>
          <w:p w14:paraId="267D1CBC" w14:textId="3D050D7B" w:rsidR="00A839F6" w:rsidRPr="009337A8" w:rsidRDefault="00A839F6" w:rsidP="009337A8">
            <w:pPr>
              <w:tabs>
                <w:tab w:val="clear" w:pos="1247"/>
                <w:tab w:val="clear" w:pos="1814"/>
                <w:tab w:val="clear" w:pos="2381"/>
                <w:tab w:val="clear" w:pos="2948"/>
                <w:tab w:val="clear" w:pos="3515"/>
              </w:tabs>
              <w:spacing w:before="40" w:after="40"/>
              <w:rPr>
                <w:rFonts w:asciiTheme="majorBidi" w:hAnsiTheme="majorBidi" w:cstheme="majorBidi"/>
                <w:b/>
                <w:bCs/>
                <w:sz w:val="18"/>
                <w:szCs w:val="18"/>
                <w:lang w:val="en-GB"/>
              </w:rPr>
            </w:pPr>
            <w:r w:rsidRPr="009337A8">
              <w:rPr>
                <w:b/>
                <w:bCs/>
                <w:sz w:val="18"/>
                <w:szCs w:val="18"/>
              </w:rPr>
              <w:t>Примечани</w:t>
            </w:r>
            <w:r w:rsidR="00E308A4">
              <w:rPr>
                <w:b/>
                <w:bCs/>
                <w:sz w:val="18"/>
                <w:szCs w:val="18"/>
              </w:rPr>
              <w:t>е</w:t>
            </w:r>
          </w:p>
        </w:tc>
        <w:tc>
          <w:tcPr>
            <w:tcW w:w="10120" w:type="dxa"/>
            <w:gridSpan w:val="3"/>
          </w:tcPr>
          <w:p w14:paraId="28C42EFE" w14:textId="58546B35" w:rsidR="00A839F6" w:rsidRPr="009337A8" w:rsidRDefault="00A839F6" w:rsidP="009337A8">
            <w:pPr>
              <w:pBdr>
                <w:top w:val="nil"/>
                <w:left w:val="nil"/>
                <w:bottom w:val="nil"/>
                <w:right w:val="nil"/>
                <w:between w:val="nil"/>
                <w:bar w:val="nil"/>
              </w:pBdr>
              <w:tabs>
                <w:tab w:val="clear" w:pos="1247"/>
                <w:tab w:val="clear" w:pos="1814"/>
                <w:tab w:val="clear" w:pos="2381"/>
                <w:tab w:val="clear" w:pos="2948"/>
                <w:tab w:val="clear" w:pos="3515"/>
              </w:tabs>
              <w:spacing w:before="40" w:after="40"/>
              <w:ind w:left="360" w:hanging="360"/>
              <w:rPr>
                <w:rFonts w:asciiTheme="majorBidi" w:hAnsiTheme="majorBidi" w:cstheme="majorBidi"/>
                <w:sz w:val="18"/>
                <w:szCs w:val="18"/>
              </w:rPr>
            </w:pPr>
            <w:r w:rsidRPr="009337A8">
              <w:rPr>
                <w:rFonts w:ascii="Wingdings" w:hAnsi="Wingdings" w:cstheme="majorBidi"/>
                <w:sz w:val="18"/>
                <w:szCs w:val="18"/>
              </w:rPr>
              <w:t></w:t>
            </w:r>
            <w:r w:rsidRPr="009337A8">
              <w:rPr>
                <w:rFonts w:ascii="Wingdings" w:hAnsi="Wingdings" w:cstheme="majorBidi"/>
                <w:sz w:val="18"/>
                <w:szCs w:val="18"/>
              </w:rPr>
              <w:tab/>
            </w:r>
            <w:r w:rsidRPr="009337A8">
              <w:rPr>
                <w:sz w:val="18"/>
                <w:szCs w:val="18"/>
              </w:rPr>
              <w:t xml:space="preserve">Должны также приниматься во внимание уровни </w:t>
            </w:r>
            <w:r w:rsidR="006A3BB0">
              <w:rPr>
                <w:sz w:val="18"/>
                <w:szCs w:val="18"/>
              </w:rPr>
              <w:t xml:space="preserve">содержания </w:t>
            </w:r>
            <w:r w:rsidRPr="009337A8">
              <w:rPr>
                <w:sz w:val="18"/>
                <w:szCs w:val="18"/>
              </w:rPr>
              <w:t xml:space="preserve">ртути в биоте. </w:t>
            </w:r>
          </w:p>
        </w:tc>
      </w:tr>
    </w:tbl>
    <w:p w14:paraId="307361F3" w14:textId="77777777" w:rsidR="00A839F6" w:rsidRPr="00A839F6" w:rsidRDefault="00A839F6" w:rsidP="00A839F6">
      <w:pPr>
        <w:rPr>
          <w:rFonts w:asciiTheme="majorBidi" w:hAnsiTheme="majorBidi" w:cstheme="majorBidi"/>
          <w:sz w:val="12"/>
          <w:szCs w:val="12"/>
        </w:rPr>
      </w:pPr>
    </w:p>
    <w:tbl>
      <w:tblPr>
        <w:tblStyle w:val="TableGrid"/>
        <w:tblW w:w="5000" w:type="pct"/>
        <w:jc w:val="center"/>
        <w:tblLayout w:type="fixed"/>
        <w:tblCellMar>
          <w:left w:w="57" w:type="dxa"/>
          <w:right w:w="57" w:type="dxa"/>
        </w:tblCellMar>
        <w:tblLook w:val="04A0" w:firstRow="1" w:lastRow="0" w:firstColumn="1" w:lastColumn="0" w:noHBand="0" w:noVBand="1"/>
      </w:tblPr>
      <w:tblGrid>
        <w:gridCol w:w="3150"/>
        <w:gridCol w:w="5840"/>
        <w:gridCol w:w="2807"/>
        <w:gridCol w:w="2621"/>
      </w:tblGrid>
      <w:tr w:rsidR="00A839F6" w:rsidRPr="00F54B53" w14:paraId="196EB882" w14:textId="77777777" w:rsidTr="00F54B53">
        <w:trPr>
          <w:trHeight w:val="454"/>
          <w:jc w:val="center"/>
        </w:trPr>
        <w:tc>
          <w:tcPr>
            <w:tcW w:w="8075" w:type="dxa"/>
            <w:gridSpan w:val="2"/>
            <w:shd w:val="clear" w:color="auto" w:fill="B8CCE4" w:themeFill="accent1" w:themeFillTint="66"/>
          </w:tcPr>
          <w:p w14:paraId="558165C4" w14:textId="48CC0551" w:rsidR="00A839F6" w:rsidRPr="00F54B53" w:rsidRDefault="00A839F6" w:rsidP="00F54B53">
            <w:pPr>
              <w:tabs>
                <w:tab w:val="clear" w:pos="1247"/>
                <w:tab w:val="clear" w:pos="1814"/>
                <w:tab w:val="clear" w:pos="2381"/>
                <w:tab w:val="clear" w:pos="2948"/>
                <w:tab w:val="clear" w:pos="3515"/>
              </w:tabs>
              <w:spacing w:before="40" w:after="40"/>
              <w:rPr>
                <w:rFonts w:eastAsia="Roboto"/>
                <w:b/>
                <w:bCs/>
                <w:sz w:val="18"/>
                <w:szCs w:val="18"/>
                <w:u w:color="4F81BD"/>
              </w:rPr>
            </w:pPr>
            <w:r w:rsidRPr="00F54B53">
              <w:rPr>
                <w:rFonts w:eastAsia="Roboto"/>
                <w:b/>
                <w:bCs/>
                <w:sz w:val="18"/>
                <w:szCs w:val="18"/>
                <w:u w:color="4F81BD"/>
              </w:rPr>
              <w:t>H. Группа показателей, связанных с информацией и исследованиями</w:t>
            </w:r>
          </w:p>
          <w:p w14:paraId="6029FCC6" w14:textId="650310DF" w:rsidR="00A839F6" w:rsidRPr="00F54B53" w:rsidRDefault="00A839F6" w:rsidP="00AE5B0D">
            <w:pPr>
              <w:tabs>
                <w:tab w:val="clear" w:pos="1247"/>
                <w:tab w:val="clear" w:pos="1814"/>
                <w:tab w:val="clear" w:pos="2381"/>
                <w:tab w:val="clear" w:pos="2948"/>
                <w:tab w:val="clear" w:pos="3515"/>
              </w:tabs>
              <w:spacing w:before="40" w:after="40"/>
              <w:rPr>
                <w:rFonts w:eastAsia="Roboto"/>
                <w:bCs/>
                <w:sz w:val="18"/>
                <w:szCs w:val="18"/>
                <w:u w:color="4F81BD"/>
              </w:rPr>
            </w:pPr>
            <w:r w:rsidRPr="00F54B53">
              <w:rPr>
                <w:rFonts w:eastAsia="Roboto"/>
                <w:b/>
                <w:bCs/>
                <w:sz w:val="18"/>
                <w:szCs w:val="18"/>
                <w:u w:color="4F81BD"/>
              </w:rPr>
              <w:t>Статья 17 (обмен информацией);</w:t>
            </w:r>
            <w:r w:rsidRPr="00F54B53">
              <w:rPr>
                <w:rFonts w:eastAsia="Roboto"/>
                <w:bCs/>
                <w:sz w:val="18"/>
                <w:szCs w:val="18"/>
                <w:u w:color="4F81BD"/>
              </w:rPr>
              <w:t xml:space="preserve"> </w:t>
            </w:r>
            <w:r w:rsidRPr="00F54B53">
              <w:rPr>
                <w:rFonts w:eastAsia="Roboto"/>
                <w:b/>
                <w:bCs/>
                <w:sz w:val="18"/>
                <w:szCs w:val="18"/>
                <w:u w:color="4F81BD"/>
              </w:rPr>
              <w:t>статья 18 (информирование, повышение осведомленности и просвещение общественности);</w:t>
            </w:r>
            <w:r w:rsidRPr="00F54B53">
              <w:rPr>
                <w:rFonts w:eastAsia="Roboto"/>
                <w:bCs/>
                <w:sz w:val="18"/>
                <w:szCs w:val="18"/>
                <w:u w:color="4F81BD"/>
              </w:rPr>
              <w:t xml:space="preserve"> </w:t>
            </w:r>
            <w:r w:rsidRPr="00F54B53">
              <w:rPr>
                <w:rFonts w:eastAsia="Roboto"/>
                <w:b/>
                <w:bCs/>
                <w:sz w:val="18"/>
                <w:szCs w:val="18"/>
                <w:u w:color="4F81BD"/>
              </w:rPr>
              <w:t>статья 19 (научные исследования, разработки и мониторинг)</w:t>
            </w:r>
          </w:p>
        </w:tc>
        <w:tc>
          <w:tcPr>
            <w:tcW w:w="2521" w:type="dxa"/>
            <w:shd w:val="clear" w:color="auto" w:fill="B8CCE4" w:themeFill="accent1" w:themeFillTint="66"/>
          </w:tcPr>
          <w:p w14:paraId="45D31956" w14:textId="77777777" w:rsidR="00A839F6" w:rsidRPr="000C61C3" w:rsidRDefault="00A839F6" w:rsidP="000C61C3">
            <w:pPr>
              <w:tabs>
                <w:tab w:val="clear" w:pos="1247"/>
                <w:tab w:val="clear" w:pos="1814"/>
                <w:tab w:val="clear" w:pos="2381"/>
                <w:tab w:val="clear" w:pos="2948"/>
                <w:tab w:val="clear" w:pos="3515"/>
              </w:tabs>
              <w:spacing w:before="40" w:after="40"/>
              <w:rPr>
                <w:b/>
                <w:bCs/>
                <w:sz w:val="18"/>
                <w:szCs w:val="18"/>
              </w:rPr>
            </w:pPr>
            <w:r w:rsidRPr="000C61C3">
              <w:rPr>
                <w:b/>
                <w:bCs/>
                <w:sz w:val="18"/>
                <w:szCs w:val="18"/>
              </w:rPr>
              <w:t>Источник информации для расчета показателя</w:t>
            </w:r>
          </w:p>
        </w:tc>
        <w:tc>
          <w:tcPr>
            <w:tcW w:w="2354" w:type="dxa"/>
            <w:shd w:val="clear" w:color="auto" w:fill="B8CCE4" w:themeFill="accent1" w:themeFillTint="66"/>
          </w:tcPr>
          <w:p w14:paraId="4E7FD72D" w14:textId="77777777" w:rsidR="00A839F6" w:rsidRPr="000C61C3" w:rsidRDefault="00A839F6" w:rsidP="000C61C3">
            <w:pPr>
              <w:tabs>
                <w:tab w:val="clear" w:pos="1247"/>
                <w:tab w:val="clear" w:pos="1814"/>
                <w:tab w:val="clear" w:pos="2381"/>
                <w:tab w:val="clear" w:pos="2948"/>
                <w:tab w:val="clear" w:pos="3515"/>
              </w:tabs>
              <w:spacing w:before="40" w:after="40"/>
              <w:rPr>
                <w:b/>
                <w:bCs/>
                <w:sz w:val="18"/>
                <w:szCs w:val="18"/>
              </w:rPr>
            </w:pPr>
            <w:r w:rsidRPr="000C61C3">
              <w:rPr>
                <w:b/>
                <w:bCs/>
                <w:sz w:val="18"/>
                <w:szCs w:val="18"/>
              </w:rPr>
              <w:t>Исходное значение показателя</w:t>
            </w:r>
          </w:p>
        </w:tc>
      </w:tr>
      <w:tr w:rsidR="00A839F6" w:rsidRPr="00F54B53" w14:paraId="436BA6CD" w14:textId="77777777" w:rsidTr="00F54B53">
        <w:trPr>
          <w:trHeight w:val="227"/>
          <w:jc w:val="center"/>
        </w:trPr>
        <w:tc>
          <w:tcPr>
            <w:tcW w:w="2830" w:type="dxa"/>
            <w:shd w:val="clear" w:color="auto" w:fill="B8CCE4" w:themeFill="accent1" w:themeFillTint="66"/>
          </w:tcPr>
          <w:p w14:paraId="47A920ED" w14:textId="77777777" w:rsidR="00A839F6" w:rsidRPr="00F54B53" w:rsidRDefault="00A839F6" w:rsidP="00F54B53">
            <w:pPr>
              <w:tabs>
                <w:tab w:val="clear" w:pos="1247"/>
                <w:tab w:val="clear" w:pos="1814"/>
                <w:tab w:val="clear" w:pos="2381"/>
                <w:tab w:val="clear" w:pos="2948"/>
                <w:tab w:val="clear" w:pos="3515"/>
              </w:tabs>
              <w:spacing w:before="40" w:after="40"/>
              <w:rPr>
                <w:b/>
                <w:sz w:val="18"/>
                <w:szCs w:val="18"/>
                <w:lang w:val="en-GB"/>
              </w:rPr>
            </w:pPr>
            <w:r w:rsidRPr="00F54B53">
              <w:rPr>
                <w:b/>
                <w:bCs/>
                <w:sz w:val="18"/>
                <w:szCs w:val="18"/>
              </w:rPr>
              <w:t>Статья 17</w:t>
            </w:r>
          </w:p>
        </w:tc>
        <w:tc>
          <w:tcPr>
            <w:tcW w:w="5245" w:type="dxa"/>
            <w:shd w:val="clear" w:color="auto" w:fill="B8CCE4" w:themeFill="accent1" w:themeFillTint="66"/>
          </w:tcPr>
          <w:p w14:paraId="3E610BCD" w14:textId="77777777" w:rsidR="00A839F6" w:rsidRPr="00F54B53" w:rsidRDefault="00A839F6" w:rsidP="00F54B53">
            <w:pPr>
              <w:tabs>
                <w:tab w:val="clear" w:pos="1247"/>
                <w:tab w:val="clear" w:pos="1814"/>
                <w:tab w:val="clear" w:pos="2381"/>
                <w:tab w:val="clear" w:pos="2948"/>
                <w:tab w:val="clear" w:pos="3515"/>
              </w:tabs>
              <w:spacing w:before="40" w:after="40"/>
              <w:rPr>
                <w:sz w:val="18"/>
                <w:szCs w:val="18"/>
                <w:lang w:val="en-GB"/>
              </w:rPr>
            </w:pPr>
          </w:p>
        </w:tc>
        <w:tc>
          <w:tcPr>
            <w:tcW w:w="2521" w:type="dxa"/>
            <w:shd w:val="clear" w:color="auto" w:fill="B8CCE4" w:themeFill="accent1" w:themeFillTint="66"/>
          </w:tcPr>
          <w:p w14:paraId="2C0E79F0" w14:textId="77777777" w:rsidR="00A839F6" w:rsidRPr="00F54B53" w:rsidRDefault="00A839F6" w:rsidP="00F54B53">
            <w:pPr>
              <w:tabs>
                <w:tab w:val="clear" w:pos="1247"/>
                <w:tab w:val="clear" w:pos="1814"/>
                <w:tab w:val="clear" w:pos="2381"/>
                <w:tab w:val="clear" w:pos="2948"/>
                <w:tab w:val="clear" w:pos="3515"/>
              </w:tabs>
              <w:spacing w:before="40" w:after="40"/>
              <w:rPr>
                <w:sz w:val="18"/>
                <w:szCs w:val="18"/>
                <w:lang w:val="en-GB"/>
              </w:rPr>
            </w:pPr>
          </w:p>
        </w:tc>
        <w:tc>
          <w:tcPr>
            <w:tcW w:w="2354" w:type="dxa"/>
            <w:shd w:val="clear" w:color="auto" w:fill="B8CCE4" w:themeFill="accent1" w:themeFillTint="66"/>
          </w:tcPr>
          <w:p w14:paraId="4268A416" w14:textId="77777777" w:rsidR="00A839F6" w:rsidRPr="00F54B53" w:rsidRDefault="00A839F6" w:rsidP="00F54B53">
            <w:pPr>
              <w:tabs>
                <w:tab w:val="clear" w:pos="1247"/>
                <w:tab w:val="clear" w:pos="1814"/>
                <w:tab w:val="clear" w:pos="2381"/>
                <w:tab w:val="clear" w:pos="2948"/>
                <w:tab w:val="clear" w:pos="3515"/>
              </w:tabs>
              <w:spacing w:before="40" w:after="40"/>
              <w:rPr>
                <w:sz w:val="18"/>
                <w:szCs w:val="18"/>
                <w:lang w:val="en-GB"/>
              </w:rPr>
            </w:pPr>
          </w:p>
        </w:tc>
      </w:tr>
      <w:tr w:rsidR="00A839F6" w:rsidRPr="00F54B53" w14:paraId="72DF08F5" w14:textId="77777777" w:rsidTr="00F54B53">
        <w:trPr>
          <w:trHeight w:val="255"/>
          <w:jc w:val="center"/>
        </w:trPr>
        <w:tc>
          <w:tcPr>
            <w:tcW w:w="2830" w:type="dxa"/>
          </w:tcPr>
          <w:p w14:paraId="13EAD2E7" w14:textId="77777777" w:rsidR="00A839F6" w:rsidRPr="00F54B53" w:rsidRDefault="00A839F6" w:rsidP="00F54B53">
            <w:pPr>
              <w:tabs>
                <w:tab w:val="clear" w:pos="1247"/>
                <w:tab w:val="clear" w:pos="1814"/>
                <w:tab w:val="clear" w:pos="2381"/>
                <w:tab w:val="clear" w:pos="2948"/>
                <w:tab w:val="clear" w:pos="3515"/>
              </w:tabs>
              <w:spacing w:before="40" w:after="40"/>
              <w:rPr>
                <w:sz w:val="18"/>
                <w:szCs w:val="18"/>
              </w:rPr>
            </w:pPr>
            <w:r w:rsidRPr="00F54B53">
              <w:rPr>
                <w:sz w:val="18"/>
                <w:szCs w:val="18"/>
              </w:rPr>
              <w:t>Н1. Показатель процесса для статьи 17</w:t>
            </w:r>
          </w:p>
        </w:tc>
        <w:tc>
          <w:tcPr>
            <w:tcW w:w="5245" w:type="dxa"/>
          </w:tcPr>
          <w:p w14:paraId="32A9A5E3"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F54B53">
              <w:rPr>
                <w:sz w:val="18"/>
                <w:szCs w:val="18"/>
              </w:rPr>
              <w:t>Число Сторон, имеющих специализированные национальные координационные центры</w:t>
            </w:r>
          </w:p>
        </w:tc>
        <w:tc>
          <w:tcPr>
            <w:tcW w:w="2521" w:type="dxa"/>
          </w:tcPr>
          <w:p w14:paraId="314DB142"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 Отчетность в соответствии со статьей 21</w:t>
            </w:r>
          </w:p>
        </w:tc>
        <w:tc>
          <w:tcPr>
            <w:tcW w:w="2354" w:type="dxa"/>
          </w:tcPr>
          <w:p w14:paraId="0C9608DF"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Значение при проведении первой оценки</w:t>
            </w:r>
          </w:p>
        </w:tc>
      </w:tr>
      <w:tr w:rsidR="00A839F6" w:rsidRPr="00F54B53" w14:paraId="6B501CE1" w14:textId="77777777" w:rsidTr="00F54B53">
        <w:trPr>
          <w:trHeight w:val="454"/>
          <w:jc w:val="center"/>
        </w:trPr>
        <w:tc>
          <w:tcPr>
            <w:tcW w:w="2830" w:type="dxa"/>
          </w:tcPr>
          <w:p w14:paraId="716796D0" w14:textId="77777777" w:rsidR="00A839F6" w:rsidRPr="00F54B53" w:rsidRDefault="00A839F6" w:rsidP="00F54B53">
            <w:pPr>
              <w:tabs>
                <w:tab w:val="clear" w:pos="1247"/>
                <w:tab w:val="clear" w:pos="1814"/>
                <w:tab w:val="clear" w:pos="2381"/>
                <w:tab w:val="clear" w:pos="2948"/>
                <w:tab w:val="clear" w:pos="3515"/>
              </w:tabs>
              <w:spacing w:before="40" w:after="40"/>
              <w:rPr>
                <w:sz w:val="18"/>
                <w:szCs w:val="18"/>
              </w:rPr>
            </w:pPr>
            <w:r w:rsidRPr="00F54B53">
              <w:rPr>
                <w:sz w:val="18"/>
                <w:szCs w:val="18"/>
              </w:rPr>
              <w:t>H2. Показатель процесса для статьи 17</w:t>
            </w:r>
          </w:p>
        </w:tc>
        <w:tc>
          <w:tcPr>
            <w:tcW w:w="5245" w:type="dxa"/>
          </w:tcPr>
          <w:p w14:paraId="2E11947D"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 xml:space="preserve">Число Сторон, которые способствовали обмену информацией, касающейся ртути </w:t>
            </w:r>
          </w:p>
        </w:tc>
        <w:tc>
          <w:tcPr>
            <w:tcW w:w="2521" w:type="dxa"/>
          </w:tcPr>
          <w:p w14:paraId="737A3AAD"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 Отчетность в соответствии со статьей 21</w:t>
            </w:r>
          </w:p>
        </w:tc>
        <w:tc>
          <w:tcPr>
            <w:tcW w:w="2354" w:type="dxa"/>
          </w:tcPr>
          <w:p w14:paraId="3329F2B0"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Значение при проведении первой оценки</w:t>
            </w:r>
          </w:p>
        </w:tc>
      </w:tr>
      <w:tr w:rsidR="00A839F6" w:rsidRPr="00F54B53" w14:paraId="59343723" w14:textId="77777777" w:rsidTr="00F54B53">
        <w:trPr>
          <w:trHeight w:val="227"/>
          <w:jc w:val="center"/>
        </w:trPr>
        <w:tc>
          <w:tcPr>
            <w:tcW w:w="2830" w:type="dxa"/>
            <w:shd w:val="clear" w:color="auto" w:fill="B8CCE4" w:themeFill="accent1" w:themeFillTint="66"/>
          </w:tcPr>
          <w:p w14:paraId="7B70E6DC"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b/>
                <w:sz w:val="18"/>
                <w:szCs w:val="18"/>
                <w:lang w:val="en-GB"/>
              </w:rPr>
            </w:pPr>
            <w:r w:rsidRPr="00F54B53">
              <w:rPr>
                <w:b/>
                <w:bCs/>
                <w:sz w:val="18"/>
                <w:szCs w:val="18"/>
              </w:rPr>
              <w:t>Статья 18</w:t>
            </w:r>
          </w:p>
        </w:tc>
        <w:tc>
          <w:tcPr>
            <w:tcW w:w="5245" w:type="dxa"/>
            <w:shd w:val="clear" w:color="auto" w:fill="B8CCE4" w:themeFill="accent1" w:themeFillTint="66"/>
          </w:tcPr>
          <w:p w14:paraId="35558154"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c>
          <w:tcPr>
            <w:tcW w:w="2521" w:type="dxa"/>
            <w:shd w:val="clear" w:color="auto" w:fill="B8CCE4" w:themeFill="accent1" w:themeFillTint="66"/>
          </w:tcPr>
          <w:p w14:paraId="2C4F53A6"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c>
          <w:tcPr>
            <w:tcW w:w="2354" w:type="dxa"/>
            <w:shd w:val="clear" w:color="auto" w:fill="B8CCE4" w:themeFill="accent1" w:themeFillTint="66"/>
          </w:tcPr>
          <w:p w14:paraId="7A48E2DD"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r>
      <w:tr w:rsidR="00A839F6" w:rsidRPr="00F54B53" w14:paraId="5D962FEE" w14:textId="77777777" w:rsidTr="00F54B53">
        <w:trPr>
          <w:trHeight w:val="255"/>
          <w:jc w:val="center"/>
        </w:trPr>
        <w:tc>
          <w:tcPr>
            <w:tcW w:w="2830" w:type="dxa"/>
          </w:tcPr>
          <w:p w14:paraId="4334277C"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F54B53">
              <w:rPr>
                <w:sz w:val="18"/>
                <w:szCs w:val="18"/>
              </w:rPr>
              <w:t>H3. Показатель процесса для статьи 18</w:t>
            </w:r>
          </w:p>
        </w:tc>
        <w:tc>
          <w:tcPr>
            <w:tcW w:w="5245" w:type="dxa"/>
          </w:tcPr>
          <w:p w14:paraId="42DB9DDB"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Число Сторон, принявших меры по осуществлению статьи 18</w:t>
            </w:r>
          </w:p>
        </w:tc>
        <w:tc>
          <w:tcPr>
            <w:tcW w:w="2521" w:type="dxa"/>
          </w:tcPr>
          <w:p w14:paraId="7E43C447"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 Отчетность в соответствии со статьей 21</w:t>
            </w:r>
          </w:p>
        </w:tc>
        <w:tc>
          <w:tcPr>
            <w:tcW w:w="2354" w:type="dxa"/>
          </w:tcPr>
          <w:p w14:paraId="08CDE350"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Значение при проведении первой оценки</w:t>
            </w:r>
          </w:p>
        </w:tc>
      </w:tr>
      <w:tr w:rsidR="00A839F6" w:rsidRPr="00F54B53" w14:paraId="5CF12D5B" w14:textId="77777777" w:rsidTr="00F54B53">
        <w:trPr>
          <w:trHeight w:val="454"/>
          <w:jc w:val="center"/>
        </w:trPr>
        <w:tc>
          <w:tcPr>
            <w:tcW w:w="2830" w:type="dxa"/>
          </w:tcPr>
          <w:p w14:paraId="65B99C51"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F54B53">
              <w:rPr>
                <w:sz w:val="18"/>
                <w:szCs w:val="18"/>
              </w:rPr>
              <w:t>Н4. Показатель процесса для статьи 18</w:t>
            </w:r>
          </w:p>
        </w:tc>
        <w:tc>
          <w:tcPr>
            <w:tcW w:w="5245" w:type="dxa"/>
          </w:tcPr>
          <w:p w14:paraId="1CAECDFB"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Среднее количество осуществляемых Сторонами мер в соответствии с пунктом 1 статьи 18</w:t>
            </w:r>
          </w:p>
        </w:tc>
        <w:tc>
          <w:tcPr>
            <w:tcW w:w="2521" w:type="dxa"/>
          </w:tcPr>
          <w:p w14:paraId="7920E801"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 На основе отчетности согласно статье 21</w:t>
            </w:r>
          </w:p>
        </w:tc>
        <w:tc>
          <w:tcPr>
            <w:tcW w:w="2354" w:type="dxa"/>
          </w:tcPr>
          <w:p w14:paraId="7E7155B0"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Значение при проведении первой оценки</w:t>
            </w:r>
          </w:p>
        </w:tc>
      </w:tr>
      <w:tr w:rsidR="00A839F6" w:rsidRPr="00F54B53" w14:paraId="5C2F96E7" w14:textId="77777777" w:rsidTr="00F54B53">
        <w:trPr>
          <w:trHeight w:val="454"/>
          <w:jc w:val="center"/>
        </w:trPr>
        <w:tc>
          <w:tcPr>
            <w:tcW w:w="2830" w:type="dxa"/>
          </w:tcPr>
          <w:p w14:paraId="2B65F5F8"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F54B53">
              <w:rPr>
                <w:sz w:val="18"/>
                <w:szCs w:val="18"/>
              </w:rPr>
              <w:t>H5. Показатель процесса для статьи 18</w:t>
            </w:r>
          </w:p>
        </w:tc>
        <w:tc>
          <w:tcPr>
            <w:tcW w:w="5245" w:type="dxa"/>
          </w:tcPr>
          <w:p w14:paraId="0199F2E1"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Число Сторон, которые располагают открытой информацией об уровнях содержания ртути в воздухе, организме человека и биоте на их территории</w:t>
            </w:r>
          </w:p>
        </w:tc>
        <w:tc>
          <w:tcPr>
            <w:tcW w:w="2521" w:type="dxa"/>
          </w:tcPr>
          <w:p w14:paraId="0A0755AB"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 Отчетность в соответствии со статьей 21</w:t>
            </w:r>
          </w:p>
        </w:tc>
        <w:tc>
          <w:tcPr>
            <w:tcW w:w="2354" w:type="dxa"/>
          </w:tcPr>
          <w:p w14:paraId="566E2FE0"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Значение при проведении первой оценки</w:t>
            </w:r>
          </w:p>
        </w:tc>
      </w:tr>
      <w:tr w:rsidR="00A839F6" w:rsidRPr="00F54B53" w14:paraId="0955BB48" w14:textId="77777777" w:rsidTr="00F54B53">
        <w:trPr>
          <w:trHeight w:val="454"/>
          <w:jc w:val="center"/>
        </w:trPr>
        <w:tc>
          <w:tcPr>
            <w:tcW w:w="2830" w:type="dxa"/>
          </w:tcPr>
          <w:p w14:paraId="28BCFB14" w14:textId="1CE75832"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F54B53">
              <w:rPr>
                <w:sz w:val="18"/>
                <w:szCs w:val="18"/>
              </w:rPr>
              <w:t>H6. Показатель процесса для статьи 18</w:t>
            </w:r>
          </w:p>
        </w:tc>
        <w:tc>
          <w:tcPr>
            <w:tcW w:w="5245" w:type="dxa"/>
          </w:tcPr>
          <w:p w14:paraId="74F8FBF7"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Число Сторон, которые занимаются на своей территории информированием о потенциальной опасности попадания ртути в организм человека с едой или водой</w:t>
            </w:r>
          </w:p>
        </w:tc>
        <w:tc>
          <w:tcPr>
            <w:tcW w:w="2521" w:type="dxa"/>
          </w:tcPr>
          <w:p w14:paraId="0EE71A6F"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 Отчетность в соответствии со статьей 21</w:t>
            </w:r>
          </w:p>
        </w:tc>
        <w:tc>
          <w:tcPr>
            <w:tcW w:w="2354" w:type="dxa"/>
          </w:tcPr>
          <w:p w14:paraId="52EDD6C9"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Значение при проведении первой оценки</w:t>
            </w:r>
          </w:p>
        </w:tc>
      </w:tr>
      <w:tr w:rsidR="00A839F6" w:rsidRPr="00F54B53" w14:paraId="49193A28" w14:textId="77777777" w:rsidTr="00F54B53">
        <w:trPr>
          <w:trHeight w:val="227"/>
          <w:jc w:val="center"/>
        </w:trPr>
        <w:tc>
          <w:tcPr>
            <w:tcW w:w="2830" w:type="dxa"/>
            <w:shd w:val="clear" w:color="auto" w:fill="B8CCE4" w:themeFill="accent1" w:themeFillTint="66"/>
          </w:tcPr>
          <w:p w14:paraId="38FE7FF7" w14:textId="77777777" w:rsidR="00A839F6" w:rsidRPr="00F54B53" w:rsidRDefault="00A839F6" w:rsidP="00F54B53">
            <w:pPr>
              <w:keepNext/>
              <w:pBdr>
                <w:top w:val="nil"/>
                <w:left w:val="nil"/>
                <w:bottom w:val="nil"/>
                <w:right w:val="nil"/>
                <w:between w:val="nil"/>
                <w:bar w:val="nil"/>
              </w:pBdr>
              <w:tabs>
                <w:tab w:val="clear" w:pos="1247"/>
                <w:tab w:val="clear" w:pos="1814"/>
                <w:tab w:val="clear" w:pos="2381"/>
                <w:tab w:val="clear" w:pos="2948"/>
                <w:tab w:val="clear" w:pos="3515"/>
              </w:tabs>
              <w:spacing w:before="40" w:after="40"/>
              <w:rPr>
                <w:b/>
                <w:bCs/>
                <w:sz w:val="18"/>
                <w:szCs w:val="18"/>
                <w:lang w:val="en-GB"/>
              </w:rPr>
            </w:pPr>
            <w:r w:rsidRPr="00F54B53">
              <w:rPr>
                <w:b/>
                <w:bCs/>
                <w:sz w:val="18"/>
                <w:szCs w:val="18"/>
              </w:rPr>
              <w:t>Статья 19</w:t>
            </w:r>
          </w:p>
        </w:tc>
        <w:tc>
          <w:tcPr>
            <w:tcW w:w="5245" w:type="dxa"/>
            <w:shd w:val="clear" w:color="auto" w:fill="B8CCE4" w:themeFill="accent1" w:themeFillTint="66"/>
          </w:tcPr>
          <w:p w14:paraId="167FF329" w14:textId="77777777" w:rsidR="00A839F6" w:rsidRPr="00F54B53" w:rsidRDefault="00A839F6" w:rsidP="00F54B53">
            <w:pPr>
              <w:keepNext/>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c>
          <w:tcPr>
            <w:tcW w:w="2521" w:type="dxa"/>
            <w:shd w:val="clear" w:color="auto" w:fill="B8CCE4" w:themeFill="accent1" w:themeFillTint="66"/>
          </w:tcPr>
          <w:p w14:paraId="45A029DC" w14:textId="77777777" w:rsidR="00A839F6" w:rsidRPr="00F54B53" w:rsidRDefault="00A839F6" w:rsidP="00F54B53">
            <w:pPr>
              <w:keepNext/>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c>
          <w:tcPr>
            <w:tcW w:w="2354" w:type="dxa"/>
            <w:shd w:val="clear" w:color="auto" w:fill="B8CCE4" w:themeFill="accent1" w:themeFillTint="66"/>
          </w:tcPr>
          <w:p w14:paraId="2C72BF14" w14:textId="77777777" w:rsidR="00A839F6" w:rsidRPr="00F54B53" w:rsidRDefault="00A839F6" w:rsidP="00F54B53">
            <w:pPr>
              <w:keepNext/>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lang w:val="en-GB"/>
              </w:rPr>
            </w:pPr>
          </w:p>
        </w:tc>
      </w:tr>
      <w:tr w:rsidR="00A839F6" w:rsidRPr="00F54B53" w14:paraId="6CD3A281" w14:textId="77777777" w:rsidTr="00F54B53">
        <w:trPr>
          <w:trHeight w:val="454"/>
          <w:jc w:val="center"/>
        </w:trPr>
        <w:tc>
          <w:tcPr>
            <w:tcW w:w="2830" w:type="dxa"/>
          </w:tcPr>
          <w:p w14:paraId="67D8ECD7"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F54B53">
              <w:rPr>
                <w:sz w:val="18"/>
                <w:szCs w:val="18"/>
              </w:rPr>
              <w:t>Н7. Показатель процесса для статьи 19</w:t>
            </w:r>
          </w:p>
        </w:tc>
        <w:tc>
          <w:tcPr>
            <w:tcW w:w="5245" w:type="dxa"/>
          </w:tcPr>
          <w:p w14:paraId="0802EBEB"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 xml:space="preserve">Число Сторон, которые проводят исследования, разработки и мониторинг в соответствии с пунктом 1 статьи 19 </w:t>
            </w:r>
          </w:p>
        </w:tc>
        <w:tc>
          <w:tcPr>
            <w:tcW w:w="2521" w:type="dxa"/>
          </w:tcPr>
          <w:p w14:paraId="73215ADA"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 Отчетность в соответствии со статьей 21</w:t>
            </w:r>
          </w:p>
        </w:tc>
        <w:tc>
          <w:tcPr>
            <w:tcW w:w="2354" w:type="dxa"/>
          </w:tcPr>
          <w:p w14:paraId="61A75E25"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Значение при проведении первой оценки</w:t>
            </w:r>
          </w:p>
        </w:tc>
      </w:tr>
      <w:tr w:rsidR="00A839F6" w:rsidRPr="00F54B53" w14:paraId="1641CBA9" w14:textId="77777777" w:rsidTr="00F54B53">
        <w:trPr>
          <w:trHeight w:val="624"/>
          <w:jc w:val="center"/>
        </w:trPr>
        <w:tc>
          <w:tcPr>
            <w:tcW w:w="2830" w:type="dxa"/>
          </w:tcPr>
          <w:p w14:paraId="0E0E32BE"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F54B53">
              <w:rPr>
                <w:sz w:val="18"/>
                <w:szCs w:val="18"/>
              </w:rPr>
              <w:t>H8. Показатель процесса для статьи 19</w:t>
            </w:r>
          </w:p>
        </w:tc>
        <w:tc>
          <w:tcPr>
            <w:tcW w:w="5245" w:type="dxa"/>
          </w:tcPr>
          <w:p w14:paraId="51BD4A83"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Число Сторон, которые предоставляют данные и сведения для проведения комплексных оценок</w:t>
            </w:r>
          </w:p>
        </w:tc>
        <w:tc>
          <w:tcPr>
            <w:tcW w:w="2521" w:type="dxa"/>
          </w:tcPr>
          <w:p w14:paraId="65E052DD"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iCs/>
                <w:sz w:val="18"/>
                <w:szCs w:val="18"/>
              </w:rPr>
            </w:pPr>
            <w:r w:rsidRPr="00F54B53">
              <w:rPr>
                <w:sz w:val="18"/>
                <w:szCs w:val="18"/>
              </w:rPr>
              <w:t>- Существующие сети мониторинга, базы данных, научные данные и научная литература</w:t>
            </w:r>
          </w:p>
        </w:tc>
        <w:tc>
          <w:tcPr>
            <w:tcW w:w="2354" w:type="dxa"/>
          </w:tcPr>
          <w:p w14:paraId="69D7C8DE"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F54B53">
              <w:rPr>
                <w:sz w:val="18"/>
                <w:szCs w:val="18"/>
              </w:rPr>
              <w:t>Значение при проведении первой оценки</w:t>
            </w:r>
          </w:p>
        </w:tc>
      </w:tr>
      <w:tr w:rsidR="00A839F6" w:rsidRPr="00F54B53" w14:paraId="4C175F0E" w14:textId="77777777" w:rsidTr="00F54B53">
        <w:trPr>
          <w:trHeight w:val="624"/>
          <w:jc w:val="center"/>
        </w:trPr>
        <w:tc>
          <w:tcPr>
            <w:tcW w:w="2830" w:type="dxa"/>
          </w:tcPr>
          <w:p w14:paraId="752ED228"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F54B53">
              <w:rPr>
                <w:sz w:val="18"/>
                <w:szCs w:val="18"/>
              </w:rPr>
              <w:t xml:space="preserve">H9. Дополнительный показатель результата для статьи 19 </w:t>
            </w:r>
          </w:p>
        </w:tc>
        <w:tc>
          <w:tcPr>
            <w:tcW w:w="5245" w:type="dxa"/>
          </w:tcPr>
          <w:p w14:paraId="2041387A" w14:textId="26400A9A"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eastAsia="Roboto"/>
                <w:sz w:val="18"/>
                <w:szCs w:val="18"/>
              </w:rPr>
            </w:pPr>
            <w:r w:rsidRPr="00F54B53">
              <w:rPr>
                <w:sz w:val="18"/>
                <w:szCs w:val="18"/>
              </w:rPr>
              <w:t>Число регионов, способствующи</w:t>
            </w:r>
            <w:r w:rsidR="00AE5B0D">
              <w:rPr>
                <w:sz w:val="18"/>
                <w:szCs w:val="18"/>
              </w:rPr>
              <w:t>х</w:t>
            </w:r>
            <w:r w:rsidRPr="00F54B53">
              <w:rPr>
                <w:sz w:val="18"/>
                <w:szCs w:val="18"/>
              </w:rPr>
              <w:t xml:space="preserve"> созданию региональных баз данных</w:t>
            </w:r>
          </w:p>
        </w:tc>
        <w:tc>
          <w:tcPr>
            <w:tcW w:w="2521" w:type="dxa"/>
          </w:tcPr>
          <w:p w14:paraId="01206230"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iCs/>
                <w:sz w:val="18"/>
                <w:szCs w:val="18"/>
              </w:rPr>
            </w:pPr>
            <w:r w:rsidRPr="00F54B53">
              <w:rPr>
                <w:sz w:val="18"/>
                <w:szCs w:val="18"/>
              </w:rPr>
              <w:t>- Существующие сети мониторинга, базы данных, научные данные и научная литература</w:t>
            </w:r>
          </w:p>
        </w:tc>
        <w:tc>
          <w:tcPr>
            <w:tcW w:w="2354" w:type="dxa"/>
          </w:tcPr>
          <w:p w14:paraId="526371F3"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rPr>
                <w:sz w:val="18"/>
                <w:szCs w:val="18"/>
              </w:rPr>
            </w:pPr>
            <w:r w:rsidRPr="00F54B53">
              <w:rPr>
                <w:sz w:val="18"/>
                <w:szCs w:val="18"/>
              </w:rPr>
              <w:t>Значение при проведении первой оценки</w:t>
            </w:r>
          </w:p>
        </w:tc>
      </w:tr>
      <w:tr w:rsidR="00A839F6" w:rsidRPr="00F54B53" w14:paraId="1B42D02D" w14:textId="77777777" w:rsidTr="00F54B53">
        <w:trPr>
          <w:trHeight w:val="227"/>
          <w:jc w:val="center"/>
        </w:trPr>
        <w:tc>
          <w:tcPr>
            <w:tcW w:w="2830" w:type="dxa"/>
            <w:shd w:val="clear" w:color="auto" w:fill="B8CCE4" w:themeFill="accent1" w:themeFillTint="66"/>
          </w:tcPr>
          <w:p w14:paraId="37A670FB" w14:textId="05E2FD1B" w:rsidR="00A839F6" w:rsidRPr="00F54B53" w:rsidRDefault="00A839F6" w:rsidP="00F54B53">
            <w:pPr>
              <w:tabs>
                <w:tab w:val="clear" w:pos="1247"/>
                <w:tab w:val="clear" w:pos="1814"/>
                <w:tab w:val="clear" w:pos="2381"/>
                <w:tab w:val="clear" w:pos="2948"/>
                <w:tab w:val="clear" w:pos="3515"/>
              </w:tabs>
              <w:spacing w:before="40" w:after="40"/>
              <w:rPr>
                <w:b/>
                <w:bCs/>
                <w:sz w:val="18"/>
                <w:szCs w:val="18"/>
                <w:lang w:val="en-GB"/>
              </w:rPr>
            </w:pPr>
            <w:r w:rsidRPr="00F54B53">
              <w:rPr>
                <w:b/>
                <w:bCs/>
                <w:sz w:val="18"/>
                <w:szCs w:val="18"/>
              </w:rPr>
              <w:t>Примечани</w:t>
            </w:r>
            <w:r w:rsidR="00E308A4">
              <w:rPr>
                <w:b/>
                <w:bCs/>
                <w:sz w:val="18"/>
                <w:szCs w:val="18"/>
              </w:rPr>
              <w:t>е</w:t>
            </w:r>
          </w:p>
        </w:tc>
        <w:tc>
          <w:tcPr>
            <w:tcW w:w="10120" w:type="dxa"/>
            <w:gridSpan w:val="3"/>
          </w:tcPr>
          <w:p w14:paraId="07491F4F" w14:textId="77777777" w:rsidR="00A839F6" w:rsidRPr="00F54B53" w:rsidRDefault="00A839F6" w:rsidP="00F54B53">
            <w:pPr>
              <w:pBdr>
                <w:top w:val="nil"/>
                <w:left w:val="nil"/>
                <w:bottom w:val="nil"/>
                <w:right w:val="nil"/>
                <w:between w:val="nil"/>
                <w:bar w:val="nil"/>
              </w:pBdr>
              <w:tabs>
                <w:tab w:val="clear" w:pos="1247"/>
                <w:tab w:val="clear" w:pos="1814"/>
                <w:tab w:val="clear" w:pos="2381"/>
                <w:tab w:val="clear" w:pos="2948"/>
                <w:tab w:val="clear" w:pos="3515"/>
              </w:tabs>
              <w:spacing w:before="40" w:after="40"/>
              <w:ind w:left="360" w:hanging="360"/>
              <w:rPr>
                <w:sz w:val="18"/>
                <w:szCs w:val="18"/>
              </w:rPr>
            </w:pPr>
            <w:r w:rsidRPr="00F54B53">
              <w:rPr>
                <w:rFonts w:ascii="Wingdings" w:hAnsi="Wingdings"/>
                <w:sz w:val="18"/>
                <w:szCs w:val="18"/>
              </w:rPr>
              <w:t></w:t>
            </w:r>
            <w:r w:rsidRPr="00F54B53">
              <w:rPr>
                <w:rFonts w:ascii="Wingdings" w:hAnsi="Wingdings"/>
                <w:sz w:val="18"/>
                <w:szCs w:val="18"/>
              </w:rPr>
              <w:tab/>
            </w:r>
            <w:r w:rsidRPr="00F54B53">
              <w:rPr>
                <w:sz w:val="18"/>
                <w:szCs w:val="18"/>
              </w:rPr>
              <w:t xml:space="preserve">Материалы, представляемые в секретариат в дополнение к отчетности согласно статье 21 </w:t>
            </w:r>
          </w:p>
        </w:tc>
      </w:tr>
    </w:tbl>
    <w:p w14:paraId="6D3903D8" w14:textId="77777777" w:rsidR="00A839F6" w:rsidRPr="00A839F6" w:rsidRDefault="00A839F6" w:rsidP="00A839F6">
      <w:pPr>
        <w:rPr>
          <w:rFonts w:asciiTheme="majorBidi" w:hAnsiTheme="majorBidi" w:cstheme="majorBidi"/>
          <w:sz w:val="12"/>
          <w:szCs w:val="12"/>
        </w:rPr>
      </w:pPr>
    </w:p>
    <w:tbl>
      <w:tblPr>
        <w:tblStyle w:val="TableGrid"/>
        <w:tblW w:w="5000" w:type="pct"/>
        <w:jc w:val="center"/>
        <w:tblLayout w:type="fixed"/>
        <w:tblCellMar>
          <w:left w:w="57" w:type="dxa"/>
          <w:right w:w="57" w:type="dxa"/>
        </w:tblCellMar>
        <w:tblLook w:val="04A0" w:firstRow="1" w:lastRow="0" w:firstColumn="1" w:lastColumn="0" w:noHBand="0" w:noVBand="1"/>
      </w:tblPr>
      <w:tblGrid>
        <w:gridCol w:w="3139"/>
        <w:gridCol w:w="5890"/>
        <w:gridCol w:w="2852"/>
        <w:gridCol w:w="2537"/>
      </w:tblGrid>
      <w:tr w:rsidR="00A839F6" w:rsidRPr="000355E0" w14:paraId="48B7D1D0" w14:textId="77777777" w:rsidTr="000355E0">
        <w:trPr>
          <w:trHeight w:val="454"/>
          <w:jc w:val="center"/>
        </w:trPr>
        <w:tc>
          <w:tcPr>
            <w:tcW w:w="8075" w:type="dxa"/>
            <w:gridSpan w:val="2"/>
            <w:shd w:val="clear" w:color="auto" w:fill="B8CCE4" w:themeFill="accent1" w:themeFillTint="66"/>
          </w:tcPr>
          <w:p w14:paraId="3F5569D5" w14:textId="77777777" w:rsidR="00A839F6" w:rsidRPr="000355E0" w:rsidRDefault="00A839F6" w:rsidP="00F0088D">
            <w:pPr>
              <w:keepNext/>
              <w:keepLines/>
              <w:tabs>
                <w:tab w:val="clear" w:pos="1247"/>
                <w:tab w:val="clear" w:pos="1814"/>
                <w:tab w:val="clear" w:pos="2381"/>
                <w:tab w:val="clear" w:pos="2948"/>
                <w:tab w:val="clear" w:pos="3515"/>
              </w:tabs>
              <w:spacing w:before="40" w:after="40"/>
              <w:rPr>
                <w:rFonts w:asciiTheme="majorBidi" w:eastAsia="Roboto" w:hAnsiTheme="majorBidi" w:cstheme="majorBidi"/>
                <w:b/>
                <w:sz w:val="18"/>
                <w:szCs w:val="18"/>
                <w:lang w:val="en-GB"/>
              </w:rPr>
            </w:pPr>
            <w:r w:rsidRPr="000355E0">
              <w:rPr>
                <w:b/>
                <w:bCs/>
                <w:sz w:val="18"/>
                <w:szCs w:val="18"/>
              </w:rPr>
              <w:lastRenderedPageBreak/>
              <w:t>I. Статья 20 (планы осуществления)</w:t>
            </w:r>
          </w:p>
        </w:tc>
        <w:tc>
          <w:tcPr>
            <w:tcW w:w="2551" w:type="dxa"/>
            <w:shd w:val="clear" w:color="auto" w:fill="B8CCE4" w:themeFill="accent1" w:themeFillTint="66"/>
          </w:tcPr>
          <w:p w14:paraId="4AC9EDAA" w14:textId="77777777" w:rsidR="00A839F6" w:rsidRPr="000C61C3" w:rsidRDefault="00A839F6" w:rsidP="000C61C3">
            <w:pPr>
              <w:tabs>
                <w:tab w:val="clear" w:pos="1247"/>
                <w:tab w:val="clear" w:pos="1814"/>
                <w:tab w:val="clear" w:pos="2381"/>
                <w:tab w:val="clear" w:pos="2948"/>
                <w:tab w:val="clear" w:pos="3515"/>
              </w:tabs>
              <w:spacing w:before="40" w:after="40"/>
              <w:rPr>
                <w:b/>
                <w:bCs/>
                <w:sz w:val="18"/>
                <w:szCs w:val="18"/>
              </w:rPr>
            </w:pPr>
            <w:r w:rsidRPr="000C61C3">
              <w:rPr>
                <w:b/>
                <w:bCs/>
                <w:sz w:val="18"/>
                <w:szCs w:val="18"/>
              </w:rPr>
              <w:t>Источник информации для расчета показателя</w:t>
            </w:r>
          </w:p>
        </w:tc>
        <w:tc>
          <w:tcPr>
            <w:tcW w:w="2269" w:type="dxa"/>
            <w:shd w:val="clear" w:color="auto" w:fill="B8CCE4" w:themeFill="accent1" w:themeFillTint="66"/>
          </w:tcPr>
          <w:p w14:paraId="3FAF7211" w14:textId="77777777" w:rsidR="00A839F6" w:rsidRPr="000C61C3" w:rsidRDefault="00A839F6" w:rsidP="000C61C3">
            <w:pPr>
              <w:tabs>
                <w:tab w:val="clear" w:pos="1247"/>
                <w:tab w:val="clear" w:pos="1814"/>
                <w:tab w:val="clear" w:pos="2381"/>
                <w:tab w:val="clear" w:pos="2948"/>
                <w:tab w:val="clear" w:pos="3515"/>
              </w:tabs>
              <w:spacing w:before="40" w:after="40"/>
              <w:rPr>
                <w:b/>
                <w:bCs/>
                <w:sz w:val="18"/>
                <w:szCs w:val="18"/>
              </w:rPr>
            </w:pPr>
            <w:r w:rsidRPr="000C61C3">
              <w:rPr>
                <w:b/>
                <w:bCs/>
                <w:sz w:val="18"/>
                <w:szCs w:val="18"/>
              </w:rPr>
              <w:t>Исходное значение показателя</w:t>
            </w:r>
          </w:p>
        </w:tc>
      </w:tr>
      <w:tr w:rsidR="00A839F6" w:rsidRPr="000355E0" w14:paraId="6ACF9C7E" w14:textId="77777777" w:rsidTr="000355E0">
        <w:trPr>
          <w:trHeight w:val="624"/>
          <w:jc w:val="center"/>
        </w:trPr>
        <w:tc>
          <w:tcPr>
            <w:tcW w:w="2807" w:type="dxa"/>
          </w:tcPr>
          <w:p w14:paraId="4EF8F805" w14:textId="77777777" w:rsidR="00A839F6" w:rsidRPr="000355E0" w:rsidRDefault="00A839F6" w:rsidP="00F0088D">
            <w:pPr>
              <w:keepNext/>
              <w:keepLines/>
              <w:tabs>
                <w:tab w:val="clear" w:pos="1247"/>
                <w:tab w:val="clear" w:pos="1814"/>
                <w:tab w:val="clear" w:pos="2381"/>
                <w:tab w:val="clear" w:pos="2948"/>
                <w:tab w:val="clear" w:pos="3515"/>
              </w:tabs>
              <w:spacing w:before="40" w:after="40"/>
              <w:rPr>
                <w:rFonts w:asciiTheme="majorBidi" w:hAnsiTheme="majorBidi" w:cstheme="majorBidi"/>
                <w:sz w:val="18"/>
                <w:szCs w:val="18"/>
                <w:lang w:val="en-GB"/>
              </w:rPr>
            </w:pPr>
            <w:r w:rsidRPr="000355E0">
              <w:rPr>
                <w:sz w:val="18"/>
                <w:szCs w:val="18"/>
              </w:rPr>
              <w:t>I1. Показатель процесса</w:t>
            </w:r>
          </w:p>
        </w:tc>
        <w:tc>
          <w:tcPr>
            <w:tcW w:w="5268" w:type="dxa"/>
          </w:tcPr>
          <w:p w14:paraId="4EBAF08B" w14:textId="5579B971" w:rsidR="00A839F6" w:rsidRPr="00AA0928" w:rsidRDefault="00A839F6" w:rsidP="00535A20">
            <w:pPr>
              <w:keepNext/>
              <w:keepLines/>
              <w:pBdr>
                <w:top w:val="nil"/>
                <w:left w:val="nil"/>
                <w:bottom w:val="nil"/>
                <w:right w:val="nil"/>
                <w:between w:val="nil"/>
                <w:bar w:val="nil"/>
              </w:pBd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0355E0">
              <w:rPr>
                <w:sz w:val="18"/>
                <w:szCs w:val="18"/>
              </w:rPr>
              <w:t>Число Сторон, представивших планы осуществления</w:t>
            </w:r>
          </w:p>
        </w:tc>
        <w:tc>
          <w:tcPr>
            <w:tcW w:w="2551" w:type="dxa"/>
          </w:tcPr>
          <w:p w14:paraId="74AAEED1" w14:textId="77777777" w:rsidR="00A839F6" w:rsidRPr="000355E0" w:rsidRDefault="00A839F6" w:rsidP="00F0088D">
            <w:pPr>
              <w:keepNext/>
              <w:keepLines/>
              <w:tabs>
                <w:tab w:val="clear" w:pos="1247"/>
                <w:tab w:val="clear" w:pos="1814"/>
                <w:tab w:val="clear" w:pos="2381"/>
                <w:tab w:val="clear" w:pos="2948"/>
                <w:tab w:val="clear" w:pos="3515"/>
              </w:tabs>
              <w:spacing w:before="40" w:after="40"/>
              <w:ind w:right="-107"/>
              <w:rPr>
                <w:iCs/>
                <w:sz w:val="18"/>
                <w:szCs w:val="18"/>
              </w:rPr>
            </w:pPr>
            <w:r w:rsidRPr="000355E0">
              <w:rPr>
                <w:sz w:val="18"/>
                <w:szCs w:val="18"/>
              </w:rPr>
              <w:t>- Доклад о представленных планах осуществления, подготавливаемый секретариатом для Конференции Сторон</w:t>
            </w:r>
          </w:p>
        </w:tc>
        <w:tc>
          <w:tcPr>
            <w:tcW w:w="2269" w:type="dxa"/>
          </w:tcPr>
          <w:p w14:paraId="5C98BE76" w14:textId="7014AAFB" w:rsidR="00A839F6" w:rsidRPr="000355E0" w:rsidRDefault="00A839F6" w:rsidP="00F0088D">
            <w:pPr>
              <w:keepNext/>
              <w:keepLines/>
              <w:pBdr>
                <w:top w:val="nil"/>
                <w:left w:val="nil"/>
                <w:bottom w:val="nil"/>
                <w:right w:val="nil"/>
                <w:between w:val="nil"/>
                <w:bar w:val="nil"/>
              </w:pBdr>
              <w:tabs>
                <w:tab w:val="clear" w:pos="1247"/>
                <w:tab w:val="clear" w:pos="1814"/>
                <w:tab w:val="clear" w:pos="2381"/>
                <w:tab w:val="clear" w:pos="2948"/>
                <w:tab w:val="clear" w:pos="3515"/>
              </w:tabs>
              <w:spacing w:before="40" w:after="40"/>
              <w:rPr>
                <w:rFonts w:asciiTheme="majorBidi" w:hAnsiTheme="majorBidi" w:cstheme="majorBidi"/>
                <w:sz w:val="18"/>
                <w:szCs w:val="18"/>
                <w:lang w:val="en-GB"/>
              </w:rPr>
            </w:pPr>
            <w:r w:rsidRPr="000355E0">
              <w:rPr>
                <w:sz w:val="18"/>
                <w:szCs w:val="18"/>
              </w:rPr>
              <w:t>Нулево</w:t>
            </w:r>
            <w:r w:rsidR="00E308A4">
              <w:rPr>
                <w:sz w:val="18"/>
                <w:szCs w:val="18"/>
              </w:rPr>
              <w:t>е значение</w:t>
            </w:r>
          </w:p>
        </w:tc>
      </w:tr>
      <w:tr w:rsidR="00A839F6" w:rsidRPr="000355E0" w14:paraId="0DC6D230" w14:textId="77777777" w:rsidTr="000355E0">
        <w:trPr>
          <w:trHeight w:val="454"/>
          <w:jc w:val="center"/>
        </w:trPr>
        <w:tc>
          <w:tcPr>
            <w:tcW w:w="2807" w:type="dxa"/>
            <w:shd w:val="clear" w:color="auto" w:fill="B8CCE4" w:themeFill="accent1" w:themeFillTint="66"/>
          </w:tcPr>
          <w:p w14:paraId="39B36FA1" w14:textId="63F04589" w:rsidR="00A839F6" w:rsidRPr="000355E0" w:rsidRDefault="00A839F6" w:rsidP="000355E0">
            <w:pPr>
              <w:tabs>
                <w:tab w:val="clear" w:pos="1247"/>
                <w:tab w:val="clear" w:pos="1814"/>
                <w:tab w:val="clear" w:pos="2381"/>
                <w:tab w:val="clear" w:pos="2948"/>
                <w:tab w:val="clear" w:pos="3515"/>
              </w:tabs>
              <w:spacing w:before="40" w:after="40"/>
              <w:rPr>
                <w:rFonts w:asciiTheme="majorBidi" w:hAnsiTheme="majorBidi" w:cstheme="majorBidi"/>
                <w:b/>
                <w:bCs/>
                <w:sz w:val="18"/>
                <w:szCs w:val="18"/>
                <w:lang w:val="en-GB"/>
              </w:rPr>
            </w:pPr>
            <w:r w:rsidRPr="000355E0">
              <w:rPr>
                <w:b/>
                <w:bCs/>
                <w:sz w:val="18"/>
                <w:szCs w:val="18"/>
              </w:rPr>
              <w:t>Примечани</w:t>
            </w:r>
            <w:r w:rsidR="00E308A4">
              <w:rPr>
                <w:b/>
                <w:bCs/>
                <w:sz w:val="18"/>
                <w:szCs w:val="18"/>
              </w:rPr>
              <w:t>е</w:t>
            </w:r>
          </w:p>
        </w:tc>
        <w:tc>
          <w:tcPr>
            <w:tcW w:w="10088" w:type="dxa"/>
            <w:gridSpan w:val="3"/>
          </w:tcPr>
          <w:p w14:paraId="33CE5605" w14:textId="77777777" w:rsidR="00A839F6" w:rsidRPr="000355E0" w:rsidRDefault="00A839F6" w:rsidP="000355E0">
            <w:pPr>
              <w:pBdr>
                <w:top w:val="nil"/>
                <w:left w:val="nil"/>
                <w:bottom w:val="nil"/>
                <w:right w:val="nil"/>
                <w:between w:val="nil"/>
                <w:bar w:val="nil"/>
              </w:pBdr>
              <w:tabs>
                <w:tab w:val="clear" w:pos="1247"/>
                <w:tab w:val="clear" w:pos="1814"/>
                <w:tab w:val="clear" w:pos="2381"/>
                <w:tab w:val="clear" w:pos="2948"/>
                <w:tab w:val="clear" w:pos="3515"/>
              </w:tabs>
              <w:spacing w:before="40" w:after="40"/>
              <w:ind w:left="360" w:hanging="360"/>
              <w:rPr>
                <w:rFonts w:eastAsia="Roboto"/>
                <w:sz w:val="18"/>
                <w:szCs w:val="18"/>
              </w:rPr>
            </w:pPr>
            <w:r w:rsidRPr="000355E0">
              <w:rPr>
                <w:rFonts w:ascii="Wingdings" w:eastAsia="Roboto" w:hAnsi="Wingdings"/>
                <w:sz w:val="18"/>
                <w:szCs w:val="18"/>
              </w:rPr>
              <w:t></w:t>
            </w:r>
            <w:r w:rsidRPr="000355E0">
              <w:rPr>
                <w:rFonts w:ascii="Wingdings" w:eastAsia="Roboto" w:hAnsi="Wingdings"/>
                <w:sz w:val="18"/>
                <w:szCs w:val="18"/>
              </w:rPr>
              <w:tab/>
            </w:r>
            <w:r w:rsidRPr="000355E0">
              <w:rPr>
                <w:sz w:val="18"/>
                <w:szCs w:val="18"/>
              </w:rPr>
              <w:t>Стороны не обязаны разрабатывать планы осуществления. Тем не менее некоторые Стороны сочли целесообразным подготовить такие планы и представить их в секретариат.</w:t>
            </w:r>
          </w:p>
        </w:tc>
      </w:tr>
    </w:tbl>
    <w:p w14:paraId="1F7A4325" w14:textId="77777777" w:rsidR="00A839F6" w:rsidRPr="00A839F6" w:rsidRDefault="00A839F6" w:rsidP="00A839F6">
      <w:pPr>
        <w:rPr>
          <w:rFonts w:asciiTheme="majorBidi" w:hAnsiTheme="majorBidi" w:cstheme="majorBidi"/>
          <w:sz w:val="12"/>
          <w:szCs w:val="12"/>
        </w:rPr>
      </w:pPr>
    </w:p>
    <w:tbl>
      <w:tblPr>
        <w:tblStyle w:val="TableGrid"/>
        <w:tblW w:w="5000" w:type="pct"/>
        <w:jc w:val="center"/>
        <w:tblLayout w:type="fixed"/>
        <w:tblCellMar>
          <w:left w:w="57" w:type="dxa"/>
          <w:right w:w="57" w:type="dxa"/>
        </w:tblCellMar>
        <w:tblLook w:val="04A0" w:firstRow="1" w:lastRow="0" w:firstColumn="1" w:lastColumn="0" w:noHBand="0" w:noVBand="1"/>
      </w:tblPr>
      <w:tblGrid>
        <w:gridCol w:w="3139"/>
        <w:gridCol w:w="5890"/>
        <w:gridCol w:w="2852"/>
        <w:gridCol w:w="2537"/>
      </w:tblGrid>
      <w:tr w:rsidR="00A839F6" w:rsidRPr="00F0088D" w14:paraId="3BD7E75E" w14:textId="77777777" w:rsidTr="00F0088D">
        <w:trPr>
          <w:trHeight w:val="454"/>
          <w:jc w:val="center"/>
        </w:trPr>
        <w:tc>
          <w:tcPr>
            <w:tcW w:w="8075" w:type="dxa"/>
            <w:gridSpan w:val="2"/>
            <w:shd w:val="clear" w:color="auto" w:fill="B8CCE4" w:themeFill="accent1" w:themeFillTint="66"/>
          </w:tcPr>
          <w:p w14:paraId="306EB5C3" w14:textId="77777777" w:rsidR="00A839F6" w:rsidRPr="00F0088D" w:rsidRDefault="00A839F6" w:rsidP="00F0088D">
            <w:pPr>
              <w:tabs>
                <w:tab w:val="clear" w:pos="1247"/>
                <w:tab w:val="clear" w:pos="1814"/>
                <w:tab w:val="clear" w:pos="2381"/>
                <w:tab w:val="clear" w:pos="2948"/>
                <w:tab w:val="clear" w:pos="3515"/>
              </w:tabs>
              <w:spacing w:before="40" w:after="40"/>
              <w:rPr>
                <w:rFonts w:asciiTheme="majorBidi" w:eastAsia="Roboto" w:hAnsiTheme="majorBidi" w:cstheme="majorBidi"/>
                <w:b/>
                <w:sz w:val="18"/>
                <w:szCs w:val="18"/>
                <w:lang w:val="en-GB"/>
              </w:rPr>
            </w:pPr>
            <w:r w:rsidRPr="00F0088D">
              <w:rPr>
                <w:b/>
                <w:bCs/>
                <w:sz w:val="18"/>
                <w:szCs w:val="18"/>
              </w:rPr>
              <w:t>J. Статья 21 (представление информации)</w:t>
            </w:r>
          </w:p>
        </w:tc>
        <w:tc>
          <w:tcPr>
            <w:tcW w:w="2551" w:type="dxa"/>
            <w:shd w:val="clear" w:color="auto" w:fill="B8CCE4" w:themeFill="accent1" w:themeFillTint="66"/>
          </w:tcPr>
          <w:p w14:paraId="223FD315" w14:textId="77777777" w:rsidR="00A839F6" w:rsidRPr="000C61C3" w:rsidRDefault="00A839F6" w:rsidP="000C61C3">
            <w:pPr>
              <w:tabs>
                <w:tab w:val="clear" w:pos="1247"/>
                <w:tab w:val="clear" w:pos="1814"/>
                <w:tab w:val="clear" w:pos="2381"/>
                <w:tab w:val="clear" w:pos="2948"/>
                <w:tab w:val="clear" w:pos="3515"/>
              </w:tabs>
              <w:spacing w:before="40" w:after="40"/>
              <w:rPr>
                <w:b/>
                <w:bCs/>
                <w:sz w:val="18"/>
                <w:szCs w:val="18"/>
              </w:rPr>
            </w:pPr>
            <w:r w:rsidRPr="000C61C3">
              <w:rPr>
                <w:b/>
                <w:bCs/>
                <w:sz w:val="18"/>
                <w:szCs w:val="18"/>
              </w:rPr>
              <w:t>Источник информации для расчета показателя</w:t>
            </w:r>
          </w:p>
        </w:tc>
        <w:tc>
          <w:tcPr>
            <w:tcW w:w="2269" w:type="dxa"/>
            <w:shd w:val="clear" w:color="auto" w:fill="B8CCE4" w:themeFill="accent1" w:themeFillTint="66"/>
          </w:tcPr>
          <w:p w14:paraId="05918CEC" w14:textId="77777777" w:rsidR="00A839F6" w:rsidRPr="000C61C3" w:rsidRDefault="00A839F6" w:rsidP="000C61C3">
            <w:pPr>
              <w:tabs>
                <w:tab w:val="clear" w:pos="1247"/>
                <w:tab w:val="clear" w:pos="1814"/>
                <w:tab w:val="clear" w:pos="2381"/>
                <w:tab w:val="clear" w:pos="2948"/>
                <w:tab w:val="clear" w:pos="3515"/>
              </w:tabs>
              <w:spacing w:before="40" w:after="40"/>
              <w:rPr>
                <w:b/>
                <w:bCs/>
                <w:sz w:val="18"/>
                <w:szCs w:val="18"/>
              </w:rPr>
            </w:pPr>
            <w:r w:rsidRPr="000C61C3">
              <w:rPr>
                <w:b/>
                <w:bCs/>
                <w:sz w:val="18"/>
                <w:szCs w:val="18"/>
              </w:rPr>
              <w:t>Исходное значение показателя</w:t>
            </w:r>
          </w:p>
        </w:tc>
      </w:tr>
      <w:tr w:rsidR="00A839F6" w:rsidRPr="00F0088D" w14:paraId="3801D54C" w14:textId="77777777" w:rsidTr="00F0088D">
        <w:trPr>
          <w:trHeight w:val="454"/>
          <w:jc w:val="center"/>
        </w:trPr>
        <w:tc>
          <w:tcPr>
            <w:tcW w:w="2807" w:type="dxa"/>
          </w:tcPr>
          <w:p w14:paraId="64D3CC60" w14:textId="77777777" w:rsidR="00A839F6" w:rsidRPr="00F0088D" w:rsidRDefault="00A839F6" w:rsidP="00F0088D">
            <w:pPr>
              <w:tabs>
                <w:tab w:val="clear" w:pos="1247"/>
                <w:tab w:val="clear" w:pos="1814"/>
                <w:tab w:val="clear" w:pos="2381"/>
                <w:tab w:val="clear" w:pos="2948"/>
                <w:tab w:val="clear" w:pos="3515"/>
              </w:tabs>
              <w:spacing w:before="40" w:after="40"/>
              <w:rPr>
                <w:rFonts w:asciiTheme="majorBidi" w:hAnsiTheme="majorBidi" w:cstheme="majorBidi"/>
                <w:sz w:val="18"/>
                <w:szCs w:val="18"/>
                <w:lang w:val="en-GB"/>
              </w:rPr>
            </w:pPr>
            <w:r w:rsidRPr="00F0088D">
              <w:rPr>
                <w:sz w:val="18"/>
                <w:szCs w:val="18"/>
              </w:rPr>
              <w:t>J1. Показатель процесса</w:t>
            </w:r>
          </w:p>
        </w:tc>
        <w:tc>
          <w:tcPr>
            <w:tcW w:w="5268" w:type="dxa"/>
          </w:tcPr>
          <w:p w14:paraId="2C5466CD" w14:textId="77777777" w:rsidR="00A839F6" w:rsidRPr="00F0088D" w:rsidRDefault="00A839F6" w:rsidP="00F0088D">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asciiTheme="majorBidi" w:eastAsia="Roboto" w:hAnsiTheme="majorBidi" w:cstheme="majorBidi"/>
                <w:sz w:val="18"/>
                <w:szCs w:val="18"/>
              </w:rPr>
            </w:pPr>
            <w:r w:rsidRPr="00F0088D">
              <w:rPr>
                <w:sz w:val="18"/>
                <w:szCs w:val="18"/>
              </w:rPr>
              <w:t>Доля Сторон, представляющих информацию в срок</w:t>
            </w:r>
          </w:p>
        </w:tc>
        <w:tc>
          <w:tcPr>
            <w:tcW w:w="2551" w:type="dxa"/>
          </w:tcPr>
          <w:p w14:paraId="3CF89DD7" w14:textId="77777777" w:rsidR="00A839F6" w:rsidRPr="00F0088D" w:rsidRDefault="00A839F6" w:rsidP="00F0088D">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asciiTheme="majorBidi" w:eastAsia="Roboto" w:hAnsiTheme="majorBidi" w:cstheme="majorBidi"/>
                <w:sz w:val="18"/>
                <w:szCs w:val="18"/>
              </w:rPr>
            </w:pPr>
            <w:r w:rsidRPr="00F0088D">
              <w:rPr>
                <w:sz w:val="18"/>
                <w:szCs w:val="18"/>
              </w:rPr>
              <w:t>- Отчетность в соответствии со статьей 21</w:t>
            </w:r>
          </w:p>
        </w:tc>
        <w:tc>
          <w:tcPr>
            <w:tcW w:w="2269" w:type="dxa"/>
          </w:tcPr>
          <w:p w14:paraId="28CC1301" w14:textId="77777777" w:rsidR="00A839F6" w:rsidRPr="00F0088D" w:rsidRDefault="00A839F6" w:rsidP="00F0088D">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F0088D">
              <w:rPr>
                <w:sz w:val="18"/>
                <w:szCs w:val="18"/>
              </w:rPr>
              <w:t>Доля Сторон, представивших первый доклад в срок</w:t>
            </w:r>
          </w:p>
        </w:tc>
      </w:tr>
      <w:tr w:rsidR="00A839F6" w:rsidRPr="00F0088D" w14:paraId="5EC8B981" w14:textId="77777777" w:rsidTr="00F0088D">
        <w:trPr>
          <w:trHeight w:val="454"/>
          <w:jc w:val="center"/>
        </w:trPr>
        <w:tc>
          <w:tcPr>
            <w:tcW w:w="2807" w:type="dxa"/>
          </w:tcPr>
          <w:p w14:paraId="39608679" w14:textId="77777777" w:rsidR="00A839F6" w:rsidRPr="00F0088D" w:rsidRDefault="00A839F6" w:rsidP="00F0088D">
            <w:pPr>
              <w:tabs>
                <w:tab w:val="clear" w:pos="1247"/>
                <w:tab w:val="clear" w:pos="1814"/>
                <w:tab w:val="clear" w:pos="2381"/>
                <w:tab w:val="clear" w:pos="2948"/>
                <w:tab w:val="clear" w:pos="3515"/>
              </w:tabs>
              <w:spacing w:before="40" w:after="40"/>
              <w:rPr>
                <w:rFonts w:asciiTheme="majorBidi" w:hAnsiTheme="majorBidi" w:cstheme="majorBidi"/>
                <w:sz w:val="18"/>
                <w:szCs w:val="18"/>
                <w:lang w:val="en-GB"/>
              </w:rPr>
            </w:pPr>
            <w:r w:rsidRPr="00F0088D">
              <w:rPr>
                <w:sz w:val="18"/>
                <w:szCs w:val="18"/>
              </w:rPr>
              <w:t>J2. Показатель процесса</w:t>
            </w:r>
          </w:p>
        </w:tc>
        <w:tc>
          <w:tcPr>
            <w:tcW w:w="5268" w:type="dxa"/>
          </w:tcPr>
          <w:p w14:paraId="47139CD5" w14:textId="77777777" w:rsidR="00A839F6" w:rsidRPr="00F0088D" w:rsidRDefault="00A839F6" w:rsidP="00F0088D">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asciiTheme="majorBidi" w:eastAsia="Roboto" w:hAnsiTheme="majorBidi" w:cstheme="majorBidi"/>
                <w:sz w:val="18"/>
                <w:szCs w:val="18"/>
              </w:rPr>
            </w:pPr>
            <w:r w:rsidRPr="00F0088D">
              <w:rPr>
                <w:sz w:val="18"/>
                <w:szCs w:val="18"/>
              </w:rPr>
              <w:t>Доля докладов, полученных в срок</w:t>
            </w:r>
          </w:p>
        </w:tc>
        <w:tc>
          <w:tcPr>
            <w:tcW w:w="2551" w:type="dxa"/>
          </w:tcPr>
          <w:p w14:paraId="56747F27" w14:textId="77777777" w:rsidR="00A839F6" w:rsidRPr="00F0088D" w:rsidRDefault="00A839F6" w:rsidP="00F0088D">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asciiTheme="majorBidi" w:hAnsiTheme="majorBidi" w:cstheme="majorBidi"/>
                <w:iCs/>
                <w:sz w:val="18"/>
                <w:szCs w:val="18"/>
              </w:rPr>
            </w:pPr>
            <w:r w:rsidRPr="00F0088D">
              <w:rPr>
                <w:sz w:val="18"/>
                <w:szCs w:val="18"/>
              </w:rPr>
              <w:t>- Отчетность в соответствии со статьей 21</w:t>
            </w:r>
          </w:p>
        </w:tc>
        <w:tc>
          <w:tcPr>
            <w:tcW w:w="2269" w:type="dxa"/>
          </w:tcPr>
          <w:p w14:paraId="4E3EEAF6" w14:textId="40F99411" w:rsidR="00A839F6" w:rsidRPr="00F0088D" w:rsidRDefault="006432A0" w:rsidP="006432A0">
            <w:pPr>
              <w:pBdr>
                <w:top w:val="nil"/>
                <w:left w:val="nil"/>
                <w:bottom w:val="nil"/>
                <w:right w:val="nil"/>
                <w:between w:val="nil"/>
                <w:bar w:val="nil"/>
              </w:pBdr>
              <w:tabs>
                <w:tab w:val="clear" w:pos="1247"/>
                <w:tab w:val="clear" w:pos="1814"/>
                <w:tab w:val="clear" w:pos="2381"/>
                <w:tab w:val="clear" w:pos="2948"/>
                <w:tab w:val="clear" w:pos="3515"/>
              </w:tabs>
              <w:spacing w:before="40" w:after="40"/>
              <w:rPr>
                <w:rFonts w:asciiTheme="majorBidi" w:hAnsiTheme="majorBidi" w:cstheme="majorBidi"/>
                <w:sz w:val="18"/>
                <w:szCs w:val="18"/>
              </w:rPr>
            </w:pPr>
            <w:r>
              <w:rPr>
                <w:sz w:val="18"/>
                <w:szCs w:val="18"/>
              </w:rPr>
              <w:t>Доля докладов, недоступных при первом представлении докладов</w:t>
            </w:r>
          </w:p>
        </w:tc>
      </w:tr>
      <w:tr w:rsidR="00A839F6" w:rsidRPr="00F0088D" w14:paraId="7DD162B1" w14:textId="77777777" w:rsidTr="00F0088D">
        <w:trPr>
          <w:trHeight w:val="454"/>
          <w:jc w:val="center"/>
        </w:trPr>
        <w:tc>
          <w:tcPr>
            <w:tcW w:w="2807" w:type="dxa"/>
          </w:tcPr>
          <w:p w14:paraId="55817768" w14:textId="77777777" w:rsidR="00A839F6" w:rsidRPr="00F0088D" w:rsidRDefault="00A839F6" w:rsidP="00F0088D">
            <w:pPr>
              <w:tabs>
                <w:tab w:val="clear" w:pos="1247"/>
                <w:tab w:val="clear" w:pos="1814"/>
                <w:tab w:val="clear" w:pos="2381"/>
                <w:tab w:val="clear" w:pos="2948"/>
                <w:tab w:val="clear" w:pos="3515"/>
              </w:tabs>
              <w:spacing w:before="40" w:after="40"/>
              <w:rPr>
                <w:rFonts w:asciiTheme="majorBidi" w:hAnsiTheme="majorBidi" w:cstheme="majorBidi"/>
                <w:sz w:val="18"/>
                <w:szCs w:val="18"/>
                <w:lang w:val="en-GB"/>
              </w:rPr>
            </w:pPr>
            <w:r w:rsidRPr="00F0088D">
              <w:rPr>
                <w:sz w:val="18"/>
                <w:szCs w:val="18"/>
              </w:rPr>
              <w:t>J3. Показатель процесса</w:t>
            </w:r>
          </w:p>
        </w:tc>
        <w:tc>
          <w:tcPr>
            <w:tcW w:w="5268" w:type="dxa"/>
          </w:tcPr>
          <w:p w14:paraId="62CEC00C" w14:textId="77777777" w:rsidR="00A839F6" w:rsidRPr="00F0088D" w:rsidRDefault="00A839F6" w:rsidP="00F0088D">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F0088D">
              <w:rPr>
                <w:sz w:val="18"/>
                <w:szCs w:val="18"/>
              </w:rPr>
              <w:t>Доля Сторон, отмечающих, что по конкретным вопросам информация отсутствует</w:t>
            </w:r>
          </w:p>
        </w:tc>
        <w:tc>
          <w:tcPr>
            <w:tcW w:w="2551" w:type="dxa"/>
          </w:tcPr>
          <w:p w14:paraId="30AA8273" w14:textId="77777777" w:rsidR="00A839F6" w:rsidRPr="00F0088D" w:rsidRDefault="00A839F6" w:rsidP="00F0088D">
            <w:pPr>
              <w:tabs>
                <w:tab w:val="clear" w:pos="1247"/>
                <w:tab w:val="clear" w:pos="1814"/>
                <w:tab w:val="clear" w:pos="2381"/>
                <w:tab w:val="clear" w:pos="2948"/>
                <w:tab w:val="clear" w:pos="3515"/>
              </w:tabs>
              <w:spacing w:before="40" w:after="40"/>
              <w:rPr>
                <w:rFonts w:asciiTheme="majorBidi" w:eastAsia="Roboto" w:hAnsiTheme="majorBidi" w:cstheme="majorBidi"/>
                <w:sz w:val="18"/>
                <w:szCs w:val="18"/>
              </w:rPr>
            </w:pPr>
            <w:r w:rsidRPr="00F0088D">
              <w:rPr>
                <w:sz w:val="18"/>
                <w:szCs w:val="18"/>
              </w:rPr>
              <w:t>- Отчетность в соответствии со статьей 21</w:t>
            </w:r>
          </w:p>
        </w:tc>
        <w:tc>
          <w:tcPr>
            <w:tcW w:w="2269" w:type="dxa"/>
          </w:tcPr>
          <w:p w14:paraId="185B3372" w14:textId="6BA9659F" w:rsidR="00A839F6" w:rsidRPr="00F0088D" w:rsidRDefault="006432A0" w:rsidP="00F0088D">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6432A0">
              <w:rPr>
                <w:sz w:val="18"/>
                <w:szCs w:val="18"/>
              </w:rPr>
              <w:t xml:space="preserve">Доля </w:t>
            </w:r>
            <w:r w:rsidR="004F117C">
              <w:rPr>
                <w:sz w:val="18"/>
                <w:szCs w:val="18"/>
              </w:rPr>
              <w:t>Сторон</w:t>
            </w:r>
            <w:r w:rsidRPr="006432A0">
              <w:rPr>
                <w:sz w:val="18"/>
                <w:szCs w:val="18"/>
              </w:rPr>
              <w:t xml:space="preserve">, </w:t>
            </w:r>
            <w:r w:rsidR="004F117C">
              <w:rPr>
                <w:sz w:val="18"/>
                <w:szCs w:val="18"/>
              </w:rPr>
              <w:t xml:space="preserve">указавших при </w:t>
            </w:r>
            <w:r w:rsidRPr="006432A0">
              <w:rPr>
                <w:sz w:val="18"/>
                <w:szCs w:val="18"/>
              </w:rPr>
              <w:t>первом представлении</w:t>
            </w:r>
            <w:r w:rsidR="004F117C">
              <w:rPr>
                <w:sz w:val="18"/>
                <w:szCs w:val="18"/>
              </w:rPr>
              <w:t xml:space="preserve"> докладов об отсутствии информации</w:t>
            </w:r>
          </w:p>
        </w:tc>
      </w:tr>
      <w:tr w:rsidR="00A839F6" w:rsidRPr="00F0088D" w14:paraId="166F6DD2" w14:textId="77777777" w:rsidTr="00F0088D">
        <w:trPr>
          <w:trHeight w:val="227"/>
          <w:jc w:val="center"/>
        </w:trPr>
        <w:tc>
          <w:tcPr>
            <w:tcW w:w="2807" w:type="dxa"/>
            <w:shd w:val="clear" w:color="auto" w:fill="B8CCE4" w:themeFill="accent1" w:themeFillTint="66"/>
          </w:tcPr>
          <w:p w14:paraId="64C42F0A" w14:textId="5CAC7BAC" w:rsidR="00A839F6" w:rsidRPr="00F0088D" w:rsidRDefault="00A839F6" w:rsidP="00F0088D">
            <w:pPr>
              <w:tabs>
                <w:tab w:val="clear" w:pos="1247"/>
                <w:tab w:val="clear" w:pos="1814"/>
                <w:tab w:val="clear" w:pos="2381"/>
                <w:tab w:val="clear" w:pos="2948"/>
                <w:tab w:val="clear" w:pos="3515"/>
              </w:tabs>
              <w:spacing w:before="40" w:after="40"/>
              <w:rPr>
                <w:rFonts w:asciiTheme="majorBidi" w:hAnsiTheme="majorBidi" w:cstheme="majorBidi"/>
                <w:b/>
                <w:bCs/>
                <w:sz w:val="18"/>
                <w:szCs w:val="18"/>
                <w:lang w:val="en-GB"/>
              </w:rPr>
            </w:pPr>
            <w:r w:rsidRPr="00F0088D">
              <w:rPr>
                <w:b/>
                <w:bCs/>
                <w:sz w:val="18"/>
                <w:szCs w:val="18"/>
              </w:rPr>
              <w:t>Примечани</w:t>
            </w:r>
            <w:r w:rsidR="004F117C">
              <w:rPr>
                <w:b/>
                <w:bCs/>
                <w:sz w:val="18"/>
                <w:szCs w:val="18"/>
              </w:rPr>
              <w:t>е</w:t>
            </w:r>
          </w:p>
        </w:tc>
        <w:tc>
          <w:tcPr>
            <w:tcW w:w="10088" w:type="dxa"/>
            <w:gridSpan w:val="3"/>
          </w:tcPr>
          <w:p w14:paraId="554D6D85" w14:textId="77777777" w:rsidR="00A839F6" w:rsidRPr="00F0088D" w:rsidRDefault="00A839F6" w:rsidP="00F0088D">
            <w:pPr>
              <w:pBdr>
                <w:top w:val="nil"/>
                <w:left w:val="nil"/>
                <w:bottom w:val="nil"/>
                <w:right w:val="nil"/>
                <w:between w:val="nil"/>
                <w:bar w:val="nil"/>
              </w:pBdr>
              <w:tabs>
                <w:tab w:val="clear" w:pos="1247"/>
                <w:tab w:val="clear" w:pos="1814"/>
                <w:tab w:val="clear" w:pos="2381"/>
                <w:tab w:val="clear" w:pos="2948"/>
                <w:tab w:val="clear" w:pos="3515"/>
              </w:tabs>
              <w:spacing w:before="40" w:after="40"/>
              <w:ind w:left="360" w:hanging="360"/>
              <w:rPr>
                <w:rFonts w:asciiTheme="majorBidi" w:hAnsiTheme="majorBidi" w:cstheme="majorBidi"/>
                <w:sz w:val="18"/>
                <w:szCs w:val="18"/>
              </w:rPr>
            </w:pPr>
            <w:r w:rsidRPr="00F0088D">
              <w:rPr>
                <w:rFonts w:ascii="Wingdings" w:hAnsi="Wingdings" w:cstheme="majorBidi"/>
                <w:sz w:val="18"/>
                <w:szCs w:val="18"/>
              </w:rPr>
              <w:t></w:t>
            </w:r>
            <w:r w:rsidRPr="00F0088D">
              <w:rPr>
                <w:rFonts w:ascii="Wingdings" w:hAnsi="Wingdings" w:cstheme="majorBidi"/>
                <w:sz w:val="18"/>
                <w:szCs w:val="18"/>
              </w:rPr>
              <w:tab/>
            </w:r>
            <w:r w:rsidRPr="00F0088D">
              <w:rPr>
                <w:sz w:val="18"/>
                <w:szCs w:val="18"/>
              </w:rPr>
              <w:t>Стороны должны представлять данные каждые два года.</w:t>
            </w:r>
          </w:p>
        </w:tc>
      </w:tr>
    </w:tbl>
    <w:p w14:paraId="4BD4D759" w14:textId="77777777" w:rsidR="00A839F6" w:rsidRPr="00A839F6" w:rsidRDefault="00A839F6" w:rsidP="00A839F6">
      <w:pPr>
        <w:rPr>
          <w:rFonts w:asciiTheme="majorBidi" w:hAnsiTheme="majorBidi" w:cstheme="majorBidi"/>
          <w:sz w:val="12"/>
          <w:szCs w:val="12"/>
        </w:rPr>
      </w:pPr>
    </w:p>
    <w:tbl>
      <w:tblPr>
        <w:tblStyle w:val="TableGrid"/>
        <w:tblW w:w="5000" w:type="pct"/>
        <w:jc w:val="center"/>
        <w:tblLayout w:type="fixed"/>
        <w:tblCellMar>
          <w:left w:w="57" w:type="dxa"/>
          <w:right w:w="57" w:type="dxa"/>
        </w:tblCellMar>
        <w:tblLook w:val="04A0" w:firstRow="1" w:lastRow="0" w:firstColumn="1" w:lastColumn="0" w:noHBand="0" w:noVBand="1"/>
      </w:tblPr>
      <w:tblGrid>
        <w:gridCol w:w="3094"/>
        <w:gridCol w:w="5897"/>
        <w:gridCol w:w="2713"/>
        <w:gridCol w:w="2714"/>
      </w:tblGrid>
      <w:tr w:rsidR="00A839F6" w:rsidRPr="00F0088D" w14:paraId="6A847239" w14:textId="77777777" w:rsidTr="00F0088D">
        <w:trPr>
          <w:trHeight w:val="454"/>
          <w:jc w:val="center"/>
        </w:trPr>
        <w:tc>
          <w:tcPr>
            <w:tcW w:w="8369" w:type="dxa"/>
            <w:gridSpan w:val="2"/>
            <w:shd w:val="clear" w:color="auto" w:fill="B8CCE4" w:themeFill="accent1" w:themeFillTint="66"/>
          </w:tcPr>
          <w:p w14:paraId="3F5644CD" w14:textId="77777777" w:rsidR="00A839F6" w:rsidRPr="00F0088D" w:rsidRDefault="00A839F6" w:rsidP="00F0088D">
            <w:pPr>
              <w:tabs>
                <w:tab w:val="clear" w:pos="1247"/>
                <w:tab w:val="clear" w:pos="1814"/>
                <w:tab w:val="clear" w:pos="2381"/>
                <w:tab w:val="clear" w:pos="2948"/>
                <w:tab w:val="clear" w:pos="3515"/>
              </w:tabs>
              <w:spacing w:before="40" w:after="40"/>
              <w:rPr>
                <w:rFonts w:asciiTheme="majorBidi" w:eastAsia="Roboto" w:hAnsiTheme="majorBidi" w:cstheme="majorBidi"/>
                <w:b/>
                <w:sz w:val="18"/>
                <w:szCs w:val="18"/>
                <w:lang w:val="en-GB"/>
              </w:rPr>
            </w:pPr>
            <w:r w:rsidRPr="00A02C98">
              <w:rPr>
                <w:b/>
                <w:bCs/>
                <w:sz w:val="18"/>
                <w:szCs w:val="18"/>
                <w:highlight w:val="lightGray"/>
              </w:rPr>
              <w:t>K. Статья 22 (оценка эффективности)</w:t>
            </w:r>
          </w:p>
        </w:tc>
        <w:tc>
          <w:tcPr>
            <w:tcW w:w="2525" w:type="dxa"/>
            <w:shd w:val="clear" w:color="auto" w:fill="B8CCE4" w:themeFill="accent1" w:themeFillTint="66"/>
          </w:tcPr>
          <w:p w14:paraId="6B9A53A6" w14:textId="77777777" w:rsidR="00A839F6" w:rsidRPr="000C61C3" w:rsidRDefault="00A839F6" w:rsidP="00F0088D">
            <w:pPr>
              <w:tabs>
                <w:tab w:val="clear" w:pos="1247"/>
                <w:tab w:val="clear" w:pos="1814"/>
                <w:tab w:val="clear" w:pos="2381"/>
                <w:tab w:val="clear" w:pos="2948"/>
                <w:tab w:val="clear" w:pos="3515"/>
              </w:tabs>
              <w:spacing w:before="40" w:after="40"/>
              <w:rPr>
                <w:b/>
                <w:bCs/>
                <w:sz w:val="18"/>
                <w:szCs w:val="18"/>
              </w:rPr>
            </w:pPr>
            <w:r w:rsidRPr="00F0088D">
              <w:rPr>
                <w:b/>
                <w:bCs/>
                <w:sz w:val="18"/>
                <w:szCs w:val="18"/>
              </w:rPr>
              <w:t>Источник информации для расчета показат</w:t>
            </w:r>
            <w:r w:rsidRPr="00A02C98">
              <w:rPr>
                <w:b/>
                <w:bCs/>
                <w:sz w:val="18"/>
                <w:szCs w:val="18"/>
              </w:rPr>
              <w:t>еля</w:t>
            </w:r>
          </w:p>
        </w:tc>
        <w:tc>
          <w:tcPr>
            <w:tcW w:w="2526" w:type="dxa"/>
            <w:shd w:val="clear" w:color="auto" w:fill="B8CCE4" w:themeFill="accent1" w:themeFillTint="66"/>
          </w:tcPr>
          <w:p w14:paraId="1A87E5B8" w14:textId="77777777" w:rsidR="00A839F6" w:rsidRPr="000C61C3" w:rsidRDefault="00A839F6" w:rsidP="00F0088D">
            <w:pPr>
              <w:tabs>
                <w:tab w:val="clear" w:pos="1247"/>
                <w:tab w:val="clear" w:pos="1814"/>
                <w:tab w:val="clear" w:pos="2381"/>
                <w:tab w:val="clear" w:pos="2948"/>
                <w:tab w:val="clear" w:pos="3515"/>
              </w:tabs>
              <w:spacing w:before="40" w:after="40"/>
              <w:rPr>
                <w:b/>
                <w:bCs/>
                <w:sz w:val="18"/>
                <w:szCs w:val="18"/>
              </w:rPr>
            </w:pPr>
            <w:r w:rsidRPr="00F0088D">
              <w:rPr>
                <w:b/>
                <w:bCs/>
                <w:sz w:val="18"/>
                <w:szCs w:val="18"/>
              </w:rPr>
              <w:t>Исходное значение показателя</w:t>
            </w:r>
          </w:p>
        </w:tc>
      </w:tr>
      <w:tr w:rsidR="00A839F6" w:rsidRPr="00F0088D" w14:paraId="6077482B" w14:textId="77777777" w:rsidTr="00F0088D">
        <w:trPr>
          <w:trHeight w:val="454"/>
          <w:jc w:val="center"/>
        </w:trPr>
        <w:tc>
          <w:tcPr>
            <w:tcW w:w="2880" w:type="dxa"/>
          </w:tcPr>
          <w:p w14:paraId="761EDF41" w14:textId="77777777" w:rsidR="00A839F6" w:rsidRPr="00F0088D" w:rsidRDefault="00A839F6" w:rsidP="00F0088D">
            <w:pPr>
              <w:tabs>
                <w:tab w:val="clear" w:pos="1247"/>
                <w:tab w:val="clear" w:pos="1814"/>
                <w:tab w:val="clear" w:pos="2381"/>
                <w:tab w:val="clear" w:pos="2948"/>
                <w:tab w:val="clear" w:pos="3515"/>
              </w:tabs>
              <w:spacing w:before="40" w:after="40"/>
              <w:rPr>
                <w:rFonts w:asciiTheme="majorBidi" w:hAnsiTheme="majorBidi" w:cstheme="majorBidi"/>
                <w:sz w:val="18"/>
                <w:szCs w:val="18"/>
                <w:lang w:val="en-GB"/>
              </w:rPr>
            </w:pPr>
            <w:r w:rsidRPr="00A02C98">
              <w:rPr>
                <w:sz w:val="18"/>
                <w:szCs w:val="18"/>
                <w:highlight w:val="lightGray"/>
              </w:rPr>
              <w:t>K1. Показатель процесса</w:t>
            </w:r>
          </w:p>
        </w:tc>
        <w:tc>
          <w:tcPr>
            <w:tcW w:w="5489" w:type="dxa"/>
          </w:tcPr>
          <w:p w14:paraId="1967A5B2" w14:textId="14A3E33D" w:rsidR="00A839F6" w:rsidRPr="00F0088D" w:rsidRDefault="00A839F6" w:rsidP="00F0088D">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A02C98">
              <w:rPr>
                <w:sz w:val="18"/>
                <w:szCs w:val="18"/>
                <w:highlight w:val="lightGray"/>
              </w:rPr>
              <w:t xml:space="preserve">Факты, свидетельствующие о </w:t>
            </w:r>
            <w:r w:rsidR="006432A0">
              <w:rPr>
                <w:sz w:val="18"/>
                <w:szCs w:val="18"/>
                <w:highlight w:val="lightGray"/>
              </w:rPr>
              <w:t xml:space="preserve">выполнении </w:t>
            </w:r>
            <w:r w:rsidRPr="00A02C98">
              <w:rPr>
                <w:sz w:val="18"/>
                <w:szCs w:val="18"/>
                <w:highlight w:val="lightGray"/>
              </w:rPr>
              <w:t>вынесенных по итогам оценки эффективности рекомендаций на основе решений и мер, принятых Конференцией Сторон</w:t>
            </w:r>
          </w:p>
        </w:tc>
        <w:tc>
          <w:tcPr>
            <w:tcW w:w="2525" w:type="dxa"/>
          </w:tcPr>
          <w:p w14:paraId="384C527D" w14:textId="77777777" w:rsidR="00A839F6" w:rsidRPr="00F0088D" w:rsidRDefault="00A839F6" w:rsidP="00F0088D">
            <w:pPr>
              <w:tabs>
                <w:tab w:val="clear" w:pos="1247"/>
                <w:tab w:val="clear" w:pos="1814"/>
                <w:tab w:val="clear" w:pos="2381"/>
                <w:tab w:val="clear" w:pos="2948"/>
                <w:tab w:val="clear" w:pos="3515"/>
              </w:tabs>
              <w:spacing w:before="40" w:after="40"/>
              <w:rPr>
                <w:rFonts w:asciiTheme="majorBidi" w:eastAsia="Roboto" w:hAnsiTheme="majorBidi" w:cstheme="majorBidi"/>
                <w:sz w:val="18"/>
                <w:szCs w:val="18"/>
              </w:rPr>
            </w:pPr>
            <w:r w:rsidRPr="00F0088D">
              <w:rPr>
                <w:sz w:val="18"/>
                <w:szCs w:val="18"/>
              </w:rPr>
              <w:t>- Доклад о работе совещания Конференции Сторон</w:t>
            </w:r>
          </w:p>
        </w:tc>
        <w:tc>
          <w:tcPr>
            <w:tcW w:w="2526" w:type="dxa"/>
          </w:tcPr>
          <w:p w14:paraId="6305616C" w14:textId="42703BCC" w:rsidR="00A839F6" w:rsidRPr="00F0088D" w:rsidRDefault="00A839F6" w:rsidP="00F0088D">
            <w:pPr>
              <w:tabs>
                <w:tab w:val="clear" w:pos="1247"/>
                <w:tab w:val="clear" w:pos="1814"/>
                <w:tab w:val="clear" w:pos="2381"/>
                <w:tab w:val="clear" w:pos="2948"/>
                <w:tab w:val="clear" w:pos="3515"/>
              </w:tabs>
              <w:spacing w:before="40" w:after="40"/>
              <w:rPr>
                <w:rFonts w:asciiTheme="majorBidi" w:eastAsia="Roboto" w:hAnsiTheme="majorBidi" w:cstheme="majorBidi"/>
                <w:sz w:val="18"/>
                <w:szCs w:val="18"/>
                <w:lang w:val="en-GB"/>
              </w:rPr>
            </w:pPr>
            <w:r w:rsidRPr="00F0088D">
              <w:rPr>
                <w:sz w:val="18"/>
                <w:szCs w:val="18"/>
              </w:rPr>
              <w:t>Нулево</w:t>
            </w:r>
            <w:r w:rsidR="004F117C">
              <w:rPr>
                <w:sz w:val="18"/>
                <w:szCs w:val="18"/>
              </w:rPr>
              <w:t>е</w:t>
            </w:r>
            <w:r w:rsidRPr="00F0088D">
              <w:rPr>
                <w:sz w:val="18"/>
                <w:szCs w:val="18"/>
              </w:rPr>
              <w:t xml:space="preserve"> </w:t>
            </w:r>
            <w:r w:rsidR="004F117C">
              <w:rPr>
                <w:sz w:val="18"/>
                <w:szCs w:val="18"/>
              </w:rPr>
              <w:t>значение</w:t>
            </w:r>
          </w:p>
        </w:tc>
      </w:tr>
      <w:tr w:rsidR="00A839F6" w:rsidRPr="00F0088D" w14:paraId="694237A6" w14:textId="77777777" w:rsidTr="00F0088D">
        <w:trPr>
          <w:trHeight w:val="227"/>
          <w:jc w:val="center"/>
        </w:trPr>
        <w:tc>
          <w:tcPr>
            <w:tcW w:w="2880" w:type="dxa"/>
            <w:shd w:val="clear" w:color="auto" w:fill="B8CCE4" w:themeFill="accent1" w:themeFillTint="66"/>
          </w:tcPr>
          <w:p w14:paraId="5B1894F4" w14:textId="66B2E0A4" w:rsidR="00A839F6" w:rsidRPr="00260410" w:rsidRDefault="00A839F6" w:rsidP="00F0088D">
            <w:pPr>
              <w:tabs>
                <w:tab w:val="clear" w:pos="1247"/>
                <w:tab w:val="clear" w:pos="1814"/>
                <w:tab w:val="clear" w:pos="2381"/>
                <w:tab w:val="clear" w:pos="2948"/>
                <w:tab w:val="clear" w:pos="3515"/>
              </w:tabs>
              <w:spacing w:before="40" w:after="40"/>
              <w:rPr>
                <w:rFonts w:asciiTheme="majorBidi" w:hAnsiTheme="majorBidi" w:cstheme="majorBidi"/>
                <w:b/>
                <w:bCs/>
                <w:sz w:val="18"/>
                <w:szCs w:val="18"/>
                <w:lang w:val="en-GB"/>
              </w:rPr>
            </w:pPr>
            <w:r w:rsidRPr="00260410">
              <w:rPr>
                <w:b/>
                <w:bCs/>
                <w:sz w:val="18"/>
                <w:szCs w:val="18"/>
              </w:rPr>
              <w:t>Примечани</w:t>
            </w:r>
            <w:r w:rsidR="004F117C">
              <w:rPr>
                <w:b/>
                <w:bCs/>
                <w:sz w:val="18"/>
                <w:szCs w:val="18"/>
              </w:rPr>
              <w:t>е</w:t>
            </w:r>
          </w:p>
        </w:tc>
        <w:tc>
          <w:tcPr>
            <w:tcW w:w="10540" w:type="dxa"/>
            <w:gridSpan w:val="3"/>
          </w:tcPr>
          <w:p w14:paraId="59172DBB" w14:textId="77777777" w:rsidR="00A839F6" w:rsidRPr="00F0088D" w:rsidRDefault="00A839F6" w:rsidP="00F0088D">
            <w:pPr>
              <w:pBdr>
                <w:top w:val="nil"/>
                <w:left w:val="nil"/>
                <w:bottom w:val="nil"/>
                <w:right w:val="nil"/>
                <w:between w:val="nil"/>
                <w:bar w:val="nil"/>
              </w:pBdr>
              <w:tabs>
                <w:tab w:val="clear" w:pos="1247"/>
                <w:tab w:val="clear" w:pos="1814"/>
                <w:tab w:val="clear" w:pos="2381"/>
                <w:tab w:val="clear" w:pos="2948"/>
                <w:tab w:val="clear" w:pos="3515"/>
              </w:tabs>
              <w:spacing w:before="40" w:after="40"/>
              <w:ind w:left="360" w:hanging="360"/>
              <w:rPr>
                <w:rFonts w:asciiTheme="majorBidi" w:hAnsiTheme="majorBidi" w:cstheme="majorBidi"/>
                <w:sz w:val="18"/>
                <w:szCs w:val="18"/>
              </w:rPr>
            </w:pPr>
            <w:r w:rsidRPr="00F0088D">
              <w:rPr>
                <w:rFonts w:ascii="Wingdings" w:hAnsi="Wingdings" w:cstheme="majorBidi"/>
                <w:sz w:val="18"/>
                <w:szCs w:val="18"/>
              </w:rPr>
              <w:t></w:t>
            </w:r>
            <w:r w:rsidRPr="00F0088D">
              <w:rPr>
                <w:rFonts w:ascii="Wingdings" w:hAnsi="Wingdings" w:cstheme="majorBidi"/>
                <w:sz w:val="18"/>
                <w:szCs w:val="18"/>
              </w:rPr>
              <w:tab/>
            </w:r>
            <w:r w:rsidRPr="00F0088D">
              <w:rPr>
                <w:sz w:val="18"/>
                <w:szCs w:val="18"/>
              </w:rPr>
              <w:t>В ходе первой оценки данная статья оцениваться не будет.</w:t>
            </w:r>
          </w:p>
        </w:tc>
      </w:tr>
    </w:tbl>
    <w:p w14:paraId="2C5DB78B" w14:textId="3D6D7026" w:rsidR="00A839F6" w:rsidRPr="00A839F6" w:rsidRDefault="00A839F6" w:rsidP="00A02C98">
      <w:pPr>
        <w:tabs>
          <w:tab w:val="clear" w:pos="1247"/>
          <w:tab w:val="clear" w:pos="1814"/>
          <w:tab w:val="clear" w:pos="2381"/>
          <w:tab w:val="clear" w:pos="2948"/>
          <w:tab w:val="clear" w:pos="3515"/>
        </w:tabs>
        <w:spacing w:before="60" w:after="120"/>
        <w:rPr>
          <w:rFonts w:eastAsia="Roboto"/>
          <w:bCs/>
          <w:sz w:val="18"/>
          <w:szCs w:val="18"/>
          <w:u w:color="4F81BD"/>
        </w:rPr>
      </w:pPr>
      <w:r w:rsidRPr="00A839F6">
        <w:rPr>
          <w:rFonts w:eastAsia="Roboto"/>
          <w:bCs/>
          <w:i/>
          <w:iCs/>
          <w:sz w:val="18"/>
          <w:szCs w:val="18"/>
          <w:u w:color="4F81BD"/>
        </w:rPr>
        <w:t>Сокращения</w:t>
      </w:r>
      <w:r w:rsidRPr="00A839F6">
        <w:rPr>
          <w:rFonts w:eastAsia="Roboto"/>
          <w:bCs/>
          <w:sz w:val="18"/>
          <w:szCs w:val="18"/>
          <w:u w:color="4F81BD"/>
        </w:rPr>
        <w:t xml:space="preserve">: КМЗ </w:t>
      </w:r>
      <w:r w:rsidR="00535A20" w:rsidRPr="00AA0928">
        <w:rPr>
          <w:rFonts w:eastAsia="Roboto"/>
          <w:bCs/>
          <w:sz w:val="18"/>
          <w:szCs w:val="18"/>
          <w:u w:color="4F81BD"/>
        </w:rPr>
        <w:t>–</w:t>
      </w:r>
      <w:r w:rsidRPr="00A839F6">
        <w:rPr>
          <w:rFonts w:eastAsia="Roboto"/>
          <w:bCs/>
          <w:sz w:val="18"/>
          <w:szCs w:val="18"/>
          <w:u w:color="4F81BD"/>
        </w:rPr>
        <w:t xml:space="preserve"> кустарная и мелкомасштабная золотодобыча; НИМ/НПД </w:t>
      </w:r>
      <w:r w:rsidR="00535A20" w:rsidRPr="00AA0928">
        <w:rPr>
          <w:rFonts w:eastAsia="Roboto"/>
          <w:bCs/>
          <w:sz w:val="18"/>
          <w:szCs w:val="18"/>
          <w:u w:color="4F81BD"/>
        </w:rPr>
        <w:t>–</w:t>
      </w:r>
      <w:r w:rsidRPr="00A839F6">
        <w:rPr>
          <w:rFonts w:eastAsia="Roboto"/>
          <w:bCs/>
          <w:sz w:val="18"/>
          <w:szCs w:val="18"/>
          <w:u w:color="4F81BD"/>
        </w:rPr>
        <w:t xml:space="preserve"> наилучшие имеющиеся методы/наилучшие виды природоохранной деятельности; ЦМП </w:t>
      </w:r>
      <w:r w:rsidR="00535A20" w:rsidRPr="00AA0928">
        <w:rPr>
          <w:rFonts w:eastAsia="Roboto"/>
          <w:bCs/>
          <w:sz w:val="18"/>
          <w:szCs w:val="18"/>
          <w:u w:color="4F81BD"/>
        </w:rPr>
        <w:t>–</w:t>
      </w:r>
      <w:r w:rsidRPr="00A839F6">
        <w:rPr>
          <w:rFonts w:eastAsia="Roboto"/>
          <w:bCs/>
          <w:sz w:val="18"/>
          <w:szCs w:val="18"/>
          <w:u w:color="4F81BD"/>
        </w:rPr>
        <w:t xml:space="preserve"> Целевая международная программа для поддержки процессов создания потенциала и оказания технической помощи.</w:t>
      </w:r>
    </w:p>
    <w:p w14:paraId="2D39861C" w14:textId="5EFAA00C" w:rsidR="00D8160C" w:rsidRDefault="00D8160C" w:rsidP="005F70D6">
      <w:pPr>
        <w:pStyle w:val="Normalnumber"/>
        <w:numPr>
          <w:ilvl w:val="0"/>
          <w:numId w:val="0"/>
        </w:numPr>
        <w:tabs>
          <w:tab w:val="clear" w:pos="624"/>
        </w:tabs>
        <w:ind w:left="1247"/>
      </w:pPr>
    </w:p>
    <w:p w14:paraId="685EC1F4" w14:textId="1643A8C0" w:rsidR="00D8160C" w:rsidRDefault="00D8160C" w:rsidP="005F70D6">
      <w:pPr>
        <w:pStyle w:val="Normalnumber"/>
        <w:numPr>
          <w:ilvl w:val="0"/>
          <w:numId w:val="0"/>
        </w:numPr>
        <w:tabs>
          <w:tab w:val="clear" w:pos="624"/>
        </w:tabs>
        <w:ind w:left="1247"/>
      </w:pPr>
    </w:p>
    <w:p w14:paraId="3CAD91EF" w14:textId="69C462E6" w:rsidR="00D8160C" w:rsidRDefault="00D8160C" w:rsidP="005F70D6">
      <w:pPr>
        <w:pStyle w:val="Normalnumber"/>
        <w:numPr>
          <w:ilvl w:val="0"/>
          <w:numId w:val="0"/>
        </w:numPr>
        <w:tabs>
          <w:tab w:val="clear" w:pos="624"/>
        </w:tabs>
        <w:ind w:left="1247"/>
      </w:pPr>
    </w:p>
    <w:p w14:paraId="7A224C32" w14:textId="77777777" w:rsidR="00785A62" w:rsidRDefault="00785A62" w:rsidP="005F70D6">
      <w:pPr>
        <w:pStyle w:val="Normalnumber"/>
        <w:numPr>
          <w:ilvl w:val="0"/>
          <w:numId w:val="0"/>
        </w:numPr>
        <w:tabs>
          <w:tab w:val="clear" w:pos="624"/>
        </w:tabs>
        <w:ind w:left="1247"/>
        <w:sectPr w:rsidR="00785A62" w:rsidSect="004F79F2">
          <w:pgSz w:w="16838" w:h="11906" w:orient="landscape" w:code="9"/>
          <w:pgMar w:top="907" w:right="992" w:bottom="1418" w:left="1418" w:header="539" w:footer="975" w:gutter="0"/>
          <w:cols w:space="539"/>
          <w:docGrid w:linePitch="360"/>
        </w:sectPr>
      </w:pPr>
    </w:p>
    <w:p w14:paraId="6C2868B2" w14:textId="77777777" w:rsidR="00587213" w:rsidRPr="0009785A" w:rsidRDefault="00587213" w:rsidP="0009785A">
      <w:pPr>
        <w:tabs>
          <w:tab w:val="clear" w:pos="1247"/>
          <w:tab w:val="clear" w:pos="1814"/>
          <w:tab w:val="clear" w:pos="2381"/>
          <w:tab w:val="clear" w:pos="2948"/>
          <w:tab w:val="clear" w:pos="3515"/>
          <w:tab w:val="right" w:pos="851"/>
        </w:tabs>
        <w:spacing w:after="120"/>
        <w:ind w:left="1247" w:right="284" w:hanging="1247"/>
        <w:rPr>
          <w:b/>
          <w:bCs/>
          <w:sz w:val="24"/>
          <w:szCs w:val="24"/>
        </w:rPr>
      </w:pPr>
      <w:r w:rsidRPr="0009785A">
        <w:rPr>
          <w:b/>
          <w:bCs/>
          <w:sz w:val="24"/>
          <w:szCs w:val="24"/>
        </w:rPr>
        <w:lastRenderedPageBreak/>
        <w:tab/>
        <w:t>C.</w:t>
      </w:r>
      <w:r w:rsidRPr="0009785A">
        <w:rPr>
          <w:b/>
          <w:bCs/>
          <w:sz w:val="24"/>
          <w:szCs w:val="24"/>
        </w:rPr>
        <w:tab/>
        <w:t>Источники данных</w:t>
      </w:r>
    </w:p>
    <w:p w14:paraId="654562A8" w14:textId="55F4DA41" w:rsidR="00587213" w:rsidRPr="0009785A" w:rsidRDefault="00587213" w:rsidP="0009785A">
      <w:pPr>
        <w:tabs>
          <w:tab w:val="clear" w:pos="1247"/>
          <w:tab w:val="clear" w:pos="1814"/>
          <w:tab w:val="clear" w:pos="2381"/>
          <w:tab w:val="clear" w:pos="2948"/>
          <w:tab w:val="clear" w:pos="3515"/>
        </w:tabs>
        <w:spacing w:after="120"/>
        <w:ind w:left="1247"/>
      </w:pPr>
      <w:r w:rsidRPr="0009785A">
        <w:t>49.</w:t>
      </w:r>
      <w:r w:rsidRPr="0009785A">
        <w:tab/>
        <w:t>Доступность источников информации для расчета показателей, а также наличие дополнительной релевантной и сопоставимой научной, экологической, технической, финансовой и экономической информации, на основе которой будет проводиться оценка эффективности, зависит от ряда факторов.</w:t>
      </w:r>
    </w:p>
    <w:p w14:paraId="31E6B9BF" w14:textId="7760E41E" w:rsidR="00587213" w:rsidRPr="0009785A" w:rsidRDefault="00587213" w:rsidP="0009785A">
      <w:pPr>
        <w:tabs>
          <w:tab w:val="clear" w:pos="1247"/>
          <w:tab w:val="clear" w:pos="1814"/>
          <w:tab w:val="clear" w:pos="2381"/>
          <w:tab w:val="clear" w:pos="2948"/>
          <w:tab w:val="clear" w:pos="3515"/>
        </w:tabs>
        <w:spacing w:after="120"/>
        <w:ind w:left="1247"/>
      </w:pPr>
      <w:r w:rsidRPr="0009785A">
        <w:t>50.</w:t>
      </w:r>
      <w:r w:rsidRPr="0009785A">
        <w:tab/>
        <w:t xml:space="preserve">Во-первых, различные статьи Конвенции предусматривают разные сроки их осуществления. Некоторые крайние сроки укладываются в сроки проведения первого цикла оценки эффективности (2017-2023 годы), а некоторые нет. Более того, даже если та или иная мера принята в установленный срок, доказательства ее воздействия и, следовательно, ее эффективности могут быть недоступны в течение некоторого времени или не поддаваться </w:t>
      </w:r>
      <w:r w:rsidR="004F117C">
        <w:t>точному</w:t>
      </w:r>
      <w:r w:rsidR="004F117C" w:rsidRPr="0009785A">
        <w:t xml:space="preserve"> </w:t>
      </w:r>
      <w:r w:rsidRPr="0009785A">
        <w:t>измерению, что создает проблемы с точки зрения установления взаимосвязи с ее воздействием. В таблице 3 ниже приводится обзор статей Минаматской конвенции с установленными срок</w:t>
      </w:r>
      <w:r w:rsidR="00B95620">
        <w:t>ами</w:t>
      </w:r>
      <w:r w:rsidRPr="0009785A">
        <w:t xml:space="preserve"> осуществления, и указываются эти сроки.</w:t>
      </w:r>
    </w:p>
    <w:p w14:paraId="2D5FD2AA" w14:textId="34209CB8" w:rsidR="00587213" w:rsidRPr="0009785A" w:rsidRDefault="00587213" w:rsidP="0009785A">
      <w:pPr>
        <w:tabs>
          <w:tab w:val="clear" w:pos="1247"/>
          <w:tab w:val="clear" w:pos="1814"/>
          <w:tab w:val="clear" w:pos="2381"/>
          <w:tab w:val="clear" w:pos="2948"/>
          <w:tab w:val="clear" w:pos="3515"/>
        </w:tabs>
        <w:spacing w:after="120"/>
        <w:ind w:left="1247"/>
        <w:rPr>
          <w:b/>
          <w:bCs/>
        </w:rPr>
      </w:pPr>
      <w:r w:rsidRPr="0009785A">
        <w:t xml:space="preserve">Таблица 3 </w:t>
      </w:r>
      <w:r w:rsidR="0009785A">
        <w:br/>
      </w:r>
      <w:r w:rsidRPr="0009785A">
        <w:rPr>
          <w:b/>
          <w:bCs/>
        </w:rPr>
        <w:t>Сроки осуществления Минаматской конвенции</w:t>
      </w:r>
    </w:p>
    <w:tbl>
      <w:tblPr>
        <w:tblStyle w:val="TableGrid"/>
        <w:tblW w:w="8335" w:type="dxa"/>
        <w:jc w:val="right"/>
        <w:tblLayout w:type="fixed"/>
        <w:tblCellMar>
          <w:left w:w="57" w:type="dxa"/>
          <w:right w:w="57" w:type="dxa"/>
        </w:tblCellMar>
        <w:tblLook w:val="04A0" w:firstRow="1" w:lastRow="0" w:firstColumn="1" w:lastColumn="0" w:noHBand="0" w:noVBand="1"/>
      </w:tblPr>
      <w:tblGrid>
        <w:gridCol w:w="858"/>
        <w:gridCol w:w="1406"/>
        <w:gridCol w:w="6071"/>
      </w:tblGrid>
      <w:tr w:rsidR="00587213" w:rsidRPr="00587213" w14:paraId="581E7181" w14:textId="77777777" w:rsidTr="00EF7555">
        <w:trPr>
          <w:trHeight w:val="57"/>
          <w:tblHeader/>
          <w:jc w:val="right"/>
        </w:trPr>
        <w:tc>
          <w:tcPr>
            <w:tcW w:w="846" w:type="dxa"/>
            <w:shd w:val="clear" w:color="auto" w:fill="B8CCE4" w:themeFill="accent1" w:themeFillTint="66"/>
          </w:tcPr>
          <w:p w14:paraId="50219B59"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b/>
                <w:color w:val="000000"/>
                <w:sz w:val="18"/>
                <w:szCs w:val="18"/>
                <w:u w:color="000000"/>
                <w:lang w:eastAsia="zh-CN"/>
              </w:rPr>
            </w:pPr>
            <w:r w:rsidRPr="00587213">
              <w:rPr>
                <w:rFonts w:eastAsia="Arial Unicode MS"/>
                <w:b/>
                <w:color w:val="000000"/>
                <w:sz w:val="18"/>
                <w:szCs w:val="18"/>
                <w:u w:color="000000"/>
                <w:lang w:eastAsia="zh-CN"/>
              </w:rPr>
              <w:t>Срок</w:t>
            </w:r>
          </w:p>
        </w:tc>
        <w:tc>
          <w:tcPr>
            <w:tcW w:w="1386" w:type="dxa"/>
            <w:shd w:val="clear" w:color="auto" w:fill="B8CCE4" w:themeFill="accent1" w:themeFillTint="66"/>
          </w:tcPr>
          <w:p w14:paraId="34518C22" w14:textId="77777777" w:rsidR="00587213" w:rsidRPr="00587213" w:rsidRDefault="00587213" w:rsidP="001726AD">
            <w:pPr>
              <w:tabs>
                <w:tab w:val="clear" w:pos="1247"/>
                <w:tab w:val="clear" w:pos="1814"/>
                <w:tab w:val="clear" w:pos="2381"/>
                <w:tab w:val="clear" w:pos="2948"/>
                <w:tab w:val="clear" w:pos="3515"/>
              </w:tabs>
              <w:spacing w:after="80"/>
              <w:ind w:right="-11"/>
              <w:rPr>
                <w:rFonts w:eastAsia="Arial Unicode MS"/>
                <w:b/>
                <w:color w:val="000000"/>
                <w:sz w:val="18"/>
                <w:szCs w:val="18"/>
                <w:u w:color="000000"/>
                <w:lang w:eastAsia="zh-CN"/>
              </w:rPr>
            </w:pPr>
            <w:r w:rsidRPr="00587213">
              <w:rPr>
                <w:rFonts w:eastAsia="Arial Unicode MS"/>
                <w:b/>
                <w:color w:val="000000"/>
                <w:sz w:val="18"/>
                <w:szCs w:val="18"/>
                <w:u w:color="000000"/>
                <w:lang w:eastAsia="zh-CN"/>
              </w:rPr>
              <w:t>Статья</w:t>
            </w:r>
          </w:p>
        </w:tc>
        <w:tc>
          <w:tcPr>
            <w:tcW w:w="5985" w:type="dxa"/>
            <w:shd w:val="clear" w:color="auto" w:fill="B8CCE4" w:themeFill="accent1" w:themeFillTint="66"/>
          </w:tcPr>
          <w:p w14:paraId="3779D649"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b/>
                <w:color w:val="000000"/>
                <w:sz w:val="18"/>
                <w:szCs w:val="18"/>
                <w:u w:color="000000"/>
                <w:lang w:eastAsia="zh-CN"/>
              </w:rPr>
            </w:pPr>
            <w:r w:rsidRPr="00587213">
              <w:rPr>
                <w:rFonts w:eastAsia="Arial Unicode MS"/>
                <w:b/>
                <w:color w:val="000000"/>
                <w:sz w:val="18"/>
                <w:szCs w:val="18"/>
                <w:u w:color="000000"/>
                <w:lang w:eastAsia="zh-CN"/>
              </w:rPr>
              <w:t>Описание</w:t>
            </w:r>
          </w:p>
        </w:tc>
      </w:tr>
      <w:tr w:rsidR="00587213" w:rsidRPr="00587213" w14:paraId="4DFE0E43" w14:textId="77777777" w:rsidTr="00EF7555">
        <w:trPr>
          <w:trHeight w:val="57"/>
          <w:jc w:val="right"/>
        </w:trPr>
        <w:tc>
          <w:tcPr>
            <w:tcW w:w="846" w:type="dxa"/>
          </w:tcPr>
          <w:p w14:paraId="22F54A8A"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2018 год</w:t>
            </w:r>
          </w:p>
        </w:tc>
        <w:tc>
          <w:tcPr>
            <w:tcW w:w="1386" w:type="dxa"/>
          </w:tcPr>
          <w:p w14:paraId="37396075" w14:textId="4ABF4F35" w:rsidR="00587213" w:rsidRPr="00587213" w:rsidRDefault="00587213" w:rsidP="001726AD">
            <w:pPr>
              <w:tabs>
                <w:tab w:val="clear" w:pos="1247"/>
                <w:tab w:val="clear" w:pos="1814"/>
                <w:tab w:val="clear" w:pos="2381"/>
                <w:tab w:val="clear" w:pos="2948"/>
                <w:tab w:val="clear" w:pos="3515"/>
              </w:tabs>
              <w:spacing w:after="80"/>
              <w:ind w:right="-11"/>
              <w:rPr>
                <w:rFonts w:eastAsia="Arial Unicode MS"/>
                <w:color w:val="000000"/>
                <w:sz w:val="18"/>
                <w:szCs w:val="18"/>
                <w:u w:color="000000"/>
                <w:lang w:eastAsia="zh-CN"/>
              </w:rPr>
            </w:pPr>
            <w:r w:rsidRPr="00587213">
              <w:rPr>
                <w:rFonts w:eastAsia="Arial Unicode MS"/>
                <w:color w:val="000000"/>
                <w:sz w:val="18"/>
                <w:szCs w:val="18"/>
                <w:u w:color="000000"/>
                <w:lang w:eastAsia="zh-CN"/>
              </w:rPr>
              <w:t>Ст. 5, п. 2 и приложение В</w:t>
            </w:r>
          </w:p>
        </w:tc>
        <w:tc>
          <w:tcPr>
            <w:tcW w:w="5985" w:type="dxa"/>
          </w:tcPr>
          <w:p w14:paraId="2F36378E"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Поэтапное прекращение производства ацетальдегида, в котором ртуть или ртутные соединения применяются в качестве катализатора.</w:t>
            </w:r>
          </w:p>
        </w:tc>
      </w:tr>
      <w:tr w:rsidR="00587213" w:rsidRPr="00587213" w14:paraId="3A12ECBF" w14:textId="77777777" w:rsidTr="00EF7555">
        <w:trPr>
          <w:trHeight w:val="57"/>
          <w:jc w:val="right"/>
        </w:trPr>
        <w:tc>
          <w:tcPr>
            <w:tcW w:w="846" w:type="dxa"/>
            <w:vMerge w:val="restart"/>
          </w:tcPr>
          <w:p w14:paraId="26760BB7"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2020 год</w:t>
            </w:r>
          </w:p>
          <w:p w14:paraId="19AC2A20" w14:textId="77777777" w:rsidR="00587213" w:rsidRPr="00587213" w:rsidRDefault="00587213" w:rsidP="001726A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p>
        </w:tc>
        <w:tc>
          <w:tcPr>
            <w:tcW w:w="1386" w:type="dxa"/>
          </w:tcPr>
          <w:p w14:paraId="7CD8BB67" w14:textId="284E70E8" w:rsidR="00587213" w:rsidRPr="00587213" w:rsidRDefault="00587213" w:rsidP="001726AD">
            <w:pPr>
              <w:tabs>
                <w:tab w:val="clear" w:pos="1247"/>
                <w:tab w:val="clear" w:pos="1814"/>
                <w:tab w:val="clear" w:pos="2381"/>
                <w:tab w:val="clear" w:pos="2948"/>
                <w:tab w:val="clear" w:pos="3515"/>
              </w:tabs>
              <w:spacing w:after="80"/>
              <w:ind w:right="-11"/>
              <w:rPr>
                <w:rFonts w:eastAsia="Arial Unicode MS"/>
                <w:color w:val="000000"/>
                <w:sz w:val="18"/>
                <w:szCs w:val="18"/>
                <w:u w:color="000000"/>
                <w:lang w:eastAsia="zh-CN"/>
              </w:rPr>
            </w:pPr>
            <w:r w:rsidRPr="00587213">
              <w:rPr>
                <w:rFonts w:eastAsia="Arial Unicode MS"/>
                <w:color w:val="000000"/>
                <w:sz w:val="18"/>
                <w:szCs w:val="18"/>
                <w:u w:color="000000"/>
                <w:lang w:eastAsia="zh-CN"/>
              </w:rPr>
              <w:t>Ст. 4, п. 1 и приложение A</w:t>
            </w:r>
          </w:p>
        </w:tc>
        <w:tc>
          <w:tcPr>
            <w:tcW w:w="5985" w:type="dxa"/>
          </w:tcPr>
          <w:p w14:paraId="219A5DF3"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 xml:space="preserve">Введение запрета на производство, импорт или экспорт различных продуктов с добавлением ртути (включая аккумуляторы, переключатели и реле, лампы люминесцентные малогабаритные и трубчатые, лампы ртутные высокого давления </w:t>
            </w:r>
            <w:proofErr w:type="spellStart"/>
            <w:r w:rsidRPr="00587213">
              <w:rPr>
                <w:rFonts w:eastAsia="Arial Unicode MS"/>
                <w:color w:val="000000"/>
                <w:sz w:val="18"/>
                <w:szCs w:val="18"/>
                <w:u w:color="000000"/>
                <w:lang w:eastAsia="zh-CN"/>
              </w:rPr>
              <w:t>паросветные</w:t>
            </w:r>
            <w:proofErr w:type="spellEnd"/>
            <w:r w:rsidRPr="00587213">
              <w:rPr>
                <w:rFonts w:eastAsia="Arial Unicode MS"/>
                <w:color w:val="000000"/>
                <w:sz w:val="18"/>
                <w:szCs w:val="18"/>
                <w:u w:color="000000"/>
                <w:lang w:eastAsia="zh-CN"/>
              </w:rPr>
              <w:t xml:space="preserve">, лампы люминесцентные с холодным катодом и лампы люминесцентные с внешним электродом для электронных дисплеев, косметику, пестициды, </w:t>
            </w:r>
            <w:proofErr w:type="spellStart"/>
            <w:r w:rsidRPr="00587213">
              <w:rPr>
                <w:rFonts w:eastAsia="Arial Unicode MS"/>
                <w:color w:val="000000"/>
                <w:sz w:val="18"/>
                <w:szCs w:val="18"/>
                <w:u w:color="000000"/>
                <w:lang w:eastAsia="zh-CN"/>
              </w:rPr>
              <w:t>биоциды</w:t>
            </w:r>
            <w:proofErr w:type="spellEnd"/>
            <w:r w:rsidRPr="00587213">
              <w:rPr>
                <w:rFonts w:eastAsia="Arial Unicode MS"/>
                <w:color w:val="000000"/>
                <w:sz w:val="18"/>
                <w:szCs w:val="18"/>
                <w:u w:color="000000"/>
                <w:lang w:eastAsia="zh-CN"/>
              </w:rPr>
              <w:t xml:space="preserve"> и локальные антисептики, а также барометры, гигрометры, манометры, термометры и сфигмоманометры). </w:t>
            </w:r>
          </w:p>
        </w:tc>
      </w:tr>
      <w:tr w:rsidR="00587213" w:rsidRPr="00587213" w14:paraId="077DBDCA" w14:textId="77777777" w:rsidTr="00EF7555">
        <w:trPr>
          <w:trHeight w:val="57"/>
          <w:jc w:val="right"/>
        </w:trPr>
        <w:tc>
          <w:tcPr>
            <w:tcW w:w="846" w:type="dxa"/>
            <w:vMerge/>
          </w:tcPr>
          <w:p w14:paraId="03114171"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p>
        </w:tc>
        <w:tc>
          <w:tcPr>
            <w:tcW w:w="1386" w:type="dxa"/>
            <w:vMerge w:val="restart"/>
          </w:tcPr>
          <w:p w14:paraId="48084EA9" w14:textId="644E4726" w:rsidR="00587213" w:rsidRPr="00587213" w:rsidRDefault="00587213" w:rsidP="001726AD">
            <w:pPr>
              <w:tabs>
                <w:tab w:val="clear" w:pos="1247"/>
                <w:tab w:val="clear" w:pos="1814"/>
                <w:tab w:val="clear" w:pos="2381"/>
                <w:tab w:val="clear" w:pos="2948"/>
                <w:tab w:val="clear" w:pos="3515"/>
              </w:tabs>
              <w:spacing w:after="80"/>
              <w:ind w:right="-11"/>
              <w:rPr>
                <w:rFonts w:eastAsia="Arial Unicode MS"/>
                <w:color w:val="000000"/>
                <w:sz w:val="18"/>
                <w:szCs w:val="18"/>
                <w:u w:color="000000"/>
                <w:lang w:eastAsia="zh-CN"/>
              </w:rPr>
            </w:pPr>
            <w:r w:rsidRPr="00587213">
              <w:rPr>
                <w:rFonts w:eastAsia="Arial Unicode MS"/>
                <w:color w:val="000000"/>
                <w:sz w:val="18"/>
                <w:szCs w:val="18"/>
                <w:u w:color="000000"/>
                <w:lang w:eastAsia="zh-CN"/>
              </w:rPr>
              <w:t>Ст. 5, п. 3 и приложение В</w:t>
            </w:r>
          </w:p>
        </w:tc>
        <w:tc>
          <w:tcPr>
            <w:tcW w:w="5985" w:type="dxa"/>
          </w:tcPr>
          <w:p w14:paraId="01BE9599" w14:textId="4864E3B2"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Сокращение к 2020 году на 50 процентов по сравнению с объемом в 2010</w:t>
            </w:r>
            <w:r w:rsidR="00EF7555">
              <w:rPr>
                <w:rFonts w:eastAsia="Arial Unicode MS"/>
                <w:color w:val="000000"/>
                <w:sz w:val="18"/>
                <w:szCs w:val="18"/>
                <w:u w:color="000000"/>
                <w:lang w:val="en-GB" w:eastAsia="zh-CN"/>
              </w:rPr>
              <w:t> </w:t>
            </w:r>
            <w:r w:rsidRPr="00587213">
              <w:rPr>
                <w:rFonts w:eastAsia="Arial Unicode MS"/>
                <w:color w:val="000000"/>
                <w:sz w:val="18"/>
                <w:szCs w:val="18"/>
                <w:u w:color="000000"/>
                <w:lang w:eastAsia="zh-CN"/>
              </w:rPr>
              <w:t>году использования ртути при производстве мономера винилхлорида в расчете на единицу продукции.</w:t>
            </w:r>
          </w:p>
        </w:tc>
      </w:tr>
      <w:tr w:rsidR="00587213" w:rsidRPr="00587213" w14:paraId="3F4DCD07" w14:textId="77777777" w:rsidTr="00EF7555">
        <w:trPr>
          <w:trHeight w:val="57"/>
          <w:jc w:val="right"/>
        </w:trPr>
        <w:tc>
          <w:tcPr>
            <w:tcW w:w="846" w:type="dxa"/>
            <w:vMerge/>
          </w:tcPr>
          <w:p w14:paraId="7DE6B27E"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p>
        </w:tc>
        <w:tc>
          <w:tcPr>
            <w:tcW w:w="1386" w:type="dxa"/>
            <w:vMerge/>
          </w:tcPr>
          <w:p w14:paraId="165A80E1" w14:textId="77777777" w:rsidR="00587213" w:rsidRPr="00587213" w:rsidRDefault="00587213" w:rsidP="001726AD">
            <w:pPr>
              <w:tabs>
                <w:tab w:val="clear" w:pos="1247"/>
                <w:tab w:val="clear" w:pos="1814"/>
                <w:tab w:val="clear" w:pos="2381"/>
                <w:tab w:val="clear" w:pos="2948"/>
                <w:tab w:val="clear" w:pos="3515"/>
              </w:tabs>
              <w:spacing w:after="80"/>
              <w:ind w:right="-11"/>
              <w:rPr>
                <w:rFonts w:eastAsia="Arial Unicode MS"/>
                <w:color w:val="000000"/>
                <w:sz w:val="18"/>
                <w:szCs w:val="18"/>
                <w:u w:color="000000"/>
                <w:lang w:eastAsia="zh-CN"/>
              </w:rPr>
            </w:pPr>
          </w:p>
        </w:tc>
        <w:tc>
          <w:tcPr>
            <w:tcW w:w="5985" w:type="dxa"/>
          </w:tcPr>
          <w:p w14:paraId="290EFEB2" w14:textId="07C81D0C"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Сокращение к 2020 году на 50 процентов по сравнению с объемом в 2010</w:t>
            </w:r>
            <w:r w:rsidR="00EF7555">
              <w:rPr>
                <w:rFonts w:eastAsia="Arial Unicode MS"/>
                <w:color w:val="000000"/>
                <w:sz w:val="18"/>
                <w:szCs w:val="18"/>
                <w:u w:color="000000"/>
                <w:lang w:val="en-GB" w:eastAsia="zh-CN"/>
              </w:rPr>
              <w:t> </w:t>
            </w:r>
            <w:r w:rsidRPr="00587213">
              <w:rPr>
                <w:rFonts w:eastAsia="Arial Unicode MS"/>
                <w:color w:val="000000"/>
                <w:sz w:val="18"/>
                <w:szCs w:val="18"/>
                <w:u w:color="000000"/>
                <w:lang w:eastAsia="zh-CN"/>
              </w:rPr>
              <w:t xml:space="preserve">году выбросов и высвобождений ртути в расчете на единицу продукции </w:t>
            </w:r>
            <w:proofErr w:type="spellStart"/>
            <w:r w:rsidRPr="00587213">
              <w:rPr>
                <w:rFonts w:eastAsia="Arial Unicode MS"/>
                <w:color w:val="000000"/>
                <w:sz w:val="18"/>
                <w:szCs w:val="18"/>
                <w:u w:color="000000"/>
                <w:lang w:eastAsia="zh-CN"/>
              </w:rPr>
              <w:t>метилата</w:t>
            </w:r>
            <w:proofErr w:type="spellEnd"/>
            <w:r w:rsidRPr="00587213">
              <w:rPr>
                <w:rFonts w:eastAsia="Arial Unicode MS"/>
                <w:color w:val="000000"/>
                <w:sz w:val="18"/>
                <w:szCs w:val="18"/>
                <w:u w:color="000000"/>
                <w:lang w:eastAsia="zh-CN"/>
              </w:rPr>
              <w:t xml:space="preserve"> или </w:t>
            </w:r>
            <w:proofErr w:type="spellStart"/>
            <w:r w:rsidRPr="00587213">
              <w:rPr>
                <w:rFonts w:eastAsia="Arial Unicode MS"/>
                <w:color w:val="000000"/>
                <w:sz w:val="18"/>
                <w:szCs w:val="18"/>
                <w:u w:color="000000"/>
                <w:lang w:eastAsia="zh-CN"/>
              </w:rPr>
              <w:t>этилата</w:t>
            </w:r>
            <w:proofErr w:type="spellEnd"/>
            <w:r w:rsidRPr="00587213">
              <w:rPr>
                <w:rFonts w:eastAsia="Arial Unicode MS"/>
                <w:color w:val="000000"/>
                <w:sz w:val="18"/>
                <w:szCs w:val="18"/>
                <w:u w:color="000000"/>
                <w:lang w:eastAsia="zh-CN"/>
              </w:rPr>
              <w:t xml:space="preserve"> натрия или калия.</w:t>
            </w:r>
          </w:p>
        </w:tc>
      </w:tr>
      <w:tr w:rsidR="00587213" w:rsidRPr="00587213" w14:paraId="33260E99" w14:textId="77777777" w:rsidTr="00EF7555">
        <w:trPr>
          <w:trHeight w:val="57"/>
          <w:jc w:val="right"/>
        </w:trPr>
        <w:tc>
          <w:tcPr>
            <w:tcW w:w="846" w:type="dxa"/>
          </w:tcPr>
          <w:p w14:paraId="26BF61A2"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2025 год</w:t>
            </w:r>
          </w:p>
        </w:tc>
        <w:tc>
          <w:tcPr>
            <w:tcW w:w="1386" w:type="dxa"/>
          </w:tcPr>
          <w:p w14:paraId="17114065" w14:textId="2A0C78F6" w:rsidR="00587213" w:rsidRPr="00587213" w:rsidRDefault="00587213" w:rsidP="001726AD">
            <w:pPr>
              <w:tabs>
                <w:tab w:val="clear" w:pos="1247"/>
                <w:tab w:val="clear" w:pos="1814"/>
                <w:tab w:val="clear" w:pos="2381"/>
                <w:tab w:val="clear" w:pos="2948"/>
                <w:tab w:val="clear" w:pos="3515"/>
              </w:tabs>
              <w:spacing w:after="80"/>
              <w:ind w:right="-11"/>
              <w:rPr>
                <w:rFonts w:eastAsia="Arial Unicode MS"/>
                <w:color w:val="000000"/>
                <w:sz w:val="18"/>
                <w:szCs w:val="18"/>
                <w:u w:color="000000"/>
                <w:lang w:eastAsia="zh-CN"/>
              </w:rPr>
            </w:pPr>
            <w:r w:rsidRPr="00587213">
              <w:rPr>
                <w:rFonts w:eastAsia="Arial Unicode MS"/>
                <w:color w:val="000000"/>
                <w:sz w:val="18"/>
                <w:szCs w:val="18"/>
                <w:u w:color="000000"/>
                <w:lang w:eastAsia="zh-CN"/>
              </w:rPr>
              <w:t>Ст. 5, п. 2 и приложение В</w:t>
            </w:r>
          </w:p>
        </w:tc>
        <w:tc>
          <w:tcPr>
            <w:tcW w:w="5985" w:type="dxa"/>
          </w:tcPr>
          <w:p w14:paraId="0BE0338B" w14:textId="67AA29D4"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Постепенн</w:t>
            </w:r>
            <w:r w:rsidR="004F117C">
              <w:rPr>
                <w:rFonts w:eastAsia="Arial Unicode MS"/>
                <w:color w:val="000000"/>
                <w:sz w:val="18"/>
                <w:szCs w:val="18"/>
                <w:u w:color="000000"/>
                <w:lang w:eastAsia="zh-CN"/>
              </w:rPr>
              <w:t>ое</w:t>
            </w:r>
            <w:r w:rsidRPr="00587213">
              <w:rPr>
                <w:rFonts w:eastAsia="Arial Unicode MS"/>
                <w:color w:val="000000"/>
                <w:sz w:val="18"/>
                <w:szCs w:val="18"/>
                <w:u w:color="000000"/>
                <w:lang w:eastAsia="zh-CN"/>
              </w:rPr>
              <w:t xml:space="preserve"> </w:t>
            </w:r>
            <w:r w:rsidR="004F117C">
              <w:rPr>
                <w:rFonts w:eastAsia="Arial Unicode MS"/>
                <w:color w:val="000000"/>
                <w:sz w:val="18"/>
                <w:szCs w:val="18"/>
                <w:u w:color="000000"/>
                <w:lang w:eastAsia="zh-CN"/>
              </w:rPr>
              <w:t xml:space="preserve">прекращение </w:t>
            </w:r>
            <w:r w:rsidRPr="00587213">
              <w:rPr>
                <w:rFonts w:eastAsia="Arial Unicode MS"/>
                <w:color w:val="000000"/>
                <w:sz w:val="18"/>
                <w:szCs w:val="18"/>
                <w:u w:color="000000"/>
                <w:lang w:eastAsia="zh-CN"/>
              </w:rPr>
              <w:t>хлорно-щелочного производства.</w:t>
            </w:r>
          </w:p>
        </w:tc>
      </w:tr>
      <w:tr w:rsidR="00587213" w:rsidRPr="00587213" w14:paraId="44E88237" w14:textId="77777777" w:rsidTr="00EF7555">
        <w:trPr>
          <w:trHeight w:val="57"/>
          <w:jc w:val="right"/>
        </w:trPr>
        <w:tc>
          <w:tcPr>
            <w:tcW w:w="846" w:type="dxa"/>
          </w:tcPr>
          <w:p w14:paraId="560AD8C6"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2027 год</w:t>
            </w:r>
          </w:p>
        </w:tc>
        <w:tc>
          <w:tcPr>
            <w:tcW w:w="1386" w:type="dxa"/>
          </w:tcPr>
          <w:p w14:paraId="792B11EC" w14:textId="3B894E62" w:rsidR="00587213" w:rsidRPr="00587213" w:rsidRDefault="00587213" w:rsidP="001726AD">
            <w:pPr>
              <w:tabs>
                <w:tab w:val="clear" w:pos="1247"/>
                <w:tab w:val="clear" w:pos="1814"/>
                <w:tab w:val="clear" w:pos="2381"/>
                <w:tab w:val="clear" w:pos="2948"/>
                <w:tab w:val="clear" w:pos="3515"/>
              </w:tabs>
              <w:spacing w:after="80"/>
              <w:ind w:right="-11"/>
              <w:rPr>
                <w:rFonts w:eastAsia="Arial Unicode MS"/>
                <w:color w:val="000000"/>
                <w:sz w:val="18"/>
                <w:szCs w:val="18"/>
                <w:u w:color="000000"/>
                <w:lang w:eastAsia="zh-CN"/>
              </w:rPr>
            </w:pPr>
            <w:r w:rsidRPr="00587213">
              <w:rPr>
                <w:rFonts w:eastAsia="Arial Unicode MS"/>
                <w:color w:val="000000"/>
                <w:sz w:val="18"/>
                <w:szCs w:val="18"/>
                <w:u w:color="000000"/>
                <w:lang w:eastAsia="zh-CN"/>
              </w:rPr>
              <w:t>Ст. 5, п. 3 и приложение В</w:t>
            </w:r>
          </w:p>
        </w:tc>
        <w:tc>
          <w:tcPr>
            <w:tcW w:w="5985" w:type="dxa"/>
          </w:tcPr>
          <w:p w14:paraId="045B7D74"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 xml:space="preserve">Для </w:t>
            </w:r>
            <w:proofErr w:type="spellStart"/>
            <w:r w:rsidRPr="00587213">
              <w:rPr>
                <w:rFonts w:eastAsia="Arial Unicode MS"/>
                <w:color w:val="000000"/>
                <w:sz w:val="18"/>
                <w:szCs w:val="18"/>
                <w:u w:color="000000"/>
                <w:lang w:eastAsia="zh-CN"/>
              </w:rPr>
              <w:t>метилата</w:t>
            </w:r>
            <w:proofErr w:type="spellEnd"/>
            <w:r w:rsidRPr="00587213">
              <w:rPr>
                <w:rFonts w:eastAsia="Arial Unicode MS"/>
                <w:color w:val="000000"/>
                <w:sz w:val="18"/>
                <w:szCs w:val="18"/>
                <w:u w:color="000000"/>
                <w:lang w:eastAsia="zh-CN"/>
              </w:rPr>
              <w:t xml:space="preserve"> или </w:t>
            </w:r>
            <w:proofErr w:type="spellStart"/>
            <w:r w:rsidRPr="00587213">
              <w:rPr>
                <w:rFonts w:eastAsia="Arial Unicode MS"/>
                <w:color w:val="000000"/>
                <w:sz w:val="18"/>
                <w:szCs w:val="18"/>
                <w:u w:color="000000"/>
                <w:lang w:eastAsia="zh-CN"/>
              </w:rPr>
              <w:t>этилата</w:t>
            </w:r>
            <w:proofErr w:type="spellEnd"/>
            <w:r w:rsidRPr="00587213">
              <w:rPr>
                <w:rFonts w:eastAsia="Arial Unicode MS"/>
                <w:color w:val="000000"/>
                <w:sz w:val="18"/>
                <w:szCs w:val="18"/>
                <w:u w:color="000000"/>
                <w:lang w:eastAsia="zh-CN"/>
              </w:rPr>
              <w:t xml:space="preserve"> натрия или калия сокращение применения ртути с целью поэтапного отказа от ее применения в максимально сжатые сроки и в течение 10 лет с момента вступления Конвенции в силу.</w:t>
            </w:r>
          </w:p>
        </w:tc>
      </w:tr>
      <w:tr w:rsidR="00587213" w:rsidRPr="00587213" w14:paraId="1DFDA167" w14:textId="77777777" w:rsidTr="00EF7555">
        <w:trPr>
          <w:trHeight w:val="57"/>
          <w:jc w:val="right"/>
        </w:trPr>
        <w:tc>
          <w:tcPr>
            <w:tcW w:w="846" w:type="dxa"/>
          </w:tcPr>
          <w:p w14:paraId="26D83EDD"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2032 год*</w:t>
            </w:r>
          </w:p>
        </w:tc>
        <w:tc>
          <w:tcPr>
            <w:tcW w:w="1386" w:type="dxa"/>
          </w:tcPr>
          <w:p w14:paraId="50F077AE" w14:textId="77777777" w:rsidR="00587213" w:rsidRPr="00587213" w:rsidRDefault="00587213" w:rsidP="001726AD">
            <w:pPr>
              <w:tabs>
                <w:tab w:val="clear" w:pos="1247"/>
                <w:tab w:val="clear" w:pos="1814"/>
                <w:tab w:val="clear" w:pos="2381"/>
                <w:tab w:val="clear" w:pos="2948"/>
                <w:tab w:val="clear" w:pos="3515"/>
              </w:tabs>
              <w:spacing w:after="80"/>
              <w:ind w:right="-11"/>
              <w:rPr>
                <w:rFonts w:eastAsia="Arial Unicode MS"/>
                <w:color w:val="000000"/>
                <w:sz w:val="18"/>
                <w:szCs w:val="18"/>
                <w:u w:color="000000"/>
                <w:lang w:eastAsia="zh-CN"/>
              </w:rPr>
            </w:pPr>
            <w:r w:rsidRPr="00587213">
              <w:rPr>
                <w:rFonts w:eastAsia="Arial Unicode MS"/>
                <w:color w:val="000000"/>
                <w:sz w:val="18"/>
                <w:szCs w:val="18"/>
                <w:u w:color="000000"/>
                <w:lang w:eastAsia="zh-CN"/>
              </w:rPr>
              <w:t xml:space="preserve">Ст. 3, п. 4 </w:t>
            </w:r>
          </w:p>
        </w:tc>
        <w:tc>
          <w:tcPr>
            <w:tcW w:w="5985" w:type="dxa"/>
          </w:tcPr>
          <w:p w14:paraId="342C2E6B"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Первичная добыча ртути, которая велась на территории Стороны на дату вступления в силу Конвенции для этой Стороны, должна быть прекращена по истечении 15 лет с этой даты.</w:t>
            </w:r>
          </w:p>
        </w:tc>
      </w:tr>
      <w:tr w:rsidR="00587213" w:rsidRPr="00587213" w14:paraId="2770CC17" w14:textId="77777777" w:rsidTr="00EF7555">
        <w:trPr>
          <w:trHeight w:val="57"/>
          <w:jc w:val="right"/>
        </w:trPr>
        <w:tc>
          <w:tcPr>
            <w:tcW w:w="846" w:type="dxa"/>
            <w:vMerge w:val="restart"/>
          </w:tcPr>
          <w:p w14:paraId="2625C0CA"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2020 год*</w:t>
            </w:r>
          </w:p>
        </w:tc>
        <w:tc>
          <w:tcPr>
            <w:tcW w:w="1386" w:type="dxa"/>
          </w:tcPr>
          <w:p w14:paraId="1161CD18" w14:textId="77777777" w:rsidR="00587213" w:rsidRPr="00587213" w:rsidRDefault="00587213" w:rsidP="001726AD">
            <w:pPr>
              <w:tabs>
                <w:tab w:val="clear" w:pos="1247"/>
                <w:tab w:val="clear" w:pos="1814"/>
                <w:tab w:val="clear" w:pos="2381"/>
                <w:tab w:val="clear" w:pos="2948"/>
                <w:tab w:val="clear" w:pos="3515"/>
              </w:tabs>
              <w:spacing w:after="80"/>
              <w:ind w:right="-11"/>
              <w:rPr>
                <w:rFonts w:eastAsia="Arial Unicode MS"/>
                <w:color w:val="000000"/>
                <w:sz w:val="18"/>
                <w:szCs w:val="18"/>
                <w:u w:color="000000"/>
                <w:lang w:eastAsia="zh-CN"/>
              </w:rPr>
            </w:pPr>
            <w:r w:rsidRPr="00587213">
              <w:rPr>
                <w:rFonts w:eastAsia="Arial Unicode MS"/>
                <w:color w:val="000000"/>
                <w:sz w:val="18"/>
                <w:szCs w:val="18"/>
                <w:u w:color="000000"/>
                <w:lang w:eastAsia="zh-CN"/>
              </w:rPr>
              <w:t>Ст. 5, п. 5 c)</w:t>
            </w:r>
          </w:p>
        </w:tc>
        <w:tc>
          <w:tcPr>
            <w:tcW w:w="5985" w:type="dxa"/>
          </w:tcPr>
          <w:p w14:paraId="7005BEAC"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 xml:space="preserve">Стороны должны не позднее чем через три года после даты вступления в силу Конвенции для них представить в секретариат информацию о количестве и типах объектов, на которых используется ртуть или ртутные соединения для процессов, перечисленных в приложении В, и о расчетном годовом объеме ртути или ртутных соединений, используемых на этих объектах. </w:t>
            </w:r>
          </w:p>
        </w:tc>
      </w:tr>
      <w:tr w:rsidR="00587213" w:rsidRPr="00587213" w14:paraId="720BCFA2" w14:textId="77777777" w:rsidTr="00EF7555">
        <w:trPr>
          <w:trHeight w:val="57"/>
          <w:jc w:val="right"/>
        </w:trPr>
        <w:tc>
          <w:tcPr>
            <w:tcW w:w="846" w:type="dxa"/>
            <w:vMerge/>
          </w:tcPr>
          <w:p w14:paraId="2D524EB8"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p>
        </w:tc>
        <w:tc>
          <w:tcPr>
            <w:tcW w:w="1386" w:type="dxa"/>
          </w:tcPr>
          <w:p w14:paraId="49A2C3CE" w14:textId="77777777" w:rsidR="00587213" w:rsidRPr="00587213" w:rsidRDefault="00587213" w:rsidP="001726AD">
            <w:pPr>
              <w:tabs>
                <w:tab w:val="clear" w:pos="1247"/>
                <w:tab w:val="clear" w:pos="1814"/>
                <w:tab w:val="clear" w:pos="2381"/>
                <w:tab w:val="clear" w:pos="2948"/>
                <w:tab w:val="clear" w:pos="3515"/>
              </w:tabs>
              <w:spacing w:after="80"/>
              <w:ind w:right="-11"/>
              <w:rPr>
                <w:rFonts w:eastAsia="Arial Unicode MS"/>
                <w:color w:val="000000"/>
                <w:sz w:val="18"/>
                <w:szCs w:val="18"/>
                <w:u w:color="000000"/>
                <w:lang w:eastAsia="zh-CN"/>
              </w:rPr>
            </w:pPr>
            <w:r w:rsidRPr="00587213">
              <w:rPr>
                <w:rFonts w:eastAsia="Arial Unicode MS"/>
                <w:color w:val="000000"/>
                <w:sz w:val="18"/>
                <w:szCs w:val="18"/>
                <w:u w:color="000000"/>
                <w:lang w:eastAsia="zh-CN"/>
              </w:rPr>
              <w:t>Ст. 7, п. 3 b)</w:t>
            </w:r>
          </w:p>
        </w:tc>
        <w:tc>
          <w:tcPr>
            <w:tcW w:w="5985" w:type="dxa"/>
          </w:tcPr>
          <w:p w14:paraId="043EA34F"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Сторона, которая определяет, что кустарная и мелкомасштабная добыча и обработка золота на ее территории выходит за рамки незначительной, представляет в секретариат национальный план действий не позднее чем через три года после даты вступления Конвенции в силу для этой Стороны или в течение трех лет после уведомления Стороной секретариата о таком определении, в зависимости от того, какое событие наступает позже.</w:t>
            </w:r>
          </w:p>
        </w:tc>
      </w:tr>
      <w:tr w:rsidR="00587213" w:rsidRPr="00587213" w14:paraId="584EE78B" w14:textId="77777777" w:rsidTr="00EF7555">
        <w:trPr>
          <w:trHeight w:val="57"/>
          <w:jc w:val="right"/>
        </w:trPr>
        <w:tc>
          <w:tcPr>
            <w:tcW w:w="846" w:type="dxa"/>
            <w:vMerge/>
          </w:tcPr>
          <w:p w14:paraId="4A29740F"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p>
        </w:tc>
        <w:tc>
          <w:tcPr>
            <w:tcW w:w="1386" w:type="dxa"/>
          </w:tcPr>
          <w:p w14:paraId="3356472E" w14:textId="77777777" w:rsidR="00587213" w:rsidRPr="00587213" w:rsidRDefault="00587213" w:rsidP="001726AD">
            <w:pPr>
              <w:tabs>
                <w:tab w:val="clear" w:pos="1247"/>
                <w:tab w:val="clear" w:pos="1814"/>
                <w:tab w:val="clear" w:pos="2381"/>
                <w:tab w:val="clear" w:pos="2948"/>
                <w:tab w:val="clear" w:pos="3515"/>
              </w:tabs>
              <w:spacing w:after="80"/>
              <w:ind w:right="-11"/>
              <w:rPr>
                <w:rFonts w:eastAsia="Arial Unicode MS"/>
                <w:color w:val="000000"/>
                <w:sz w:val="18"/>
                <w:szCs w:val="18"/>
                <w:u w:color="000000"/>
                <w:lang w:eastAsia="zh-CN"/>
              </w:rPr>
            </w:pPr>
            <w:r w:rsidRPr="00587213">
              <w:rPr>
                <w:rFonts w:eastAsia="Arial Unicode MS"/>
                <w:color w:val="000000"/>
                <w:sz w:val="18"/>
                <w:szCs w:val="18"/>
                <w:u w:color="000000"/>
                <w:lang w:eastAsia="zh-CN"/>
              </w:rPr>
              <w:t>Ст. 9, п. 3</w:t>
            </w:r>
          </w:p>
        </w:tc>
        <w:tc>
          <w:tcPr>
            <w:tcW w:w="5985" w:type="dxa"/>
          </w:tcPr>
          <w:p w14:paraId="0FF5807D"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Не позднее чем через три года после даты вступления Конвенции для нее Сторона выявляет соответствующие категории точечных источников.</w:t>
            </w:r>
          </w:p>
        </w:tc>
      </w:tr>
      <w:tr w:rsidR="00587213" w:rsidRPr="00587213" w14:paraId="073038DD" w14:textId="77777777" w:rsidTr="00EF7555">
        <w:trPr>
          <w:trHeight w:val="57"/>
          <w:jc w:val="right"/>
        </w:trPr>
        <w:tc>
          <w:tcPr>
            <w:tcW w:w="846" w:type="dxa"/>
          </w:tcPr>
          <w:p w14:paraId="661598CF"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2021 год*</w:t>
            </w:r>
          </w:p>
        </w:tc>
        <w:tc>
          <w:tcPr>
            <w:tcW w:w="1386" w:type="dxa"/>
          </w:tcPr>
          <w:p w14:paraId="65942AD1" w14:textId="6624BD67" w:rsidR="00587213" w:rsidRPr="00587213" w:rsidRDefault="00587213" w:rsidP="001726AD">
            <w:pPr>
              <w:tabs>
                <w:tab w:val="clear" w:pos="1247"/>
                <w:tab w:val="clear" w:pos="1814"/>
                <w:tab w:val="clear" w:pos="2381"/>
                <w:tab w:val="clear" w:pos="2948"/>
                <w:tab w:val="clear" w:pos="3515"/>
              </w:tabs>
              <w:spacing w:after="80"/>
              <w:ind w:right="-11"/>
              <w:rPr>
                <w:rFonts w:eastAsia="Arial Unicode MS"/>
                <w:color w:val="000000"/>
                <w:sz w:val="18"/>
                <w:szCs w:val="18"/>
                <w:u w:color="000000"/>
                <w:lang w:eastAsia="zh-CN"/>
              </w:rPr>
            </w:pPr>
            <w:r w:rsidRPr="00587213">
              <w:rPr>
                <w:rFonts w:eastAsia="Arial Unicode MS"/>
                <w:color w:val="000000"/>
                <w:sz w:val="18"/>
                <w:szCs w:val="18"/>
                <w:u w:color="000000"/>
                <w:lang w:eastAsia="zh-CN"/>
              </w:rPr>
              <w:t>Ст. 8, п. 3 и ст.</w:t>
            </w:r>
            <w:r w:rsidR="002F7F95">
              <w:rPr>
                <w:rFonts w:eastAsia="Arial Unicode MS"/>
                <w:color w:val="000000"/>
                <w:sz w:val="18"/>
                <w:szCs w:val="18"/>
                <w:u w:color="000000"/>
                <w:lang w:eastAsia="zh-CN"/>
              </w:rPr>
              <w:t> </w:t>
            </w:r>
            <w:r w:rsidRPr="00587213">
              <w:rPr>
                <w:rFonts w:eastAsia="Arial Unicode MS"/>
                <w:color w:val="000000"/>
                <w:sz w:val="18"/>
                <w:szCs w:val="18"/>
                <w:u w:color="000000"/>
                <w:lang w:eastAsia="zh-CN"/>
              </w:rPr>
              <w:t>9, п. 4</w:t>
            </w:r>
          </w:p>
        </w:tc>
        <w:tc>
          <w:tcPr>
            <w:tcW w:w="5985" w:type="dxa"/>
          </w:tcPr>
          <w:p w14:paraId="003B8A2B"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План осуществления, если он был разработан, должен быть представлен в течение трех лет с даты вступления Конвенции в силу для Стороны.</w:t>
            </w:r>
          </w:p>
        </w:tc>
      </w:tr>
      <w:tr w:rsidR="00587213" w:rsidRPr="00587213" w14:paraId="6E9F1AD1" w14:textId="77777777" w:rsidTr="00EF7555">
        <w:trPr>
          <w:trHeight w:val="57"/>
          <w:jc w:val="right"/>
        </w:trPr>
        <w:tc>
          <w:tcPr>
            <w:tcW w:w="846" w:type="dxa"/>
          </w:tcPr>
          <w:p w14:paraId="60023453"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2022 год*</w:t>
            </w:r>
          </w:p>
        </w:tc>
        <w:tc>
          <w:tcPr>
            <w:tcW w:w="1386" w:type="dxa"/>
          </w:tcPr>
          <w:p w14:paraId="4F9E4BA7" w14:textId="77777777" w:rsidR="00587213" w:rsidRPr="00587213" w:rsidRDefault="00587213" w:rsidP="001726AD">
            <w:pPr>
              <w:tabs>
                <w:tab w:val="clear" w:pos="1247"/>
                <w:tab w:val="clear" w:pos="1814"/>
                <w:tab w:val="clear" w:pos="2381"/>
                <w:tab w:val="clear" w:pos="2948"/>
                <w:tab w:val="clear" w:pos="3515"/>
              </w:tabs>
              <w:spacing w:after="80"/>
              <w:ind w:right="-11"/>
              <w:rPr>
                <w:rFonts w:eastAsia="Arial Unicode MS"/>
                <w:color w:val="000000"/>
                <w:sz w:val="18"/>
                <w:szCs w:val="18"/>
                <w:u w:color="000000"/>
                <w:lang w:eastAsia="zh-CN"/>
              </w:rPr>
            </w:pPr>
            <w:r w:rsidRPr="00587213">
              <w:rPr>
                <w:rFonts w:eastAsia="Arial Unicode MS"/>
                <w:color w:val="000000"/>
                <w:sz w:val="18"/>
                <w:szCs w:val="18"/>
                <w:u w:color="000000"/>
                <w:lang w:eastAsia="zh-CN"/>
              </w:rPr>
              <w:t>Ст. 8, п. 4</w:t>
            </w:r>
          </w:p>
        </w:tc>
        <w:tc>
          <w:tcPr>
            <w:tcW w:w="5985" w:type="dxa"/>
          </w:tcPr>
          <w:p w14:paraId="06C92BB9"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Не позднее чем через пять лет после даты вступления Конвенции в силу для Стороны для новых источников требуется применять наилучшие имеющиеся методы и наилучшие виды природоохранной деятельности.</w:t>
            </w:r>
          </w:p>
        </w:tc>
      </w:tr>
      <w:tr w:rsidR="00587213" w:rsidRPr="00587213" w14:paraId="5E2A321B" w14:textId="77777777" w:rsidTr="00EF7555">
        <w:trPr>
          <w:trHeight w:val="57"/>
          <w:jc w:val="right"/>
        </w:trPr>
        <w:tc>
          <w:tcPr>
            <w:tcW w:w="846" w:type="dxa"/>
            <w:vMerge w:val="restart"/>
          </w:tcPr>
          <w:p w14:paraId="68D4B01F"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lastRenderedPageBreak/>
              <w:t>2023 год*</w:t>
            </w:r>
          </w:p>
        </w:tc>
        <w:tc>
          <w:tcPr>
            <w:tcW w:w="1386" w:type="dxa"/>
          </w:tcPr>
          <w:p w14:paraId="42757A31" w14:textId="77777777" w:rsidR="00587213" w:rsidRPr="00587213" w:rsidRDefault="00587213" w:rsidP="001726AD">
            <w:pPr>
              <w:tabs>
                <w:tab w:val="clear" w:pos="1247"/>
                <w:tab w:val="clear" w:pos="1814"/>
                <w:tab w:val="clear" w:pos="2381"/>
                <w:tab w:val="clear" w:pos="2948"/>
                <w:tab w:val="clear" w:pos="3515"/>
              </w:tabs>
              <w:spacing w:after="80"/>
              <w:ind w:right="-11"/>
              <w:rPr>
                <w:rFonts w:eastAsia="Arial Unicode MS"/>
                <w:color w:val="000000"/>
                <w:sz w:val="18"/>
                <w:szCs w:val="18"/>
                <w:u w:color="000000"/>
                <w:lang w:eastAsia="zh-CN"/>
              </w:rPr>
            </w:pPr>
            <w:r w:rsidRPr="00587213">
              <w:rPr>
                <w:rFonts w:eastAsia="Arial Unicode MS"/>
                <w:color w:val="000000"/>
                <w:sz w:val="18"/>
                <w:szCs w:val="18"/>
                <w:u w:color="000000"/>
                <w:lang w:eastAsia="zh-CN"/>
              </w:rPr>
              <w:t>Ст. 8, п. 7</w:t>
            </w:r>
          </w:p>
        </w:tc>
        <w:tc>
          <w:tcPr>
            <w:tcW w:w="5985" w:type="dxa"/>
          </w:tcPr>
          <w:p w14:paraId="2FDD76FA"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Не позднее чем через пять лет с даты вступления Конвенции в силу для Стороны должны быть созданы и вестись кадастры источников выбросов.</w:t>
            </w:r>
          </w:p>
        </w:tc>
      </w:tr>
      <w:tr w:rsidR="00587213" w:rsidRPr="00587213" w14:paraId="2C1118A5" w14:textId="77777777" w:rsidTr="00EF7555">
        <w:trPr>
          <w:trHeight w:val="57"/>
          <w:jc w:val="right"/>
        </w:trPr>
        <w:tc>
          <w:tcPr>
            <w:tcW w:w="846" w:type="dxa"/>
            <w:vMerge/>
          </w:tcPr>
          <w:p w14:paraId="13D1151F"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p>
        </w:tc>
        <w:tc>
          <w:tcPr>
            <w:tcW w:w="1386" w:type="dxa"/>
          </w:tcPr>
          <w:p w14:paraId="5723FB89" w14:textId="77777777" w:rsidR="00587213" w:rsidRPr="00587213" w:rsidRDefault="00587213" w:rsidP="001726AD">
            <w:pPr>
              <w:tabs>
                <w:tab w:val="clear" w:pos="1247"/>
                <w:tab w:val="clear" w:pos="1814"/>
                <w:tab w:val="clear" w:pos="2381"/>
                <w:tab w:val="clear" w:pos="2948"/>
                <w:tab w:val="clear" w:pos="3515"/>
              </w:tabs>
              <w:spacing w:after="80"/>
              <w:ind w:right="-11"/>
              <w:rPr>
                <w:rFonts w:eastAsia="Arial Unicode MS"/>
                <w:color w:val="000000"/>
                <w:sz w:val="18"/>
                <w:szCs w:val="18"/>
                <w:u w:color="000000"/>
                <w:lang w:eastAsia="zh-CN"/>
              </w:rPr>
            </w:pPr>
            <w:r w:rsidRPr="00587213">
              <w:rPr>
                <w:rFonts w:eastAsia="Arial Unicode MS"/>
                <w:color w:val="000000"/>
                <w:sz w:val="18"/>
                <w:szCs w:val="18"/>
                <w:u w:color="000000"/>
                <w:lang w:eastAsia="zh-CN"/>
              </w:rPr>
              <w:t>Ст. 9, п. 6</w:t>
            </w:r>
          </w:p>
        </w:tc>
        <w:tc>
          <w:tcPr>
            <w:tcW w:w="5985" w:type="dxa"/>
          </w:tcPr>
          <w:p w14:paraId="1A75963B" w14:textId="0613A401"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Не позднее чем через пять лет с даты вступления Конвенции в силу для Стороны должны быть созданы и вестись кадастры источников высвобождени</w:t>
            </w:r>
            <w:r w:rsidR="007E391E">
              <w:rPr>
                <w:rFonts w:eastAsia="Arial Unicode MS"/>
                <w:color w:val="000000"/>
                <w:sz w:val="18"/>
                <w:szCs w:val="18"/>
                <w:u w:color="000000"/>
                <w:lang w:eastAsia="zh-CN"/>
              </w:rPr>
              <w:t>й</w:t>
            </w:r>
            <w:r w:rsidRPr="00587213">
              <w:rPr>
                <w:rFonts w:eastAsia="Arial Unicode MS"/>
                <w:color w:val="000000"/>
                <w:sz w:val="18"/>
                <w:szCs w:val="18"/>
                <w:u w:color="000000"/>
                <w:lang w:eastAsia="zh-CN"/>
              </w:rPr>
              <w:t>.</w:t>
            </w:r>
          </w:p>
        </w:tc>
      </w:tr>
      <w:tr w:rsidR="00587213" w:rsidRPr="00587213" w14:paraId="4E62FF69" w14:textId="77777777" w:rsidTr="00EF7555">
        <w:trPr>
          <w:trHeight w:val="57"/>
          <w:jc w:val="right"/>
        </w:trPr>
        <w:tc>
          <w:tcPr>
            <w:tcW w:w="846" w:type="dxa"/>
          </w:tcPr>
          <w:p w14:paraId="26EB4929"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2027 год*</w:t>
            </w:r>
          </w:p>
        </w:tc>
        <w:tc>
          <w:tcPr>
            <w:tcW w:w="1386" w:type="dxa"/>
          </w:tcPr>
          <w:p w14:paraId="2B626DDB" w14:textId="77777777" w:rsidR="00587213" w:rsidRPr="00587213" w:rsidRDefault="00587213" w:rsidP="001726AD">
            <w:pPr>
              <w:tabs>
                <w:tab w:val="clear" w:pos="1247"/>
                <w:tab w:val="clear" w:pos="1814"/>
                <w:tab w:val="clear" w:pos="2381"/>
                <w:tab w:val="clear" w:pos="2948"/>
                <w:tab w:val="clear" w:pos="3515"/>
              </w:tabs>
              <w:spacing w:after="80"/>
              <w:ind w:right="-11"/>
              <w:rPr>
                <w:rFonts w:eastAsia="Arial Unicode MS"/>
                <w:color w:val="000000"/>
                <w:sz w:val="18"/>
                <w:szCs w:val="18"/>
                <w:u w:color="000000"/>
                <w:lang w:eastAsia="zh-CN"/>
              </w:rPr>
            </w:pPr>
            <w:r w:rsidRPr="00587213">
              <w:rPr>
                <w:rFonts w:eastAsia="Arial Unicode MS"/>
                <w:color w:val="000000"/>
                <w:sz w:val="18"/>
                <w:szCs w:val="18"/>
                <w:u w:color="000000"/>
                <w:lang w:eastAsia="zh-CN"/>
              </w:rPr>
              <w:t>Ст. 8, п. 5</w:t>
            </w:r>
          </w:p>
        </w:tc>
        <w:tc>
          <w:tcPr>
            <w:tcW w:w="5985" w:type="dxa"/>
          </w:tcPr>
          <w:p w14:paraId="7A1D3ABB"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Не позднее чем через 10 лет после даты вступления Конвенции в силу для Стороны на существующих объектах должны быть введены меры контроля.</w:t>
            </w:r>
          </w:p>
        </w:tc>
      </w:tr>
      <w:tr w:rsidR="00587213" w:rsidRPr="00587213" w14:paraId="14CFB74F" w14:textId="77777777" w:rsidTr="00EF7555">
        <w:trPr>
          <w:trHeight w:val="57"/>
          <w:jc w:val="right"/>
        </w:trPr>
        <w:tc>
          <w:tcPr>
            <w:tcW w:w="8217" w:type="dxa"/>
            <w:gridSpan w:val="3"/>
            <w:vAlign w:val="center"/>
          </w:tcPr>
          <w:p w14:paraId="46ED3324" w14:textId="77777777" w:rsidR="00587213" w:rsidRPr="00587213" w:rsidRDefault="00587213" w:rsidP="001726AD">
            <w:pPr>
              <w:tabs>
                <w:tab w:val="clear" w:pos="1247"/>
                <w:tab w:val="clear" w:pos="1814"/>
                <w:tab w:val="clear" w:pos="2381"/>
                <w:tab w:val="clear" w:pos="2948"/>
                <w:tab w:val="clear" w:pos="3515"/>
              </w:tabs>
              <w:spacing w:after="80"/>
              <w:rPr>
                <w:rFonts w:eastAsia="Arial Unicode MS"/>
                <w:color w:val="000000"/>
                <w:sz w:val="18"/>
                <w:szCs w:val="18"/>
                <w:u w:color="000000"/>
                <w:lang w:eastAsia="zh-CN"/>
              </w:rPr>
            </w:pPr>
            <w:r w:rsidRPr="00587213">
              <w:rPr>
                <w:rFonts w:eastAsia="Arial Unicode MS"/>
                <w:color w:val="000000"/>
                <w:sz w:val="18"/>
                <w:szCs w:val="18"/>
                <w:u w:color="000000"/>
                <w:lang w:eastAsia="zh-CN"/>
              </w:rPr>
              <w:t>*Указывается самый ранний возможный срок в зависимости от того, когда Конвенция вступила в силу для Стороны.</w:t>
            </w:r>
          </w:p>
        </w:tc>
      </w:tr>
    </w:tbl>
    <w:p w14:paraId="53C7C8B5" w14:textId="0B5C6168" w:rsidR="00587213" w:rsidRPr="00587213" w:rsidRDefault="00587213" w:rsidP="00735D97">
      <w:pPr>
        <w:tabs>
          <w:tab w:val="clear" w:pos="1247"/>
          <w:tab w:val="clear" w:pos="1814"/>
          <w:tab w:val="clear" w:pos="2381"/>
          <w:tab w:val="clear" w:pos="2948"/>
          <w:tab w:val="clear" w:pos="3515"/>
        </w:tabs>
        <w:spacing w:before="240" w:after="120"/>
        <w:ind w:left="1247"/>
        <w:rPr>
          <w:rFonts w:asciiTheme="majorBidi" w:hAnsiTheme="majorBidi" w:cstheme="majorBidi"/>
        </w:rPr>
      </w:pPr>
      <w:r w:rsidRPr="00587213">
        <w:rPr>
          <w:rFonts w:asciiTheme="majorBidi" w:hAnsiTheme="majorBidi" w:cstheme="majorBidi"/>
        </w:rPr>
        <w:t>51.</w:t>
      </w:r>
      <w:r w:rsidRPr="00587213">
        <w:rPr>
          <w:rFonts w:asciiTheme="majorBidi" w:hAnsiTheme="majorBidi" w:cstheme="majorBidi"/>
        </w:rPr>
        <w:tab/>
        <w:t>Во-вторых, Конвенция не требует подготовки некоторых важных наборов данных и источников информации, которые подготавливались в прошлом, и поэтому составление аналогичных докладов в будущем требованиями Конвенции не гарантируется и не регулируется. К числу таких документов относятся первоначальные оценки Минаматской конвенции, а также доклад ЮНЕП о глобальной оценке ртути (публиковался в 2002, 2008, 2013 и 2018</w:t>
      </w:r>
      <w:r w:rsidR="003B2A2E" w:rsidRPr="003B2A2E">
        <w:rPr>
          <w:rFonts w:asciiTheme="majorBidi" w:hAnsiTheme="majorBidi" w:cstheme="majorBidi"/>
          <w:vertAlign w:val="superscript"/>
        </w:rPr>
        <w:fldChar w:fldCharType="begin"/>
      </w:r>
      <w:r w:rsidR="003B2A2E" w:rsidRPr="003B2A2E">
        <w:rPr>
          <w:rFonts w:asciiTheme="majorBidi" w:hAnsiTheme="majorBidi" w:cstheme="majorBidi"/>
          <w:vertAlign w:val="superscript"/>
        </w:rPr>
        <w:instrText xml:space="preserve"> NOTEREF _Ref25316597 \h </w:instrText>
      </w:r>
      <w:r w:rsidR="003B2A2E">
        <w:rPr>
          <w:rFonts w:asciiTheme="majorBidi" w:hAnsiTheme="majorBidi" w:cstheme="majorBidi"/>
          <w:vertAlign w:val="superscript"/>
        </w:rPr>
        <w:instrText xml:space="preserve"> \* MERGEFORMAT </w:instrText>
      </w:r>
      <w:r w:rsidR="003B2A2E" w:rsidRPr="003B2A2E">
        <w:rPr>
          <w:rFonts w:asciiTheme="majorBidi" w:hAnsiTheme="majorBidi" w:cstheme="majorBidi"/>
          <w:vertAlign w:val="superscript"/>
        </w:rPr>
      </w:r>
      <w:r w:rsidR="003B2A2E" w:rsidRPr="003B2A2E">
        <w:rPr>
          <w:rFonts w:asciiTheme="majorBidi" w:hAnsiTheme="majorBidi" w:cstheme="majorBidi"/>
          <w:vertAlign w:val="superscript"/>
        </w:rPr>
        <w:fldChar w:fldCharType="separate"/>
      </w:r>
      <w:r w:rsidR="0096427B">
        <w:rPr>
          <w:rFonts w:asciiTheme="majorBidi" w:hAnsiTheme="majorBidi" w:cstheme="majorBidi"/>
          <w:vertAlign w:val="superscript"/>
        </w:rPr>
        <w:t>6</w:t>
      </w:r>
      <w:r w:rsidR="003B2A2E" w:rsidRPr="003B2A2E">
        <w:rPr>
          <w:rFonts w:asciiTheme="majorBidi" w:hAnsiTheme="majorBidi" w:cstheme="majorBidi"/>
          <w:vertAlign w:val="superscript"/>
        </w:rPr>
        <w:fldChar w:fldCharType="end"/>
      </w:r>
      <w:r w:rsidRPr="00587213">
        <w:rPr>
          <w:rFonts w:asciiTheme="majorBidi" w:hAnsiTheme="majorBidi" w:cstheme="majorBidi"/>
          <w:vertAlign w:val="superscript"/>
        </w:rPr>
        <w:t xml:space="preserve"> </w:t>
      </w:r>
      <w:r w:rsidRPr="00587213">
        <w:rPr>
          <w:rFonts w:asciiTheme="majorBidi" w:hAnsiTheme="majorBidi" w:cstheme="majorBidi"/>
        </w:rPr>
        <w:t>годах) и доклад ЮНЕП о глобальном предложении ртути, торговле ею и спросе на нее (публиковался в 2006 и 2017</w:t>
      </w:r>
      <w:r w:rsidR="003B2A2E" w:rsidRPr="003B2A2E">
        <w:rPr>
          <w:rFonts w:asciiTheme="majorBidi" w:hAnsiTheme="majorBidi" w:cstheme="majorBidi"/>
          <w:vertAlign w:val="superscript"/>
        </w:rPr>
        <w:fldChar w:fldCharType="begin"/>
      </w:r>
      <w:r w:rsidR="003B2A2E" w:rsidRPr="003B2A2E">
        <w:rPr>
          <w:rFonts w:asciiTheme="majorBidi" w:hAnsiTheme="majorBidi" w:cstheme="majorBidi"/>
          <w:vertAlign w:val="superscript"/>
        </w:rPr>
        <w:instrText xml:space="preserve"> NOTEREF _Ref25316612 \h </w:instrText>
      </w:r>
      <w:r w:rsidR="003B2A2E">
        <w:rPr>
          <w:rFonts w:asciiTheme="majorBidi" w:hAnsiTheme="majorBidi" w:cstheme="majorBidi"/>
          <w:vertAlign w:val="superscript"/>
        </w:rPr>
        <w:instrText xml:space="preserve"> \* MERGEFORMAT </w:instrText>
      </w:r>
      <w:r w:rsidR="003B2A2E" w:rsidRPr="003B2A2E">
        <w:rPr>
          <w:rFonts w:asciiTheme="majorBidi" w:hAnsiTheme="majorBidi" w:cstheme="majorBidi"/>
          <w:vertAlign w:val="superscript"/>
        </w:rPr>
      </w:r>
      <w:r w:rsidR="003B2A2E" w:rsidRPr="003B2A2E">
        <w:rPr>
          <w:rFonts w:asciiTheme="majorBidi" w:hAnsiTheme="majorBidi" w:cstheme="majorBidi"/>
          <w:vertAlign w:val="superscript"/>
        </w:rPr>
        <w:fldChar w:fldCharType="separate"/>
      </w:r>
      <w:r w:rsidR="0096427B">
        <w:rPr>
          <w:rFonts w:asciiTheme="majorBidi" w:hAnsiTheme="majorBidi" w:cstheme="majorBidi"/>
          <w:vertAlign w:val="superscript"/>
        </w:rPr>
        <w:t>7</w:t>
      </w:r>
      <w:r w:rsidR="003B2A2E" w:rsidRPr="003B2A2E">
        <w:rPr>
          <w:rFonts w:asciiTheme="majorBidi" w:hAnsiTheme="majorBidi" w:cstheme="majorBidi"/>
          <w:vertAlign w:val="superscript"/>
        </w:rPr>
        <w:fldChar w:fldCharType="end"/>
      </w:r>
      <w:r w:rsidRPr="00587213">
        <w:rPr>
          <w:rFonts w:asciiTheme="majorBidi" w:hAnsiTheme="majorBidi" w:cstheme="majorBidi"/>
        </w:rPr>
        <w:t xml:space="preserve"> годах).</w:t>
      </w:r>
    </w:p>
    <w:p w14:paraId="326B99CD" w14:textId="2D65C3AF" w:rsidR="00587213" w:rsidRPr="00587213" w:rsidRDefault="00587213" w:rsidP="00735D97">
      <w:pPr>
        <w:tabs>
          <w:tab w:val="clear" w:pos="1247"/>
          <w:tab w:val="clear" w:pos="1814"/>
          <w:tab w:val="clear" w:pos="2381"/>
          <w:tab w:val="clear" w:pos="2948"/>
          <w:tab w:val="clear" w:pos="3515"/>
        </w:tabs>
        <w:spacing w:after="120"/>
        <w:ind w:left="1247"/>
        <w:rPr>
          <w:rFonts w:asciiTheme="majorBidi" w:hAnsiTheme="majorBidi" w:cstheme="majorBidi"/>
        </w:rPr>
      </w:pPr>
      <w:r w:rsidRPr="00587213">
        <w:rPr>
          <w:rFonts w:asciiTheme="majorBidi" w:hAnsiTheme="majorBidi" w:cstheme="majorBidi"/>
        </w:rPr>
        <w:t>52.</w:t>
      </w:r>
      <w:r w:rsidRPr="00587213">
        <w:rPr>
          <w:rFonts w:asciiTheme="majorBidi" w:hAnsiTheme="majorBidi" w:cstheme="majorBidi"/>
        </w:rPr>
        <w:tab/>
        <w:t>В-третьих, некоторые источники информации различаются по периодичности подготовки. Национальные планы действий в области кустарной и мелкомасштабной золотодобычи должны быть представлены не позднее чем через три года после вступления Конвенции в силу для Стороны (или не позднее чем через три года после того, как Сторона уведомляет секретариат о том,</w:t>
      </w:r>
      <w:r w:rsidR="002F7F95">
        <w:rPr>
          <w:rFonts w:asciiTheme="majorBidi" w:hAnsiTheme="majorBidi" w:cstheme="majorBidi"/>
        </w:rPr>
        <w:t xml:space="preserve"> что</w:t>
      </w:r>
      <w:r w:rsidRPr="00587213">
        <w:rPr>
          <w:rFonts w:asciiTheme="majorBidi" w:hAnsiTheme="majorBidi" w:cstheme="majorBidi"/>
        </w:rPr>
        <w:t xml:space="preserve"> мелкомасштабная добыча и обработка золота на ее территории выходит за рамки незначительной), и впоследствии каждые три года должен проводиться обзор хода работы. Периодические доклады по конкретным вопросам в соответствии со статьей 21 должны представляться каждые два года, причем первые краткие доклады должны быть представлены в конце 2019 года, а первые полные доклады, отвечающие всем требованиям отчетности, должны быть представлены в конце 2021 года.</w:t>
      </w:r>
    </w:p>
    <w:p w14:paraId="64F82357" w14:textId="3410E2C6" w:rsidR="00587213" w:rsidRPr="00587213" w:rsidRDefault="00587213" w:rsidP="00735D97">
      <w:pPr>
        <w:tabs>
          <w:tab w:val="clear" w:pos="1247"/>
          <w:tab w:val="clear" w:pos="1814"/>
          <w:tab w:val="clear" w:pos="2381"/>
          <w:tab w:val="clear" w:pos="2948"/>
          <w:tab w:val="clear" w:pos="3515"/>
        </w:tabs>
        <w:spacing w:after="120"/>
        <w:ind w:left="1247"/>
        <w:rPr>
          <w:rFonts w:asciiTheme="majorBidi" w:hAnsiTheme="majorBidi" w:cstheme="majorBidi"/>
        </w:rPr>
      </w:pPr>
      <w:r w:rsidRPr="00587213">
        <w:rPr>
          <w:rFonts w:asciiTheme="majorBidi" w:hAnsiTheme="majorBidi" w:cstheme="majorBidi"/>
        </w:rPr>
        <w:t>53.</w:t>
      </w:r>
      <w:r w:rsidRPr="00587213">
        <w:rPr>
          <w:rFonts w:asciiTheme="majorBidi" w:hAnsiTheme="majorBidi" w:cstheme="majorBidi"/>
        </w:rPr>
        <w:tab/>
        <w:t>Наконец, необходимо рассмотреть вопрос о наличии релевантных и сопоставимых научных данных и данных экологического мониторинга. Несмотря на то, что ртуть является одним из наиболее долго изучаемых химических веществ, при рассмотрении имеющейся информации мониторинга и имеющихся данных о ртути и ртутных соединениях специальная техническая группа экспертов отметила, что не все данные и матрицы пригодны для прямого сопоставления или анализа на глобальном уровне. Поэтому моделирование будет иметь решающее значение для обеспечения более полного понимания присутствия ртути в окружающей среде и связанных с ним</w:t>
      </w:r>
      <w:r w:rsidR="00260410">
        <w:rPr>
          <w:rFonts w:asciiTheme="majorBidi" w:hAnsiTheme="majorBidi" w:cstheme="majorBidi"/>
        </w:rPr>
        <w:t xml:space="preserve"> </w:t>
      </w:r>
      <w:r w:rsidRPr="00587213">
        <w:rPr>
          <w:rFonts w:asciiTheme="majorBidi" w:hAnsiTheme="majorBidi" w:cstheme="majorBidi"/>
        </w:rPr>
        <w:t>тенденций, а также для установления взаимосвязи между предусмотренными Конвенцией мерами и уровнями содержания ртути.</w:t>
      </w:r>
    </w:p>
    <w:p w14:paraId="1E70A097" w14:textId="3A8762C0" w:rsidR="00587213" w:rsidRPr="00587213" w:rsidRDefault="00587213" w:rsidP="00735D97">
      <w:pPr>
        <w:tabs>
          <w:tab w:val="clear" w:pos="1247"/>
          <w:tab w:val="clear" w:pos="1814"/>
          <w:tab w:val="clear" w:pos="2381"/>
          <w:tab w:val="clear" w:pos="2948"/>
          <w:tab w:val="clear" w:pos="3515"/>
        </w:tabs>
        <w:spacing w:after="120"/>
        <w:ind w:left="1247"/>
        <w:rPr>
          <w:rFonts w:asciiTheme="majorBidi" w:hAnsiTheme="majorBidi" w:cstheme="majorBidi"/>
          <w:color w:val="000000" w:themeColor="text1"/>
        </w:rPr>
      </w:pPr>
      <w:r w:rsidRPr="00587213">
        <w:rPr>
          <w:rFonts w:asciiTheme="majorBidi" w:hAnsiTheme="majorBidi" w:cstheme="majorBidi"/>
          <w:color w:val="000000" w:themeColor="text1"/>
        </w:rPr>
        <w:t>54.</w:t>
      </w:r>
      <w:r w:rsidRPr="00587213">
        <w:rPr>
          <w:rFonts w:asciiTheme="majorBidi" w:hAnsiTheme="majorBidi" w:cstheme="majorBidi"/>
          <w:color w:val="000000" w:themeColor="text1"/>
        </w:rPr>
        <w:tab/>
      </w:r>
      <w:r w:rsidRPr="00587213">
        <w:rPr>
          <w:rFonts w:asciiTheme="majorBidi" w:hAnsiTheme="majorBidi" w:cstheme="majorBidi"/>
        </w:rPr>
        <w:t>Осуществляемая в настоящее время деятельность по мониторингу ртути и прилагаемые в этой связи усилия, а также механизмы моделирования более подробно описаны в до</w:t>
      </w:r>
      <w:r w:rsidR="00A426E2">
        <w:rPr>
          <w:rFonts w:asciiTheme="majorBidi" w:hAnsiTheme="majorBidi" w:cstheme="majorBidi"/>
        </w:rPr>
        <w:t>полн</w:t>
      </w:r>
      <w:r w:rsidRPr="00587213">
        <w:rPr>
          <w:rFonts w:asciiTheme="majorBidi" w:hAnsiTheme="majorBidi" w:cstheme="majorBidi"/>
        </w:rPr>
        <w:t>ении</w:t>
      </w:r>
      <w:r w:rsidR="00A426E2">
        <w:rPr>
          <w:rFonts w:asciiTheme="majorBidi" w:hAnsiTheme="majorBidi" w:cstheme="majorBidi"/>
        </w:rPr>
        <w:t> </w:t>
      </w:r>
      <w:r w:rsidRPr="00587213">
        <w:rPr>
          <w:rFonts w:asciiTheme="majorBidi" w:hAnsiTheme="majorBidi" w:cstheme="majorBidi"/>
        </w:rPr>
        <w:t>I, в котором содержится техническая информация о мониторинге (UNEP/MC/COP.3/14/Add.1), и в дополнении III, в котором представлен</w:t>
      </w:r>
      <w:r w:rsidR="004F117C">
        <w:rPr>
          <w:rFonts w:asciiTheme="majorBidi" w:hAnsiTheme="majorBidi" w:cstheme="majorBidi"/>
        </w:rPr>
        <w:t>а</w:t>
      </w:r>
      <w:r w:rsidRPr="00587213">
        <w:rPr>
          <w:rFonts w:asciiTheme="majorBidi" w:hAnsiTheme="majorBidi" w:cstheme="majorBidi"/>
        </w:rPr>
        <w:t xml:space="preserve"> информация о предлагаемых механизма</w:t>
      </w:r>
      <w:r w:rsidR="00A426E2">
        <w:rPr>
          <w:rFonts w:asciiTheme="majorBidi" w:hAnsiTheme="majorBidi" w:cstheme="majorBidi"/>
        </w:rPr>
        <w:t>х</w:t>
      </w:r>
      <w:r w:rsidRPr="00587213">
        <w:rPr>
          <w:rFonts w:asciiTheme="majorBidi" w:hAnsiTheme="majorBidi" w:cstheme="majorBidi"/>
        </w:rPr>
        <w:t xml:space="preserve"> глобального мониторинга и проект положения о группе по мониторингу. В таблице 4 приведен ориентировочный перечень контрольных показателей для различных сред, а также используемые источники информации. Контрольные показатели дополняют показатели, представленные в таблице 2.</w:t>
      </w:r>
    </w:p>
    <w:p w14:paraId="25DFE56B" w14:textId="06D88360" w:rsidR="00587213" w:rsidRPr="00160E55" w:rsidRDefault="00587213" w:rsidP="00735D97">
      <w:pPr>
        <w:tabs>
          <w:tab w:val="clear" w:pos="1247"/>
          <w:tab w:val="clear" w:pos="1814"/>
          <w:tab w:val="clear" w:pos="2381"/>
          <w:tab w:val="clear" w:pos="2948"/>
          <w:tab w:val="clear" w:pos="3515"/>
        </w:tabs>
        <w:spacing w:after="120"/>
        <w:ind w:left="1247"/>
        <w:rPr>
          <w:b/>
          <w:bCs/>
        </w:rPr>
      </w:pPr>
      <w:bookmarkStart w:id="14" w:name="_Hlk15486676"/>
      <w:r w:rsidRPr="00735D97">
        <w:t xml:space="preserve">Таблица 4 </w:t>
      </w:r>
      <w:r w:rsidR="00735D97">
        <w:br/>
      </w:r>
      <w:r w:rsidRPr="00160E55">
        <w:rPr>
          <w:b/>
          <w:bCs/>
        </w:rPr>
        <w:t>Ориентировочный перечень контрольных показателей с разбивкой по средам</w:t>
      </w:r>
    </w:p>
    <w:tbl>
      <w:tblPr>
        <w:tblW w:w="8335"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484"/>
        <w:gridCol w:w="3473"/>
        <w:gridCol w:w="3378"/>
      </w:tblGrid>
      <w:tr w:rsidR="00587213" w:rsidRPr="00587213" w14:paraId="242E4A0C" w14:textId="77777777" w:rsidTr="00114F8F">
        <w:trPr>
          <w:trHeight w:val="57"/>
          <w:tblHeader/>
          <w:jc w:val="right"/>
        </w:trPr>
        <w:tc>
          <w:tcPr>
            <w:tcW w:w="1484"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80" w:type="dxa"/>
              <w:left w:w="80" w:type="dxa"/>
              <w:bottom w:w="80" w:type="dxa"/>
              <w:right w:w="80" w:type="dxa"/>
            </w:tcMar>
          </w:tcPr>
          <w:p w14:paraId="19710075" w14:textId="77777777"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rPr>
                <w:rFonts w:asciiTheme="majorBidi" w:eastAsia="Arial Unicode MS" w:hAnsiTheme="majorBidi" w:cstheme="majorBidi"/>
                <w:b/>
                <w:color w:val="000000"/>
                <w:sz w:val="18"/>
                <w:szCs w:val="18"/>
                <w:u w:color="000000"/>
                <w:lang w:eastAsia="zh-CN"/>
              </w:rPr>
            </w:pPr>
            <w:r w:rsidRPr="00587213">
              <w:rPr>
                <w:rFonts w:asciiTheme="majorBidi" w:eastAsia="Arial Unicode MS" w:hAnsiTheme="majorBidi" w:cstheme="majorBidi"/>
                <w:b/>
                <w:color w:val="000000"/>
                <w:sz w:val="18"/>
                <w:szCs w:val="18"/>
                <w:u w:color="000000"/>
                <w:lang w:eastAsia="zh-CN"/>
              </w:rPr>
              <w:t>Среда</w:t>
            </w:r>
          </w:p>
        </w:tc>
        <w:tc>
          <w:tcPr>
            <w:tcW w:w="3473"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80" w:type="dxa"/>
              <w:left w:w="80" w:type="dxa"/>
              <w:bottom w:w="80" w:type="dxa"/>
              <w:right w:w="80" w:type="dxa"/>
            </w:tcMar>
          </w:tcPr>
          <w:p w14:paraId="1F2B4007" w14:textId="77777777"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rPr>
                <w:rFonts w:asciiTheme="majorBidi" w:eastAsia="Arial Unicode MS" w:hAnsiTheme="majorBidi" w:cstheme="majorBidi"/>
                <w:b/>
                <w:color w:val="000000"/>
                <w:sz w:val="18"/>
                <w:szCs w:val="18"/>
                <w:u w:color="000000"/>
                <w:lang w:eastAsia="zh-CN"/>
              </w:rPr>
            </w:pPr>
            <w:r w:rsidRPr="00587213">
              <w:rPr>
                <w:rFonts w:asciiTheme="majorBidi" w:eastAsia="Arial Unicode MS" w:hAnsiTheme="majorBidi" w:cstheme="majorBidi"/>
                <w:b/>
                <w:color w:val="000000"/>
                <w:sz w:val="18"/>
                <w:szCs w:val="18"/>
                <w:u w:color="000000"/>
                <w:lang w:eastAsia="zh-CN"/>
              </w:rPr>
              <w:t>Показатель</w:t>
            </w:r>
          </w:p>
        </w:tc>
        <w:tc>
          <w:tcPr>
            <w:tcW w:w="3378"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80" w:type="dxa"/>
              <w:left w:w="80" w:type="dxa"/>
              <w:bottom w:w="80" w:type="dxa"/>
              <w:right w:w="80" w:type="dxa"/>
            </w:tcMar>
          </w:tcPr>
          <w:p w14:paraId="594416DF" w14:textId="77777777"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rPr>
                <w:rFonts w:asciiTheme="majorBidi" w:eastAsia="Arial Unicode MS" w:hAnsiTheme="majorBidi" w:cstheme="majorBidi"/>
                <w:b/>
                <w:color w:val="000000"/>
                <w:sz w:val="18"/>
                <w:szCs w:val="18"/>
                <w:u w:color="000000"/>
                <w:lang w:eastAsia="zh-CN"/>
              </w:rPr>
            </w:pPr>
            <w:r w:rsidRPr="00587213">
              <w:rPr>
                <w:rFonts w:asciiTheme="majorBidi" w:eastAsia="Arial Unicode MS" w:hAnsiTheme="majorBidi" w:cstheme="majorBidi"/>
                <w:b/>
                <w:color w:val="000000"/>
                <w:sz w:val="18"/>
                <w:szCs w:val="18"/>
                <w:u w:color="000000"/>
                <w:lang w:eastAsia="zh-CN"/>
              </w:rPr>
              <w:t>Источник информации</w:t>
            </w:r>
          </w:p>
        </w:tc>
      </w:tr>
      <w:tr w:rsidR="00587213" w:rsidRPr="00587213" w14:paraId="7B8F5C18" w14:textId="77777777" w:rsidTr="00114F8F">
        <w:trPr>
          <w:trHeight w:val="411"/>
          <w:jc w:val="right"/>
        </w:trPr>
        <w:tc>
          <w:tcPr>
            <w:tcW w:w="1484" w:type="dxa"/>
            <w:vMerge w:val="restart"/>
            <w:tcBorders>
              <w:top w:val="single" w:sz="4" w:space="0" w:color="000000"/>
              <w:left w:val="single" w:sz="4" w:space="0" w:color="000000"/>
              <w:right w:val="single" w:sz="4" w:space="0" w:color="000000"/>
            </w:tcBorders>
            <w:shd w:val="clear" w:color="auto" w:fill="FFFFFF" w:themeFill="background1"/>
            <w:tcMar>
              <w:top w:w="80" w:type="dxa"/>
              <w:left w:w="80" w:type="dxa"/>
              <w:bottom w:w="80" w:type="dxa"/>
              <w:right w:w="80" w:type="dxa"/>
            </w:tcMar>
          </w:tcPr>
          <w:p w14:paraId="1EDB6A74" w14:textId="77777777"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spacing w:after="120"/>
              <w:rPr>
                <w:rFonts w:asciiTheme="majorBidi" w:eastAsia="Arial Unicode MS" w:hAnsiTheme="majorBidi" w:cstheme="majorBidi"/>
                <w:b/>
                <w:color w:val="000000"/>
                <w:sz w:val="18"/>
                <w:szCs w:val="18"/>
                <w:u w:color="000000"/>
                <w:lang w:eastAsia="zh-CN"/>
              </w:rPr>
            </w:pPr>
            <w:r w:rsidRPr="00587213">
              <w:rPr>
                <w:rFonts w:asciiTheme="majorBidi" w:eastAsia="Arial Unicode MS" w:hAnsiTheme="majorBidi" w:cstheme="majorBidi"/>
                <w:b/>
                <w:color w:val="000000"/>
                <w:sz w:val="18"/>
                <w:szCs w:val="18"/>
                <w:u w:color="000000"/>
                <w:lang w:eastAsia="zh-CN"/>
              </w:rPr>
              <w:t>1. Воздух</w:t>
            </w:r>
          </w:p>
        </w:tc>
        <w:tc>
          <w:tcPr>
            <w:tcW w:w="34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628FB18A" w14:textId="2BFB33F1"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rPr>
                <w:rFonts w:asciiTheme="majorBidi" w:eastAsia="Arial Unicode MS" w:hAnsiTheme="majorBidi" w:cstheme="majorBidi"/>
                <w:bCs/>
                <w:color w:val="000000"/>
                <w:sz w:val="18"/>
                <w:szCs w:val="18"/>
                <w:u w:color="000000"/>
                <w:lang w:eastAsia="zh-CN"/>
              </w:rPr>
            </w:pPr>
            <w:r w:rsidRPr="00587213">
              <w:rPr>
                <w:rFonts w:asciiTheme="majorBidi" w:eastAsia="Arial Unicode MS" w:hAnsiTheme="majorBidi" w:cstheme="majorBidi"/>
                <w:bCs/>
                <w:color w:val="000000"/>
                <w:sz w:val="18"/>
                <w:szCs w:val="18"/>
                <w:u w:color="000000"/>
                <w:lang w:eastAsia="zh-CN"/>
              </w:rPr>
              <w:t xml:space="preserve">M1. Общее содержание газообразной ртути/газообразной элементарной ртути в </w:t>
            </w:r>
            <w:r w:rsidR="00056B67">
              <w:rPr>
                <w:rFonts w:asciiTheme="majorBidi" w:eastAsia="Arial Unicode MS" w:hAnsiTheme="majorBidi" w:cstheme="majorBidi"/>
                <w:bCs/>
                <w:color w:val="000000"/>
                <w:sz w:val="18"/>
                <w:szCs w:val="18"/>
                <w:u w:color="000000"/>
                <w:lang w:eastAsia="zh-CN"/>
              </w:rPr>
              <w:t xml:space="preserve">окружающем </w:t>
            </w:r>
            <w:r w:rsidRPr="00587213">
              <w:rPr>
                <w:rFonts w:asciiTheme="majorBidi" w:eastAsia="Arial Unicode MS" w:hAnsiTheme="majorBidi" w:cstheme="majorBidi"/>
                <w:bCs/>
                <w:color w:val="000000"/>
                <w:sz w:val="18"/>
                <w:szCs w:val="18"/>
                <w:u w:color="000000"/>
                <w:lang w:eastAsia="zh-CN"/>
              </w:rPr>
              <w:t>воздухе</w:t>
            </w:r>
          </w:p>
        </w:tc>
        <w:tc>
          <w:tcPr>
            <w:tcW w:w="337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3D9AED53" w14:textId="77777777"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ind w:left="170" w:hanging="170"/>
              <w:rPr>
                <w:rFonts w:asciiTheme="majorBidi" w:eastAsia="Arial Unicode MS" w:hAnsiTheme="majorBidi" w:cstheme="majorBidi"/>
                <w:color w:val="000000"/>
                <w:sz w:val="18"/>
                <w:szCs w:val="18"/>
                <w:u w:color="000000"/>
                <w:lang w:eastAsia="zh-CN"/>
              </w:rPr>
            </w:pPr>
            <w:r w:rsidRPr="00587213">
              <w:rPr>
                <w:rFonts w:asciiTheme="majorBidi" w:eastAsia="Arial Unicode MS" w:hAnsiTheme="majorBidi" w:cstheme="majorBidi"/>
                <w:color w:val="000000"/>
                <w:sz w:val="18"/>
                <w:szCs w:val="18"/>
                <w:u w:color="000000"/>
                <w:lang w:eastAsia="zh-CN"/>
              </w:rPr>
              <w:t>Существующие/более обширные мероприятия по мониторингу и сети мониторинга</w:t>
            </w:r>
          </w:p>
        </w:tc>
      </w:tr>
      <w:tr w:rsidR="00587213" w:rsidRPr="00587213" w14:paraId="5AB7BFE6" w14:textId="77777777" w:rsidTr="00114F8F">
        <w:trPr>
          <w:trHeight w:val="57"/>
          <w:jc w:val="right"/>
        </w:trPr>
        <w:tc>
          <w:tcPr>
            <w:tcW w:w="1484"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D07D8" w14:textId="77777777" w:rsidR="00587213" w:rsidRPr="00587213" w:rsidRDefault="00587213" w:rsidP="00735D97">
            <w:pPr>
              <w:tabs>
                <w:tab w:val="clear" w:pos="1247"/>
                <w:tab w:val="clear" w:pos="1814"/>
                <w:tab w:val="clear" w:pos="2381"/>
                <w:tab w:val="clear" w:pos="2948"/>
                <w:tab w:val="clear" w:pos="3515"/>
              </w:tabs>
              <w:rPr>
                <w:rFonts w:asciiTheme="majorBidi" w:hAnsiTheme="majorBidi" w:cstheme="majorBidi"/>
                <w:b/>
                <w:sz w:val="18"/>
                <w:szCs w:val="18"/>
              </w:rPr>
            </w:pPr>
          </w:p>
        </w:tc>
        <w:tc>
          <w:tcPr>
            <w:tcW w:w="3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B2BE83" w14:textId="77777777"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rPr>
                <w:rFonts w:asciiTheme="majorBidi" w:eastAsia="Arial Unicode MS" w:hAnsiTheme="majorBidi" w:cstheme="majorBidi"/>
                <w:bCs/>
                <w:color w:val="000000"/>
                <w:sz w:val="18"/>
                <w:szCs w:val="18"/>
                <w:u w:color="000000"/>
                <w:lang w:eastAsia="zh-CN"/>
              </w:rPr>
            </w:pPr>
            <w:r w:rsidRPr="00587213">
              <w:rPr>
                <w:rFonts w:asciiTheme="majorBidi" w:eastAsia="Arial Unicode MS" w:hAnsiTheme="majorBidi" w:cstheme="majorBidi"/>
                <w:bCs/>
                <w:color w:val="000000"/>
                <w:sz w:val="18"/>
                <w:szCs w:val="18"/>
                <w:u w:color="000000"/>
                <w:lang w:eastAsia="zh-CN"/>
              </w:rPr>
              <w:t>M2. Уровень содержания ртути в осадках</w:t>
            </w:r>
          </w:p>
        </w:tc>
        <w:tc>
          <w:tcPr>
            <w:tcW w:w="3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4387A7" w14:textId="77777777"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ind w:left="170" w:hanging="170"/>
              <w:rPr>
                <w:rFonts w:asciiTheme="majorBidi" w:eastAsia="Arial Unicode MS" w:hAnsiTheme="majorBidi" w:cstheme="majorBidi"/>
                <w:color w:val="000000"/>
                <w:sz w:val="18"/>
                <w:szCs w:val="18"/>
                <w:u w:color="000000"/>
                <w:lang w:eastAsia="zh-CN"/>
              </w:rPr>
            </w:pPr>
            <w:r w:rsidRPr="00587213">
              <w:rPr>
                <w:rFonts w:asciiTheme="majorBidi" w:eastAsia="Arial Unicode MS" w:hAnsiTheme="majorBidi" w:cstheme="majorBidi"/>
                <w:color w:val="000000"/>
                <w:sz w:val="18"/>
                <w:szCs w:val="18"/>
                <w:u w:color="000000"/>
                <w:lang w:eastAsia="zh-CN"/>
              </w:rPr>
              <w:t>Существующие/более обширные мероприятия по мониторингу и сети мониторинга</w:t>
            </w:r>
          </w:p>
        </w:tc>
      </w:tr>
      <w:tr w:rsidR="00587213" w:rsidRPr="00587213" w14:paraId="7FD34112" w14:textId="77777777" w:rsidTr="00114F8F">
        <w:trPr>
          <w:trHeight w:val="57"/>
          <w:jc w:val="right"/>
        </w:trPr>
        <w:tc>
          <w:tcPr>
            <w:tcW w:w="148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5649B72A" w14:textId="77777777"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spacing w:after="120"/>
              <w:rPr>
                <w:rFonts w:asciiTheme="majorBidi" w:eastAsia="Arial Unicode MS" w:hAnsiTheme="majorBidi" w:cstheme="majorBidi"/>
                <w:b/>
                <w:color w:val="000000"/>
                <w:sz w:val="18"/>
                <w:szCs w:val="18"/>
                <w:u w:color="000000"/>
                <w:lang w:eastAsia="zh-CN"/>
              </w:rPr>
            </w:pPr>
            <w:r w:rsidRPr="00587213">
              <w:rPr>
                <w:rFonts w:asciiTheme="majorBidi" w:eastAsia="Arial Unicode MS" w:hAnsiTheme="majorBidi" w:cstheme="majorBidi"/>
                <w:b/>
                <w:color w:val="000000"/>
                <w:sz w:val="18"/>
                <w:szCs w:val="18"/>
                <w:u w:color="000000"/>
                <w:lang w:eastAsia="zh-CN"/>
              </w:rPr>
              <w:t>2. Организм человека</w:t>
            </w:r>
          </w:p>
        </w:tc>
        <w:tc>
          <w:tcPr>
            <w:tcW w:w="34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6504B394" w14:textId="77777777" w:rsidR="00587213" w:rsidRPr="00587213" w:rsidRDefault="00587213" w:rsidP="00735D97">
            <w:pPr>
              <w:tabs>
                <w:tab w:val="clear" w:pos="1247"/>
                <w:tab w:val="clear" w:pos="1814"/>
                <w:tab w:val="clear" w:pos="2381"/>
                <w:tab w:val="clear" w:pos="2948"/>
                <w:tab w:val="clear" w:pos="3515"/>
              </w:tabs>
              <w:rPr>
                <w:rFonts w:asciiTheme="majorBidi" w:eastAsia="Arial Unicode MS" w:hAnsiTheme="majorBidi" w:cstheme="majorBidi"/>
                <w:bCs/>
                <w:color w:val="000000"/>
                <w:sz w:val="18"/>
                <w:szCs w:val="18"/>
                <w:u w:color="000000"/>
                <w:lang w:eastAsia="zh-CN"/>
              </w:rPr>
            </w:pPr>
            <w:r w:rsidRPr="00587213">
              <w:rPr>
                <w:rFonts w:asciiTheme="majorBidi" w:eastAsia="Arial Unicode MS" w:hAnsiTheme="majorBidi" w:cstheme="majorBidi"/>
                <w:bCs/>
                <w:color w:val="000000"/>
                <w:sz w:val="18"/>
                <w:szCs w:val="18"/>
                <w:u w:color="000000"/>
                <w:lang w:eastAsia="zh-CN"/>
              </w:rPr>
              <w:t>M3. Уровень содержания ртути в волосах как основной показатель</w:t>
            </w:r>
          </w:p>
        </w:tc>
        <w:tc>
          <w:tcPr>
            <w:tcW w:w="337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006A0F22" w14:textId="77777777" w:rsidR="00587213" w:rsidRPr="00587213" w:rsidRDefault="00587213" w:rsidP="00735D97">
            <w:pPr>
              <w:tabs>
                <w:tab w:val="clear" w:pos="1247"/>
                <w:tab w:val="clear" w:pos="1814"/>
                <w:tab w:val="clear" w:pos="2381"/>
                <w:tab w:val="clear" w:pos="2948"/>
                <w:tab w:val="clear" w:pos="3515"/>
              </w:tabs>
              <w:ind w:left="170" w:hanging="170"/>
              <w:rPr>
                <w:rFonts w:asciiTheme="majorBidi" w:eastAsia="Arial Unicode MS" w:hAnsiTheme="majorBidi" w:cstheme="majorBidi"/>
                <w:color w:val="000000"/>
                <w:sz w:val="18"/>
                <w:szCs w:val="18"/>
                <w:u w:color="000000"/>
                <w:lang w:eastAsia="zh-CN"/>
              </w:rPr>
            </w:pPr>
            <w:r w:rsidRPr="00587213">
              <w:rPr>
                <w:rFonts w:asciiTheme="majorBidi" w:eastAsia="Arial Unicode MS" w:hAnsiTheme="majorBidi" w:cstheme="majorBidi"/>
                <w:color w:val="000000"/>
                <w:sz w:val="18"/>
                <w:szCs w:val="18"/>
                <w:u w:color="000000"/>
                <w:lang w:eastAsia="zh-CN"/>
              </w:rPr>
              <w:t>Проводимые Сторонами эпидемиологические исследования</w:t>
            </w:r>
          </w:p>
        </w:tc>
      </w:tr>
      <w:tr w:rsidR="00587213" w:rsidRPr="00587213" w14:paraId="5360CD78" w14:textId="77777777" w:rsidTr="00114F8F">
        <w:trPr>
          <w:trHeight w:val="57"/>
          <w:jc w:val="right"/>
        </w:trPr>
        <w:tc>
          <w:tcPr>
            <w:tcW w:w="148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667458CF" w14:textId="77777777"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spacing w:after="120"/>
              <w:rPr>
                <w:rFonts w:asciiTheme="majorBidi" w:eastAsia="Arial Unicode MS" w:hAnsiTheme="majorBidi" w:cstheme="majorBidi"/>
                <w:b/>
                <w:color w:val="000000"/>
                <w:sz w:val="18"/>
                <w:szCs w:val="18"/>
                <w:u w:color="000000"/>
                <w:lang w:eastAsia="zh-CN"/>
              </w:rPr>
            </w:pPr>
          </w:p>
        </w:tc>
        <w:tc>
          <w:tcPr>
            <w:tcW w:w="34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87FDC70" w14:textId="77777777" w:rsidR="00587213" w:rsidRPr="00587213" w:rsidRDefault="00587213" w:rsidP="00735D97">
            <w:pPr>
              <w:tabs>
                <w:tab w:val="clear" w:pos="1247"/>
                <w:tab w:val="clear" w:pos="1814"/>
                <w:tab w:val="clear" w:pos="2381"/>
                <w:tab w:val="clear" w:pos="2948"/>
                <w:tab w:val="clear" w:pos="3515"/>
              </w:tabs>
              <w:rPr>
                <w:rFonts w:asciiTheme="majorBidi" w:eastAsia="Arial Unicode MS" w:hAnsiTheme="majorBidi" w:cstheme="majorBidi"/>
                <w:bCs/>
                <w:color w:val="000000"/>
                <w:sz w:val="18"/>
                <w:szCs w:val="18"/>
                <w:u w:color="000000"/>
                <w:lang w:eastAsia="zh-CN"/>
              </w:rPr>
            </w:pPr>
            <w:r w:rsidRPr="00587213">
              <w:rPr>
                <w:rFonts w:asciiTheme="majorBidi" w:eastAsia="Arial Unicode MS" w:hAnsiTheme="majorBidi" w:cstheme="majorBidi"/>
                <w:bCs/>
                <w:color w:val="000000"/>
                <w:sz w:val="18"/>
                <w:szCs w:val="18"/>
                <w:u w:color="000000"/>
                <w:lang w:eastAsia="zh-CN"/>
              </w:rPr>
              <w:t>M4. Уровень содержания ртути в крови как альтернативный показатель</w:t>
            </w:r>
          </w:p>
        </w:tc>
        <w:tc>
          <w:tcPr>
            <w:tcW w:w="337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7C3862FD" w14:textId="77777777"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ind w:left="170" w:hanging="170"/>
              <w:rPr>
                <w:rFonts w:asciiTheme="majorBidi" w:eastAsia="Arial Unicode MS" w:hAnsiTheme="majorBidi" w:cstheme="majorBidi"/>
                <w:color w:val="000000"/>
                <w:sz w:val="18"/>
                <w:szCs w:val="18"/>
                <w:u w:color="000000"/>
                <w:lang w:eastAsia="zh-CN"/>
              </w:rPr>
            </w:pPr>
            <w:r w:rsidRPr="00587213">
              <w:rPr>
                <w:rFonts w:asciiTheme="majorBidi" w:eastAsia="Arial Unicode MS" w:hAnsiTheme="majorBidi" w:cstheme="majorBidi"/>
                <w:color w:val="000000"/>
                <w:sz w:val="18"/>
                <w:szCs w:val="18"/>
                <w:u w:color="000000"/>
                <w:lang w:eastAsia="zh-CN"/>
              </w:rPr>
              <w:t>Международная и национальная программа биомониторинга</w:t>
            </w:r>
          </w:p>
          <w:p w14:paraId="1A3A8DDB" w14:textId="77777777"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ind w:left="170" w:hanging="170"/>
              <w:rPr>
                <w:rFonts w:asciiTheme="majorBidi" w:eastAsia="Arial Unicode MS" w:hAnsiTheme="majorBidi" w:cstheme="majorBidi"/>
                <w:color w:val="000000"/>
                <w:sz w:val="18"/>
                <w:szCs w:val="18"/>
                <w:u w:color="000000"/>
                <w:lang w:eastAsia="zh-CN"/>
              </w:rPr>
            </w:pPr>
            <w:r w:rsidRPr="00587213">
              <w:rPr>
                <w:rFonts w:asciiTheme="majorBidi" w:eastAsia="Arial Unicode MS" w:hAnsiTheme="majorBidi" w:cstheme="majorBidi"/>
                <w:color w:val="000000"/>
                <w:sz w:val="18"/>
                <w:szCs w:val="18"/>
                <w:u w:color="000000"/>
                <w:lang w:eastAsia="zh-CN"/>
              </w:rPr>
              <w:t xml:space="preserve">Долгосрочные </w:t>
            </w:r>
            <w:proofErr w:type="spellStart"/>
            <w:r w:rsidRPr="00587213">
              <w:rPr>
                <w:rFonts w:asciiTheme="majorBidi" w:eastAsia="Arial Unicode MS" w:hAnsiTheme="majorBidi" w:cstheme="majorBidi"/>
                <w:color w:val="000000"/>
                <w:sz w:val="18"/>
                <w:szCs w:val="18"/>
                <w:u w:color="000000"/>
                <w:lang w:eastAsia="zh-CN"/>
              </w:rPr>
              <w:t>когортные</w:t>
            </w:r>
            <w:proofErr w:type="spellEnd"/>
            <w:r w:rsidRPr="00587213">
              <w:rPr>
                <w:rFonts w:asciiTheme="majorBidi" w:eastAsia="Arial Unicode MS" w:hAnsiTheme="majorBidi" w:cstheme="majorBidi"/>
                <w:color w:val="000000"/>
                <w:sz w:val="18"/>
                <w:szCs w:val="18"/>
                <w:u w:color="000000"/>
                <w:lang w:eastAsia="zh-CN"/>
              </w:rPr>
              <w:t xml:space="preserve"> исследования родов и межгрупповые исследования </w:t>
            </w:r>
          </w:p>
        </w:tc>
      </w:tr>
      <w:tr w:rsidR="00587213" w:rsidRPr="00587213" w14:paraId="11D26136" w14:textId="77777777" w:rsidTr="00114F8F">
        <w:trPr>
          <w:trHeight w:val="57"/>
          <w:jc w:val="right"/>
        </w:trPr>
        <w:tc>
          <w:tcPr>
            <w:tcW w:w="1484"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14:paraId="43B7564D" w14:textId="2BF54DDE" w:rsidR="00587213" w:rsidRPr="00587213" w:rsidRDefault="00587213" w:rsidP="00735D97">
            <w:pPr>
              <w:tabs>
                <w:tab w:val="clear" w:pos="1247"/>
                <w:tab w:val="clear" w:pos="1814"/>
                <w:tab w:val="clear" w:pos="2381"/>
                <w:tab w:val="clear" w:pos="2948"/>
                <w:tab w:val="clear" w:pos="3515"/>
              </w:tabs>
              <w:spacing w:after="120"/>
              <w:rPr>
                <w:rFonts w:asciiTheme="majorBidi" w:eastAsia="Arial Unicode MS" w:hAnsiTheme="majorBidi" w:cstheme="majorBidi"/>
                <w:b/>
                <w:color w:val="000000"/>
                <w:sz w:val="18"/>
                <w:szCs w:val="18"/>
                <w:u w:color="000000"/>
                <w:lang w:eastAsia="zh-CN"/>
              </w:rPr>
            </w:pPr>
            <w:r w:rsidRPr="00587213">
              <w:rPr>
                <w:rFonts w:asciiTheme="majorBidi" w:eastAsia="Arial Unicode MS" w:hAnsiTheme="majorBidi" w:cstheme="majorBidi"/>
                <w:b/>
                <w:color w:val="000000"/>
                <w:sz w:val="18"/>
                <w:szCs w:val="18"/>
                <w:u w:color="000000"/>
                <w:lang w:eastAsia="zh-CN"/>
              </w:rPr>
              <w:t>3. Биотическ</w:t>
            </w:r>
            <w:r w:rsidR="00110A13">
              <w:rPr>
                <w:rFonts w:asciiTheme="majorBidi" w:eastAsia="Arial Unicode MS" w:hAnsiTheme="majorBidi" w:cstheme="majorBidi"/>
                <w:b/>
                <w:color w:val="000000"/>
                <w:sz w:val="18"/>
                <w:szCs w:val="18"/>
                <w:u w:color="000000"/>
                <w:lang w:eastAsia="zh-CN"/>
              </w:rPr>
              <w:t>ие</w:t>
            </w:r>
            <w:r w:rsidRPr="00587213">
              <w:rPr>
                <w:rFonts w:asciiTheme="majorBidi" w:eastAsia="Arial Unicode MS" w:hAnsiTheme="majorBidi" w:cstheme="majorBidi"/>
                <w:b/>
                <w:color w:val="000000"/>
                <w:sz w:val="18"/>
                <w:szCs w:val="18"/>
                <w:u w:color="000000"/>
                <w:lang w:eastAsia="zh-CN"/>
              </w:rPr>
              <w:t xml:space="preserve"> сред</w:t>
            </w:r>
            <w:r w:rsidR="00110A13">
              <w:rPr>
                <w:rFonts w:asciiTheme="majorBidi" w:eastAsia="Arial Unicode MS" w:hAnsiTheme="majorBidi" w:cstheme="majorBidi"/>
                <w:b/>
                <w:color w:val="000000"/>
                <w:sz w:val="18"/>
                <w:szCs w:val="18"/>
                <w:u w:color="000000"/>
                <w:lang w:eastAsia="zh-CN"/>
              </w:rPr>
              <w:t>ы</w:t>
            </w:r>
          </w:p>
        </w:tc>
        <w:tc>
          <w:tcPr>
            <w:tcW w:w="3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769C6A" w14:textId="5F7CD97C"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rPr>
                <w:rFonts w:asciiTheme="majorBidi" w:eastAsia="Arial Unicode MS" w:hAnsiTheme="majorBidi" w:cstheme="majorBidi"/>
                <w:bCs/>
                <w:color w:val="000000"/>
                <w:sz w:val="18"/>
                <w:szCs w:val="18"/>
                <w:u w:color="000000"/>
                <w:lang w:eastAsia="zh-CN"/>
              </w:rPr>
            </w:pPr>
            <w:r w:rsidRPr="00587213">
              <w:rPr>
                <w:rFonts w:asciiTheme="majorBidi" w:eastAsia="Arial Unicode MS" w:hAnsiTheme="majorBidi" w:cstheme="majorBidi"/>
                <w:bCs/>
                <w:color w:val="000000"/>
                <w:sz w:val="18"/>
                <w:szCs w:val="18"/>
                <w:u w:color="000000"/>
                <w:lang w:eastAsia="zh-CN"/>
              </w:rPr>
              <w:t>M6. Уровни содержания ртути в биотическ</w:t>
            </w:r>
            <w:r w:rsidR="00110A13">
              <w:rPr>
                <w:rFonts w:asciiTheme="majorBidi" w:eastAsia="Arial Unicode MS" w:hAnsiTheme="majorBidi" w:cstheme="majorBidi"/>
                <w:bCs/>
                <w:color w:val="000000"/>
                <w:sz w:val="18"/>
                <w:szCs w:val="18"/>
                <w:u w:color="000000"/>
                <w:lang w:eastAsia="zh-CN"/>
              </w:rPr>
              <w:t>их</w:t>
            </w:r>
            <w:r w:rsidRPr="00587213">
              <w:rPr>
                <w:rFonts w:asciiTheme="majorBidi" w:eastAsia="Arial Unicode MS" w:hAnsiTheme="majorBidi" w:cstheme="majorBidi"/>
                <w:bCs/>
                <w:color w:val="000000"/>
                <w:sz w:val="18"/>
                <w:szCs w:val="18"/>
                <w:u w:color="000000"/>
                <w:lang w:eastAsia="zh-CN"/>
              </w:rPr>
              <w:t xml:space="preserve"> сред</w:t>
            </w:r>
            <w:r w:rsidR="00110A13">
              <w:rPr>
                <w:rFonts w:asciiTheme="majorBidi" w:eastAsia="Arial Unicode MS" w:hAnsiTheme="majorBidi" w:cstheme="majorBidi"/>
                <w:bCs/>
                <w:color w:val="000000"/>
                <w:sz w:val="18"/>
                <w:szCs w:val="18"/>
                <w:u w:color="000000"/>
                <w:lang w:eastAsia="zh-CN"/>
              </w:rPr>
              <w:t>ах</w:t>
            </w:r>
          </w:p>
        </w:tc>
        <w:tc>
          <w:tcPr>
            <w:tcW w:w="3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5B838C" w14:textId="77777777"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ind w:left="170" w:hanging="170"/>
              <w:rPr>
                <w:rFonts w:asciiTheme="majorBidi" w:eastAsia="Arial Unicode MS" w:hAnsiTheme="majorBidi" w:cstheme="majorBidi"/>
                <w:color w:val="000000"/>
                <w:sz w:val="18"/>
                <w:szCs w:val="18"/>
                <w:u w:color="000000"/>
                <w:lang w:eastAsia="zh-CN"/>
              </w:rPr>
            </w:pPr>
            <w:r w:rsidRPr="00587213">
              <w:rPr>
                <w:rFonts w:asciiTheme="majorBidi" w:eastAsia="Arial Unicode MS" w:hAnsiTheme="majorBidi" w:cstheme="majorBidi"/>
                <w:color w:val="000000"/>
                <w:sz w:val="18"/>
                <w:szCs w:val="18"/>
                <w:u w:color="000000"/>
                <w:lang w:eastAsia="zh-CN"/>
              </w:rPr>
              <w:t>Континентальная сеть</w:t>
            </w:r>
          </w:p>
        </w:tc>
      </w:tr>
      <w:tr w:rsidR="00587213" w:rsidRPr="00587213" w14:paraId="4E5D792D" w14:textId="77777777" w:rsidTr="00114F8F">
        <w:trPr>
          <w:trHeight w:val="57"/>
          <w:jc w:val="right"/>
        </w:trPr>
        <w:tc>
          <w:tcPr>
            <w:tcW w:w="1484" w:type="dxa"/>
            <w:vMerge/>
            <w:tcBorders>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4EE815CE" w14:textId="77777777" w:rsidR="00587213" w:rsidRPr="00587213" w:rsidRDefault="00587213" w:rsidP="00735D97">
            <w:pPr>
              <w:tabs>
                <w:tab w:val="clear" w:pos="1247"/>
                <w:tab w:val="clear" w:pos="1814"/>
                <w:tab w:val="clear" w:pos="2381"/>
                <w:tab w:val="clear" w:pos="2948"/>
                <w:tab w:val="clear" w:pos="3515"/>
              </w:tabs>
              <w:spacing w:after="120"/>
              <w:rPr>
                <w:rFonts w:asciiTheme="majorBidi" w:eastAsia="Arial Unicode MS" w:hAnsiTheme="majorBidi" w:cstheme="majorBidi"/>
                <w:b/>
                <w:color w:val="000000"/>
                <w:sz w:val="18"/>
                <w:szCs w:val="18"/>
                <w:u w:color="000000"/>
                <w:lang w:eastAsia="zh-CN"/>
              </w:rPr>
            </w:pPr>
          </w:p>
        </w:tc>
        <w:tc>
          <w:tcPr>
            <w:tcW w:w="3473"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38995ABA" w14:textId="2C4BAB96"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rPr>
                <w:rFonts w:asciiTheme="majorBidi" w:eastAsia="Arial Unicode MS" w:hAnsiTheme="majorBidi" w:cstheme="majorBidi"/>
                <w:bCs/>
                <w:color w:val="000000"/>
                <w:sz w:val="18"/>
                <w:szCs w:val="18"/>
                <w:u w:color="000000"/>
                <w:lang w:eastAsia="zh-CN"/>
              </w:rPr>
            </w:pPr>
            <w:r w:rsidRPr="00587213">
              <w:rPr>
                <w:rFonts w:asciiTheme="majorBidi" w:eastAsia="Arial Unicode MS" w:hAnsiTheme="majorBidi" w:cstheme="majorBidi"/>
                <w:bCs/>
                <w:color w:val="000000"/>
                <w:sz w:val="18"/>
                <w:szCs w:val="18"/>
                <w:u w:color="000000"/>
                <w:lang w:eastAsia="zh-CN"/>
              </w:rPr>
              <w:t>M7. Уровни содержания ртути в биотическ</w:t>
            </w:r>
            <w:r w:rsidR="00110A13">
              <w:rPr>
                <w:rFonts w:asciiTheme="majorBidi" w:eastAsia="Arial Unicode MS" w:hAnsiTheme="majorBidi" w:cstheme="majorBidi"/>
                <w:bCs/>
                <w:color w:val="000000"/>
                <w:sz w:val="18"/>
                <w:szCs w:val="18"/>
                <w:u w:color="000000"/>
                <w:lang w:eastAsia="zh-CN"/>
              </w:rPr>
              <w:t>их</w:t>
            </w:r>
            <w:r w:rsidRPr="00587213">
              <w:rPr>
                <w:rFonts w:asciiTheme="majorBidi" w:eastAsia="Arial Unicode MS" w:hAnsiTheme="majorBidi" w:cstheme="majorBidi"/>
                <w:bCs/>
                <w:color w:val="000000"/>
                <w:sz w:val="18"/>
                <w:szCs w:val="18"/>
                <w:u w:color="000000"/>
                <w:lang w:eastAsia="zh-CN"/>
              </w:rPr>
              <w:t xml:space="preserve"> сред</w:t>
            </w:r>
            <w:r w:rsidR="00110A13">
              <w:rPr>
                <w:rFonts w:asciiTheme="majorBidi" w:eastAsia="Arial Unicode MS" w:hAnsiTheme="majorBidi" w:cstheme="majorBidi"/>
                <w:bCs/>
                <w:color w:val="000000"/>
                <w:sz w:val="18"/>
                <w:szCs w:val="18"/>
                <w:u w:color="000000"/>
                <w:lang w:eastAsia="zh-CN"/>
              </w:rPr>
              <w:t>ах</w:t>
            </w:r>
          </w:p>
        </w:tc>
        <w:tc>
          <w:tcPr>
            <w:tcW w:w="3378"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6E3A51B5" w14:textId="77777777"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ind w:left="170" w:hanging="170"/>
              <w:rPr>
                <w:rFonts w:asciiTheme="majorBidi" w:eastAsia="Arial Unicode MS" w:hAnsiTheme="majorBidi" w:cstheme="majorBidi"/>
                <w:color w:val="000000"/>
                <w:sz w:val="18"/>
                <w:szCs w:val="18"/>
                <w:u w:color="000000"/>
                <w:lang w:eastAsia="zh-CN"/>
              </w:rPr>
            </w:pPr>
            <w:r w:rsidRPr="00587213">
              <w:rPr>
                <w:rFonts w:asciiTheme="majorBidi" w:eastAsia="Arial Unicode MS" w:hAnsiTheme="majorBidi" w:cstheme="majorBidi"/>
                <w:color w:val="000000"/>
                <w:sz w:val="18"/>
                <w:szCs w:val="18"/>
                <w:u w:color="000000"/>
                <w:lang w:eastAsia="zh-CN"/>
              </w:rPr>
              <w:t>Океаническая среда</w:t>
            </w:r>
          </w:p>
        </w:tc>
      </w:tr>
      <w:tr w:rsidR="00587213" w:rsidRPr="00587213" w14:paraId="7CFEEC3E" w14:textId="77777777" w:rsidTr="00114F8F">
        <w:trPr>
          <w:trHeight w:val="57"/>
          <w:jc w:val="right"/>
        </w:trPr>
        <w:tc>
          <w:tcPr>
            <w:tcW w:w="1484"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FE86E4" w14:textId="77777777" w:rsidR="00587213" w:rsidRPr="00587213" w:rsidRDefault="00587213" w:rsidP="00735D97">
            <w:pPr>
              <w:tabs>
                <w:tab w:val="clear" w:pos="1247"/>
                <w:tab w:val="clear" w:pos="1814"/>
                <w:tab w:val="clear" w:pos="2381"/>
                <w:tab w:val="clear" w:pos="2948"/>
                <w:tab w:val="clear" w:pos="3515"/>
              </w:tabs>
              <w:spacing w:after="120"/>
              <w:rPr>
                <w:rFonts w:asciiTheme="majorBidi" w:eastAsia="Arial Unicode MS" w:hAnsiTheme="majorBidi" w:cstheme="majorBidi"/>
                <w:b/>
                <w:color w:val="000000"/>
                <w:sz w:val="18"/>
                <w:szCs w:val="18"/>
                <w:u w:color="000000"/>
                <w:lang w:eastAsia="zh-CN"/>
              </w:rPr>
            </w:pPr>
            <w:r w:rsidRPr="00587213">
              <w:rPr>
                <w:rFonts w:asciiTheme="majorBidi" w:eastAsia="Arial Unicode MS" w:hAnsiTheme="majorBidi" w:cstheme="majorBidi"/>
                <w:b/>
                <w:color w:val="000000"/>
                <w:sz w:val="18"/>
                <w:szCs w:val="18"/>
                <w:u w:color="000000"/>
                <w:lang w:eastAsia="zh-CN"/>
              </w:rPr>
              <w:t>4. Вода</w:t>
            </w:r>
          </w:p>
        </w:tc>
        <w:tc>
          <w:tcPr>
            <w:tcW w:w="3473"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89C6F9" w14:textId="77777777"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rPr>
                <w:rFonts w:asciiTheme="majorBidi" w:eastAsia="Arial Unicode MS" w:hAnsiTheme="majorBidi" w:cstheme="majorBidi"/>
                <w:bCs/>
                <w:color w:val="000000"/>
                <w:sz w:val="18"/>
                <w:szCs w:val="18"/>
                <w:u w:color="000000"/>
                <w:lang w:eastAsia="zh-CN"/>
              </w:rPr>
            </w:pPr>
            <w:r w:rsidRPr="00587213">
              <w:rPr>
                <w:rFonts w:asciiTheme="majorBidi" w:eastAsia="Arial Unicode MS" w:hAnsiTheme="majorBidi" w:cstheme="majorBidi"/>
                <w:bCs/>
                <w:color w:val="000000"/>
                <w:sz w:val="18"/>
                <w:szCs w:val="18"/>
                <w:u w:color="000000"/>
                <w:lang w:eastAsia="zh-CN"/>
              </w:rPr>
              <w:t>M8. Уровни содержания ртути в морской воде, охватывающие горизонтальное и вертикальное распределение</w:t>
            </w:r>
          </w:p>
        </w:tc>
        <w:tc>
          <w:tcPr>
            <w:tcW w:w="3378"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A318E6" w14:textId="77777777" w:rsidR="00587213" w:rsidRPr="00587213" w:rsidRDefault="00587213" w:rsidP="00735D97">
            <w:pPr>
              <w:pBdr>
                <w:top w:val="nil"/>
                <w:left w:val="nil"/>
                <w:bottom w:val="nil"/>
                <w:right w:val="nil"/>
                <w:between w:val="nil"/>
                <w:bar w:val="nil"/>
              </w:pBdr>
              <w:tabs>
                <w:tab w:val="clear" w:pos="1247"/>
                <w:tab w:val="clear" w:pos="1814"/>
                <w:tab w:val="clear" w:pos="2381"/>
                <w:tab w:val="clear" w:pos="2948"/>
                <w:tab w:val="clear" w:pos="3515"/>
              </w:tabs>
              <w:ind w:left="170" w:hanging="170"/>
              <w:rPr>
                <w:rFonts w:asciiTheme="majorBidi" w:eastAsia="Arial Unicode MS" w:hAnsiTheme="majorBidi" w:cstheme="majorBidi"/>
                <w:color w:val="000000"/>
                <w:sz w:val="18"/>
                <w:szCs w:val="18"/>
                <w:u w:color="000000"/>
                <w:lang w:eastAsia="zh-CN"/>
              </w:rPr>
            </w:pPr>
            <w:r w:rsidRPr="00587213">
              <w:rPr>
                <w:rFonts w:asciiTheme="majorBidi" w:eastAsia="Arial Unicode MS" w:hAnsiTheme="majorBidi" w:cstheme="majorBidi"/>
                <w:color w:val="000000"/>
                <w:sz w:val="18"/>
                <w:szCs w:val="18"/>
                <w:u w:color="000000"/>
                <w:lang w:eastAsia="zh-CN"/>
              </w:rPr>
              <w:t>Существующие/более обширные мероприятия по мониторингу и сети мониторинга</w:t>
            </w:r>
          </w:p>
        </w:tc>
      </w:tr>
    </w:tbl>
    <w:bookmarkEnd w:id="14"/>
    <w:p w14:paraId="2E5E96C8" w14:textId="3B34AB41" w:rsidR="00587213" w:rsidRPr="00160E55" w:rsidRDefault="00587213" w:rsidP="00160E55">
      <w:pPr>
        <w:tabs>
          <w:tab w:val="clear" w:pos="1247"/>
          <w:tab w:val="clear" w:pos="1814"/>
          <w:tab w:val="clear" w:pos="2381"/>
          <w:tab w:val="clear" w:pos="2948"/>
          <w:tab w:val="clear" w:pos="3515"/>
          <w:tab w:val="right" w:pos="851"/>
        </w:tabs>
        <w:spacing w:before="240" w:after="120"/>
        <w:ind w:left="1247" w:right="284" w:hanging="1247"/>
        <w:rPr>
          <w:b/>
          <w:bCs/>
          <w:sz w:val="24"/>
          <w:szCs w:val="24"/>
        </w:rPr>
      </w:pPr>
      <w:r w:rsidRPr="00160E55">
        <w:rPr>
          <w:b/>
          <w:bCs/>
          <w:sz w:val="24"/>
          <w:szCs w:val="24"/>
        </w:rPr>
        <w:tab/>
        <w:t>D.</w:t>
      </w:r>
      <w:r w:rsidRPr="00160E55">
        <w:rPr>
          <w:b/>
          <w:bCs/>
          <w:sz w:val="24"/>
          <w:szCs w:val="24"/>
        </w:rPr>
        <w:tab/>
        <w:t>Использование метода моделирования в ходе оценки эффективности</w:t>
      </w:r>
    </w:p>
    <w:p w14:paraId="7DCB5390" w14:textId="6E9AAAFC" w:rsidR="00587213" w:rsidRPr="00587213" w:rsidRDefault="00587213" w:rsidP="00DF40F8">
      <w:pPr>
        <w:tabs>
          <w:tab w:val="clear" w:pos="1247"/>
          <w:tab w:val="clear" w:pos="1814"/>
          <w:tab w:val="clear" w:pos="2381"/>
          <w:tab w:val="clear" w:pos="2948"/>
          <w:tab w:val="clear" w:pos="3515"/>
        </w:tabs>
        <w:spacing w:after="120"/>
        <w:ind w:left="1247"/>
        <w:rPr>
          <w:rFonts w:asciiTheme="majorBidi" w:hAnsiTheme="majorBidi" w:cstheme="majorBidi"/>
        </w:rPr>
      </w:pPr>
      <w:r w:rsidRPr="00587213">
        <w:rPr>
          <w:rFonts w:asciiTheme="majorBidi" w:hAnsiTheme="majorBidi" w:cstheme="majorBidi"/>
        </w:rPr>
        <w:t>55.</w:t>
      </w:r>
      <w:r w:rsidRPr="00587213">
        <w:rPr>
          <w:rFonts w:asciiTheme="majorBidi" w:hAnsiTheme="majorBidi" w:cstheme="majorBidi"/>
        </w:rPr>
        <w:tab/>
        <w:t>Модели позволяют установить взаимосвязь между механизмами и наблюдаемыми явлениями и свести данные воедино и использовать их при оценке прогнозов в отношении распределения ресурсов в будущем. Поэтому можно сказать, что модели формализуют научное понимание механизмов, влияющих на поведение ртути. Модели служат инструментом, позволяющим увязать данные мониторинга, собираемые в глобальном масштабе в рамках текущих исследовательских программ, деятельность политического характера и представленные данные и экстраполировать их в пространстве/во времени, с тем чтобы получить целостную картину состояния ртутного загрязнения в мире. Кроме того, комплексная система моделирования служит инструментом для работы с разными средами, то есть для увязки высвобождени</w:t>
      </w:r>
      <w:r w:rsidR="007E391E">
        <w:rPr>
          <w:rFonts w:asciiTheme="majorBidi" w:hAnsiTheme="majorBidi" w:cstheme="majorBidi"/>
        </w:rPr>
        <w:t>й</w:t>
      </w:r>
      <w:r w:rsidRPr="00587213">
        <w:rPr>
          <w:rFonts w:asciiTheme="majorBidi" w:hAnsiTheme="majorBidi" w:cstheme="majorBidi"/>
        </w:rPr>
        <w:t xml:space="preserve"> ртути в воздух, на землю и в воду с уровнями содержания </w:t>
      </w:r>
      <w:proofErr w:type="spellStart"/>
      <w:r w:rsidRPr="00587213">
        <w:rPr>
          <w:rFonts w:asciiTheme="majorBidi" w:hAnsiTheme="majorBidi" w:cstheme="majorBidi"/>
        </w:rPr>
        <w:t>метилртути</w:t>
      </w:r>
      <w:proofErr w:type="spellEnd"/>
      <w:r w:rsidRPr="00587213">
        <w:rPr>
          <w:rFonts w:asciiTheme="majorBidi" w:hAnsiTheme="majorBidi" w:cstheme="majorBidi"/>
        </w:rPr>
        <w:t xml:space="preserve"> в рыбе и в дикой природе, а также ее воздействием на людей.</w:t>
      </w:r>
    </w:p>
    <w:p w14:paraId="7C51C481" w14:textId="3E9E859A" w:rsidR="00587213" w:rsidRPr="00587213" w:rsidRDefault="00587213" w:rsidP="00587213">
      <w:pPr>
        <w:tabs>
          <w:tab w:val="clear" w:pos="1247"/>
          <w:tab w:val="clear" w:pos="1814"/>
          <w:tab w:val="clear" w:pos="2381"/>
          <w:tab w:val="clear" w:pos="2948"/>
          <w:tab w:val="clear" w:pos="3515"/>
        </w:tabs>
        <w:spacing w:after="120"/>
        <w:ind w:left="1247"/>
        <w:rPr>
          <w:rFonts w:asciiTheme="majorBidi" w:hAnsiTheme="majorBidi" w:cstheme="majorBidi"/>
        </w:rPr>
      </w:pPr>
      <w:r w:rsidRPr="00587213">
        <w:rPr>
          <w:rFonts w:asciiTheme="majorBidi" w:hAnsiTheme="majorBidi" w:cstheme="majorBidi"/>
        </w:rPr>
        <w:t>56.</w:t>
      </w:r>
      <w:r w:rsidRPr="00587213">
        <w:rPr>
          <w:rFonts w:asciiTheme="majorBidi" w:hAnsiTheme="majorBidi" w:cstheme="majorBidi"/>
        </w:rPr>
        <w:tab/>
        <w:t xml:space="preserve">Модели могут быть </w:t>
      </w:r>
      <w:r w:rsidR="004F117C" w:rsidRPr="00587213">
        <w:rPr>
          <w:rFonts w:asciiTheme="majorBidi" w:hAnsiTheme="majorBidi" w:cstheme="majorBidi"/>
        </w:rPr>
        <w:t xml:space="preserve">также </w:t>
      </w:r>
      <w:r w:rsidRPr="00587213">
        <w:rPr>
          <w:rFonts w:asciiTheme="majorBidi" w:hAnsiTheme="majorBidi" w:cstheme="majorBidi"/>
        </w:rPr>
        <w:t>полезны при оценке эффективности для установления взаимосвязи между уровнями содержания ртути и мерами, предусмотренными Конвенцией.</w:t>
      </w:r>
    </w:p>
    <w:p w14:paraId="67EC792E" w14:textId="627828C1" w:rsidR="00587213" w:rsidRPr="00587213" w:rsidRDefault="00587213" w:rsidP="0041608D">
      <w:pPr>
        <w:tabs>
          <w:tab w:val="clear" w:pos="1247"/>
          <w:tab w:val="clear" w:pos="1814"/>
          <w:tab w:val="clear" w:pos="2381"/>
          <w:tab w:val="clear" w:pos="2948"/>
          <w:tab w:val="clear" w:pos="3515"/>
        </w:tabs>
        <w:spacing w:after="120"/>
        <w:ind w:left="1247"/>
        <w:rPr>
          <w:rFonts w:asciiTheme="majorBidi" w:hAnsiTheme="majorBidi" w:cstheme="majorBidi"/>
        </w:rPr>
      </w:pPr>
      <w:r w:rsidRPr="00587213">
        <w:rPr>
          <w:rFonts w:asciiTheme="majorBidi" w:hAnsiTheme="majorBidi" w:cstheme="majorBidi"/>
        </w:rPr>
        <w:t>57.</w:t>
      </w:r>
      <w:r w:rsidRPr="00587213">
        <w:rPr>
          <w:rFonts w:asciiTheme="majorBidi" w:hAnsiTheme="majorBidi" w:cstheme="majorBidi"/>
        </w:rPr>
        <w:tab/>
        <w:t>Модели для различных сред (воздух</w:t>
      </w:r>
      <w:r w:rsidR="00AD451C">
        <w:rPr>
          <w:rFonts w:asciiTheme="majorBidi" w:hAnsiTheme="majorBidi" w:cstheme="majorBidi"/>
        </w:rPr>
        <w:t>а</w:t>
      </w:r>
      <w:r w:rsidRPr="00587213">
        <w:rPr>
          <w:rFonts w:asciiTheme="majorBidi" w:hAnsiTheme="majorBidi" w:cstheme="majorBidi"/>
        </w:rPr>
        <w:t>, организм</w:t>
      </w:r>
      <w:r w:rsidR="00AD451C">
        <w:rPr>
          <w:rFonts w:asciiTheme="majorBidi" w:hAnsiTheme="majorBidi" w:cstheme="majorBidi"/>
        </w:rPr>
        <w:t>а</w:t>
      </w:r>
      <w:r w:rsidRPr="00587213">
        <w:rPr>
          <w:rFonts w:asciiTheme="majorBidi" w:hAnsiTheme="majorBidi" w:cstheme="majorBidi"/>
        </w:rPr>
        <w:t xml:space="preserve"> человека, </w:t>
      </w:r>
      <w:r w:rsidR="00AD451C">
        <w:rPr>
          <w:rFonts w:asciiTheme="majorBidi" w:hAnsiTheme="majorBidi" w:cstheme="majorBidi"/>
        </w:rPr>
        <w:t>биоты</w:t>
      </w:r>
      <w:r w:rsidRPr="00587213">
        <w:rPr>
          <w:rFonts w:asciiTheme="majorBidi" w:hAnsiTheme="majorBidi" w:cstheme="majorBidi"/>
        </w:rPr>
        <w:t>, вод</w:t>
      </w:r>
      <w:r w:rsidR="00AD451C">
        <w:rPr>
          <w:rFonts w:asciiTheme="majorBidi" w:hAnsiTheme="majorBidi" w:cstheme="majorBidi"/>
        </w:rPr>
        <w:t>ы</w:t>
      </w:r>
      <w:r w:rsidRPr="00587213">
        <w:rPr>
          <w:rFonts w:asciiTheme="majorBidi" w:hAnsiTheme="majorBidi" w:cstheme="majorBidi"/>
        </w:rPr>
        <w:t xml:space="preserve"> и почва) различаются по своим возможностям и уровню проработанности. Так, многочисленные группы по мониторингу разработали для воздуха и атмосферы глобальные инструменты моделирования, которые могут использоваться для оценки воздействия изменения уровней антропогенных выбросов и высвобождений ртути на глобальный уровень ее концентрации в атмосфере и поступления ртути в наземные экосистемы и океан. Такие модели были подвергнуты тщательному изучению и могут применяться для оценки пространственных градиентов концентрации и осаждения ртути в атмосфере, а также </w:t>
      </w:r>
      <w:proofErr w:type="spellStart"/>
      <w:r w:rsidR="00AD451C">
        <w:rPr>
          <w:rFonts w:asciiTheme="majorBidi" w:hAnsiTheme="majorBidi" w:cstheme="majorBidi"/>
        </w:rPr>
        <w:t>временн</w:t>
      </w:r>
      <w:r w:rsidR="00AD451C" w:rsidRPr="00AD451C">
        <w:rPr>
          <w:rFonts w:asciiTheme="majorBidi" w:hAnsiTheme="majorBidi" w:cstheme="majorBidi"/>
        </w:rPr>
        <w:t>ы́</w:t>
      </w:r>
      <w:r w:rsidR="00AD451C">
        <w:rPr>
          <w:rFonts w:asciiTheme="majorBidi" w:hAnsiTheme="majorBidi" w:cstheme="majorBidi"/>
        </w:rPr>
        <w:t>х</w:t>
      </w:r>
      <w:proofErr w:type="spellEnd"/>
      <w:r w:rsidR="00AD451C">
        <w:rPr>
          <w:rFonts w:asciiTheme="majorBidi" w:hAnsiTheme="majorBidi" w:cstheme="majorBidi"/>
        </w:rPr>
        <w:t xml:space="preserve"> </w:t>
      </w:r>
      <w:r w:rsidRPr="00587213">
        <w:rPr>
          <w:rFonts w:asciiTheme="majorBidi" w:hAnsiTheme="majorBidi" w:cstheme="majorBidi"/>
        </w:rPr>
        <w:t>изменений. Модели для других сред, напротив, чаще применяются в исследовательских целях.</w:t>
      </w:r>
    </w:p>
    <w:p w14:paraId="75F1BE56" w14:textId="36C05CB7" w:rsidR="00587213" w:rsidRPr="00587213" w:rsidRDefault="00587213" w:rsidP="00587213">
      <w:pPr>
        <w:tabs>
          <w:tab w:val="clear" w:pos="1247"/>
          <w:tab w:val="clear" w:pos="1814"/>
          <w:tab w:val="clear" w:pos="2381"/>
          <w:tab w:val="clear" w:pos="2948"/>
          <w:tab w:val="clear" w:pos="3515"/>
        </w:tabs>
        <w:spacing w:after="120"/>
        <w:ind w:left="1247"/>
        <w:rPr>
          <w:rFonts w:asciiTheme="majorBidi" w:hAnsiTheme="majorBidi" w:cstheme="majorBidi"/>
        </w:rPr>
      </w:pPr>
      <w:r w:rsidRPr="00587213">
        <w:rPr>
          <w:rFonts w:asciiTheme="majorBidi" w:hAnsiTheme="majorBidi" w:cstheme="majorBidi"/>
        </w:rPr>
        <w:t>58.</w:t>
      </w:r>
      <w:r w:rsidRPr="00587213">
        <w:rPr>
          <w:rFonts w:asciiTheme="majorBidi" w:hAnsiTheme="majorBidi" w:cstheme="majorBidi"/>
        </w:rPr>
        <w:tab/>
        <w:t xml:space="preserve">Комплексная система моделирования призвана помочь объединить различные модели, используемые для различных сред, с тем чтобы создать инструмент, позволяющий увязать выбросы ртути в атмосферу и высвобождение ее на землю и в воду с уровнями содержания </w:t>
      </w:r>
      <w:proofErr w:type="spellStart"/>
      <w:r w:rsidRPr="00587213">
        <w:rPr>
          <w:rFonts w:asciiTheme="majorBidi" w:hAnsiTheme="majorBidi" w:cstheme="majorBidi"/>
        </w:rPr>
        <w:t>метилртути</w:t>
      </w:r>
      <w:proofErr w:type="spellEnd"/>
      <w:r w:rsidRPr="00587213">
        <w:rPr>
          <w:rFonts w:asciiTheme="majorBidi" w:hAnsiTheme="majorBidi" w:cstheme="majorBidi"/>
        </w:rPr>
        <w:t xml:space="preserve"> в рыбе и в дикой природе, а также с воздействием на некоторые группы населения, потребляющие рыбу. Вместе с тем следует отметить, что установить связь с воздействием на человека и последствиями для здоровья сложно в силу разнообразия пищевых предпочтений, моделей потребления продуктов питания и индивидуальной изменчивости </w:t>
      </w:r>
      <w:proofErr w:type="spellStart"/>
      <w:r w:rsidRPr="00587213">
        <w:rPr>
          <w:rFonts w:asciiTheme="majorBidi" w:hAnsiTheme="majorBidi" w:cstheme="majorBidi"/>
        </w:rPr>
        <w:t>токсикокинетики</w:t>
      </w:r>
      <w:proofErr w:type="spellEnd"/>
      <w:r w:rsidRPr="00587213">
        <w:rPr>
          <w:rFonts w:asciiTheme="majorBidi" w:hAnsiTheme="majorBidi" w:cstheme="majorBidi"/>
        </w:rPr>
        <w:t xml:space="preserve">, влияющей на усвоение и выведение </w:t>
      </w:r>
      <w:proofErr w:type="spellStart"/>
      <w:r w:rsidRPr="00587213">
        <w:rPr>
          <w:rFonts w:asciiTheme="majorBidi" w:hAnsiTheme="majorBidi" w:cstheme="majorBidi"/>
        </w:rPr>
        <w:t>метилртути</w:t>
      </w:r>
      <w:proofErr w:type="spellEnd"/>
      <w:r w:rsidRPr="00587213">
        <w:rPr>
          <w:rFonts w:asciiTheme="majorBidi" w:hAnsiTheme="majorBidi" w:cstheme="majorBidi"/>
        </w:rPr>
        <w:t>.</w:t>
      </w:r>
    </w:p>
    <w:p w14:paraId="561FE745" w14:textId="0CB1A1D7" w:rsidR="00587213" w:rsidRPr="00587213" w:rsidRDefault="00587213" w:rsidP="00587213">
      <w:pPr>
        <w:tabs>
          <w:tab w:val="clear" w:pos="1247"/>
          <w:tab w:val="clear" w:pos="1814"/>
          <w:tab w:val="clear" w:pos="2381"/>
          <w:tab w:val="clear" w:pos="2948"/>
          <w:tab w:val="clear" w:pos="3515"/>
        </w:tabs>
        <w:spacing w:after="120"/>
        <w:ind w:left="1247"/>
        <w:rPr>
          <w:rFonts w:asciiTheme="majorBidi" w:hAnsiTheme="majorBidi" w:cstheme="majorBidi"/>
        </w:rPr>
      </w:pPr>
      <w:r w:rsidRPr="00587213">
        <w:rPr>
          <w:rFonts w:asciiTheme="majorBidi" w:hAnsiTheme="majorBidi" w:cstheme="majorBidi"/>
        </w:rPr>
        <w:t>59.</w:t>
      </w:r>
      <w:r w:rsidRPr="00587213">
        <w:rPr>
          <w:rFonts w:asciiTheme="majorBidi" w:hAnsiTheme="majorBidi" w:cstheme="majorBidi"/>
        </w:rPr>
        <w:tab/>
        <w:t>В дополнение к моделям, описывающим поведение ртути в окружающей среде и рецепторах, ряд моделей и технических методов мо</w:t>
      </w:r>
      <w:r w:rsidR="007E391E">
        <w:rPr>
          <w:rFonts w:asciiTheme="majorBidi" w:hAnsiTheme="majorBidi" w:cstheme="majorBidi"/>
        </w:rPr>
        <w:t>же</w:t>
      </w:r>
      <w:r w:rsidRPr="00587213">
        <w:rPr>
          <w:rFonts w:asciiTheme="majorBidi" w:hAnsiTheme="majorBidi" w:cstheme="majorBidi"/>
        </w:rPr>
        <w:t xml:space="preserve">т использоваться при моделировании социально-экономических систем для прогнозирования присутствия ртути в общественной среде и возможных местах ее проникновения в окружающую среду. Таким образом, модели могут использоваться для разработки сценариев, которые служат </w:t>
      </w:r>
      <w:r w:rsidR="007E391E">
        <w:rPr>
          <w:rFonts w:asciiTheme="majorBidi" w:hAnsiTheme="majorBidi" w:cstheme="majorBidi"/>
        </w:rPr>
        <w:t>исходными значениями</w:t>
      </w:r>
      <w:r w:rsidR="007E391E" w:rsidRPr="00587213">
        <w:rPr>
          <w:rFonts w:asciiTheme="majorBidi" w:hAnsiTheme="majorBidi" w:cstheme="majorBidi"/>
        </w:rPr>
        <w:t xml:space="preserve"> </w:t>
      </w:r>
      <w:r w:rsidRPr="00587213">
        <w:rPr>
          <w:rFonts w:asciiTheme="majorBidi" w:hAnsiTheme="majorBidi" w:cstheme="majorBidi"/>
        </w:rPr>
        <w:t>и для проработки различных альтернативных мер политического характера. Исходными данными для этих моделей служат, среди прочего, коммерческие данные (например, уровень содержания ртути в продуктах), технические характеристики, информация экономического характера, данные о потреблении энергии, демографические данные, информация о технических аспектах политических мер и данные институционального анализа. Конечный результат может включать информацию о выбросах и высвобождени</w:t>
      </w:r>
      <w:r w:rsidR="007E391E">
        <w:rPr>
          <w:rFonts w:asciiTheme="majorBidi" w:hAnsiTheme="majorBidi" w:cstheme="majorBidi"/>
        </w:rPr>
        <w:t>ях</w:t>
      </w:r>
      <w:r w:rsidRPr="00587213">
        <w:rPr>
          <w:rFonts w:asciiTheme="majorBidi" w:hAnsiTheme="majorBidi" w:cstheme="majorBidi"/>
        </w:rPr>
        <w:t xml:space="preserve"> ртути и социально-экономические параметры. Другие виды моделей, являющиеся релевантными для понимания социально-экономических </w:t>
      </w:r>
      <w:r w:rsidRPr="00587213">
        <w:rPr>
          <w:rFonts w:asciiTheme="majorBidi" w:hAnsiTheme="majorBidi" w:cstheme="majorBidi"/>
        </w:rPr>
        <w:lastRenderedPageBreak/>
        <w:t xml:space="preserve">систем, имеющих отношение к ртути, учитывают анализ жизненного цикла, анализ материальных потоков, </w:t>
      </w:r>
      <w:r w:rsidR="007E391E">
        <w:rPr>
          <w:rFonts w:asciiTheme="majorBidi" w:hAnsiTheme="majorBidi" w:cstheme="majorBidi"/>
        </w:rPr>
        <w:t xml:space="preserve">исходные и получаемые </w:t>
      </w:r>
      <w:r w:rsidRPr="00587213">
        <w:rPr>
          <w:rFonts w:asciiTheme="majorBidi" w:hAnsiTheme="majorBidi" w:cstheme="majorBidi"/>
        </w:rPr>
        <w:t>данные и экономические модели.</w:t>
      </w:r>
    </w:p>
    <w:p w14:paraId="20F82FFD" w14:textId="159A61EA" w:rsidR="00587213" w:rsidRPr="00587213" w:rsidRDefault="00587213" w:rsidP="00587213">
      <w:pPr>
        <w:tabs>
          <w:tab w:val="clear" w:pos="1247"/>
          <w:tab w:val="clear" w:pos="1814"/>
          <w:tab w:val="clear" w:pos="2381"/>
          <w:tab w:val="clear" w:pos="2948"/>
          <w:tab w:val="clear" w:pos="3515"/>
        </w:tabs>
        <w:spacing w:after="120"/>
        <w:ind w:left="1247"/>
        <w:rPr>
          <w:rFonts w:asciiTheme="majorBidi" w:hAnsiTheme="majorBidi" w:cstheme="majorBidi"/>
        </w:rPr>
      </w:pPr>
      <w:r w:rsidRPr="00587213">
        <w:rPr>
          <w:rFonts w:asciiTheme="majorBidi" w:hAnsiTheme="majorBidi" w:cstheme="majorBidi"/>
        </w:rPr>
        <w:t>60.</w:t>
      </w:r>
      <w:r w:rsidRPr="00587213">
        <w:rPr>
          <w:rFonts w:asciiTheme="majorBidi" w:hAnsiTheme="majorBidi" w:cstheme="majorBidi"/>
        </w:rPr>
        <w:tab/>
        <w:t>Разработка и оценка комплексных моделей основыва</w:t>
      </w:r>
      <w:r w:rsidR="007E391E">
        <w:rPr>
          <w:rFonts w:asciiTheme="majorBidi" w:hAnsiTheme="majorBidi" w:cstheme="majorBidi"/>
        </w:rPr>
        <w:t>е</w:t>
      </w:r>
      <w:r w:rsidRPr="00587213">
        <w:rPr>
          <w:rFonts w:asciiTheme="majorBidi" w:hAnsiTheme="majorBidi" w:cstheme="majorBidi"/>
        </w:rPr>
        <w:t>тся на опыте, объединяющем естественные, социальные и инженерные науки. Компоненты системы комплексного моделирования в настоящее время быстро развиваются научным и академическим сообществом и, вероятно, будут доступны в ближайшем будущем, что позволит улучшить понимание цикла оборота ртути и ее воздействия. Ожидается, что такие модели будут доступны к 2023 году для проведения анализа, связанного с разработкой мер политического характера.</w:t>
      </w:r>
    </w:p>
    <w:p w14:paraId="6C55C24B" w14:textId="77777777" w:rsidR="00587213" w:rsidRPr="00DF40F8" w:rsidRDefault="00587213" w:rsidP="00DF40F8">
      <w:pPr>
        <w:tabs>
          <w:tab w:val="clear" w:pos="1247"/>
          <w:tab w:val="clear" w:pos="1814"/>
          <w:tab w:val="clear" w:pos="2381"/>
          <w:tab w:val="clear" w:pos="2948"/>
          <w:tab w:val="clear" w:pos="3515"/>
          <w:tab w:val="right" w:pos="851"/>
        </w:tabs>
        <w:spacing w:after="120"/>
        <w:ind w:left="1247" w:right="284" w:hanging="1247"/>
        <w:rPr>
          <w:b/>
          <w:bCs/>
          <w:sz w:val="24"/>
          <w:szCs w:val="24"/>
        </w:rPr>
      </w:pPr>
      <w:r w:rsidRPr="00DF40F8">
        <w:rPr>
          <w:b/>
          <w:bCs/>
          <w:sz w:val="24"/>
          <w:szCs w:val="24"/>
        </w:rPr>
        <w:tab/>
        <w:t>E.</w:t>
      </w:r>
      <w:r w:rsidRPr="00DF40F8">
        <w:rPr>
          <w:b/>
          <w:bCs/>
          <w:sz w:val="24"/>
          <w:szCs w:val="24"/>
        </w:rPr>
        <w:tab/>
        <w:t>Научно-технические функции</w:t>
      </w:r>
    </w:p>
    <w:p w14:paraId="310B98BB" w14:textId="5EAB194F" w:rsidR="00587213" w:rsidRPr="00DF40F8" w:rsidRDefault="00587213" w:rsidP="00DF40F8">
      <w:pPr>
        <w:tabs>
          <w:tab w:val="clear" w:pos="1247"/>
          <w:tab w:val="clear" w:pos="1814"/>
          <w:tab w:val="clear" w:pos="2381"/>
          <w:tab w:val="clear" w:pos="2948"/>
          <w:tab w:val="clear" w:pos="3515"/>
        </w:tabs>
        <w:spacing w:after="120"/>
        <w:ind w:left="1247"/>
      </w:pPr>
      <w:r w:rsidRPr="00DF40F8">
        <w:t>61.</w:t>
      </w:r>
      <w:r w:rsidRPr="00DF40F8">
        <w:tab/>
        <w:t>Система оценки эффективности Минаматской конвенции предусматривает выполнение для оценки эффективности четырех научно-технических функций, а именно мониторинга, синтеза, моделирования и установления взаимосвязи (когда это возможно) и обобщения. Эти функции выполняются на различных уровнях системы оценки.</w:t>
      </w:r>
    </w:p>
    <w:p w14:paraId="24EEFD8D" w14:textId="64F6DA97" w:rsidR="00587213" w:rsidRPr="00DF40F8" w:rsidRDefault="00587213" w:rsidP="00DF40F8">
      <w:pPr>
        <w:tabs>
          <w:tab w:val="clear" w:pos="1247"/>
          <w:tab w:val="clear" w:pos="1814"/>
          <w:tab w:val="clear" w:pos="2381"/>
          <w:tab w:val="clear" w:pos="2948"/>
          <w:tab w:val="clear" w:pos="3515"/>
        </w:tabs>
        <w:spacing w:after="120"/>
        <w:ind w:left="1247"/>
      </w:pPr>
      <w:r w:rsidRPr="00DF40F8">
        <w:t>62.</w:t>
      </w:r>
      <w:r w:rsidRPr="00DF40F8">
        <w:tab/>
        <w:t>Что касается синтеза, то эта научно-техническая функция предполагает сбор и компиляцию информации, полученной на уровнях 1 и 2. Данная функция выполняется на уровне 3. Эта функция выполняется секретариатом/через секретариат совместно с партнерами/через них. Помимо вышеупомянутого доклада о мониторинге система оценки эффективности предусматривает подготовку следующих четырех дополнительных сводных докладов: сводного доклада в соответствии со статьей 21, доклада о выбросах и высвобождени</w:t>
      </w:r>
      <w:r w:rsidR="007E391E">
        <w:t>ях</w:t>
      </w:r>
      <w:r w:rsidRPr="00DF40F8">
        <w:t>, доклада о торговле, предложении и спросе и доклада об отходах.</w:t>
      </w:r>
    </w:p>
    <w:p w14:paraId="7F81C5DD" w14:textId="332450D7" w:rsidR="00587213" w:rsidRPr="00DF40F8" w:rsidRDefault="00587213" w:rsidP="00DF40F8">
      <w:pPr>
        <w:tabs>
          <w:tab w:val="clear" w:pos="1247"/>
          <w:tab w:val="clear" w:pos="1814"/>
          <w:tab w:val="clear" w:pos="2381"/>
          <w:tab w:val="clear" w:pos="2948"/>
          <w:tab w:val="clear" w:pos="3515"/>
        </w:tabs>
        <w:spacing w:after="120"/>
        <w:ind w:left="1247"/>
      </w:pPr>
      <w:r w:rsidRPr="00DF40F8">
        <w:t>63.</w:t>
      </w:r>
      <w:r w:rsidRPr="00DF40F8">
        <w:tab/>
        <w:t>Что касается мониторинга, то эта научно-техническая функция предполагает компиляцию, оценку и аннотирование имеющихся данных мониторинга согласно механизмам глобального мониторинга, изложенным в дополнении III, для описания текущего состояния концентраций ртути и тенденций их изменени</w:t>
      </w:r>
      <w:r w:rsidR="00114F8F">
        <w:t>й</w:t>
      </w:r>
      <w:r w:rsidRPr="00DF40F8">
        <w:t xml:space="preserve"> в окружающей среде, биотическ</w:t>
      </w:r>
      <w:r w:rsidR="00110A13">
        <w:t>их</w:t>
      </w:r>
      <w:r w:rsidRPr="00DF40F8">
        <w:t xml:space="preserve"> сред</w:t>
      </w:r>
      <w:r w:rsidR="00110A13">
        <w:t>ах</w:t>
      </w:r>
      <w:r w:rsidRPr="00DF40F8">
        <w:t xml:space="preserve"> и организмах людей, относящихся к уязвимым группам населения, в сотрудничестве, когда это целесообразно, с экспертами по моделированию. Эту функцию должна выполнять группа по мониторингу, которая в рамках уровня 3 составляет доклад о мониторинге. Доклад о мониторинге будет представлен комитету по оценке эффективности для рассмотрения и формулирования выводов. Доклад о мониторинге и результаты работы группы по мониторингу будут также использоваться в качестве исходных материалов для подготовки доклада о взаимосвязи, когда такой доклад будет составляться подгруппой по моделированию на уровне</w:t>
      </w:r>
      <w:r w:rsidR="0041608D">
        <w:t> </w:t>
      </w:r>
      <w:r w:rsidRPr="00DF40F8">
        <w:t>4.</w:t>
      </w:r>
    </w:p>
    <w:p w14:paraId="30909F9B" w14:textId="6E233926" w:rsidR="00587213" w:rsidRPr="00DF40F8" w:rsidRDefault="00587213" w:rsidP="00DF40F8">
      <w:pPr>
        <w:tabs>
          <w:tab w:val="clear" w:pos="1247"/>
          <w:tab w:val="clear" w:pos="1814"/>
          <w:tab w:val="clear" w:pos="2381"/>
          <w:tab w:val="clear" w:pos="2948"/>
          <w:tab w:val="clear" w:pos="3515"/>
        </w:tabs>
        <w:spacing w:after="120"/>
        <w:ind w:left="1247"/>
      </w:pPr>
      <w:r w:rsidRPr="00DF40F8">
        <w:t>64.</w:t>
      </w:r>
      <w:r w:rsidRPr="00DF40F8">
        <w:tab/>
        <w:t>Что касается установления взаимосвязи, то эта научно-техническая функция предполагает анализ того, насколько попадающие в сферу охвата Конвенции выбросы и высвобождения воздействуют на общую концентрацию ртути в окружающей среде, биотическ</w:t>
      </w:r>
      <w:r w:rsidR="00110A13">
        <w:t>их</w:t>
      </w:r>
      <w:r w:rsidRPr="00DF40F8">
        <w:t xml:space="preserve"> сред</w:t>
      </w:r>
      <w:r w:rsidR="00110A13">
        <w:t>ах</w:t>
      </w:r>
      <w:r w:rsidRPr="00DF40F8">
        <w:t xml:space="preserve"> и организмах людей, относящихся к уязвимым группам населения. Выполнять данную функцию будет подгруппа по моделированию после того, как она будет учреждена. Эта функция будет выполняться на уровне 4 и будет включать оценку будущей концентрации ртути для учета общего воздействия выбросов и высвобождений ртути </w:t>
      </w:r>
      <w:r w:rsidR="00DF40F8" w:rsidRPr="00AA0928">
        <w:t>–</w:t>
      </w:r>
      <w:r w:rsidRPr="00DF40F8">
        <w:t xml:space="preserve"> от накопившихся в прошлом до прогнозируемых будущих выбросов и высвобождений </w:t>
      </w:r>
      <w:r w:rsidR="0047045D" w:rsidRPr="00AA0928">
        <w:t>–</w:t>
      </w:r>
      <w:r w:rsidRPr="00DF40F8">
        <w:t xml:space="preserve"> по различным сценариям на основе докладов, представленных в процессе оценки эффективности, а также на основе имеющейся релевантной информации социально-экономического характера.</w:t>
      </w:r>
    </w:p>
    <w:p w14:paraId="3747BB93" w14:textId="7502C1D0" w:rsidR="00587213" w:rsidRPr="00DF40F8" w:rsidRDefault="00587213" w:rsidP="00DF40F8">
      <w:pPr>
        <w:tabs>
          <w:tab w:val="clear" w:pos="1247"/>
          <w:tab w:val="clear" w:pos="1814"/>
          <w:tab w:val="clear" w:pos="2381"/>
          <w:tab w:val="clear" w:pos="2948"/>
          <w:tab w:val="clear" w:pos="3515"/>
        </w:tabs>
        <w:spacing w:after="120"/>
        <w:ind w:left="1247"/>
      </w:pPr>
      <w:r w:rsidRPr="00DF40F8">
        <w:t>65.</w:t>
      </w:r>
      <w:r w:rsidRPr="00DF40F8">
        <w:tab/>
        <w:t xml:space="preserve">Что касается обобщения, то эта научно-техническая функция будет выполняться на уровне 5 и будет включать толкование собранных, скомпилированных и сведенных воедино сведений (включая доклад о взаимосвязи, когда он будет доступен) для определения связи между мерами политического характера, сокращением уровня выбросов и снижением уровней содержания ртути и для формулирования выводов об эффективности Конвенции. Данную функцию выполняет комитет по оценке эффективности. Проект положения о комитете приводится в дополнении II. При формулировании своих выводов комитет укажет, в каких аспектах цель Конвенции достигается, а в каких </w:t>
      </w:r>
      <w:r w:rsidR="00114F8F">
        <w:t>–</w:t>
      </w:r>
      <w:r w:rsidRPr="00DF40F8">
        <w:t xml:space="preserve"> нет.</w:t>
      </w:r>
    </w:p>
    <w:p w14:paraId="55F3CE11" w14:textId="77777777" w:rsidR="00587213" w:rsidRPr="00DF40F8" w:rsidRDefault="00587213" w:rsidP="00DF40F8">
      <w:pPr>
        <w:tabs>
          <w:tab w:val="clear" w:pos="1247"/>
          <w:tab w:val="clear" w:pos="1814"/>
          <w:tab w:val="clear" w:pos="2381"/>
          <w:tab w:val="clear" w:pos="2948"/>
          <w:tab w:val="clear" w:pos="3515"/>
          <w:tab w:val="right" w:pos="851"/>
        </w:tabs>
        <w:spacing w:after="120"/>
        <w:ind w:left="1247" w:right="284" w:hanging="1247"/>
        <w:rPr>
          <w:b/>
          <w:bCs/>
          <w:sz w:val="24"/>
          <w:szCs w:val="24"/>
        </w:rPr>
      </w:pPr>
      <w:r w:rsidRPr="00DF40F8">
        <w:rPr>
          <w:b/>
          <w:bCs/>
          <w:sz w:val="24"/>
          <w:szCs w:val="24"/>
        </w:rPr>
        <w:tab/>
        <w:t>F.</w:t>
      </w:r>
      <w:r w:rsidRPr="00DF40F8">
        <w:rPr>
          <w:b/>
          <w:bCs/>
          <w:sz w:val="24"/>
          <w:szCs w:val="24"/>
        </w:rPr>
        <w:tab/>
        <w:t>Институциональные процедуры проведения оценки эффективности</w:t>
      </w:r>
    </w:p>
    <w:p w14:paraId="05354FF3" w14:textId="585456AC" w:rsidR="00587213" w:rsidRPr="00DF40F8" w:rsidRDefault="00587213" w:rsidP="00DF40F8">
      <w:pPr>
        <w:tabs>
          <w:tab w:val="clear" w:pos="1247"/>
          <w:tab w:val="clear" w:pos="1814"/>
          <w:tab w:val="clear" w:pos="2381"/>
          <w:tab w:val="clear" w:pos="2948"/>
          <w:tab w:val="clear" w:pos="3515"/>
        </w:tabs>
        <w:spacing w:after="120"/>
        <w:ind w:left="1247"/>
      </w:pPr>
      <w:r w:rsidRPr="00DF40F8">
        <w:t>66.</w:t>
      </w:r>
      <w:r w:rsidRPr="00DF40F8">
        <w:tab/>
        <w:t>Для реализации процесса оценки эффективности, который описывался выше, в рамках установленных процедур определяются различные субъекты, которые готовят исходные материалы, а также определяются такие задачи, как компилирование, аннотирование и обобщение сведений и знаний и проведение на различных уровнях соответствующего научно</w:t>
      </w:r>
      <w:r w:rsidR="00114F8F">
        <w:noBreakHyphen/>
      </w:r>
      <w:r w:rsidRPr="00DF40F8">
        <w:t xml:space="preserve">технического анализа. На диаграмме 2 отображены исходные данные, результаты анализа и схема передачи информации и данных от одного субъекта другому. Были определены следующие субъекты: Стороны Конвенции, секретариат, партнеры секретариата по </w:t>
      </w:r>
      <w:r w:rsidRPr="00DF40F8">
        <w:lastRenderedPageBreak/>
        <w:t>сотрудничеству (в формате институционального или договорного сотрудничества), группа по мониторингу (см. дополнение III), подгруппа по моделированию, которая может быть создана (см. дополнение IV), комитет по оценке эффективности (см. дополнение II) и Конференция Сторон.</w:t>
      </w:r>
    </w:p>
    <w:p w14:paraId="2A15A6EF" w14:textId="52FA61CA" w:rsidR="00587213" w:rsidRPr="0047045D" w:rsidRDefault="00587213" w:rsidP="00DF40F8">
      <w:pPr>
        <w:tabs>
          <w:tab w:val="clear" w:pos="1247"/>
          <w:tab w:val="clear" w:pos="1814"/>
          <w:tab w:val="clear" w:pos="2381"/>
          <w:tab w:val="clear" w:pos="2948"/>
          <w:tab w:val="clear" w:pos="3515"/>
        </w:tabs>
        <w:spacing w:after="120"/>
        <w:ind w:left="1247"/>
        <w:rPr>
          <w:b/>
          <w:bCs/>
        </w:rPr>
      </w:pPr>
      <w:r w:rsidRPr="00DF40F8">
        <w:t>Диаграмма 2</w:t>
      </w:r>
      <w:r w:rsidR="0047045D">
        <w:br/>
      </w:r>
      <w:r w:rsidRPr="0047045D">
        <w:rPr>
          <w:b/>
          <w:bCs/>
        </w:rPr>
        <w:t>Институциональные процедуры для системы оценки</w:t>
      </w:r>
    </w:p>
    <w:p w14:paraId="26032E21" w14:textId="6E331E25" w:rsidR="00560A35" w:rsidRDefault="00560A35">
      <w:pPr>
        <w:tabs>
          <w:tab w:val="clear" w:pos="1247"/>
          <w:tab w:val="clear" w:pos="1814"/>
          <w:tab w:val="clear" w:pos="2381"/>
          <w:tab w:val="clear" w:pos="2948"/>
          <w:tab w:val="clear" w:pos="3515"/>
        </w:tabs>
        <w:rPr>
          <w:rFonts w:eastAsia="Roboto"/>
          <w:i/>
          <w:iCs/>
          <w:sz w:val="18"/>
          <w:szCs w:val="18"/>
        </w:rPr>
      </w:pPr>
    </w:p>
    <w:p w14:paraId="232A4378" w14:textId="2045D59D" w:rsidR="00560A35" w:rsidRDefault="00560A35">
      <w:pPr>
        <w:tabs>
          <w:tab w:val="clear" w:pos="1247"/>
          <w:tab w:val="clear" w:pos="1814"/>
          <w:tab w:val="clear" w:pos="2381"/>
          <w:tab w:val="clear" w:pos="2948"/>
          <w:tab w:val="clear" w:pos="3515"/>
        </w:tabs>
        <w:rPr>
          <w:rFonts w:eastAsia="Roboto"/>
          <w:i/>
          <w:iCs/>
          <w:sz w:val="18"/>
          <w:szCs w:val="18"/>
        </w:rPr>
      </w:pPr>
      <w:r w:rsidRPr="00560A35">
        <w:rPr>
          <w:rFonts w:eastAsia="Roboto"/>
          <w:noProof/>
        </w:rPr>
        <w:drawing>
          <wp:inline distT="0" distB="0" distL="0" distR="0" wp14:anchorId="665B6437" wp14:editId="15BAC499">
            <wp:extent cx="6125843" cy="7321296"/>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9258" cy="7325378"/>
                    </a:xfrm>
                    <a:prstGeom prst="rect">
                      <a:avLst/>
                    </a:prstGeom>
                    <a:noFill/>
                    <a:ln>
                      <a:noFill/>
                    </a:ln>
                  </pic:spPr>
                </pic:pic>
              </a:graphicData>
            </a:graphic>
          </wp:inline>
        </w:drawing>
      </w:r>
    </w:p>
    <w:p w14:paraId="50B0F9D2" w14:textId="4EEDFD28" w:rsidR="00587213" w:rsidRPr="00142F36" w:rsidRDefault="00587213" w:rsidP="00EB7CF4">
      <w:pPr>
        <w:tabs>
          <w:tab w:val="clear" w:pos="1247"/>
          <w:tab w:val="clear" w:pos="1814"/>
          <w:tab w:val="clear" w:pos="2381"/>
          <w:tab w:val="clear" w:pos="2948"/>
          <w:tab w:val="clear" w:pos="3515"/>
        </w:tabs>
        <w:spacing w:after="120"/>
        <w:rPr>
          <w:rFonts w:eastAsia="Roboto"/>
          <w:sz w:val="18"/>
          <w:szCs w:val="18"/>
        </w:rPr>
      </w:pPr>
      <w:r w:rsidRPr="00142F36">
        <w:rPr>
          <w:rFonts w:eastAsia="Roboto"/>
          <w:i/>
          <w:iCs/>
          <w:sz w:val="18"/>
          <w:szCs w:val="18"/>
        </w:rPr>
        <w:t>Сокращения</w:t>
      </w:r>
      <w:r w:rsidRPr="00142F36">
        <w:rPr>
          <w:rFonts w:eastAsia="Roboto"/>
          <w:sz w:val="18"/>
          <w:szCs w:val="18"/>
        </w:rPr>
        <w:t xml:space="preserve">: КОС </w:t>
      </w:r>
      <w:r w:rsidR="00142F36" w:rsidRPr="00AA0928">
        <w:rPr>
          <w:rFonts w:eastAsia="Roboto"/>
          <w:sz w:val="18"/>
          <w:szCs w:val="18"/>
        </w:rPr>
        <w:t>–</w:t>
      </w:r>
      <w:r w:rsidRPr="00142F36">
        <w:rPr>
          <w:rFonts w:eastAsia="Roboto"/>
          <w:sz w:val="18"/>
          <w:szCs w:val="18"/>
        </w:rPr>
        <w:t xml:space="preserve"> Комитет по осуществлению и соблюдению; КС </w:t>
      </w:r>
      <w:r w:rsidR="00142F36" w:rsidRPr="00AA0928">
        <w:rPr>
          <w:rFonts w:eastAsia="Roboto"/>
          <w:sz w:val="18"/>
          <w:szCs w:val="18"/>
        </w:rPr>
        <w:t>–</w:t>
      </w:r>
      <w:r w:rsidRPr="00142F36">
        <w:rPr>
          <w:rFonts w:eastAsia="Roboto"/>
          <w:sz w:val="18"/>
          <w:szCs w:val="18"/>
        </w:rPr>
        <w:t xml:space="preserve"> Конференция Сторон; п/о МК </w:t>
      </w:r>
      <w:r w:rsidR="00142F36" w:rsidRPr="00AA0928">
        <w:rPr>
          <w:rFonts w:eastAsia="Roboto"/>
          <w:sz w:val="18"/>
          <w:szCs w:val="18"/>
        </w:rPr>
        <w:t>–</w:t>
      </w:r>
      <w:r w:rsidRPr="00142F36">
        <w:rPr>
          <w:rFonts w:eastAsia="Roboto"/>
          <w:sz w:val="18"/>
          <w:szCs w:val="18"/>
        </w:rPr>
        <w:t xml:space="preserve"> первоначальные оценки в рамках Минаматской конвенции; НПД </w:t>
      </w:r>
      <w:r w:rsidR="00142F36" w:rsidRPr="00AA0928">
        <w:rPr>
          <w:rFonts w:eastAsia="Roboto"/>
          <w:sz w:val="18"/>
          <w:szCs w:val="18"/>
        </w:rPr>
        <w:t>–</w:t>
      </w:r>
      <w:r w:rsidRPr="00142F36">
        <w:rPr>
          <w:rFonts w:eastAsia="Roboto"/>
          <w:sz w:val="18"/>
          <w:szCs w:val="18"/>
        </w:rPr>
        <w:t xml:space="preserve"> национальный план действий; НПО </w:t>
      </w:r>
      <w:r w:rsidR="00142F36" w:rsidRPr="00AA0928">
        <w:rPr>
          <w:rFonts w:eastAsia="Roboto"/>
          <w:sz w:val="18"/>
          <w:szCs w:val="18"/>
        </w:rPr>
        <w:t>–</w:t>
      </w:r>
      <w:r w:rsidRPr="00142F36">
        <w:rPr>
          <w:rFonts w:eastAsia="Roboto"/>
          <w:sz w:val="18"/>
          <w:szCs w:val="18"/>
        </w:rPr>
        <w:t xml:space="preserve"> национальный план по осуществлению; ЦМП </w:t>
      </w:r>
      <w:r w:rsidR="00142F36" w:rsidRPr="00AA0928">
        <w:rPr>
          <w:rFonts w:eastAsia="Roboto"/>
          <w:sz w:val="18"/>
          <w:szCs w:val="18"/>
        </w:rPr>
        <w:t>–</w:t>
      </w:r>
      <w:r w:rsidRPr="00142F36">
        <w:rPr>
          <w:rFonts w:eastAsia="Roboto"/>
          <w:sz w:val="18"/>
          <w:szCs w:val="18"/>
        </w:rPr>
        <w:t xml:space="preserve"> Целевая международная программа для поддержки процессов создания потенциала и оказания технической помощи.</w:t>
      </w:r>
    </w:p>
    <w:p w14:paraId="306CCDB9" w14:textId="368DE5AB" w:rsidR="00587213" w:rsidRPr="00DF40F8" w:rsidRDefault="00587213" w:rsidP="00DF40F8">
      <w:pPr>
        <w:tabs>
          <w:tab w:val="clear" w:pos="1247"/>
          <w:tab w:val="clear" w:pos="1814"/>
          <w:tab w:val="clear" w:pos="2381"/>
          <w:tab w:val="clear" w:pos="2948"/>
          <w:tab w:val="clear" w:pos="3515"/>
          <w:tab w:val="right" w:pos="851"/>
        </w:tabs>
        <w:spacing w:after="120"/>
        <w:ind w:left="1247" w:right="284" w:hanging="1247"/>
        <w:rPr>
          <w:b/>
          <w:bCs/>
          <w:sz w:val="24"/>
          <w:szCs w:val="24"/>
        </w:rPr>
      </w:pPr>
      <w:r w:rsidRPr="00DF40F8">
        <w:rPr>
          <w:b/>
          <w:bCs/>
          <w:sz w:val="24"/>
          <w:szCs w:val="24"/>
        </w:rPr>
        <w:lastRenderedPageBreak/>
        <w:tab/>
        <w:t>G.</w:t>
      </w:r>
      <w:r w:rsidRPr="00DF40F8">
        <w:rPr>
          <w:b/>
          <w:bCs/>
          <w:sz w:val="24"/>
          <w:szCs w:val="24"/>
        </w:rPr>
        <w:tab/>
        <w:t>Секретариат Минаматской конвенции</w:t>
      </w:r>
    </w:p>
    <w:p w14:paraId="591D0347" w14:textId="7CB09B26" w:rsidR="00587213" w:rsidRPr="00DF40F8" w:rsidRDefault="00587213" w:rsidP="00D04FE6">
      <w:pPr>
        <w:tabs>
          <w:tab w:val="clear" w:pos="1247"/>
          <w:tab w:val="clear" w:pos="1814"/>
          <w:tab w:val="clear" w:pos="2381"/>
          <w:tab w:val="clear" w:pos="2948"/>
          <w:tab w:val="clear" w:pos="3515"/>
        </w:tabs>
        <w:spacing w:after="120"/>
        <w:ind w:left="1247"/>
      </w:pPr>
      <w:r w:rsidRPr="00DF40F8">
        <w:t>67.</w:t>
      </w:r>
      <w:r w:rsidRPr="00DF40F8">
        <w:tab/>
        <w:t>Секретариат будет играть определенную роль в сборе, компиляции, аннотировании и обобщении доступных данных. Секретариат уже играет предусмотренную Конвенцией роль в качестве механизма, через который Стороны представляют доклады в соответствии со статьей</w:t>
      </w:r>
      <w:r w:rsidR="0034782B">
        <w:t> </w:t>
      </w:r>
      <w:r w:rsidRPr="00DF40F8">
        <w:t>21, содержащие, в свою очередь, ссылки на доклады о ходе осуществления национальных планов действий в соответствии со статьей 7, кадастры в соответствии со статьями 8 и 9 и добровольные планы осуществления в соответствии со статьей 20. В соответствующих случаях партнеры по сотрудничеству и эксперты могут оказывать секретариату помощь в проведении обзоров литературы, подготовке наборов данных для дальнейшего анализа или организации работы по синтезу или рецензированию информации.</w:t>
      </w:r>
    </w:p>
    <w:p w14:paraId="4913A92A" w14:textId="6B8403E2" w:rsidR="00587213" w:rsidRPr="00DF40F8" w:rsidRDefault="00587213" w:rsidP="00D04FE6">
      <w:pPr>
        <w:tabs>
          <w:tab w:val="clear" w:pos="1247"/>
          <w:tab w:val="clear" w:pos="1814"/>
          <w:tab w:val="clear" w:pos="2381"/>
          <w:tab w:val="clear" w:pos="2948"/>
          <w:tab w:val="clear" w:pos="3515"/>
        </w:tabs>
        <w:spacing w:after="120"/>
        <w:ind w:left="1247"/>
      </w:pPr>
      <w:r w:rsidRPr="00DF40F8">
        <w:t>68.</w:t>
      </w:r>
      <w:r w:rsidRPr="00DF40F8">
        <w:tab/>
        <w:t>Опираясь на накопленный ЮНЕП опыт сотрудничества с экспертами в подготовке научно-технического доклада, секретариат Минаматской конвенции будет отвечать за содействие подготовке сводных докладов, которые могут составляться в рамках институционального сотрудничества или с привлечением специалистов на контрактной основе</w:t>
      </w:r>
      <w:r w:rsidRPr="00F46049">
        <w:rPr>
          <w:vertAlign w:val="superscript"/>
        </w:rPr>
        <w:footnoteReference w:id="14"/>
      </w:r>
      <w:r w:rsidRPr="00DF40F8">
        <w:t xml:space="preserve">. Следует отметить, что Сектор химических веществ и здравоохранения ЮНЕП возглавлял работу и/или способствовал проведению работы по подготовке доклада </w:t>
      </w:r>
      <w:r w:rsidR="007E391E">
        <w:t xml:space="preserve">2018 года </w:t>
      </w:r>
      <w:r w:rsidRPr="00DF40F8">
        <w:t xml:space="preserve">о </w:t>
      </w:r>
      <w:r w:rsidR="007E391E">
        <w:t>г</w:t>
      </w:r>
      <w:r w:rsidRPr="00DF40F8">
        <w:t>лобальной оценке ртути, доклада 2017 года о глобальном предложении ртути, торговле ею и спросе на нее и доклада 2018 года об оценке общемирового объема ртутных отходов, а также предыдущих изданий некоторых из этих докладов.</w:t>
      </w:r>
    </w:p>
    <w:p w14:paraId="124D7917" w14:textId="1E3CEC54" w:rsidR="00587213" w:rsidRPr="00DF40F8" w:rsidRDefault="00587213" w:rsidP="00D04FE6">
      <w:pPr>
        <w:tabs>
          <w:tab w:val="clear" w:pos="1247"/>
          <w:tab w:val="clear" w:pos="1814"/>
          <w:tab w:val="clear" w:pos="2381"/>
          <w:tab w:val="clear" w:pos="2948"/>
          <w:tab w:val="clear" w:pos="3515"/>
        </w:tabs>
        <w:spacing w:after="120"/>
        <w:ind w:left="1247"/>
      </w:pPr>
      <w:r w:rsidRPr="00DF40F8">
        <w:t>69.</w:t>
      </w:r>
      <w:r w:rsidRPr="00DF40F8">
        <w:tab/>
        <w:t>Секретариат подготовит также резюме и сводные доклады, составляемые в рамках других предусмотренных Конвенцией процессов, такие как доклады Комитета по осуществлению и соблюдению в соответствии со статьей 15, доклады органов, регулирующих механизм финансирования, доклады об обзоре механизма финансирования во исполнение пункта 11 статьи 13 (которые будут основаны, среди прочего, на докладах Глобального экологического фонда и Целевой международной программы для поддержки процессов создания потенциала и оказания технической помощи) и доклады о создании потенциала, техническом содействии и передаче технологи</w:t>
      </w:r>
      <w:r w:rsidR="00F46049">
        <w:t>и</w:t>
      </w:r>
      <w:r w:rsidRPr="00DF40F8">
        <w:t xml:space="preserve"> в соответствии со статьей 14.</w:t>
      </w:r>
    </w:p>
    <w:p w14:paraId="6314CE91" w14:textId="77777777" w:rsidR="003472DA" w:rsidRPr="00E03D75" w:rsidRDefault="003472DA" w:rsidP="00E03D75">
      <w:pPr>
        <w:tabs>
          <w:tab w:val="clear" w:pos="1247"/>
          <w:tab w:val="clear" w:pos="1814"/>
          <w:tab w:val="clear" w:pos="2381"/>
          <w:tab w:val="clear" w:pos="2948"/>
          <w:tab w:val="clear" w:pos="3515"/>
          <w:tab w:val="right" w:pos="851"/>
        </w:tabs>
        <w:spacing w:after="120"/>
        <w:ind w:left="1247" w:right="284" w:hanging="1247"/>
        <w:rPr>
          <w:b/>
          <w:bCs/>
          <w:sz w:val="24"/>
          <w:szCs w:val="24"/>
        </w:rPr>
      </w:pPr>
      <w:r w:rsidRPr="00E03D75">
        <w:rPr>
          <w:b/>
          <w:bCs/>
          <w:sz w:val="24"/>
          <w:szCs w:val="24"/>
        </w:rPr>
        <w:tab/>
        <w:t>H.</w:t>
      </w:r>
      <w:r w:rsidRPr="00E03D75">
        <w:rPr>
          <w:b/>
          <w:bCs/>
          <w:sz w:val="24"/>
          <w:szCs w:val="24"/>
        </w:rPr>
        <w:tab/>
        <w:t>Конференция Сторон</w:t>
      </w:r>
    </w:p>
    <w:p w14:paraId="3045730F" w14:textId="1A373DE5" w:rsidR="003472DA" w:rsidRPr="00E03D75" w:rsidRDefault="003472DA" w:rsidP="00E03D75">
      <w:pPr>
        <w:tabs>
          <w:tab w:val="clear" w:pos="1247"/>
          <w:tab w:val="clear" w:pos="1814"/>
          <w:tab w:val="clear" w:pos="2381"/>
          <w:tab w:val="clear" w:pos="2948"/>
          <w:tab w:val="clear" w:pos="3515"/>
        </w:tabs>
        <w:spacing w:after="120"/>
        <w:ind w:left="1247"/>
      </w:pPr>
      <w:r w:rsidRPr="00E03D75">
        <w:t>70.</w:t>
      </w:r>
      <w:r w:rsidRPr="00E03D75">
        <w:tab/>
        <w:t xml:space="preserve">Конференция Сторон, </w:t>
      </w:r>
      <w:r w:rsidR="00DD0BB9">
        <w:t>представляющая</w:t>
      </w:r>
      <w:r w:rsidR="00A5053C" w:rsidRPr="00A5053C">
        <w:t xml:space="preserve"> </w:t>
      </w:r>
      <w:r w:rsidR="00A5053C">
        <w:t>собой</w:t>
      </w:r>
      <w:r w:rsidR="00DD0BB9" w:rsidRPr="00E03D75">
        <w:t xml:space="preserve"> </w:t>
      </w:r>
      <w:r w:rsidRPr="00E03D75">
        <w:t>уров</w:t>
      </w:r>
      <w:r w:rsidR="00DD0BB9">
        <w:t>ень</w:t>
      </w:r>
      <w:r w:rsidRPr="00E03D75">
        <w:t xml:space="preserve"> 6 системы</w:t>
      </w:r>
      <w:r w:rsidR="00DD0BB9">
        <w:t xml:space="preserve"> оценки</w:t>
      </w:r>
      <w:r w:rsidRPr="00E03D75">
        <w:t xml:space="preserve">, несет основную ответственность за оценку эффективности Конвенции на основе выводов </w:t>
      </w:r>
      <w:r w:rsidR="00DD0BB9">
        <w:t>к</w:t>
      </w:r>
      <w:r w:rsidRPr="00E03D75">
        <w:t>омитета по оценке эффективности. Вынесение рекомендаций относительно эффективности Конвенции полностью относится к сфере компетенции Конференции Сторон. Конференция Сторон может также принять решение о том, чтобы санкционировать внесение изменений в процесс для будущих циклов оценки эффективности.</w:t>
      </w:r>
    </w:p>
    <w:p w14:paraId="735BCCE1" w14:textId="0E8729EE" w:rsidR="003472DA" w:rsidRPr="00E03D75" w:rsidRDefault="003472DA" w:rsidP="00E03D75">
      <w:pPr>
        <w:tabs>
          <w:tab w:val="clear" w:pos="1247"/>
          <w:tab w:val="clear" w:pos="1814"/>
          <w:tab w:val="clear" w:pos="2381"/>
          <w:tab w:val="clear" w:pos="2948"/>
          <w:tab w:val="clear" w:pos="3515"/>
          <w:tab w:val="right" w:pos="851"/>
        </w:tabs>
        <w:spacing w:after="120"/>
        <w:ind w:left="1247" w:right="284" w:hanging="1247"/>
        <w:rPr>
          <w:b/>
          <w:bCs/>
          <w:sz w:val="24"/>
          <w:szCs w:val="24"/>
        </w:rPr>
      </w:pPr>
      <w:r w:rsidRPr="00E03D75">
        <w:rPr>
          <w:b/>
          <w:bCs/>
          <w:sz w:val="24"/>
          <w:szCs w:val="24"/>
        </w:rPr>
        <w:tab/>
        <w:t>I.</w:t>
      </w:r>
      <w:r w:rsidRPr="00E03D75">
        <w:rPr>
          <w:b/>
          <w:bCs/>
          <w:sz w:val="24"/>
          <w:szCs w:val="24"/>
        </w:rPr>
        <w:tab/>
      </w:r>
      <w:r w:rsidR="00AA0928" w:rsidRPr="00AA0928">
        <w:rPr>
          <w:b/>
          <w:bCs/>
          <w:sz w:val="24"/>
          <w:szCs w:val="24"/>
        </w:rPr>
        <w:t>График и сроки проведения</w:t>
      </w:r>
    </w:p>
    <w:p w14:paraId="23CFCA0D" w14:textId="22431F2B" w:rsidR="003472DA" w:rsidRPr="00E03D75" w:rsidRDefault="003472DA" w:rsidP="00E03D75">
      <w:pPr>
        <w:tabs>
          <w:tab w:val="clear" w:pos="1247"/>
          <w:tab w:val="clear" w:pos="1814"/>
          <w:tab w:val="clear" w:pos="2381"/>
          <w:tab w:val="clear" w:pos="2948"/>
          <w:tab w:val="clear" w:pos="3515"/>
        </w:tabs>
        <w:spacing w:after="120"/>
        <w:ind w:left="1247"/>
      </w:pPr>
      <w:r w:rsidRPr="00E03D75">
        <w:t>71.</w:t>
      </w:r>
      <w:r w:rsidRPr="00E03D75">
        <w:tab/>
        <w:t xml:space="preserve">В пункте 1 статьи 22 об оценке эффективности предусматривается, что Конференция Сторон </w:t>
      </w:r>
      <w:r w:rsidR="00AA0928" w:rsidRPr="00E03D75">
        <w:t>пров</w:t>
      </w:r>
      <w:r w:rsidR="00AA0928">
        <w:t xml:space="preserve">едет </w:t>
      </w:r>
      <w:r w:rsidRPr="00E03D75">
        <w:t>оценку эффективности Конвенции</w:t>
      </w:r>
      <w:r w:rsidR="00AA0928">
        <w:t xml:space="preserve"> </w:t>
      </w:r>
      <w:r w:rsidRPr="00E03D75">
        <w:t xml:space="preserve">не позднее чем через шесть лет после вступления Конвенции в силу, а затем </w:t>
      </w:r>
      <w:r w:rsidR="00AA0928">
        <w:t xml:space="preserve">будет проводить ее </w:t>
      </w:r>
      <w:r w:rsidRPr="00E03D75">
        <w:t>с периодичностью, определяемой ею. Поскольку Конвенция вступила в силу 16 августа 2017 года, система</w:t>
      </w:r>
      <w:r w:rsidR="00AA0928">
        <w:t xml:space="preserve"> оценки</w:t>
      </w:r>
      <w:r w:rsidRPr="00E03D75">
        <w:t xml:space="preserve">, </w:t>
      </w:r>
      <w:r w:rsidR="00AA0928">
        <w:t xml:space="preserve">разработанная </w:t>
      </w:r>
      <w:r w:rsidRPr="00E03D75">
        <w:t xml:space="preserve">специальной технической группой экспертов, позволяет представить результаты первого цикла оценки в 2023 году, в год проведения пятого совещания Конференции Сторон. Для этого, однако, требуется, чтобы Конференция Сторон </w:t>
      </w:r>
      <w:r w:rsidR="00AA0928">
        <w:t>утвердила</w:t>
      </w:r>
      <w:r w:rsidR="00AA0928" w:rsidRPr="00E03D75">
        <w:t xml:space="preserve"> </w:t>
      </w:r>
      <w:r w:rsidRPr="00E03D75">
        <w:t xml:space="preserve">эту систему </w:t>
      </w:r>
      <w:r w:rsidR="00AA0928">
        <w:t xml:space="preserve">оценки </w:t>
      </w:r>
      <w:r w:rsidRPr="00E03D75">
        <w:t>на своем третьем совещании.</w:t>
      </w:r>
    </w:p>
    <w:p w14:paraId="7587275E" w14:textId="2A31CAC5" w:rsidR="003472DA" w:rsidRPr="00E03D75" w:rsidRDefault="003472DA" w:rsidP="00E03D75">
      <w:pPr>
        <w:tabs>
          <w:tab w:val="clear" w:pos="1247"/>
          <w:tab w:val="clear" w:pos="1814"/>
          <w:tab w:val="clear" w:pos="2381"/>
          <w:tab w:val="clear" w:pos="2948"/>
          <w:tab w:val="clear" w:pos="3515"/>
        </w:tabs>
        <w:spacing w:after="120"/>
        <w:ind w:left="1247"/>
      </w:pPr>
      <w:r w:rsidRPr="00E03D75">
        <w:t>72.</w:t>
      </w:r>
      <w:r w:rsidRPr="00E03D75">
        <w:tab/>
        <w:t>Следует отметить, что с учетом циклов представления отчетности, согласованных для Конвенции, двухгодичный цикл в соответствии со статьей 21 о представлении информации предусматривает представление первых кратких докладов в декабре 2019 года и перв</w:t>
      </w:r>
      <w:r w:rsidR="00AA0928">
        <w:t xml:space="preserve">ых докладов за четырехлетний </w:t>
      </w:r>
      <w:r w:rsidR="00DD0BB9">
        <w:t>цикл </w:t>
      </w:r>
      <w:r w:rsidRPr="00E03D75">
        <w:t xml:space="preserve">в декабре 2021 года. Если предположить, что эта информация сводится воедино, и </w:t>
      </w:r>
      <w:r w:rsidR="00DD0BB9">
        <w:t>с учетом</w:t>
      </w:r>
      <w:r w:rsidR="00DD0BB9" w:rsidRPr="00E03D75">
        <w:t xml:space="preserve"> </w:t>
      </w:r>
      <w:r w:rsidRPr="00E03D75">
        <w:t>представлени</w:t>
      </w:r>
      <w:r w:rsidR="00DD0BB9">
        <w:t>я</w:t>
      </w:r>
      <w:r w:rsidRPr="00E03D75">
        <w:t xml:space="preserve"> регулярных докладов Конференции Сторон Комитетом по осуществлению и соблюдению в соответствии со статьей 15, докладов о финансовых ресурсах и механизме финансирования в соответствии со статьей 13 и о создании потенциала, техническом содействии и передаче технологии в соответствии со статьей 14, а </w:t>
      </w:r>
      <w:r w:rsidRPr="00E03D75">
        <w:lastRenderedPageBreak/>
        <w:t xml:space="preserve">также данных мониторинга, полученных после </w:t>
      </w:r>
      <w:r w:rsidR="00DD0BB9">
        <w:t>внедрения</w:t>
      </w:r>
      <w:r w:rsidR="00DD0BB9" w:rsidRPr="00E03D75">
        <w:t xml:space="preserve"> </w:t>
      </w:r>
      <w:r w:rsidRPr="00E03D75">
        <w:t>механизма глобального мониторинга, предлагаемого в дополнении III, окончательный срок представления сопоставимой информации для первого цикла оценки рекомендуется установить в 2021 году; на данном этапе все Стороны представят кратки</w:t>
      </w:r>
      <w:r w:rsidR="000E2427">
        <w:t>е</w:t>
      </w:r>
      <w:r w:rsidRPr="00E03D75">
        <w:t xml:space="preserve"> национальны</w:t>
      </w:r>
      <w:r w:rsidR="000E2427">
        <w:t>е</w:t>
      </w:r>
      <w:r w:rsidRPr="00E03D75">
        <w:t xml:space="preserve"> доклад</w:t>
      </w:r>
      <w:r w:rsidR="000E2427">
        <w:t>ы</w:t>
      </w:r>
      <w:r w:rsidRPr="00E03D75">
        <w:t xml:space="preserve"> (в 2019 году) и </w:t>
      </w:r>
      <w:r w:rsidR="000E2427">
        <w:t xml:space="preserve">полные </w:t>
      </w:r>
      <w:r w:rsidR="000E2427" w:rsidRPr="00E03D75">
        <w:t>национальны</w:t>
      </w:r>
      <w:r w:rsidR="000E2427">
        <w:t>е</w:t>
      </w:r>
      <w:r w:rsidR="000E2427" w:rsidRPr="00E03D75">
        <w:t xml:space="preserve"> </w:t>
      </w:r>
      <w:r w:rsidRPr="00E03D75">
        <w:t>доклад</w:t>
      </w:r>
      <w:r w:rsidR="000E2427">
        <w:t>ы</w:t>
      </w:r>
      <w:r w:rsidRPr="00E03D75">
        <w:t xml:space="preserve"> (в 2021 году), из которых может быть извлечена соответствующая информация для первого цикла оценки эффективности.</w:t>
      </w:r>
    </w:p>
    <w:p w14:paraId="5CFE2866" w14:textId="040F877F" w:rsidR="003472DA" w:rsidRPr="00E03D75" w:rsidRDefault="003472DA" w:rsidP="00E03D75">
      <w:pPr>
        <w:tabs>
          <w:tab w:val="clear" w:pos="1247"/>
          <w:tab w:val="clear" w:pos="1814"/>
          <w:tab w:val="clear" w:pos="2381"/>
          <w:tab w:val="clear" w:pos="2948"/>
          <w:tab w:val="clear" w:pos="3515"/>
        </w:tabs>
        <w:spacing w:after="120"/>
        <w:ind w:left="1247"/>
      </w:pPr>
      <w:r w:rsidRPr="00E03D75">
        <w:t>73.</w:t>
      </w:r>
      <w:r w:rsidRPr="00E03D75">
        <w:tab/>
        <w:t xml:space="preserve">Четвертое совещание Конференции Сторон должно быть созвано в 2021 году, и на этом совещании предлагается учредить </w:t>
      </w:r>
      <w:r w:rsidR="00DD0BB9">
        <w:t>к</w:t>
      </w:r>
      <w:r w:rsidRPr="00E03D75">
        <w:t xml:space="preserve">омитет по оценке эффективности. Это позволит </w:t>
      </w:r>
      <w:r w:rsidR="00DD0BB9">
        <w:t>к</w:t>
      </w:r>
      <w:r w:rsidRPr="00E03D75">
        <w:t>омитету провести в 2022 и 2023 годах обзор, анализ и оценку предлагаемых докладов, с тем чтобы сформулировать выводы для представления Конференции Сторон на ее пятом совещании, которое должно состояться в 2023 году.</w:t>
      </w:r>
    </w:p>
    <w:p w14:paraId="1D60B696" w14:textId="62CDC291" w:rsidR="003472DA" w:rsidRPr="00E03D75" w:rsidRDefault="003472DA" w:rsidP="00E03D75">
      <w:pPr>
        <w:tabs>
          <w:tab w:val="clear" w:pos="1247"/>
          <w:tab w:val="clear" w:pos="1814"/>
          <w:tab w:val="clear" w:pos="2381"/>
          <w:tab w:val="clear" w:pos="2948"/>
          <w:tab w:val="clear" w:pos="3515"/>
        </w:tabs>
        <w:spacing w:after="120"/>
        <w:ind w:left="1247"/>
      </w:pPr>
      <w:r w:rsidRPr="00E03D75">
        <w:t>74.</w:t>
      </w:r>
      <w:r w:rsidRPr="00E03D75">
        <w:tab/>
        <w:t xml:space="preserve">Предлагается, чтобы </w:t>
      </w:r>
      <w:r w:rsidR="00DD0BB9">
        <w:t>к</w:t>
      </w:r>
      <w:r w:rsidRPr="00E03D75">
        <w:t>омитет по оценке эффективности провел два совещания – сначала в ноябре 2022 года, а затем в апреле 2023 года – для формулирования своих выводов. Предполагается, что на своем первом совещании он подготовит проект выводов для получения возможных замечаний, а на втором совещании завершит подготовку выводов для представления Конференции Сторон.</w:t>
      </w:r>
    </w:p>
    <w:p w14:paraId="224950B1" w14:textId="0AAE0DB2" w:rsidR="00E03D75" w:rsidRDefault="003472DA" w:rsidP="00E03D75">
      <w:pPr>
        <w:tabs>
          <w:tab w:val="clear" w:pos="1247"/>
          <w:tab w:val="clear" w:pos="1814"/>
          <w:tab w:val="clear" w:pos="2381"/>
          <w:tab w:val="clear" w:pos="2948"/>
          <w:tab w:val="clear" w:pos="3515"/>
        </w:tabs>
        <w:spacing w:after="120"/>
        <w:ind w:left="1247"/>
      </w:pPr>
      <w:r w:rsidRPr="00E03D75">
        <w:t>75.</w:t>
      </w:r>
      <w:r w:rsidRPr="00E03D75">
        <w:tab/>
        <w:t>График проведения первого цикла оценки эффективности показан на диаграмме 3.</w:t>
      </w:r>
    </w:p>
    <w:p w14:paraId="07D359B5" w14:textId="3CC16C49" w:rsidR="003472DA" w:rsidRPr="00E03D75" w:rsidRDefault="003472DA" w:rsidP="00E03D75">
      <w:pPr>
        <w:tabs>
          <w:tab w:val="clear" w:pos="1247"/>
          <w:tab w:val="clear" w:pos="1814"/>
          <w:tab w:val="clear" w:pos="2381"/>
          <w:tab w:val="clear" w:pos="2948"/>
          <w:tab w:val="clear" w:pos="3515"/>
        </w:tabs>
        <w:spacing w:after="120"/>
        <w:ind w:left="1247"/>
        <w:rPr>
          <w:b/>
          <w:bCs/>
        </w:rPr>
      </w:pPr>
      <w:r w:rsidRPr="00E03D75">
        <w:t>Диаграмма 3</w:t>
      </w:r>
      <w:r w:rsidR="00E03D75">
        <w:br/>
      </w:r>
      <w:r w:rsidRPr="00E03D75">
        <w:rPr>
          <w:b/>
          <w:bCs/>
        </w:rPr>
        <w:t>График проведения первого цикла оценки эффективности Минаматской конвенции, 2017-2023 годы</w:t>
      </w:r>
    </w:p>
    <w:p w14:paraId="6FD0E58F" w14:textId="55384B55" w:rsidR="00960269" w:rsidRDefault="00960269" w:rsidP="006744CB">
      <w:pPr>
        <w:tabs>
          <w:tab w:val="clear" w:pos="1247"/>
          <w:tab w:val="clear" w:pos="1814"/>
          <w:tab w:val="clear" w:pos="2381"/>
          <w:tab w:val="clear" w:pos="2948"/>
          <w:tab w:val="clear" w:pos="3515"/>
        </w:tabs>
        <w:spacing w:after="120"/>
        <w:ind w:left="510"/>
      </w:pPr>
      <w:r>
        <w:rPr>
          <w:noProof/>
        </w:rPr>
        <w:drawing>
          <wp:inline distT="0" distB="0" distL="0" distR="0" wp14:anchorId="4075082C" wp14:editId="263A92E7">
            <wp:extent cx="5786120" cy="3171165"/>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29052" cy="3194695"/>
                    </a:xfrm>
                    <a:prstGeom prst="rect">
                      <a:avLst/>
                    </a:prstGeom>
                    <a:noFill/>
                  </pic:spPr>
                </pic:pic>
              </a:graphicData>
            </a:graphic>
          </wp:inline>
        </w:drawing>
      </w:r>
    </w:p>
    <w:p w14:paraId="1AC9F4A3" w14:textId="2F8644C9" w:rsidR="001421DB" w:rsidRPr="00AA0928" w:rsidRDefault="001421DB" w:rsidP="001421DB">
      <w:pPr>
        <w:tabs>
          <w:tab w:val="clear" w:pos="1247"/>
          <w:tab w:val="clear" w:pos="1814"/>
          <w:tab w:val="clear" w:pos="2381"/>
          <w:tab w:val="clear" w:pos="2948"/>
          <w:tab w:val="clear" w:pos="3515"/>
        </w:tabs>
        <w:spacing w:after="240"/>
        <w:ind w:left="1247"/>
        <w:rPr>
          <w:sz w:val="16"/>
          <w:szCs w:val="18"/>
        </w:rPr>
      </w:pPr>
      <w:r w:rsidRPr="003472DA">
        <w:tab/>
      </w:r>
      <w:r w:rsidRPr="003472DA">
        <w:rPr>
          <w:i/>
          <w:sz w:val="18"/>
        </w:rPr>
        <w:t>Сокращения</w:t>
      </w:r>
      <w:r w:rsidRPr="003472DA">
        <w:rPr>
          <w:sz w:val="18"/>
        </w:rPr>
        <w:t xml:space="preserve">: </w:t>
      </w:r>
      <w:r w:rsidR="00696702" w:rsidRPr="00696702">
        <w:rPr>
          <w:sz w:val="18"/>
        </w:rPr>
        <w:t>КОЭ – комитет по оценке эффективности; КОЭ-1/КОЭ-2 — первое/второе совещание комитета по оценке эффективности</w:t>
      </w:r>
      <w:r w:rsidR="00696702">
        <w:rPr>
          <w:sz w:val="18"/>
        </w:rPr>
        <w:t xml:space="preserve">; </w:t>
      </w:r>
      <w:r w:rsidRPr="003472DA">
        <w:rPr>
          <w:sz w:val="18"/>
        </w:rPr>
        <w:t>КС</w:t>
      </w:r>
      <w:r w:rsidR="008F749B" w:rsidRPr="008F749B">
        <w:rPr>
          <w:sz w:val="18"/>
        </w:rPr>
        <w:t xml:space="preserve"> – </w:t>
      </w:r>
      <w:r w:rsidRPr="003472DA">
        <w:rPr>
          <w:sz w:val="18"/>
        </w:rPr>
        <w:t>Конференци</w:t>
      </w:r>
      <w:r w:rsidR="008F749B">
        <w:rPr>
          <w:sz w:val="18"/>
        </w:rPr>
        <w:t>я</w:t>
      </w:r>
      <w:r w:rsidRPr="003472DA">
        <w:rPr>
          <w:sz w:val="18"/>
        </w:rPr>
        <w:t xml:space="preserve"> Сторон</w:t>
      </w:r>
      <w:r w:rsidR="008F749B">
        <w:rPr>
          <w:sz w:val="18"/>
        </w:rPr>
        <w:t>;</w:t>
      </w:r>
      <w:r w:rsidRPr="003472DA">
        <w:rPr>
          <w:sz w:val="18"/>
        </w:rPr>
        <w:t xml:space="preserve"> </w:t>
      </w:r>
      <w:r w:rsidR="008F749B">
        <w:rPr>
          <w:sz w:val="18"/>
        </w:rPr>
        <w:t>КС</w:t>
      </w:r>
      <w:r w:rsidR="008F749B">
        <w:rPr>
          <w:sz w:val="18"/>
        </w:rPr>
        <w:noBreakHyphen/>
      </w:r>
      <w:r w:rsidR="008F749B" w:rsidRPr="008F749B">
        <w:rPr>
          <w:sz w:val="18"/>
        </w:rPr>
        <w:t>3/КС</w:t>
      </w:r>
      <w:r w:rsidR="008F749B">
        <w:rPr>
          <w:sz w:val="18"/>
        </w:rPr>
        <w:noBreakHyphen/>
      </w:r>
      <w:r w:rsidR="008F749B" w:rsidRPr="008F749B">
        <w:rPr>
          <w:sz w:val="18"/>
        </w:rPr>
        <w:t>4/КС</w:t>
      </w:r>
      <w:r w:rsidR="008F749B">
        <w:rPr>
          <w:sz w:val="18"/>
        </w:rPr>
        <w:noBreakHyphen/>
      </w:r>
      <w:r w:rsidR="008F749B" w:rsidRPr="008F749B">
        <w:rPr>
          <w:sz w:val="18"/>
        </w:rPr>
        <w:t xml:space="preserve">5 – третье/четвертое/пятое совещание </w:t>
      </w:r>
      <w:r w:rsidR="008F749B">
        <w:rPr>
          <w:sz w:val="18"/>
        </w:rPr>
        <w:t>Конференции Сторон</w:t>
      </w:r>
      <w:r w:rsidRPr="003472DA">
        <w:rPr>
          <w:sz w:val="18"/>
        </w:rPr>
        <w:t>.</w:t>
      </w:r>
    </w:p>
    <w:p w14:paraId="5ABBE0B4" w14:textId="5250110C" w:rsidR="003472DA" w:rsidRPr="00AA0928" w:rsidRDefault="003472DA" w:rsidP="00F47833">
      <w:pPr>
        <w:tabs>
          <w:tab w:val="clear" w:pos="1247"/>
          <w:tab w:val="clear" w:pos="1814"/>
          <w:tab w:val="clear" w:pos="2381"/>
          <w:tab w:val="clear" w:pos="2948"/>
          <w:tab w:val="clear" w:pos="3515"/>
        </w:tabs>
        <w:spacing w:after="120"/>
        <w:ind w:left="1170"/>
      </w:pPr>
      <w:r w:rsidRPr="003472DA">
        <w:t>76.</w:t>
      </w:r>
      <w:r w:rsidRPr="003472DA">
        <w:tab/>
        <w:t xml:space="preserve">После первого цикла оценки эффективности (2017-2023 годы) Конференция Сторон будет периодически проводить обзор Конвенции с периодичностью, которая будет определена ею в соответствии с пунктом 1 статьи 22. </w:t>
      </w:r>
      <w:r w:rsidR="00DD0BB9">
        <w:t>П</w:t>
      </w:r>
      <w:r w:rsidR="00DD0BB9" w:rsidRPr="00DD0BB9">
        <w:t xml:space="preserve">ри определении периодичности цикла оценки эффективности </w:t>
      </w:r>
      <w:r w:rsidRPr="003472DA">
        <w:t>Конференция Сторон, возможно, пожелает принять во внимание следующие параметры</w:t>
      </w:r>
      <w:r w:rsidR="00DD0BB9">
        <w:t>:</w:t>
      </w:r>
    </w:p>
    <w:p w14:paraId="74A83D44" w14:textId="5B85E0F1" w:rsidR="003472DA" w:rsidRPr="00AA0928" w:rsidRDefault="003472DA" w:rsidP="00F47833">
      <w:pPr>
        <w:numPr>
          <w:ilvl w:val="0"/>
          <w:numId w:val="22"/>
        </w:numPr>
        <w:tabs>
          <w:tab w:val="clear" w:pos="1247"/>
          <w:tab w:val="clear" w:pos="1814"/>
          <w:tab w:val="clear" w:pos="2381"/>
          <w:tab w:val="clear" w:pos="2948"/>
          <w:tab w:val="clear" w:pos="3515"/>
        </w:tabs>
        <w:spacing w:after="120"/>
        <w:ind w:left="1247" w:firstLine="624"/>
      </w:pPr>
      <w:r w:rsidRPr="003472DA">
        <w:t xml:space="preserve">наличие кратких докладов для </w:t>
      </w:r>
      <w:r w:rsidR="00DD0BB9">
        <w:t>по</w:t>
      </w:r>
      <w:r w:rsidRPr="003472DA">
        <w:t>следующ</w:t>
      </w:r>
      <w:r w:rsidR="00DD0BB9">
        <w:t>их</w:t>
      </w:r>
      <w:r w:rsidRPr="003472DA">
        <w:t xml:space="preserve"> цикл</w:t>
      </w:r>
      <w:r w:rsidR="00DD0BB9">
        <w:t>ов</w:t>
      </w:r>
      <w:r w:rsidRPr="003472DA">
        <w:t xml:space="preserve"> </w:t>
      </w:r>
      <w:r w:rsidR="00DD0BB9">
        <w:t xml:space="preserve">оценки </w:t>
      </w:r>
      <w:r w:rsidRPr="003472DA">
        <w:t>в 2023, 2027 и 2031</w:t>
      </w:r>
      <w:r w:rsidR="00276824">
        <w:t> </w:t>
      </w:r>
      <w:r w:rsidRPr="003472DA">
        <w:t xml:space="preserve">годах и </w:t>
      </w:r>
      <w:r w:rsidR="00BB3EEE">
        <w:t>полных</w:t>
      </w:r>
      <w:r w:rsidR="00BB3EEE" w:rsidRPr="003472DA">
        <w:t xml:space="preserve"> </w:t>
      </w:r>
      <w:r w:rsidRPr="003472DA">
        <w:t>докладов в 2025, 2029 и 2033 годах;</w:t>
      </w:r>
    </w:p>
    <w:p w14:paraId="75435EC6" w14:textId="096F31F4" w:rsidR="003472DA" w:rsidRPr="00AA0928" w:rsidRDefault="003472DA" w:rsidP="00F47833">
      <w:pPr>
        <w:numPr>
          <w:ilvl w:val="0"/>
          <w:numId w:val="22"/>
        </w:numPr>
        <w:tabs>
          <w:tab w:val="clear" w:pos="1247"/>
          <w:tab w:val="clear" w:pos="1814"/>
          <w:tab w:val="clear" w:pos="2381"/>
          <w:tab w:val="clear" w:pos="2948"/>
          <w:tab w:val="clear" w:pos="3515"/>
        </w:tabs>
        <w:spacing w:after="120"/>
        <w:ind w:left="1247" w:firstLine="624"/>
      </w:pPr>
      <w:r w:rsidRPr="003472DA">
        <w:t>проведени</w:t>
      </w:r>
      <w:r w:rsidR="00DD0BB9">
        <w:t>е</w:t>
      </w:r>
      <w:r w:rsidRPr="003472DA">
        <w:t xml:space="preserve"> совещаний Конференции Сторон в 2025 году (шестое совещание), 2027 году (седьмое совещание), 2029 году (восьмое совещание), 2031 году (девятое совещание) и 2033 году (десятое совещание);</w:t>
      </w:r>
    </w:p>
    <w:p w14:paraId="3497C28C" w14:textId="09DC0368" w:rsidR="003472DA" w:rsidRPr="00AA0928" w:rsidRDefault="003472DA" w:rsidP="00F47833">
      <w:pPr>
        <w:numPr>
          <w:ilvl w:val="0"/>
          <w:numId w:val="22"/>
        </w:numPr>
        <w:tabs>
          <w:tab w:val="clear" w:pos="1247"/>
          <w:tab w:val="clear" w:pos="1814"/>
          <w:tab w:val="clear" w:pos="2381"/>
          <w:tab w:val="clear" w:pos="2948"/>
          <w:tab w:val="clear" w:pos="3515"/>
        </w:tabs>
        <w:spacing w:after="120"/>
        <w:ind w:left="1247" w:firstLine="624"/>
      </w:pPr>
      <w:r w:rsidRPr="003472DA">
        <w:t xml:space="preserve">сроки поэтапного </w:t>
      </w:r>
      <w:r w:rsidR="00DD0BB9">
        <w:t>вывода из обращения</w:t>
      </w:r>
      <w:r w:rsidRPr="003472DA">
        <w:t>, установленные Конвенцией (см. таблицу 3);</w:t>
      </w:r>
    </w:p>
    <w:p w14:paraId="3D0F4F00" w14:textId="62C479E8" w:rsidR="003472DA" w:rsidRPr="00AA0928" w:rsidRDefault="003472DA" w:rsidP="00F47833">
      <w:pPr>
        <w:numPr>
          <w:ilvl w:val="0"/>
          <w:numId w:val="22"/>
        </w:numPr>
        <w:tabs>
          <w:tab w:val="clear" w:pos="1247"/>
          <w:tab w:val="clear" w:pos="1814"/>
          <w:tab w:val="clear" w:pos="2381"/>
          <w:tab w:val="clear" w:pos="2948"/>
          <w:tab w:val="clear" w:pos="3515"/>
        </w:tabs>
        <w:spacing w:after="120"/>
        <w:ind w:left="1247" w:firstLine="624"/>
      </w:pPr>
      <w:r w:rsidRPr="003472DA">
        <w:lastRenderedPageBreak/>
        <w:t xml:space="preserve">параллельные графики и ожидаемые результаты процессов в области климата и устойчивого развития, </w:t>
      </w:r>
      <w:r w:rsidR="00BB3EEE">
        <w:t xml:space="preserve">окончание реализации которых запланировано </w:t>
      </w:r>
      <w:r w:rsidRPr="003472DA">
        <w:t>на 2030 год.</w:t>
      </w:r>
    </w:p>
    <w:p w14:paraId="0F567A2F" w14:textId="07A3EDAF" w:rsidR="003472DA" w:rsidRPr="00AA0928" w:rsidRDefault="003472DA" w:rsidP="003472DA">
      <w:pPr>
        <w:tabs>
          <w:tab w:val="clear" w:pos="1247"/>
          <w:tab w:val="clear" w:pos="1814"/>
          <w:tab w:val="clear" w:pos="2381"/>
          <w:tab w:val="clear" w:pos="2948"/>
          <w:tab w:val="clear" w:pos="3515"/>
        </w:tabs>
        <w:spacing w:after="120"/>
        <w:ind w:left="1247"/>
      </w:pPr>
      <w:r w:rsidRPr="003472DA">
        <w:t>77.</w:t>
      </w:r>
      <w:r w:rsidRPr="003472DA">
        <w:tab/>
        <w:t xml:space="preserve">Таким образом, </w:t>
      </w:r>
      <w:r w:rsidR="00B23C23">
        <w:t xml:space="preserve">в целях отслеживания динамики осуществления Конвенции </w:t>
      </w:r>
      <w:r w:rsidRPr="003472DA">
        <w:t>следующий цикл оценки эффективности может вновь составлять шесть лет (для представления доклада на восьмом совещании Конференции Сторон в 2029 году). Его также можно продлить до восьми лет (для представления доклада на девятом совещании Конференции Сторон в 2031 году) или до десяти лет (для представления доклада на десятом совещании Конференции Сторон в 2033</w:t>
      </w:r>
      <w:r w:rsidR="003903D6">
        <w:t> </w:t>
      </w:r>
      <w:r w:rsidRPr="003472DA">
        <w:t xml:space="preserve">году). Однако увеличение продолжительности </w:t>
      </w:r>
      <w:r w:rsidR="00B23C23">
        <w:t xml:space="preserve">циклов оценки потребует учета </w:t>
      </w:r>
      <w:r w:rsidRPr="003472DA">
        <w:t>дополнительны</w:t>
      </w:r>
      <w:r w:rsidR="00B23C23">
        <w:t>х</w:t>
      </w:r>
      <w:r w:rsidRPr="003472DA">
        <w:t xml:space="preserve"> внешни</w:t>
      </w:r>
      <w:r w:rsidR="00B23C23">
        <w:t>х</w:t>
      </w:r>
      <w:r w:rsidRPr="003472DA">
        <w:t xml:space="preserve"> фактор</w:t>
      </w:r>
      <w:r w:rsidR="00B23C23">
        <w:t>ов</w:t>
      </w:r>
      <w:r w:rsidRPr="003472DA">
        <w:t xml:space="preserve"> при выполнении функции </w:t>
      </w:r>
      <w:r w:rsidR="00B23C23">
        <w:t>установления взаимосвязи</w:t>
      </w:r>
      <w:r w:rsidRPr="003472DA">
        <w:t>.</w:t>
      </w:r>
    </w:p>
    <w:p w14:paraId="039A25FC" w14:textId="7872A074" w:rsidR="003472DA" w:rsidRPr="00AA0928" w:rsidRDefault="00F47833" w:rsidP="00F47833">
      <w:pPr>
        <w:keepNext/>
        <w:keepLines/>
        <w:tabs>
          <w:tab w:val="clear" w:pos="1247"/>
          <w:tab w:val="clear" w:pos="1814"/>
          <w:tab w:val="clear" w:pos="2381"/>
          <w:tab w:val="clear" w:pos="2948"/>
          <w:tab w:val="clear" w:pos="3515"/>
          <w:tab w:val="right" w:pos="851"/>
        </w:tabs>
        <w:suppressAutoHyphens/>
        <w:spacing w:before="240" w:after="120"/>
        <w:ind w:left="624" w:right="284" w:hanging="624"/>
        <w:rPr>
          <w:b/>
          <w:sz w:val="28"/>
          <w:szCs w:val="28"/>
          <w:u w:color="FF0000"/>
        </w:rPr>
      </w:pPr>
      <w:r>
        <w:rPr>
          <w:b/>
          <w:bCs/>
          <w:sz w:val="28"/>
          <w:szCs w:val="28"/>
          <w:u w:color="FF0000"/>
        </w:rPr>
        <w:tab/>
      </w:r>
      <w:r w:rsidR="003472DA" w:rsidRPr="003472DA">
        <w:rPr>
          <w:b/>
          <w:bCs/>
          <w:sz w:val="28"/>
          <w:szCs w:val="28"/>
          <w:u w:color="FF0000"/>
        </w:rPr>
        <w:t>IV.</w:t>
      </w:r>
      <w:r w:rsidR="003472DA" w:rsidRPr="003472DA">
        <w:rPr>
          <w:b/>
          <w:sz w:val="28"/>
          <w:szCs w:val="28"/>
          <w:u w:color="FF0000"/>
        </w:rPr>
        <w:tab/>
      </w:r>
      <w:r w:rsidR="003472DA" w:rsidRPr="003472DA">
        <w:rPr>
          <w:b/>
          <w:bCs/>
          <w:sz w:val="28"/>
          <w:szCs w:val="28"/>
          <w:u w:color="FF0000"/>
        </w:rPr>
        <w:t>Вопросы для дальнейшего рассмотрения</w:t>
      </w:r>
    </w:p>
    <w:p w14:paraId="4BAFDDE8" w14:textId="587B753C" w:rsidR="003472DA" w:rsidRPr="00AA0928" w:rsidRDefault="003472DA" w:rsidP="003472DA">
      <w:pPr>
        <w:tabs>
          <w:tab w:val="clear" w:pos="1247"/>
          <w:tab w:val="clear" w:pos="1814"/>
          <w:tab w:val="clear" w:pos="2381"/>
          <w:tab w:val="clear" w:pos="2948"/>
          <w:tab w:val="clear" w:pos="3515"/>
        </w:tabs>
        <w:spacing w:after="120"/>
        <w:ind w:left="1247"/>
      </w:pPr>
      <w:r w:rsidRPr="003472DA">
        <w:t>78.</w:t>
      </w:r>
      <w:r w:rsidRPr="003472DA">
        <w:tab/>
        <w:t>Замечания по проекту доклада и материалы, полученные в период представления замечаний с 1 августа по 5 сентября 2019 года, позволили специальной технической группе экспертов получить от Сторон и одного заинтересованного субъекта большой объем ценной информации и ру</w:t>
      </w:r>
      <w:r w:rsidR="00F47833" w:rsidRPr="003472DA">
        <w:t>к</w:t>
      </w:r>
      <w:r w:rsidRPr="003472DA">
        <w:t xml:space="preserve">оводящих указаний в отношении завершения подготовки ее доклада для Конференции Сторон о предлагаемой системе оценки эффективности Конвенции. Хотя почти все замечания можно рассмотреть и/или включить в доклад, остаются области, в которых мнения расходятся. Эти области </w:t>
      </w:r>
      <w:r w:rsidR="00B23C23">
        <w:t xml:space="preserve">описаны </w:t>
      </w:r>
      <w:r w:rsidRPr="003472DA">
        <w:t>ниже для дальнейшего рассмотрения Конференцией Сторон.</w:t>
      </w:r>
    </w:p>
    <w:p w14:paraId="34E0F150" w14:textId="134D7171" w:rsidR="003472DA" w:rsidRPr="00AA0928" w:rsidRDefault="003472DA" w:rsidP="003472DA">
      <w:pPr>
        <w:tabs>
          <w:tab w:val="clear" w:pos="1247"/>
          <w:tab w:val="clear" w:pos="1814"/>
          <w:tab w:val="clear" w:pos="2381"/>
          <w:tab w:val="clear" w:pos="2948"/>
          <w:tab w:val="clear" w:pos="3515"/>
        </w:tabs>
        <w:spacing w:after="120"/>
        <w:ind w:left="1247"/>
      </w:pPr>
      <w:r w:rsidRPr="003472DA">
        <w:t>79.</w:t>
      </w:r>
      <w:r w:rsidRPr="003472DA">
        <w:tab/>
        <w:t xml:space="preserve">Существуют различные мнения относительно возможности подготовки доклада о </w:t>
      </w:r>
      <w:r w:rsidR="00B23C23">
        <w:t>взаимосвязи</w:t>
      </w:r>
      <w:r w:rsidRPr="003472DA">
        <w:t xml:space="preserve"> (в проекте доклада, распространенном для </w:t>
      </w:r>
      <w:r w:rsidR="00B23C23">
        <w:t>представления</w:t>
      </w:r>
      <w:r w:rsidR="00B23C23" w:rsidRPr="003472DA">
        <w:t xml:space="preserve"> </w:t>
      </w:r>
      <w:r w:rsidRPr="003472DA">
        <w:t>замечаний</w:t>
      </w:r>
      <w:r w:rsidR="00BB3EEE">
        <w:t>,</w:t>
      </w:r>
      <w:r w:rsidR="00B23C23" w:rsidRPr="00B23C23">
        <w:t xml:space="preserve"> </w:t>
      </w:r>
      <w:r w:rsidR="00B23C23">
        <w:t>он назван</w:t>
      </w:r>
      <w:r w:rsidR="00B23C23" w:rsidRPr="00B23C23">
        <w:t xml:space="preserve"> «доклад</w:t>
      </w:r>
      <w:r w:rsidR="00BB3EEE">
        <w:t>ом</w:t>
      </w:r>
      <w:r w:rsidR="00B23C23" w:rsidRPr="00B23C23">
        <w:t xml:space="preserve"> о комплексной оценке»</w:t>
      </w:r>
      <w:r w:rsidRPr="003472DA">
        <w:t xml:space="preserve">). Одни придерживаются мнения, что доклад о </w:t>
      </w:r>
      <w:r w:rsidR="00B23C23">
        <w:t xml:space="preserve">взаимосвязи </w:t>
      </w:r>
      <w:r w:rsidRPr="003472DA">
        <w:t xml:space="preserve">обязателен с научной точки зрения для оценки эффективности, тогда как другие считают, что инструменты и модели, необходимые для подготовки такого доклада, еще не доказали свою достоверность и надежность и что его следует исключить из первого цикла оценки эффективности, но можно включить в рамках усовершенствования системы в будущем для </w:t>
      </w:r>
      <w:r w:rsidR="00B23C23">
        <w:t>следующих</w:t>
      </w:r>
      <w:r w:rsidR="00B23C23" w:rsidRPr="003472DA">
        <w:t xml:space="preserve"> </w:t>
      </w:r>
      <w:r w:rsidRPr="003472DA">
        <w:t xml:space="preserve">циклов. С учетом этих замечаний доклад о </w:t>
      </w:r>
      <w:r w:rsidR="00B23C23" w:rsidRPr="00B23C23">
        <w:t>взаимосвязи</w:t>
      </w:r>
      <w:r w:rsidR="00B23C23" w:rsidRPr="00B23C23" w:rsidDel="00B23C23">
        <w:t xml:space="preserve"> </w:t>
      </w:r>
      <w:r w:rsidRPr="003472DA">
        <w:t xml:space="preserve">по-прежнему фигурирует и описывается в настоящем докладе, однако </w:t>
      </w:r>
      <w:r w:rsidR="00B23C23">
        <w:t xml:space="preserve">при его упоминании делается </w:t>
      </w:r>
      <w:r w:rsidRPr="003472DA">
        <w:t xml:space="preserve">сноска и/или </w:t>
      </w:r>
      <w:r w:rsidR="00B23C23">
        <w:t xml:space="preserve">его название </w:t>
      </w:r>
      <w:r w:rsidRPr="003472DA">
        <w:t>выделя</w:t>
      </w:r>
      <w:r w:rsidR="00B23C23">
        <w:t>е</w:t>
      </w:r>
      <w:r w:rsidRPr="003472DA">
        <w:t xml:space="preserve">тся серым цветом для указания </w:t>
      </w:r>
      <w:r w:rsidR="00B23C23">
        <w:t xml:space="preserve">на </w:t>
      </w:r>
      <w:r w:rsidRPr="003472DA">
        <w:t>то, что по этому вопросу существуют различные мнения.</w:t>
      </w:r>
    </w:p>
    <w:p w14:paraId="34965059" w14:textId="21780C9C" w:rsidR="003472DA" w:rsidRPr="00AA0928" w:rsidRDefault="003472DA" w:rsidP="00F47833">
      <w:pPr>
        <w:tabs>
          <w:tab w:val="clear" w:pos="1247"/>
          <w:tab w:val="clear" w:pos="1814"/>
          <w:tab w:val="clear" w:pos="2381"/>
          <w:tab w:val="clear" w:pos="2948"/>
          <w:tab w:val="clear" w:pos="3515"/>
        </w:tabs>
        <w:spacing w:after="120"/>
        <w:ind w:left="1247"/>
      </w:pPr>
      <w:r w:rsidRPr="003472DA">
        <w:t>80.</w:t>
      </w:r>
      <w:r w:rsidRPr="003472DA">
        <w:tab/>
        <w:t xml:space="preserve">Помимо ценных замечаний и </w:t>
      </w:r>
      <w:r w:rsidR="00B23C23">
        <w:t>редакционных исправлений</w:t>
      </w:r>
      <w:r w:rsidRPr="003472DA">
        <w:t xml:space="preserve">, призванных уточнить предлагаемые показатели, в </w:t>
      </w:r>
      <w:r w:rsidR="00974D5F">
        <w:t xml:space="preserve">связи с </w:t>
      </w:r>
      <w:r w:rsidRPr="003472DA">
        <w:t>показател</w:t>
      </w:r>
      <w:r w:rsidR="00974D5F">
        <w:t>ями</w:t>
      </w:r>
      <w:r w:rsidRPr="003472DA">
        <w:t xml:space="preserve"> был </w:t>
      </w:r>
      <w:r w:rsidR="00974D5F">
        <w:t xml:space="preserve">поднят </w:t>
      </w:r>
      <w:r w:rsidR="00D37A8D">
        <w:t xml:space="preserve">также </w:t>
      </w:r>
      <w:r w:rsidRPr="003472DA">
        <w:t>ряд других вопросов.</w:t>
      </w:r>
    </w:p>
    <w:p w14:paraId="05952859" w14:textId="1D05AC15" w:rsidR="003472DA" w:rsidRPr="00AA0928" w:rsidRDefault="003472DA" w:rsidP="003472DA">
      <w:pPr>
        <w:tabs>
          <w:tab w:val="clear" w:pos="1247"/>
          <w:tab w:val="clear" w:pos="1814"/>
          <w:tab w:val="clear" w:pos="2381"/>
          <w:tab w:val="clear" w:pos="2948"/>
          <w:tab w:val="clear" w:pos="3515"/>
        </w:tabs>
        <w:spacing w:after="120"/>
        <w:ind w:left="1247"/>
      </w:pPr>
      <w:r w:rsidRPr="003472DA">
        <w:t>81.</w:t>
      </w:r>
      <w:r w:rsidRPr="003472DA">
        <w:tab/>
        <w:t xml:space="preserve">Были высказаны различные мнения относительно подхода к определению показателей и последующего предлагаемого перечня. Определение показателей по статьям и группирование связанных с ними статей в целом было сочтено полезным и ценным, однако некоторые высказали мнение, что это может означать отсутствие необходимости в определении показателей </w:t>
      </w:r>
      <w:r w:rsidR="00974D5F">
        <w:t>для</w:t>
      </w:r>
      <w:r w:rsidRPr="003472DA">
        <w:t xml:space="preserve"> каждой стать</w:t>
      </w:r>
      <w:r w:rsidR="00974D5F">
        <w:t>и</w:t>
      </w:r>
      <w:r w:rsidRPr="003472DA">
        <w:t>.</w:t>
      </w:r>
    </w:p>
    <w:p w14:paraId="463992C8" w14:textId="7DA765A9" w:rsidR="003472DA" w:rsidRPr="00AA0928" w:rsidRDefault="003472DA" w:rsidP="003472DA">
      <w:pPr>
        <w:tabs>
          <w:tab w:val="clear" w:pos="1247"/>
          <w:tab w:val="clear" w:pos="1814"/>
          <w:tab w:val="clear" w:pos="2381"/>
          <w:tab w:val="clear" w:pos="2948"/>
          <w:tab w:val="clear" w:pos="3515"/>
        </w:tabs>
        <w:spacing w:after="120"/>
        <w:ind w:left="1247"/>
      </w:pPr>
      <w:r w:rsidRPr="003472DA">
        <w:t>82.</w:t>
      </w:r>
      <w:r w:rsidRPr="003472DA">
        <w:tab/>
        <w:t>Кроме того, по мнению одних, показатели следует определять только для юридически</w:t>
      </w:r>
      <w:r w:rsidR="00974D5F" w:rsidRPr="00974D5F">
        <w:t xml:space="preserve"> закрепленны</w:t>
      </w:r>
      <w:r w:rsidRPr="003472DA">
        <w:t>х обязательств, в то время как другие указали, что показатели необходимы как для юридически</w:t>
      </w:r>
      <w:r w:rsidR="00974D5F">
        <w:t xml:space="preserve"> </w:t>
      </w:r>
      <w:r w:rsidR="00974D5F" w:rsidRPr="00974D5F">
        <w:t>закрепленны</w:t>
      </w:r>
      <w:r w:rsidRPr="003472DA">
        <w:t>х, так и для добровольных обязательств.</w:t>
      </w:r>
    </w:p>
    <w:p w14:paraId="29C0E231" w14:textId="19F401E7" w:rsidR="003472DA" w:rsidRPr="00AA0928" w:rsidRDefault="003472DA" w:rsidP="006C0792">
      <w:pPr>
        <w:tabs>
          <w:tab w:val="clear" w:pos="1247"/>
          <w:tab w:val="clear" w:pos="1814"/>
          <w:tab w:val="clear" w:pos="2381"/>
          <w:tab w:val="clear" w:pos="2948"/>
          <w:tab w:val="clear" w:pos="3515"/>
        </w:tabs>
        <w:spacing w:after="120"/>
        <w:ind w:left="1247"/>
      </w:pPr>
      <w:r w:rsidRPr="003472DA">
        <w:t>83.</w:t>
      </w:r>
      <w:r w:rsidRPr="003472DA">
        <w:tab/>
        <w:t xml:space="preserve">Было также высказано мнение о возможности </w:t>
      </w:r>
      <w:r w:rsidR="00544D17">
        <w:t xml:space="preserve">различного </w:t>
      </w:r>
      <w:r w:rsidRPr="003472DA">
        <w:t xml:space="preserve">толкования выводов, сделанных на основе показателей, в связи с чем было предложено выбирать только те показатели, </w:t>
      </w:r>
      <w:r w:rsidR="00544D17">
        <w:t xml:space="preserve">которые непосредственно связаны с </w:t>
      </w:r>
      <w:r w:rsidRPr="003472DA">
        <w:t xml:space="preserve">выбросами и высвобождениями. В то время как одни считают причинную </w:t>
      </w:r>
      <w:r w:rsidR="006C0792">
        <w:t>связь</w:t>
      </w:r>
      <w:r w:rsidR="006C0792" w:rsidRPr="003472DA">
        <w:t xml:space="preserve"> </w:t>
      </w:r>
      <w:r w:rsidRPr="003472DA">
        <w:t xml:space="preserve">и возможность толкования критически важными, другие придерживаются мнения, что с точки зрения общего взгляда на эффективность Конвенции </w:t>
      </w:r>
      <w:r w:rsidR="006C0792">
        <w:t>первостепенное значение имеет сбор информации</w:t>
      </w:r>
      <w:r w:rsidR="00D37A8D">
        <w:t xml:space="preserve"> </w:t>
      </w:r>
      <w:r w:rsidRPr="003472DA">
        <w:t>по другим показателям.</w:t>
      </w:r>
    </w:p>
    <w:p w14:paraId="67B23BFA" w14:textId="40F9B7FC" w:rsidR="003472DA" w:rsidRPr="00AA0928" w:rsidRDefault="003472DA" w:rsidP="003472DA">
      <w:pPr>
        <w:tabs>
          <w:tab w:val="clear" w:pos="1247"/>
          <w:tab w:val="clear" w:pos="1814"/>
          <w:tab w:val="clear" w:pos="2381"/>
          <w:tab w:val="clear" w:pos="2948"/>
          <w:tab w:val="clear" w:pos="3515"/>
        </w:tabs>
        <w:spacing w:after="120"/>
        <w:ind w:left="1247"/>
      </w:pPr>
      <w:r w:rsidRPr="003472DA">
        <w:t>84.</w:t>
      </w:r>
      <w:r w:rsidRPr="003472DA">
        <w:tab/>
        <w:t>Были высказаны замечания относительно того, что предлагаемый показатель для статьи</w:t>
      </w:r>
      <w:r w:rsidR="00F47833">
        <w:rPr>
          <w:lang w:val="en-GB"/>
        </w:rPr>
        <w:t> </w:t>
      </w:r>
      <w:r w:rsidRPr="003472DA">
        <w:t>22 (K1) следует исключить вместе с рядом других предлагаемых показателей. В настоящем докладе</w:t>
      </w:r>
      <w:r w:rsidR="00724590">
        <w:t xml:space="preserve"> показатель</w:t>
      </w:r>
      <w:r w:rsidRPr="003472DA">
        <w:t xml:space="preserve"> K1 выделен серым цветом для обозначения различий во мнениях. Первый цикл даст возможность устранить другие расхождения по конкретным показателям.</w:t>
      </w:r>
    </w:p>
    <w:p w14:paraId="3BB3DF48" w14:textId="0F63D8DF" w:rsidR="003472DA" w:rsidRPr="00AA0928" w:rsidRDefault="003472DA" w:rsidP="003472DA">
      <w:pPr>
        <w:tabs>
          <w:tab w:val="clear" w:pos="1247"/>
          <w:tab w:val="clear" w:pos="1814"/>
          <w:tab w:val="clear" w:pos="2381"/>
          <w:tab w:val="clear" w:pos="2948"/>
          <w:tab w:val="clear" w:pos="3515"/>
        </w:tabs>
        <w:spacing w:after="120"/>
        <w:ind w:left="1247"/>
      </w:pPr>
      <w:r w:rsidRPr="003472DA">
        <w:t>85.</w:t>
      </w:r>
      <w:r w:rsidRPr="003472DA">
        <w:tab/>
        <w:t xml:space="preserve">Были высказаны различные мнения по вопросу о необходимости составления доклада об отходах. По мнению некоторых, доклад, в котором основное внимание уделяется практике обращения с отходами, не будет содержать информации об эффективности Конвенции; можно ожидать, что предлагаемые доклады о торговле, предложении и спросе будут содержать информацию о повторном использовании ртутных отходов для разрешенных видов применения и поэтому будут более полезным инструментом. </w:t>
      </w:r>
      <w:r w:rsidR="00724590">
        <w:t>В этой связи</w:t>
      </w:r>
      <w:r w:rsidR="00724590" w:rsidRPr="003472DA">
        <w:t xml:space="preserve"> </w:t>
      </w:r>
      <w:r w:rsidRPr="003472DA">
        <w:t xml:space="preserve">они просят исключить доклад об </w:t>
      </w:r>
      <w:r w:rsidRPr="003472DA">
        <w:lastRenderedPageBreak/>
        <w:t xml:space="preserve">отходах из перечня докладов, которые должны быть подготовлены в рамках первого цикла оценки эффективности. Противоположное мнение заключается в том, что крайне важно, чтобы </w:t>
      </w:r>
      <w:r w:rsidR="00724590">
        <w:t>к</w:t>
      </w:r>
      <w:r w:rsidRPr="003472DA">
        <w:t>омитет по оценке эффективности располагал независимой справочной информацией об имеющихся технических и политических вариантах обращения с отходами и их рециркуляции, с тем чтобы получить представление о докладах по статье 21 по этим вопросам. В свете этих расхождений во мнениях доклад об отходах остается частью предлагаемой системы, однако упоминания о нем выделены серым цветом.</w:t>
      </w:r>
    </w:p>
    <w:p w14:paraId="7E89917D" w14:textId="471419CF" w:rsidR="003472DA" w:rsidRPr="00AA0928" w:rsidRDefault="003472DA" w:rsidP="003472DA">
      <w:pPr>
        <w:tabs>
          <w:tab w:val="clear" w:pos="1247"/>
          <w:tab w:val="clear" w:pos="1814"/>
          <w:tab w:val="clear" w:pos="2381"/>
          <w:tab w:val="clear" w:pos="2948"/>
          <w:tab w:val="clear" w:pos="3515"/>
        </w:tabs>
        <w:spacing w:after="120"/>
        <w:ind w:left="1247"/>
      </w:pPr>
      <w:r w:rsidRPr="003472DA">
        <w:t>86.</w:t>
      </w:r>
      <w:r w:rsidRPr="003472DA">
        <w:tab/>
        <w:t>Было также высказано мнение, что при сборе данных мониторинга не следует использовать ресурсы Конвенции.</w:t>
      </w:r>
    </w:p>
    <w:p w14:paraId="7E9F5B6C" w14:textId="692EFD2D" w:rsidR="003472DA" w:rsidRPr="00AA0928" w:rsidRDefault="003472DA" w:rsidP="003472DA">
      <w:pPr>
        <w:tabs>
          <w:tab w:val="clear" w:pos="1247"/>
          <w:tab w:val="clear" w:pos="1814"/>
          <w:tab w:val="clear" w:pos="2381"/>
          <w:tab w:val="clear" w:pos="2948"/>
          <w:tab w:val="clear" w:pos="3515"/>
        </w:tabs>
        <w:spacing w:after="120"/>
        <w:ind w:left="1247"/>
      </w:pPr>
      <w:r w:rsidRPr="003472DA">
        <w:t>87.</w:t>
      </w:r>
      <w:r w:rsidRPr="003472DA">
        <w:tab/>
        <w:t>Были также высказаны различные мнения в отношении матриц для биомониторинга человека: согласно одной точке зрения, отбор образцов крови должен ограничиваться пуповинной кровью, поскольку этот метод является неинвазивным и может использоваться для оценки дородового воздействия, а согласно другой пуповинной крови может быть недостаточно для оценки воздействия на человека и следует также использовать образцы крови взрослых, поскольку эти группы представляют различные уязвимые группы населения.</w:t>
      </w:r>
    </w:p>
    <w:p w14:paraId="4283378B" w14:textId="27B6DC5E" w:rsidR="003472DA" w:rsidRPr="00AA0928" w:rsidRDefault="003472DA" w:rsidP="00F60008">
      <w:pPr>
        <w:tabs>
          <w:tab w:val="clear" w:pos="1247"/>
          <w:tab w:val="clear" w:pos="1814"/>
          <w:tab w:val="clear" w:pos="2381"/>
          <w:tab w:val="clear" w:pos="2948"/>
          <w:tab w:val="clear" w:pos="3515"/>
        </w:tabs>
        <w:spacing w:after="120"/>
        <w:ind w:left="1247"/>
      </w:pPr>
      <w:r w:rsidRPr="003472DA">
        <w:t>88.</w:t>
      </w:r>
      <w:r w:rsidRPr="003472DA">
        <w:tab/>
      </w:r>
      <w:r w:rsidR="00F60008">
        <w:t>Н</w:t>
      </w:r>
      <w:r w:rsidRPr="003472DA">
        <w:t xml:space="preserve">аконец, хотя в докладе указывается, что секретариат будет оказывать содействие в подготовке сводных докладов и что они должны готовиться совместно с сотрудничающими партнерами и при их участии, в нем не указаны потенциальные сотрудничающие партнеры. В качестве информационной основы для рассмотрения возможных партнеров при подготовке предлагаемых доклада о выбросах и высвобождениях, доклада о торговле, предложении и спросе и доклада об отходах Конференции Сторон, возможно, будет полезно вновь обратиться к сотрудничающим партнерам (институциональным и </w:t>
      </w:r>
      <w:r w:rsidR="00724590">
        <w:t>привлеченным</w:t>
      </w:r>
      <w:r w:rsidR="00724590" w:rsidRPr="003472DA">
        <w:t xml:space="preserve"> </w:t>
      </w:r>
      <w:r w:rsidR="00724590">
        <w:t>на</w:t>
      </w:r>
      <w:r w:rsidRPr="003472DA">
        <w:t xml:space="preserve"> контракт</w:t>
      </w:r>
      <w:r w:rsidR="00724590">
        <w:t>ной основе</w:t>
      </w:r>
      <w:r w:rsidRPr="003472DA">
        <w:t>), которые совместно с Сектором химических веществ и здравоохранения ЮНЕП работали над подготовкой доклада</w:t>
      </w:r>
      <w:r w:rsidR="00F60008" w:rsidRPr="00F60008">
        <w:t xml:space="preserve"> </w:t>
      </w:r>
      <w:proofErr w:type="spellStart"/>
      <w:r w:rsidR="00F60008" w:rsidRPr="00F60008">
        <w:t>Global</w:t>
      </w:r>
      <w:proofErr w:type="spellEnd"/>
      <w:r w:rsidR="00F60008" w:rsidRPr="00F60008">
        <w:t xml:space="preserve"> </w:t>
      </w:r>
      <w:proofErr w:type="spellStart"/>
      <w:r w:rsidR="00F60008" w:rsidRPr="00F60008">
        <w:t>Mercury</w:t>
      </w:r>
      <w:proofErr w:type="spellEnd"/>
      <w:r w:rsidR="00F60008" w:rsidRPr="00F60008">
        <w:t xml:space="preserve"> </w:t>
      </w:r>
      <w:proofErr w:type="spellStart"/>
      <w:r w:rsidR="00F60008" w:rsidRPr="00F60008">
        <w:t>Assessment</w:t>
      </w:r>
      <w:proofErr w:type="spellEnd"/>
      <w:r w:rsidR="00F60008" w:rsidRPr="00F60008">
        <w:t xml:space="preserve"> 2018</w:t>
      </w:r>
      <w:r w:rsidR="00F60008">
        <w:t xml:space="preserve"> (</w:t>
      </w:r>
      <w:r w:rsidRPr="003472DA">
        <w:t>«Глобальная оценка ртути</w:t>
      </w:r>
      <w:r w:rsidR="00F60008">
        <w:t>,</w:t>
      </w:r>
      <w:r w:rsidRPr="003472DA">
        <w:t xml:space="preserve"> 2018 год»</w:t>
      </w:r>
      <w:r w:rsidR="00F60008">
        <w:t>)</w:t>
      </w:r>
      <w:r w:rsidR="003B2A2E" w:rsidRPr="003B2A2E">
        <w:rPr>
          <w:vertAlign w:val="superscript"/>
        </w:rPr>
        <w:fldChar w:fldCharType="begin"/>
      </w:r>
      <w:r w:rsidR="003B2A2E" w:rsidRPr="003B2A2E">
        <w:rPr>
          <w:vertAlign w:val="superscript"/>
        </w:rPr>
        <w:instrText xml:space="preserve"> NOTEREF _Ref25316597 \h </w:instrText>
      </w:r>
      <w:r w:rsidR="003B2A2E">
        <w:rPr>
          <w:vertAlign w:val="superscript"/>
        </w:rPr>
        <w:instrText xml:space="preserve"> \* MERGEFORMAT </w:instrText>
      </w:r>
      <w:r w:rsidR="003B2A2E" w:rsidRPr="003B2A2E">
        <w:rPr>
          <w:vertAlign w:val="superscript"/>
        </w:rPr>
      </w:r>
      <w:r w:rsidR="003B2A2E" w:rsidRPr="003B2A2E">
        <w:rPr>
          <w:vertAlign w:val="superscript"/>
        </w:rPr>
        <w:fldChar w:fldCharType="separate"/>
      </w:r>
      <w:r w:rsidR="0096427B">
        <w:rPr>
          <w:vertAlign w:val="superscript"/>
        </w:rPr>
        <w:t>6</w:t>
      </w:r>
      <w:r w:rsidR="003B2A2E" w:rsidRPr="003B2A2E">
        <w:rPr>
          <w:vertAlign w:val="superscript"/>
        </w:rPr>
        <w:fldChar w:fldCharType="end"/>
      </w:r>
      <w:r w:rsidRPr="003472DA">
        <w:t xml:space="preserve">, доклада </w:t>
      </w:r>
      <w:r w:rsidR="00F60008" w:rsidRPr="00F60008">
        <w:t xml:space="preserve">2017 </w:t>
      </w:r>
      <w:r w:rsidR="00F60008">
        <w:t xml:space="preserve">года </w:t>
      </w:r>
      <w:r w:rsidR="00F60008" w:rsidRPr="00F60008">
        <w:rPr>
          <w:lang w:val="en-US"/>
        </w:rPr>
        <w:t>Global</w:t>
      </w:r>
      <w:r w:rsidR="00F60008" w:rsidRPr="00F60008">
        <w:t xml:space="preserve"> </w:t>
      </w:r>
      <w:r w:rsidR="00F60008" w:rsidRPr="00F60008">
        <w:rPr>
          <w:lang w:val="en-US"/>
        </w:rPr>
        <w:t>Mercury</w:t>
      </w:r>
      <w:r w:rsidR="00F60008" w:rsidRPr="00F60008">
        <w:t xml:space="preserve">: </w:t>
      </w:r>
      <w:r w:rsidR="00F60008" w:rsidRPr="00F60008">
        <w:rPr>
          <w:lang w:val="en-US"/>
        </w:rPr>
        <w:t>Supply</w:t>
      </w:r>
      <w:r w:rsidR="00F60008" w:rsidRPr="00F60008">
        <w:t xml:space="preserve">, </w:t>
      </w:r>
      <w:r w:rsidR="00F60008" w:rsidRPr="00F60008">
        <w:rPr>
          <w:lang w:val="en-US"/>
        </w:rPr>
        <w:t>Trade</w:t>
      </w:r>
      <w:r w:rsidR="00F60008" w:rsidRPr="00F60008">
        <w:t xml:space="preserve"> </w:t>
      </w:r>
      <w:r w:rsidR="00F60008" w:rsidRPr="00F60008">
        <w:rPr>
          <w:lang w:val="en-US"/>
        </w:rPr>
        <w:t>and</w:t>
      </w:r>
      <w:r w:rsidR="00F60008" w:rsidRPr="00F60008">
        <w:t xml:space="preserve"> </w:t>
      </w:r>
      <w:r w:rsidR="00F60008" w:rsidRPr="00F60008">
        <w:rPr>
          <w:lang w:val="en-US"/>
        </w:rPr>
        <w:t>Demand</w:t>
      </w:r>
      <w:r w:rsidR="00F60008" w:rsidRPr="00F60008">
        <w:t xml:space="preserve"> </w:t>
      </w:r>
      <w:r w:rsidR="00F60008">
        <w:t>(</w:t>
      </w:r>
      <w:r w:rsidR="00F60008" w:rsidRPr="00F60008">
        <w:t xml:space="preserve">«Ртуть в </w:t>
      </w:r>
      <w:r w:rsidR="00F60008">
        <w:t>обще</w:t>
      </w:r>
      <w:r w:rsidR="00F60008" w:rsidRPr="00F60008">
        <w:t>мир</w:t>
      </w:r>
      <w:r w:rsidR="00F60008">
        <w:t>овом обороте</w:t>
      </w:r>
      <w:r w:rsidR="00F60008" w:rsidRPr="00F60008">
        <w:t>: предложение, торговля и спрос»</w:t>
      </w:r>
      <w:r w:rsidR="00F60008">
        <w:t>)</w:t>
      </w:r>
      <w:r w:rsidR="003B2A2E" w:rsidRPr="003B2A2E">
        <w:rPr>
          <w:vertAlign w:val="superscript"/>
        </w:rPr>
        <w:fldChar w:fldCharType="begin"/>
      </w:r>
      <w:r w:rsidR="003B2A2E" w:rsidRPr="003B2A2E">
        <w:rPr>
          <w:vertAlign w:val="superscript"/>
        </w:rPr>
        <w:instrText xml:space="preserve"> NOTEREF _Ref25316612 \h </w:instrText>
      </w:r>
      <w:r w:rsidR="003B2A2E">
        <w:rPr>
          <w:vertAlign w:val="superscript"/>
        </w:rPr>
        <w:instrText xml:space="preserve"> \* MERGEFORMAT </w:instrText>
      </w:r>
      <w:r w:rsidR="003B2A2E" w:rsidRPr="003B2A2E">
        <w:rPr>
          <w:vertAlign w:val="superscript"/>
        </w:rPr>
      </w:r>
      <w:r w:rsidR="003B2A2E" w:rsidRPr="003B2A2E">
        <w:rPr>
          <w:vertAlign w:val="superscript"/>
        </w:rPr>
        <w:fldChar w:fldCharType="separate"/>
      </w:r>
      <w:r w:rsidR="0096427B">
        <w:rPr>
          <w:vertAlign w:val="superscript"/>
        </w:rPr>
        <w:t>7</w:t>
      </w:r>
      <w:r w:rsidR="003B2A2E" w:rsidRPr="003B2A2E">
        <w:rPr>
          <w:vertAlign w:val="superscript"/>
        </w:rPr>
        <w:fldChar w:fldCharType="end"/>
      </w:r>
      <w:r w:rsidR="003B2A2E">
        <w:t xml:space="preserve"> и </w:t>
      </w:r>
      <w:r w:rsidR="00F60008">
        <w:t xml:space="preserve">доклада 2018 года </w:t>
      </w:r>
      <w:r w:rsidR="00F60008" w:rsidRPr="00F60008">
        <w:rPr>
          <w:lang w:val="en-US"/>
        </w:rPr>
        <w:t>Global</w:t>
      </w:r>
      <w:r w:rsidR="00F60008" w:rsidRPr="00F60008">
        <w:t xml:space="preserve"> </w:t>
      </w:r>
      <w:r w:rsidR="00F60008" w:rsidRPr="00F60008">
        <w:rPr>
          <w:lang w:val="en-US"/>
        </w:rPr>
        <w:t>Mercury</w:t>
      </w:r>
      <w:r w:rsidR="00F60008" w:rsidRPr="00F60008">
        <w:t xml:space="preserve"> </w:t>
      </w:r>
      <w:r w:rsidR="00F60008" w:rsidRPr="00F60008">
        <w:rPr>
          <w:lang w:val="en-US"/>
        </w:rPr>
        <w:t>Waste</w:t>
      </w:r>
      <w:r w:rsidR="00F60008" w:rsidRPr="00F60008">
        <w:t xml:space="preserve"> </w:t>
      </w:r>
      <w:r w:rsidR="00F60008" w:rsidRPr="00F60008">
        <w:rPr>
          <w:lang w:val="en-US"/>
        </w:rPr>
        <w:t>Assessment</w:t>
      </w:r>
      <w:r w:rsidR="00F60008" w:rsidRPr="00F60008">
        <w:t xml:space="preserve">: </w:t>
      </w:r>
      <w:r w:rsidR="00F60008" w:rsidRPr="00F60008">
        <w:rPr>
          <w:lang w:val="en-US"/>
        </w:rPr>
        <w:t>Review</w:t>
      </w:r>
      <w:r w:rsidR="00F60008" w:rsidRPr="00F60008">
        <w:t xml:space="preserve"> </w:t>
      </w:r>
      <w:r w:rsidR="00F60008" w:rsidRPr="00F60008">
        <w:rPr>
          <w:lang w:val="en-US"/>
        </w:rPr>
        <w:t>of</w:t>
      </w:r>
      <w:r w:rsidR="00F60008" w:rsidRPr="00F60008">
        <w:t xml:space="preserve"> </w:t>
      </w:r>
      <w:r w:rsidR="00F60008" w:rsidRPr="00F60008">
        <w:rPr>
          <w:lang w:val="en-US"/>
        </w:rPr>
        <w:t>Current</w:t>
      </w:r>
      <w:r w:rsidR="00F60008" w:rsidRPr="00F60008">
        <w:t xml:space="preserve"> </w:t>
      </w:r>
      <w:r w:rsidR="00F60008" w:rsidRPr="00F60008">
        <w:rPr>
          <w:lang w:val="en-US"/>
        </w:rPr>
        <w:t>National</w:t>
      </w:r>
      <w:r w:rsidR="00F60008" w:rsidRPr="00F60008">
        <w:t xml:space="preserve"> </w:t>
      </w:r>
      <w:r w:rsidR="00F60008" w:rsidRPr="00F60008">
        <w:rPr>
          <w:lang w:val="en-US"/>
        </w:rPr>
        <w:t>Measures</w:t>
      </w:r>
      <w:r w:rsidR="00F60008">
        <w:t xml:space="preserve"> (</w:t>
      </w:r>
      <w:r w:rsidRPr="003472DA">
        <w:t>«</w:t>
      </w:r>
      <w:r w:rsidR="00F60008">
        <w:t>О</w:t>
      </w:r>
      <w:r w:rsidRPr="003472DA">
        <w:t xml:space="preserve">ценка </w:t>
      </w:r>
      <w:r w:rsidR="00F60008" w:rsidRPr="00F60008">
        <w:t xml:space="preserve">общемирового объема </w:t>
      </w:r>
      <w:r w:rsidRPr="003472DA">
        <w:t xml:space="preserve">ртутных отходов: обзор мер, принимаемых </w:t>
      </w:r>
      <w:r w:rsidR="00F60008">
        <w:t>на национальном уровне</w:t>
      </w:r>
      <w:r w:rsidRPr="003472DA">
        <w:t>»</w:t>
      </w:r>
      <w:r w:rsidR="00F60008">
        <w:t>)</w:t>
      </w:r>
      <w:r w:rsidR="003B2A2E" w:rsidRPr="003B2A2E">
        <w:rPr>
          <w:vertAlign w:val="superscript"/>
        </w:rPr>
        <w:fldChar w:fldCharType="begin"/>
      </w:r>
      <w:r w:rsidR="003B2A2E" w:rsidRPr="003B2A2E">
        <w:rPr>
          <w:vertAlign w:val="superscript"/>
        </w:rPr>
        <w:instrText xml:space="preserve"> NOTEREF _Ref25316620 \h </w:instrText>
      </w:r>
      <w:r w:rsidR="003B2A2E">
        <w:rPr>
          <w:vertAlign w:val="superscript"/>
        </w:rPr>
        <w:instrText xml:space="preserve"> \* MERGEFORMAT </w:instrText>
      </w:r>
      <w:r w:rsidR="003B2A2E" w:rsidRPr="003B2A2E">
        <w:rPr>
          <w:vertAlign w:val="superscript"/>
        </w:rPr>
      </w:r>
      <w:r w:rsidR="003B2A2E" w:rsidRPr="003B2A2E">
        <w:rPr>
          <w:vertAlign w:val="superscript"/>
        </w:rPr>
        <w:fldChar w:fldCharType="separate"/>
      </w:r>
      <w:r w:rsidR="0096427B">
        <w:rPr>
          <w:vertAlign w:val="superscript"/>
        </w:rPr>
        <w:t>8</w:t>
      </w:r>
      <w:r w:rsidR="003B2A2E" w:rsidRPr="003B2A2E">
        <w:rPr>
          <w:vertAlign w:val="superscript"/>
        </w:rPr>
        <w:fldChar w:fldCharType="end"/>
      </w:r>
      <w:r w:rsidRPr="003472DA">
        <w:t>.</w:t>
      </w:r>
    </w:p>
    <w:p w14:paraId="7634D8C6" w14:textId="646D1DFC" w:rsidR="009850D6" w:rsidRDefault="009850D6" w:rsidP="009E509E">
      <w:pPr>
        <w:pStyle w:val="Normalnumber"/>
        <w:numPr>
          <w:ilvl w:val="0"/>
          <w:numId w:val="0"/>
        </w:numPr>
        <w:tabs>
          <w:tab w:val="clear" w:pos="624"/>
        </w:tabs>
        <w:ind w:left="1247"/>
      </w:pPr>
    </w:p>
    <w:p w14:paraId="492448B4" w14:textId="6141E5CE" w:rsidR="009850D6" w:rsidRDefault="009850D6" w:rsidP="009E509E">
      <w:pPr>
        <w:tabs>
          <w:tab w:val="clear" w:pos="1247"/>
          <w:tab w:val="clear" w:pos="1814"/>
          <w:tab w:val="clear" w:pos="2381"/>
          <w:tab w:val="clear" w:pos="2948"/>
          <w:tab w:val="clear" w:pos="3515"/>
        </w:tabs>
        <w:spacing w:after="120"/>
      </w:pPr>
      <w:r>
        <w:br w:type="page"/>
      </w:r>
    </w:p>
    <w:p w14:paraId="584B3F4F" w14:textId="77777777" w:rsidR="009850D6" w:rsidRPr="009850D6" w:rsidRDefault="009850D6" w:rsidP="009850D6">
      <w:pPr>
        <w:tabs>
          <w:tab w:val="clear" w:pos="1247"/>
          <w:tab w:val="clear" w:pos="1814"/>
          <w:tab w:val="clear" w:pos="2381"/>
          <w:tab w:val="clear" w:pos="2948"/>
          <w:tab w:val="clear" w:pos="3515"/>
        </w:tabs>
        <w:spacing w:after="240"/>
        <w:rPr>
          <w:b/>
          <w:bCs/>
          <w:sz w:val="28"/>
          <w:szCs w:val="28"/>
        </w:rPr>
      </w:pPr>
      <w:r w:rsidRPr="009850D6">
        <w:rPr>
          <w:b/>
          <w:bCs/>
          <w:sz w:val="28"/>
          <w:szCs w:val="28"/>
        </w:rPr>
        <w:lastRenderedPageBreak/>
        <w:t>Дополнение I</w:t>
      </w:r>
    </w:p>
    <w:p w14:paraId="59C89017" w14:textId="77777777" w:rsidR="009850D6" w:rsidRPr="009850D6" w:rsidRDefault="009850D6" w:rsidP="009850D6">
      <w:pPr>
        <w:tabs>
          <w:tab w:val="clear" w:pos="1247"/>
          <w:tab w:val="clear" w:pos="1814"/>
          <w:tab w:val="clear" w:pos="2381"/>
          <w:tab w:val="clear" w:pos="2948"/>
          <w:tab w:val="clear" w:pos="3515"/>
        </w:tabs>
        <w:spacing w:after="120"/>
        <w:ind w:left="1247"/>
        <w:rPr>
          <w:b/>
          <w:bCs/>
          <w:sz w:val="28"/>
          <w:szCs w:val="28"/>
        </w:rPr>
      </w:pPr>
      <w:r w:rsidRPr="009850D6">
        <w:rPr>
          <w:b/>
          <w:bCs/>
          <w:sz w:val="28"/>
          <w:szCs w:val="28"/>
        </w:rPr>
        <w:t>Техническая информация в отношении мониторинга</w:t>
      </w:r>
    </w:p>
    <w:p w14:paraId="7E4CACC0" w14:textId="2113E182" w:rsidR="009850D6" w:rsidRPr="00F60008" w:rsidRDefault="00F60008" w:rsidP="009850D6">
      <w:pPr>
        <w:tabs>
          <w:tab w:val="clear" w:pos="1247"/>
          <w:tab w:val="clear" w:pos="1814"/>
          <w:tab w:val="clear" w:pos="2381"/>
          <w:tab w:val="clear" w:pos="2948"/>
          <w:tab w:val="clear" w:pos="3515"/>
        </w:tabs>
        <w:spacing w:after="120"/>
        <w:ind w:left="1247"/>
      </w:pPr>
      <w:r w:rsidRPr="00F60008">
        <w:t>[</w:t>
      </w:r>
      <w:r w:rsidRPr="00F60008">
        <w:rPr>
          <w:i/>
        </w:rPr>
        <w:t>Текст дополнения </w:t>
      </w:r>
      <w:r w:rsidRPr="00F60008">
        <w:rPr>
          <w:i/>
          <w:lang w:val="en-US"/>
        </w:rPr>
        <w:t>I</w:t>
      </w:r>
      <w:r w:rsidRPr="00F60008">
        <w:rPr>
          <w:i/>
        </w:rPr>
        <w:t xml:space="preserve"> приводится в документе </w:t>
      </w:r>
      <w:r w:rsidR="009850D6" w:rsidRPr="00F60008">
        <w:rPr>
          <w:i/>
        </w:rPr>
        <w:t>UNEP/MC/COP.3/14/Add.1.</w:t>
      </w:r>
      <w:r w:rsidRPr="00F60008">
        <w:t>]</w:t>
      </w:r>
    </w:p>
    <w:p w14:paraId="5E8C3F41" w14:textId="77777777" w:rsidR="009850D6" w:rsidRPr="009850D6" w:rsidRDefault="009850D6" w:rsidP="009850D6">
      <w:pPr>
        <w:tabs>
          <w:tab w:val="clear" w:pos="1247"/>
          <w:tab w:val="clear" w:pos="1814"/>
          <w:tab w:val="clear" w:pos="2381"/>
          <w:tab w:val="clear" w:pos="2948"/>
          <w:tab w:val="clear" w:pos="3515"/>
        </w:tabs>
        <w:spacing w:after="120"/>
        <w:ind w:left="1247"/>
      </w:pPr>
      <w:r w:rsidRPr="009850D6">
        <w:br w:type="page"/>
      </w:r>
    </w:p>
    <w:p w14:paraId="4563840B" w14:textId="77777777" w:rsidR="009850D6" w:rsidRPr="009850D6" w:rsidRDefault="009850D6" w:rsidP="009850D6">
      <w:pPr>
        <w:tabs>
          <w:tab w:val="clear" w:pos="1247"/>
          <w:tab w:val="clear" w:pos="1814"/>
          <w:tab w:val="clear" w:pos="2381"/>
          <w:tab w:val="clear" w:pos="2948"/>
          <w:tab w:val="clear" w:pos="3515"/>
        </w:tabs>
        <w:spacing w:after="240"/>
        <w:rPr>
          <w:b/>
          <w:bCs/>
          <w:sz w:val="28"/>
          <w:szCs w:val="28"/>
        </w:rPr>
      </w:pPr>
      <w:r w:rsidRPr="009850D6">
        <w:rPr>
          <w:b/>
          <w:bCs/>
          <w:sz w:val="28"/>
          <w:szCs w:val="28"/>
        </w:rPr>
        <w:lastRenderedPageBreak/>
        <w:t>Дополнение II</w:t>
      </w:r>
    </w:p>
    <w:p w14:paraId="15CD7543" w14:textId="12BEFCDD" w:rsidR="009850D6" w:rsidRPr="009850D6" w:rsidRDefault="009850D6" w:rsidP="009850D6">
      <w:pPr>
        <w:tabs>
          <w:tab w:val="clear" w:pos="1247"/>
          <w:tab w:val="clear" w:pos="1814"/>
          <w:tab w:val="clear" w:pos="2381"/>
          <w:tab w:val="clear" w:pos="2948"/>
          <w:tab w:val="clear" w:pos="3515"/>
        </w:tabs>
        <w:spacing w:after="120"/>
        <w:ind w:left="1247"/>
        <w:rPr>
          <w:b/>
          <w:bCs/>
          <w:sz w:val="28"/>
          <w:szCs w:val="28"/>
        </w:rPr>
      </w:pPr>
      <w:r w:rsidRPr="009850D6">
        <w:rPr>
          <w:b/>
          <w:bCs/>
          <w:sz w:val="28"/>
          <w:szCs w:val="28"/>
        </w:rPr>
        <w:t xml:space="preserve">Проект положения о </w:t>
      </w:r>
      <w:r w:rsidR="008750F1">
        <w:rPr>
          <w:b/>
          <w:bCs/>
          <w:sz w:val="28"/>
          <w:szCs w:val="28"/>
        </w:rPr>
        <w:t>к</w:t>
      </w:r>
      <w:r w:rsidRPr="009850D6">
        <w:rPr>
          <w:b/>
          <w:bCs/>
          <w:sz w:val="28"/>
          <w:szCs w:val="28"/>
        </w:rPr>
        <w:t>омитете по оценке эффективности</w:t>
      </w:r>
    </w:p>
    <w:p w14:paraId="061847F6" w14:textId="77777777" w:rsidR="009850D6" w:rsidRPr="009850D6" w:rsidRDefault="009850D6" w:rsidP="00804E87">
      <w:pPr>
        <w:tabs>
          <w:tab w:val="clear" w:pos="1247"/>
          <w:tab w:val="clear" w:pos="1814"/>
          <w:tab w:val="clear" w:pos="2381"/>
          <w:tab w:val="clear" w:pos="2948"/>
          <w:tab w:val="clear" w:pos="3515"/>
          <w:tab w:val="right" w:pos="851"/>
        </w:tabs>
        <w:spacing w:after="120"/>
        <w:ind w:left="1247" w:right="284" w:hanging="1247"/>
        <w:rPr>
          <w:b/>
          <w:bCs/>
          <w:sz w:val="24"/>
          <w:szCs w:val="24"/>
        </w:rPr>
      </w:pPr>
      <w:r w:rsidRPr="009850D6">
        <w:rPr>
          <w:b/>
          <w:bCs/>
          <w:sz w:val="24"/>
          <w:szCs w:val="24"/>
        </w:rPr>
        <w:tab/>
        <w:t>A.</w:t>
      </w:r>
      <w:r w:rsidRPr="009850D6">
        <w:rPr>
          <w:b/>
          <w:bCs/>
          <w:sz w:val="24"/>
          <w:szCs w:val="24"/>
        </w:rPr>
        <w:tab/>
        <w:t>Мандат</w:t>
      </w:r>
    </w:p>
    <w:p w14:paraId="6C8D59D1" w14:textId="5D68D026" w:rsidR="009850D6" w:rsidRPr="009850D6" w:rsidRDefault="00804E87" w:rsidP="009850D6">
      <w:pPr>
        <w:tabs>
          <w:tab w:val="clear" w:pos="1247"/>
          <w:tab w:val="clear" w:pos="1814"/>
          <w:tab w:val="clear" w:pos="2381"/>
          <w:tab w:val="clear" w:pos="2948"/>
          <w:tab w:val="clear" w:pos="3515"/>
        </w:tabs>
        <w:spacing w:after="120"/>
        <w:ind w:left="1247"/>
      </w:pPr>
      <w:r w:rsidRPr="00AA0928">
        <w:t>1.</w:t>
      </w:r>
      <w:r w:rsidRPr="00AA0928">
        <w:tab/>
      </w:r>
      <w:r w:rsidR="009850D6" w:rsidRPr="009850D6">
        <w:t xml:space="preserve">Комитет по оценке эффективности (далее </w:t>
      </w:r>
      <w:r w:rsidR="008750F1">
        <w:t xml:space="preserve">именуемый </w:t>
      </w:r>
      <w:r w:rsidR="009850D6" w:rsidRPr="009850D6">
        <w:t>«</w:t>
      </w:r>
      <w:r w:rsidR="008750F1">
        <w:t>к</w:t>
      </w:r>
      <w:r w:rsidR="009850D6" w:rsidRPr="009850D6">
        <w:t xml:space="preserve">омитет») выполняет задачи, относящиеся к уровню </w:t>
      </w:r>
      <w:r w:rsidR="008750F1">
        <w:t xml:space="preserve">5 </w:t>
      </w:r>
      <w:r w:rsidR="009850D6" w:rsidRPr="009850D6">
        <w:t>предлагаемой методологии оценки эффективности.</w:t>
      </w:r>
    </w:p>
    <w:p w14:paraId="05BBA2A3" w14:textId="77777777" w:rsidR="009850D6" w:rsidRPr="009850D6" w:rsidRDefault="009850D6" w:rsidP="00804E87">
      <w:pPr>
        <w:tabs>
          <w:tab w:val="clear" w:pos="1247"/>
          <w:tab w:val="clear" w:pos="1814"/>
          <w:tab w:val="clear" w:pos="2381"/>
          <w:tab w:val="clear" w:pos="2948"/>
          <w:tab w:val="clear" w:pos="3515"/>
          <w:tab w:val="right" w:pos="851"/>
        </w:tabs>
        <w:spacing w:after="120"/>
        <w:ind w:left="1247" w:right="284" w:hanging="1247"/>
        <w:rPr>
          <w:b/>
          <w:bCs/>
          <w:sz w:val="24"/>
          <w:szCs w:val="24"/>
        </w:rPr>
      </w:pPr>
      <w:r w:rsidRPr="009850D6">
        <w:rPr>
          <w:b/>
          <w:bCs/>
          <w:sz w:val="24"/>
          <w:szCs w:val="24"/>
        </w:rPr>
        <w:tab/>
        <w:t>B.</w:t>
      </w:r>
      <w:r w:rsidRPr="009850D6">
        <w:rPr>
          <w:b/>
          <w:bCs/>
          <w:sz w:val="24"/>
          <w:szCs w:val="24"/>
        </w:rPr>
        <w:tab/>
        <w:t>Членский состав</w:t>
      </w:r>
    </w:p>
    <w:p w14:paraId="0A5AF680" w14:textId="19063439" w:rsidR="009850D6" w:rsidRPr="009850D6" w:rsidRDefault="00804E87" w:rsidP="009850D6">
      <w:pPr>
        <w:tabs>
          <w:tab w:val="clear" w:pos="1247"/>
          <w:tab w:val="clear" w:pos="1814"/>
          <w:tab w:val="clear" w:pos="2381"/>
          <w:tab w:val="clear" w:pos="2948"/>
          <w:tab w:val="clear" w:pos="3515"/>
        </w:tabs>
        <w:spacing w:after="120"/>
        <w:ind w:left="1247"/>
      </w:pPr>
      <w:r w:rsidRPr="00AA0928">
        <w:t>2.</w:t>
      </w:r>
      <w:r w:rsidRPr="00AA0928">
        <w:tab/>
      </w:r>
      <w:r w:rsidR="009850D6" w:rsidRPr="009850D6">
        <w:t xml:space="preserve">Члены </w:t>
      </w:r>
      <w:r w:rsidR="008750F1">
        <w:t>к</w:t>
      </w:r>
      <w:r w:rsidR="009850D6" w:rsidRPr="009850D6">
        <w:t>омитета назначаются на основе справедливого географического распределения с учетом необходимости обеспечения гендерной сбалансированности и различных областей экспертных знаний.</w:t>
      </w:r>
    </w:p>
    <w:p w14:paraId="5EAF3137" w14:textId="1E0E3032" w:rsidR="009850D6" w:rsidRPr="009850D6" w:rsidRDefault="00804E87" w:rsidP="009850D6">
      <w:pPr>
        <w:tabs>
          <w:tab w:val="clear" w:pos="1247"/>
          <w:tab w:val="clear" w:pos="1814"/>
          <w:tab w:val="clear" w:pos="2381"/>
          <w:tab w:val="clear" w:pos="2948"/>
          <w:tab w:val="clear" w:pos="3515"/>
        </w:tabs>
        <w:spacing w:after="120"/>
        <w:ind w:left="1247"/>
      </w:pPr>
      <w:r w:rsidRPr="00AA0928">
        <w:t>3.</w:t>
      </w:r>
      <w:r w:rsidRPr="00AA0928">
        <w:tab/>
      </w:r>
      <w:r w:rsidR="009850D6" w:rsidRPr="009850D6">
        <w:t xml:space="preserve">В состав </w:t>
      </w:r>
      <w:r w:rsidR="008750F1">
        <w:t>к</w:t>
      </w:r>
      <w:r w:rsidR="009850D6" w:rsidRPr="009850D6">
        <w:t>омитета входят 12 экспертов в следующем составе:</w:t>
      </w:r>
    </w:p>
    <w:p w14:paraId="01FFE4F9" w14:textId="77EDE84D" w:rsidR="009850D6" w:rsidRPr="009850D6" w:rsidRDefault="00804E87" w:rsidP="00804E87">
      <w:pPr>
        <w:tabs>
          <w:tab w:val="clear" w:pos="1247"/>
          <w:tab w:val="clear" w:pos="1814"/>
          <w:tab w:val="clear" w:pos="2381"/>
          <w:tab w:val="clear" w:pos="2948"/>
          <w:tab w:val="clear" w:pos="3515"/>
        </w:tabs>
        <w:spacing w:after="120"/>
        <w:ind w:left="1247" w:firstLine="624"/>
      </w:pPr>
      <w:r>
        <w:rPr>
          <w:lang w:val="en-GB"/>
        </w:rPr>
        <w:t>a</w:t>
      </w:r>
      <w:r w:rsidRPr="00AA0928">
        <w:t>)</w:t>
      </w:r>
      <w:r w:rsidRPr="00AA0928">
        <w:tab/>
      </w:r>
      <w:r w:rsidR="009850D6" w:rsidRPr="009850D6">
        <w:t>два эксперта, кандидатуры которых выдвигаются каждым из пяти регионов Организации Объединенных Наций и утверждаются Конференцией Сторон;</w:t>
      </w:r>
    </w:p>
    <w:p w14:paraId="50FFDDB4" w14:textId="6383B8BB" w:rsidR="009850D6" w:rsidRPr="009850D6" w:rsidRDefault="00997BEB" w:rsidP="00804E87">
      <w:pPr>
        <w:tabs>
          <w:tab w:val="clear" w:pos="1247"/>
          <w:tab w:val="clear" w:pos="1814"/>
          <w:tab w:val="clear" w:pos="2381"/>
          <w:tab w:val="clear" w:pos="2948"/>
          <w:tab w:val="clear" w:pos="3515"/>
        </w:tabs>
        <w:spacing w:after="120"/>
        <w:ind w:left="1247" w:firstLine="624"/>
      </w:pPr>
      <w:r>
        <w:rPr>
          <w:lang w:val="en-GB"/>
        </w:rPr>
        <w:t>b</w:t>
      </w:r>
      <w:r w:rsidRPr="00AA0928">
        <w:t>)</w:t>
      </w:r>
      <w:r w:rsidRPr="00AA0928">
        <w:tab/>
      </w:r>
      <w:r w:rsidR="009850D6" w:rsidRPr="009850D6">
        <w:t>один эксперт, представляющий механизмы глобального мониторинга;</w:t>
      </w:r>
    </w:p>
    <w:p w14:paraId="02E9138B" w14:textId="314D212A" w:rsidR="009850D6" w:rsidRPr="009850D6" w:rsidRDefault="00997BEB" w:rsidP="00804E87">
      <w:pPr>
        <w:tabs>
          <w:tab w:val="clear" w:pos="1247"/>
          <w:tab w:val="clear" w:pos="1814"/>
          <w:tab w:val="clear" w:pos="2381"/>
          <w:tab w:val="clear" w:pos="2948"/>
          <w:tab w:val="clear" w:pos="3515"/>
        </w:tabs>
        <w:spacing w:after="120"/>
        <w:ind w:left="1247" w:firstLine="624"/>
      </w:pPr>
      <w:r w:rsidRPr="00F300DF">
        <w:rPr>
          <w:highlight w:val="lightGray"/>
          <w:lang w:val="en-GB"/>
        </w:rPr>
        <w:t>c</w:t>
      </w:r>
      <w:r w:rsidRPr="00AA0928">
        <w:rPr>
          <w:highlight w:val="lightGray"/>
        </w:rPr>
        <w:t>)</w:t>
      </w:r>
      <w:r w:rsidRPr="00AA0928">
        <w:rPr>
          <w:highlight w:val="lightGray"/>
        </w:rPr>
        <w:tab/>
      </w:r>
      <w:r w:rsidR="009850D6" w:rsidRPr="00F300DF">
        <w:rPr>
          <w:highlight w:val="lightGray"/>
        </w:rPr>
        <w:t>один эксперт, представляющий Комитет по осуществлению и соблюдению</w:t>
      </w:r>
      <w:r w:rsidR="009850D6" w:rsidRPr="003B2A2E">
        <w:rPr>
          <w:vertAlign w:val="superscript"/>
        </w:rPr>
        <w:footnoteReference w:id="15"/>
      </w:r>
      <w:r w:rsidR="009850D6" w:rsidRPr="003B2A2E">
        <w:t>.</w:t>
      </w:r>
    </w:p>
    <w:p w14:paraId="429F7B1C" w14:textId="4AB3A587" w:rsidR="009850D6" w:rsidRPr="009850D6" w:rsidRDefault="00997BEB" w:rsidP="009850D6">
      <w:pPr>
        <w:tabs>
          <w:tab w:val="clear" w:pos="1247"/>
          <w:tab w:val="clear" w:pos="1814"/>
          <w:tab w:val="clear" w:pos="2381"/>
          <w:tab w:val="clear" w:pos="2948"/>
          <w:tab w:val="clear" w:pos="3515"/>
        </w:tabs>
        <w:spacing w:after="120"/>
        <w:ind w:left="1247"/>
      </w:pPr>
      <w:r w:rsidRPr="00AA0928">
        <w:t>4.</w:t>
      </w:r>
      <w:r w:rsidRPr="00AA0928">
        <w:tab/>
      </w:r>
      <w:r w:rsidR="009850D6" w:rsidRPr="009850D6">
        <w:t>Эксперты, кандидатуры которых выдвигаются регионами и утверждаются Конференцией Сторон, обладают экспертными знаниями в области оценки, представления отчетности и осуществления на национальном уровне или другими экспертными знаниями, имеющими отношение к оценке.</w:t>
      </w:r>
    </w:p>
    <w:p w14:paraId="7B42C32D" w14:textId="215BBE90" w:rsidR="009850D6" w:rsidRPr="009850D6" w:rsidRDefault="00997BEB" w:rsidP="009850D6">
      <w:pPr>
        <w:tabs>
          <w:tab w:val="clear" w:pos="1247"/>
          <w:tab w:val="clear" w:pos="1814"/>
          <w:tab w:val="clear" w:pos="2381"/>
          <w:tab w:val="clear" w:pos="2948"/>
          <w:tab w:val="clear" w:pos="3515"/>
        </w:tabs>
        <w:spacing w:after="120"/>
        <w:ind w:left="1247"/>
      </w:pPr>
      <w:r w:rsidRPr="00AA0928">
        <w:t>5.</w:t>
      </w:r>
      <w:r w:rsidRPr="00AA0928">
        <w:tab/>
      </w:r>
      <w:r w:rsidR="009850D6" w:rsidRPr="009850D6">
        <w:t xml:space="preserve">Эксперт, представляющий механизмы глобального мониторинга, избирается из числа членов группы </w:t>
      </w:r>
      <w:r w:rsidR="008750F1">
        <w:t xml:space="preserve">по </w:t>
      </w:r>
      <w:r w:rsidR="009850D6" w:rsidRPr="009850D6">
        <w:t>мониторинг</w:t>
      </w:r>
      <w:r w:rsidR="008750F1">
        <w:t>у</w:t>
      </w:r>
      <w:r w:rsidR="009850D6" w:rsidRPr="009850D6">
        <w:t>.</w:t>
      </w:r>
    </w:p>
    <w:p w14:paraId="4B469CAB" w14:textId="68E20162" w:rsidR="009850D6" w:rsidRPr="009850D6" w:rsidRDefault="00997BEB" w:rsidP="009850D6">
      <w:pPr>
        <w:tabs>
          <w:tab w:val="clear" w:pos="1247"/>
          <w:tab w:val="clear" w:pos="1814"/>
          <w:tab w:val="clear" w:pos="2381"/>
          <w:tab w:val="clear" w:pos="2948"/>
          <w:tab w:val="clear" w:pos="3515"/>
        </w:tabs>
        <w:spacing w:after="120"/>
        <w:ind w:left="1247"/>
      </w:pPr>
      <w:r w:rsidRPr="00AA0928">
        <w:rPr>
          <w:highlight w:val="lightGray"/>
        </w:rPr>
        <w:t>6.</w:t>
      </w:r>
      <w:r w:rsidRPr="00AA0928">
        <w:rPr>
          <w:highlight w:val="lightGray"/>
        </w:rPr>
        <w:tab/>
      </w:r>
      <w:r w:rsidR="009850D6" w:rsidRPr="00F300DF">
        <w:rPr>
          <w:highlight w:val="lightGray"/>
        </w:rPr>
        <w:t>Эксперт, представляющий Комитет по осуществлению и соблюдению, избирается членами этого комитета из их числа.</w:t>
      </w:r>
    </w:p>
    <w:p w14:paraId="6EF527C1" w14:textId="209BACC1" w:rsidR="009850D6" w:rsidRPr="009850D6" w:rsidRDefault="00997BEB" w:rsidP="009850D6">
      <w:pPr>
        <w:tabs>
          <w:tab w:val="clear" w:pos="1247"/>
          <w:tab w:val="clear" w:pos="1814"/>
          <w:tab w:val="clear" w:pos="2381"/>
          <w:tab w:val="clear" w:pos="2948"/>
          <w:tab w:val="clear" w:pos="3515"/>
        </w:tabs>
        <w:spacing w:after="120"/>
        <w:ind w:left="1247"/>
      </w:pPr>
      <w:r w:rsidRPr="00AA0928">
        <w:t>7.</w:t>
      </w:r>
      <w:r w:rsidRPr="00AA0928">
        <w:tab/>
      </w:r>
      <w:r w:rsidR="009850D6" w:rsidRPr="009850D6">
        <w:t xml:space="preserve">Члены </w:t>
      </w:r>
      <w:r w:rsidR="008750F1">
        <w:t>к</w:t>
      </w:r>
      <w:r w:rsidR="009850D6" w:rsidRPr="009850D6">
        <w:t xml:space="preserve">омитета </w:t>
      </w:r>
      <w:r w:rsidR="008750F1">
        <w:t xml:space="preserve">при </w:t>
      </w:r>
      <w:r w:rsidR="009850D6" w:rsidRPr="009850D6">
        <w:t>выполн</w:t>
      </w:r>
      <w:r w:rsidR="008750F1">
        <w:t>ении</w:t>
      </w:r>
      <w:r w:rsidR="009850D6" w:rsidRPr="009850D6">
        <w:t xml:space="preserve"> свои</w:t>
      </w:r>
      <w:r w:rsidR="008750F1">
        <w:t>х</w:t>
      </w:r>
      <w:r w:rsidR="009850D6" w:rsidRPr="009850D6">
        <w:t xml:space="preserve"> обязанност</w:t>
      </w:r>
      <w:r w:rsidR="008750F1">
        <w:t>ей</w:t>
      </w:r>
      <w:r w:rsidR="009850D6" w:rsidRPr="009850D6">
        <w:t xml:space="preserve"> </w:t>
      </w:r>
      <w:r w:rsidR="008750F1">
        <w:t xml:space="preserve">действуют объективно </w:t>
      </w:r>
      <w:r w:rsidR="009850D6" w:rsidRPr="009850D6">
        <w:t xml:space="preserve">и предоставляют свои экспертные знания на нейтральной и беспристрастной основе, твердо придерживаются представленных </w:t>
      </w:r>
      <w:r w:rsidR="008750F1">
        <w:t>к</w:t>
      </w:r>
      <w:r w:rsidR="009850D6" w:rsidRPr="009850D6">
        <w:t>омитету фактических данных и действуют в наилучших интересах Конвенции.</w:t>
      </w:r>
    </w:p>
    <w:p w14:paraId="4E031CEF" w14:textId="10EBBAC5" w:rsidR="009850D6" w:rsidRPr="009850D6" w:rsidRDefault="00A90581" w:rsidP="009850D6">
      <w:pPr>
        <w:tabs>
          <w:tab w:val="clear" w:pos="1247"/>
          <w:tab w:val="clear" w:pos="1814"/>
          <w:tab w:val="clear" w:pos="2381"/>
          <w:tab w:val="clear" w:pos="2948"/>
          <w:tab w:val="clear" w:pos="3515"/>
        </w:tabs>
        <w:spacing w:after="120"/>
        <w:ind w:left="1247"/>
      </w:pPr>
      <w:r w:rsidRPr="00AA0928">
        <w:t>8.</w:t>
      </w:r>
      <w:r w:rsidRPr="00AA0928">
        <w:tab/>
      </w:r>
      <w:r w:rsidR="009850D6" w:rsidRPr="009850D6">
        <w:t>Срок полномочий членов совпадает с циклом оценки эффективности, определяемым Конференцией Сторон.</w:t>
      </w:r>
    </w:p>
    <w:p w14:paraId="6879E68C" w14:textId="415C0888" w:rsidR="009850D6" w:rsidRPr="009850D6" w:rsidRDefault="00A90581" w:rsidP="009850D6">
      <w:pPr>
        <w:tabs>
          <w:tab w:val="clear" w:pos="1247"/>
          <w:tab w:val="clear" w:pos="1814"/>
          <w:tab w:val="clear" w:pos="2381"/>
          <w:tab w:val="clear" w:pos="2948"/>
          <w:tab w:val="clear" w:pos="3515"/>
        </w:tabs>
        <w:spacing w:after="120"/>
        <w:ind w:left="1247"/>
      </w:pPr>
      <w:r w:rsidRPr="00AA0928">
        <w:t>9.</w:t>
      </w:r>
      <w:r w:rsidRPr="00AA0928">
        <w:tab/>
      </w:r>
      <w:r w:rsidR="009850D6" w:rsidRPr="009850D6">
        <w:t>Если один из членов не может завершить срок своих полномочий, регион, выдвинувший кандидатуру этого члена, назначает другое лицо для завершения этого срока полномочий.</w:t>
      </w:r>
    </w:p>
    <w:p w14:paraId="278E6E04" w14:textId="77777777" w:rsidR="009850D6" w:rsidRPr="009850D6" w:rsidRDefault="009850D6" w:rsidP="00804E87">
      <w:pPr>
        <w:tabs>
          <w:tab w:val="clear" w:pos="1247"/>
          <w:tab w:val="clear" w:pos="1814"/>
          <w:tab w:val="clear" w:pos="2381"/>
          <w:tab w:val="clear" w:pos="2948"/>
          <w:tab w:val="clear" w:pos="3515"/>
          <w:tab w:val="right" w:pos="851"/>
        </w:tabs>
        <w:spacing w:after="120"/>
        <w:ind w:left="1247" w:right="284" w:hanging="1247"/>
        <w:rPr>
          <w:b/>
          <w:bCs/>
          <w:sz w:val="24"/>
          <w:szCs w:val="24"/>
        </w:rPr>
      </w:pPr>
      <w:r w:rsidRPr="009850D6">
        <w:rPr>
          <w:b/>
          <w:bCs/>
          <w:sz w:val="24"/>
          <w:szCs w:val="24"/>
        </w:rPr>
        <w:tab/>
        <w:t>C.</w:t>
      </w:r>
      <w:r w:rsidRPr="009850D6">
        <w:rPr>
          <w:b/>
          <w:bCs/>
          <w:sz w:val="24"/>
          <w:szCs w:val="24"/>
        </w:rPr>
        <w:tab/>
        <w:t>Приглашенные эксперты и наблюдатели</w:t>
      </w:r>
    </w:p>
    <w:p w14:paraId="1E1F4B2C" w14:textId="0D176D61" w:rsidR="009850D6" w:rsidRPr="009850D6" w:rsidRDefault="00A90581" w:rsidP="009850D6">
      <w:pPr>
        <w:tabs>
          <w:tab w:val="clear" w:pos="1247"/>
          <w:tab w:val="clear" w:pos="1814"/>
          <w:tab w:val="clear" w:pos="2381"/>
          <w:tab w:val="clear" w:pos="2948"/>
          <w:tab w:val="clear" w:pos="3515"/>
        </w:tabs>
        <w:spacing w:after="120"/>
        <w:ind w:left="1247"/>
      </w:pPr>
      <w:r w:rsidRPr="00AA0928">
        <w:t>10.</w:t>
      </w:r>
      <w:r w:rsidRPr="00AA0928">
        <w:tab/>
      </w:r>
      <w:r w:rsidR="009850D6" w:rsidRPr="009850D6">
        <w:t xml:space="preserve">Секретариат приглашает двух </w:t>
      </w:r>
      <w:proofErr w:type="spellStart"/>
      <w:r w:rsidR="009850D6" w:rsidRPr="009850D6">
        <w:t>международно</w:t>
      </w:r>
      <w:proofErr w:type="spellEnd"/>
      <w:r w:rsidR="009850D6" w:rsidRPr="009850D6">
        <w:t xml:space="preserve"> признанных экспертов по оценке эффективности в качестве наблюдателей с должным учетом имеющихся экспертных знаний.</w:t>
      </w:r>
    </w:p>
    <w:p w14:paraId="3193A7E8" w14:textId="221ABADE" w:rsidR="009850D6" w:rsidRPr="009850D6" w:rsidRDefault="00A90581" w:rsidP="009850D6">
      <w:pPr>
        <w:tabs>
          <w:tab w:val="clear" w:pos="1247"/>
          <w:tab w:val="clear" w:pos="1814"/>
          <w:tab w:val="clear" w:pos="2381"/>
          <w:tab w:val="clear" w:pos="2948"/>
          <w:tab w:val="clear" w:pos="3515"/>
        </w:tabs>
        <w:spacing w:after="120"/>
        <w:ind w:left="1247"/>
      </w:pPr>
      <w:r w:rsidRPr="00AA0928">
        <w:t>11.</w:t>
      </w:r>
      <w:r w:rsidRPr="00AA0928">
        <w:tab/>
      </w:r>
      <w:r w:rsidR="009850D6" w:rsidRPr="009850D6">
        <w:t>Комитет приглашает в качестве наблюдателей до пяти экспертов из числа представителей гражданского общества, организаций коренных народов, межправительственных организаций, промышленных кругов и Глобального партнерства по ртути ЮНЕП. Участие наблюдателей будет сбалансировано между вышеупомянутыми группами и по гендерному признаку.</w:t>
      </w:r>
    </w:p>
    <w:p w14:paraId="089D4FB8" w14:textId="760B80B7" w:rsidR="009850D6" w:rsidRPr="009850D6" w:rsidRDefault="005F7853" w:rsidP="009850D6">
      <w:pPr>
        <w:tabs>
          <w:tab w:val="clear" w:pos="1247"/>
          <w:tab w:val="clear" w:pos="1814"/>
          <w:tab w:val="clear" w:pos="2381"/>
          <w:tab w:val="clear" w:pos="2948"/>
          <w:tab w:val="clear" w:pos="3515"/>
        </w:tabs>
        <w:spacing w:after="120"/>
        <w:ind w:left="1247"/>
      </w:pPr>
      <w:r w:rsidRPr="00AA0928">
        <w:t>12.</w:t>
      </w:r>
      <w:r w:rsidRPr="00AA0928">
        <w:tab/>
      </w:r>
      <w:r w:rsidR="009850D6" w:rsidRPr="009850D6">
        <w:t>Комитет может разрешить участие дополнительных наблюдателей в разумных пределах.</w:t>
      </w:r>
    </w:p>
    <w:p w14:paraId="1607F08E" w14:textId="08DD430C" w:rsidR="009850D6" w:rsidRPr="009850D6" w:rsidRDefault="005F7853" w:rsidP="009850D6">
      <w:pPr>
        <w:tabs>
          <w:tab w:val="clear" w:pos="1247"/>
          <w:tab w:val="clear" w:pos="1814"/>
          <w:tab w:val="clear" w:pos="2381"/>
          <w:tab w:val="clear" w:pos="2948"/>
          <w:tab w:val="clear" w:pos="3515"/>
        </w:tabs>
        <w:spacing w:after="120"/>
        <w:ind w:left="1247"/>
      </w:pPr>
      <w:r w:rsidRPr="00AA0928">
        <w:t>13.</w:t>
      </w:r>
      <w:r w:rsidRPr="00AA0928">
        <w:tab/>
      </w:r>
      <w:r w:rsidR="009850D6" w:rsidRPr="009850D6">
        <w:t xml:space="preserve">Наблюдатели должны предоставлять свои технические экспертные знания в целях оказания </w:t>
      </w:r>
      <w:r w:rsidR="008750F1">
        <w:t>к</w:t>
      </w:r>
      <w:r w:rsidR="008750F1" w:rsidRPr="009850D6">
        <w:t>омитету</w:t>
      </w:r>
      <w:r w:rsidR="009850D6" w:rsidRPr="009850D6">
        <w:t xml:space="preserve"> помощи в толковании представленной информации.</w:t>
      </w:r>
    </w:p>
    <w:p w14:paraId="49A43F97" w14:textId="02C033E2" w:rsidR="009850D6" w:rsidRPr="009850D6" w:rsidRDefault="009850D6" w:rsidP="00804E87">
      <w:pPr>
        <w:tabs>
          <w:tab w:val="clear" w:pos="1247"/>
          <w:tab w:val="clear" w:pos="1814"/>
          <w:tab w:val="clear" w:pos="2381"/>
          <w:tab w:val="clear" w:pos="2948"/>
          <w:tab w:val="clear" w:pos="3515"/>
          <w:tab w:val="right" w:pos="851"/>
        </w:tabs>
        <w:spacing w:after="120"/>
        <w:ind w:left="1247" w:right="284" w:hanging="1247"/>
        <w:rPr>
          <w:b/>
          <w:bCs/>
          <w:sz w:val="24"/>
          <w:szCs w:val="24"/>
        </w:rPr>
      </w:pPr>
      <w:r w:rsidRPr="009850D6">
        <w:rPr>
          <w:b/>
          <w:bCs/>
          <w:sz w:val="24"/>
          <w:szCs w:val="24"/>
        </w:rPr>
        <w:tab/>
        <w:t>D.</w:t>
      </w:r>
      <w:r w:rsidRPr="009850D6">
        <w:rPr>
          <w:b/>
          <w:bCs/>
          <w:sz w:val="24"/>
          <w:szCs w:val="24"/>
        </w:rPr>
        <w:tab/>
        <w:t>Должностные лица</w:t>
      </w:r>
    </w:p>
    <w:p w14:paraId="3D28730D" w14:textId="75FC96C9" w:rsidR="009850D6" w:rsidRPr="009850D6" w:rsidRDefault="005F7853" w:rsidP="009850D6">
      <w:pPr>
        <w:tabs>
          <w:tab w:val="clear" w:pos="1247"/>
          <w:tab w:val="clear" w:pos="1814"/>
          <w:tab w:val="clear" w:pos="2381"/>
          <w:tab w:val="clear" w:pos="2948"/>
          <w:tab w:val="clear" w:pos="3515"/>
        </w:tabs>
        <w:spacing w:after="120"/>
        <w:ind w:left="1247"/>
      </w:pPr>
      <w:r w:rsidRPr="00AA0928">
        <w:t>14.</w:t>
      </w:r>
      <w:r w:rsidRPr="00AA0928">
        <w:tab/>
      </w:r>
      <w:r w:rsidR="009850D6" w:rsidRPr="009850D6">
        <w:t>Комитет избирает из числа своих членов председателя и заместителя председателя.</w:t>
      </w:r>
    </w:p>
    <w:p w14:paraId="53D2827A" w14:textId="77777777" w:rsidR="009850D6" w:rsidRPr="009850D6" w:rsidRDefault="009850D6" w:rsidP="005F7853">
      <w:pPr>
        <w:keepNext/>
        <w:tabs>
          <w:tab w:val="clear" w:pos="1247"/>
          <w:tab w:val="clear" w:pos="1814"/>
          <w:tab w:val="clear" w:pos="2381"/>
          <w:tab w:val="clear" w:pos="2948"/>
          <w:tab w:val="clear" w:pos="3515"/>
          <w:tab w:val="right" w:pos="851"/>
        </w:tabs>
        <w:spacing w:after="120"/>
        <w:ind w:left="1247" w:right="284" w:hanging="1247"/>
        <w:rPr>
          <w:b/>
          <w:bCs/>
          <w:sz w:val="24"/>
          <w:szCs w:val="24"/>
        </w:rPr>
      </w:pPr>
      <w:r w:rsidRPr="009850D6">
        <w:rPr>
          <w:b/>
          <w:bCs/>
          <w:sz w:val="24"/>
          <w:szCs w:val="24"/>
        </w:rPr>
        <w:lastRenderedPageBreak/>
        <w:tab/>
        <w:t>E.</w:t>
      </w:r>
      <w:r w:rsidRPr="009850D6">
        <w:rPr>
          <w:b/>
          <w:bCs/>
          <w:sz w:val="24"/>
          <w:szCs w:val="24"/>
        </w:rPr>
        <w:tab/>
        <w:t>Административные и процедурные вопросы</w:t>
      </w:r>
    </w:p>
    <w:p w14:paraId="4DE46A78" w14:textId="2D4F589C" w:rsidR="009850D6" w:rsidRPr="009850D6" w:rsidRDefault="005F7853" w:rsidP="009850D6">
      <w:pPr>
        <w:tabs>
          <w:tab w:val="clear" w:pos="1247"/>
          <w:tab w:val="clear" w:pos="1814"/>
          <w:tab w:val="clear" w:pos="2381"/>
          <w:tab w:val="clear" w:pos="2948"/>
          <w:tab w:val="clear" w:pos="3515"/>
        </w:tabs>
        <w:spacing w:after="120"/>
        <w:ind w:left="1247"/>
      </w:pPr>
      <w:r w:rsidRPr="00AA0928">
        <w:t>15.</w:t>
      </w:r>
      <w:r w:rsidRPr="00AA0928">
        <w:tab/>
      </w:r>
      <w:r w:rsidR="009850D6" w:rsidRPr="009850D6">
        <w:t xml:space="preserve">Комитет применяет </w:t>
      </w:r>
      <w:proofErr w:type="spellStart"/>
      <w:r w:rsidR="009850D6" w:rsidRPr="009850D6">
        <w:t>mutatis</w:t>
      </w:r>
      <w:proofErr w:type="spellEnd"/>
      <w:r w:rsidR="009850D6" w:rsidRPr="009850D6">
        <w:t xml:space="preserve"> </w:t>
      </w:r>
      <w:proofErr w:type="spellStart"/>
      <w:r w:rsidR="009850D6" w:rsidRPr="009850D6">
        <w:t>mutandis</w:t>
      </w:r>
      <w:proofErr w:type="spellEnd"/>
      <w:r w:rsidR="009850D6" w:rsidRPr="009850D6">
        <w:t xml:space="preserve"> правила процедуры Конференции Сторон, если настоящим положением не предусматривается иное.</w:t>
      </w:r>
    </w:p>
    <w:p w14:paraId="4ED569DD" w14:textId="4980B56E" w:rsidR="009850D6" w:rsidRPr="009850D6" w:rsidRDefault="005F7853" w:rsidP="009850D6">
      <w:pPr>
        <w:tabs>
          <w:tab w:val="clear" w:pos="1247"/>
          <w:tab w:val="clear" w:pos="1814"/>
          <w:tab w:val="clear" w:pos="2381"/>
          <w:tab w:val="clear" w:pos="2948"/>
          <w:tab w:val="clear" w:pos="3515"/>
        </w:tabs>
        <w:spacing w:after="120"/>
        <w:ind w:left="1247"/>
      </w:pPr>
      <w:r w:rsidRPr="00AA0928">
        <w:t>16.</w:t>
      </w:r>
      <w:r w:rsidRPr="00AA0928">
        <w:tab/>
      </w:r>
      <w:r w:rsidR="009850D6" w:rsidRPr="009850D6">
        <w:t>Комитет может принимать такие организационные меры, которые необходимы для облегчения его работы, в соответствии с настоящим положением.</w:t>
      </w:r>
    </w:p>
    <w:p w14:paraId="6C4B2F2E" w14:textId="06709ABC" w:rsidR="009850D6" w:rsidRPr="009850D6" w:rsidRDefault="005F7853" w:rsidP="009850D6">
      <w:pPr>
        <w:tabs>
          <w:tab w:val="clear" w:pos="1247"/>
          <w:tab w:val="clear" w:pos="1814"/>
          <w:tab w:val="clear" w:pos="2381"/>
          <w:tab w:val="clear" w:pos="2948"/>
          <w:tab w:val="clear" w:pos="3515"/>
        </w:tabs>
        <w:spacing w:after="120"/>
        <w:ind w:left="1247"/>
      </w:pPr>
      <w:r w:rsidRPr="00AA0928">
        <w:t>17.</w:t>
      </w:r>
      <w:r w:rsidRPr="00AA0928">
        <w:tab/>
      </w:r>
      <w:r w:rsidR="009850D6" w:rsidRPr="009850D6">
        <w:t xml:space="preserve">Члены </w:t>
      </w:r>
      <w:r w:rsidR="00190DB7">
        <w:t>к</w:t>
      </w:r>
      <w:r w:rsidR="009850D6" w:rsidRPr="009850D6">
        <w:t>омитета прилагают усилия для достижения согласия на основе консенсуса. В том случае, если членам не удается достичь консенсуса, различные точки зрения отражаются в соответствующем докладе, подлежащем представлению Конференции Сторон.</w:t>
      </w:r>
    </w:p>
    <w:p w14:paraId="1B5DE722" w14:textId="77777777" w:rsidR="009850D6" w:rsidRPr="009850D6" w:rsidRDefault="009850D6" w:rsidP="00804E87">
      <w:pPr>
        <w:tabs>
          <w:tab w:val="clear" w:pos="1247"/>
          <w:tab w:val="clear" w:pos="1814"/>
          <w:tab w:val="clear" w:pos="2381"/>
          <w:tab w:val="clear" w:pos="2948"/>
          <w:tab w:val="clear" w:pos="3515"/>
          <w:tab w:val="right" w:pos="851"/>
        </w:tabs>
        <w:spacing w:after="120"/>
        <w:ind w:left="1247" w:right="284" w:hanging="1247"/>
        <w:rPr>
          <w:b/>
          <w:bCs/>
          <w:sz w:val="24"/>
          <w:szCs w:val="24"/>
        </w:rPr>
      </w:pPr>
      <w:r w:rsidRPr="009850D6">
        <w:rPr>
          <w:b/>
          <w:bCs/>
          <w:sz w:val="24"/>
          <w:szCs w:val="24"/>
        </w:rPr>
        <w:tab/>
        <w:t>F.</w:t>
      </w:r>
      <w:r w:rsidRPr="009850D6">
        <w:rPr>
          <w:b/>
          <w:bCs/>
          <w:sz w:val="24"/>
          <w:szCs w:val="24"/>
        </w:rPr>
        <w:tab/>
        <w:t>Секретариат</w:t>
      </w:r>
    </w:p>
    <w:p w14:paraId="7C78BAB8" w14:textId="28ECC8A2" w:rsidR="009850D6" w:rsidRPr="009850D6" w:rsidRDefault="00B509CF" w:rsidP="009850D6">
      <w:pPr>
        <w:tabs>
          <w:tab w:val="clear" w:pos="1247"/>
          <w:tab w:val="clear" w:pos="1814"/>
          <w:tab w:val="clear" w:pos="2381"/>
          <w:tab w:val="clear" w:pos="2948"/>
          <w:tab w:val="clear" w:pos="3515"/>
        </w:tabs>
        <w:spacing w:after="120"/>
        <w:ind w:left="1247"/>
      </w:pPr>
      <w:r w:rsidRPr="00AA0928">
        <w:t>18.</w:t>
      </w:r>
      <w:r w:rsidRPr="00AA0928">
        <w:tab/>
      </w:r>
      <w:r w:rsidR="009850D6" w:rsidRPr="009850D6">
        <w:t xml:space="preserve">Секретариат оказывает административную, материально-техническую, программную и основную поддержку совещаниям и работе </w:t>
      </w:r>
      <w:r w:rsidR="00190DB7">
        <w:t>к</w:t>
      </w:r>
      <w:r w:rsidR="009850D6" w:rsidRPr="009850D6">
        <w:t>омитета.</w:t>
      </w:r>
    </w:p>
    <w:p w14:paraId="3EA02DF7" w14:textId="77777777" w:rsidR="009850D6" w:rsidRPr="009850D6" w:rsidRDefault="009850D6" w:rsidP="00804E87">
      <w:pPr>
        <w:tabs>
          <w:tab w:val="clear" w:pos="1247"/>
          <w:tab w:val="clear" w:pos="1814"/>
          <w:tab w:val="clear" w:pos="2381"/>
          <w:tab w:val="clear" w:pos="2948"/>
          <w:tab w:val="clear" w:pos="3515"/>
          <w:tab w:val="right" w:pos="851"/>
        </w:tabs>
        <w:spacing w:after="120"/>
        <w:ind w:left="1247" w:right="284" w:hanging="1247"/>
        <w:rPr>
          <w:b/>
          <w:bCs/>
          <w:sz w:val="24"/>
          <w:szCs w:val="24"/>
        </w:rPr>
      </w:pPr>
      <w:r w:rsidRPr="009850D6">
        <w:rPr>
          <w:b/>
          <w:bCs/>
          <w:sz w:val="24"/>
          <w:szCs w:val="24"/>
        </w:rPr>
        <w:tab/>
        <w:t>G.</w:t>
      </w:r>
      <w:r w:rsidRPr="009850D6">
        <w:rPr>
          <w:b/>
          <w:bCs/>
          <w:sz w:val="24"/>
          <w:szCs w:val="24"/>
        </w:rPr>
        <w:tab/>
        <w:t>Совещания</w:t>
      </w:r>
    </w:p>
    <w:p w14:paraId="22101FCB" w14:textId="21CFF8AD" w:rsidR="009850D6" w:rsidRPr="009850D6" w:rsidRDefault="00B509CF" w:rsidP="009850D6">
      <w:pPr>
        <w:tabs>
          <w:tab w:val="clear" w:pos="1247"/>
          <w:tab w:val="clear" w:pos="1814"/>
          <w:tab w:val="clear" w:pos="2381"/>
          <w:tab w:val="clear" w:pos="2948"/>
          <w:tab w:val="clear" w:pos="3515"/>
        </w:tabs>
        <w:spacing w:after="120"/>
        <w:ind w:left="1247"/>
      </w:pPr>
      <w:r w:rsidRPr="00AA0928">
        <w:t>19.</w:t>
      </w:r>
      <w:r w:rsidRPr="00AA0928">
        <w:tab/>
      </w:r>
      <w:r w:rsidR="009850D6" w:rsidRPr="009850D6">
        <w:t xml:space="preserve">Комитет проведет два очных совещания для обзора имеющейся информации по каждому циклу оценки и подготовит доклад о сделанных им выводах для Конференции Сторон при условии наличия средств и с учетом требований к работе. Периодичность совещаний </w:t>
      </w:r>
      <w:r w:rsidR="00190DB7">
        <w:t>к</w:t>
      </w:r>
      <w:r w:rsidR="009850D6" w:rsidRPr="009850D6">
        <w:t>омитета может быть изменена по мере необходимости на основе решений Конференции Сторон.</w:t>
      </w:r>
    </w:p>
    <w:p w14:paraId="5FA07806" w14:textId="1D90E05C" w:rsidR="009850D6" w:rsidRPr="009850D6" w:rsidRDefault="00B509CF" w:rsidP="009850D6">
      <w:pPr>
        <w:tabs>
          <w:tab w:val="clear" w:pos="1247"/>
          <w:tab w:val="clear" w:pos="1814"/>
          <w:tab w:val="clear" w:pos="2381"/>
          <w:tab w:val="clear" w:pos="2948"/>
          <w:tab w:val="clear" w:pos="3515"/>
        </w:tabs>
        <w:spacing w:after="120"/>
        <w:ind w:left="1247"/>
      </w:pPr>
      <w:r w:rsidRPr="00AA0928">
        <w:t>20.</w:t>
      </w:r>
      <w:r w:rsidRPr="00AA0928">
        <w:tab/>
      </w:r>
      <w:r w:rsidR="009850D6" w:rsidRPr="009850D6">
        <w:t xml:space="preserve">Документы, подлежащие препровождению Конференции Сторон, окончательно подготавливаются </w:t>
      </w:r>
      <w:r w:rsidR="005A0C7E">
        <w:t>к</w:t>
      </w:r>
      <w:r w:rsidR="009850D6" w:rsidRPr="009850D6">
        <w:t>омитетом</w:t>
      </w:r>
      <w:r w:rsidR="005A0C7E">
        <w:t xml:space="preserve"> не менее чем</w:t>
      </w:r>
      <w:r w:rsidR="009850D6" w:rsidRPr="009850D6">
        <w:t xml:space="preserve"> за четыре месяца до совещания Конференции Сторон.</w:t>
      </w:r>
    </w:p>
    <w:p w14:paraId="2A2970BF" w14:textId="77777777" w:rsidR="009850D6" w:rsidRPr="009850D6" w:rsidRDefault="009850D6" w:rsidP="00804E87">
      <w:pPr>
        <w:tabs>
          <w:tab w:val="clear" w:pos="1247"/>
          <w:tab w:val="clear" w:pos="1814"/>
          <w:tab w:val="clear" w:pos="2381"/>
          <w:tab w:val="clear" w:pos="2948"/>
          <w:tab w:val="clear" w:pos="3515"/>
          <w:tab w:val="right" w:pos="851"/>
        </w:tabs>
        <w:spacing w:after="120"/>
        <w:ind w:left="1247" w:right="284" w:hanging="1247"/>
        <w:rPr>
          <w:b/>
          <w:bCs/>
          <w:sz w:val="24"/>
          <w:szCs w:val="24"/>
        </w:rPr>
      </w:pPr>
      <w:r w:rsidRPr="009850D6">
        <w:rPr>
          <w:b/>
          <w:bCs/>
          <w:sz w:val="24"/>
          <w:szCs w:val="24"/>
        </w:rPr>
        <w:tab/>
        <w:t>H.</w:t>
      </w:r>
      <w:r w:rsidRPr="009850D6">
        <w:rPr>
          <w:b/>
          <w:bCs/>
          <w:sz w:val="24"/>
          <w:szCs w:val="24"/>
        </w:rPr>
        <w:tab/>
        <w:t>Язык совещаний</w:t>
      </w:r>
    </w:p>
    <w:p w14:paraId="12D71ED0" w14:textId="59FBDC4C" w:rsidR="009850D6" w:rsidRPr="009850D6" w:rsidRDefault="00B509CF" w:rsidP="009850D6">
      <w:pPr>
        <w:tabs>
          <w:tab w:val="clear" w:pos="1247"/>
          <w:tab w:val="clear" w:pos="1814"/>
          <w:tab w:val="clear" w:pos="2381"/>
          <w:tab w:val="clear" w:pos="2948"/>
          <w:tab w:val="clear" w:pos="3515"/>
        </w:tabs>
        <w:spacing w:after="120"/>
        <w:ind w:left="1247"/>
      </w:pPr>
      <w:r w:rsidRPr="00AA0928">
        <w:t>21.</w:t>
      </w:r>
      <w:r w:rsidRPr="00AA0928">
        <w:tab/>
      </w:r>
      <w:r w:rsidR="009850D6" w:rsidRPr="009850D6">
        <w:t xml:space="preserve">Рабочим языком </w:t>
      </w:r>
      <w:r w:rsidR="00190DB7">
        <w:t>к</w:t>
      </w:r>
      <w:r w:rsidR="009850D6" w:rsidRPr="009850D6">
        <w:t>омитета является английский.</w:t>
      </w:r>
    </w:p>
    <w:p w14:paraId="61C5D9B7" w14:textId="77777777" w:rsidR="009850D6" w:rsidRPr="009850D6" w:rsidRDefault="009850D6" w:rsidP="00804E87">
      <w:pPr>
        <w:tabs>
          <w:tab w:val="clear" w:pos="1247"/>
          <w:tab w:val="clear" w:pos="1814"/>
          <w:tab w:val="clear" w:pos="2381"/>
          <w:tab w:val="clear" w:pos="2948"/>
          <w:tab w:val="clear" w:pos="3515"/>
          <w:tab w:val="right" w:pos="851"/>
        </w:tabs>
        <w:spacing w:after="120"/>
        <w:ind w:left="1247" w:right="284" w:hanging="1247"/>
        <w:rPr>
          <w:b/>
          <w:bCs/>
          <w:sz w:val="24"/>
          <w:szCs w:val="24"/>
        </w:rPr>
      </w:pPr>
      <w:r w:rsidRPr="009850D6">
        <w:rPr>
          <w:b/>
          <w:bCs/>
          <w:sz w:val="24"/>
          <w:szCs w:val="24"/>
        </w:rPr>
        <w:tab/>
        <w:t>I.</w:t>
      </w:r>
      <w:r w:rsidRPr="009850D6">
        <w:rPr>
          <w:b/>
          <w:bCs/>
          <w:sz w:val="24"/>
          <w:szCs w:val="24"/>
        </w:rPr>
        <w:tab/>
        <w:t>Бюджет</w:t>
      </w:r>
    </w:p>
    <w:p w14:paraId="7E3E3E9B" w14:textId="4A117C56" w:rsidR="009850D6" w:rsidRPr="009850D6" w:rsidRDefault="00B509CF" w:rsidP="009850D6">
      <w:pPr>
        <w:tabs>
          <w:tab w:val="clear" w:pos="1247"/>
          <w:tab w:val="clear" w:pos="1814"/>
          <w:tab w:val="clear" w:pos="2381"/>
          <w:tab w:val="clear" w:pos="2948"/>
          <w:tab w:val="clear" w:pos="3515"/>
        </w:tabs>
        <w:spacing w:after="120"/>
        <w:ind w:left="1247"/>
      </w:pPr>
      <w:r w:rsidRPr="00AA0928">
        <w:t>22.</w:t>
      </w:r>
      <w:r w:rsidRPr="00AA0928">
        <w:tab/>
      </w:r>
      <w:r w:rsidR="009850D6" w:rsidRPr="009850D6">
        <w:t xml:space="preserve">Членам </w:t>
      </w:r>
      <w:r w:rsidR="00190DB7">
        <w:t>к</w:t>
      </w:r>
      <w:r w:rsidR="009850D6" w:rsidRPr="009850D6">
        <w:t xml:space="preserve">омитета и приглашенным экспертам и наблюдателям в соответствии с правилами и практикой Организации Объединенных Наций должна предоставляться финансовая поддержка на покрытие путевых и суточных расходов для участия в совещаниях </w:t>
      </w:r>
      <w:r w:rsidR="00190DB7">
        <w:t>к</w:t>
      </w:r>
      <w:r w:rsidR="009850D6" w:rsidRPr="009850D6">
        <w:t>омитета при условии утверждения Конференцией Сторон.</w:t>
      </w:r>
    </w:p>
    <w:p w14:paraId="34F4CD8D" w14:textId="77777777" w:rsidR="009850D6" w:rsidRPr="009850D6" w:rsidRDefault="009850D6" w:rsidP="009850D6">
      <w:pPr>
        <w:tabs>
          <w:tab w:val="clear" w:pos="1247"/>
          <w:tab w:val="clear" w:pos="1814"/>
          <w:tab w:val="clear" w:pos="2381"/>
          <w:tab w:val="clear" w:pos="2948"/>
          <w:tab w:val="clear" w:pos="3515"/>
        </w:tabs>
        <w:spacing w:after="120"/>
        <w:ind w:left="1247"/>
      </w:pPr>
      <w:r w:rsidRPr="009850D6">
        <w:br w:type="page"/>
      </w:r>
    </w:p>
    <w:p w14:paraId="2E7E5CD6" w14:textId="77777777" w:rsidR="009850D6" w:rsidRPr="009850D6" w:rsidRDefault="009850D6" w:rsidP="00B509CF">
      <w:pPr>
        <w:tabs>
          <w:tab w:val="clear" w:pos="1247"/>
          <w:tab w:val="clear" w:pos="1814"/>
          <w:tab w:val="clear" w:pos="2381"/>
          <w:tab w:val="clear" w:pos="2948"/>
          <w:tab w:val="clear" w:pos="3515"/>
        </w:tabs>
        <w:spacing w:after="240"/>
        <w:rPr>
          <w:b/>
          <w:bCs/>
          <w:sz w:val="28"/>
          <w:szCs w:val="28"/>
        </w:rPr>
      </w:pPr>
      <w:r w:rsidRPr="009850D6">
        <w:rPr>
          <w:b/>
          <w:bCs/>
          <w:sz w:val="28"/>
          <w:szCs w:val="28"/>
        </w:rPr>
        <w:lastRenderedPageBreak/>
        <w:t>Дополнение III</w:t>
      </w:r>
    </w:p>
    <w:p w14:paraId="40BC4393" w14:textId="77777777" w:rsidR="009850D6" w:rsidRPr="009850D6" w:rsidRDefault="009850D6" w:rsidP="00B509CF">
      <w:pPr>
        <w:tabs>
          <w:tab w:val="clear" w:pos="1247"/>
          <w:tab w:val="clear" w:pos="1814"/>
          <w:tab w:val="clear" w:pos="2381"/>
          <w:tab w:val="clear" w:pos="2948"/>
          <w:tab w:val="clear" w:pos="3515"/>
        </w:tabs>
        <w:spacing w:after="120"/>
        <w:ind w:left="1247" w:right="567"/>
        <w:rPr>
          <w:b/>
          <w:bCs/>
          <w:sz w:val="28"/>
          <w:szCs w:val="28"/>
        </w:rPr>
      </w:pPr>
      <w:r w:rsidRPr="009850D6">
        <w:rPr>
          <w:b/>
          <w:bCs/>
          <w:sz w:val="28"/>
          <w:szCs w:val="28"/>
        </w:rPr>
        <w:t>Предлагаемые механизмы глобального мониторинга и проект положения о группе по мониторингу</w:t>
      </w:r>
    </w:p>
    <w:p w14:paraId="11794355" w14:textId="373C2315" w:rsidR="009850D6" w:rsidRPr="009850D6" w:rsidRDefault="0068578E" w:rsidP="00B509CF">
      <w:pPr>
        <w:tabs>
          <w:tab w:val="clear" w:pos="1247"/>
          <w:tab w:val="clear" w:pos="1814"/>
          <w:tab w:val="clear" w:pos="2381"/>
          <w:tab w:val="clear" w:pos="2948"/>
          <w:tab w:val="clear" w:pos="3515"/>
          <w:tab w:val="right" w:pos="851"/>
        </w:tabs>
        <w:spacing w:after="120"/>
        <w:ind w:left="1247" w:right="284" w:hanging="1247"/>
        <w:rPr>
          <w:b/>
          <w:bCs/>
          <w:sz w:val="28"/>
          <w:szCs w:val="28"/>
        </w:rPr>
      </w:pPr>
      <w:r>
        <w:rPr>
          <w:b/>
          <w:bCs/>
          <w:sz w:val="28"/>
          <w:szCs w:val="28"/>
        </w:rPr>
        <w:tab/>
      </w:r>
      <w:r w:rsidR="009850D6" w:rsidRPr="009850D6">
        <w:rPr>
          <w:b/>
          <w:bCs/>
          <w:sz w:val="28"/>
          <w:szCs w:val="28"/>
        </w:rPr>
        <w:t>I.</w:t>
      </w:r>
      <w:r w:rsidR="009850D6" w:rsidRPr="009850D6">
        <w:rPr>
          <w:b/>
          <w:bCs/>
          <w:sz w:val="28"/>
          <w:szCs w:val="28"/>
        </w:rPr>
        <w:tab/>
        <w:t>Введение</w:t>
      </w:r>
    </w:p>
    <w:p w14:paraId="7418E10D" w14:textId="22931CDA" w:rsidR="009850D6" w:rsidRPr="009850D6" w:rsidRDefault="0068578E" w:rsidP="009850D6">
      <w:pPr>
        <w:tabs>
          <w:tab w:val="clear" w:pos="1247"/>
          <w:tab w:val="clear" w:pos="1814"/>
          <w:tab w:val="clear" w:pos="2381"/>
          <w:tab w:val="clear" w:pos="2948"/>
          <w:tab w:val="clear" w:pos="3515"/>
        </w:tabs>
        <w:spacing w:after="120"/>
        <w:ind w:left="1247"/>
      </w:pPr>
      <w:r w:rsidRPr="00AA0928">
        <w:t>1.</w:t>
      </w:r>
      <w:r w:rsidRPr="00AA0928">
        <w:tab/>
      </w:r>
      <w:r w:rsidR="009850D6" w:rsidRPr="009850D6">
        <w:t xml:space="preserve">В настоящем дополнении описываются механизмы глобального мониторинга, предлагаемые в поддержку оценки эффективности Минаматской конвенции. Предлагаемые механизмы основываются на </w:t>
      </w:r>
      <w:r w:rsidR="005A0C7E">
        <w:t>уже осуществляемой</w:t>
      </w:r>
      <w:r w:rsidR="005A0C7E" w:rsidRPr="009850D6">
        <w:t xml:space="preserve"> </w:t>
      </w:r>
      <w:r w:rsidR="009850D6" w:rsidRPr="009850D6">
        <w:t xml:space="preserve">деятельности по мониторингу, </w:t>
      </w:r>
      <w:r w:rsidR="005A0C7E">
        <w:t xml:space="preserve">имеющихся </w:t>
      </w:r>
      <w:r w:rsidR="009850D6" w:rsidRPr="009850D6">
        <w:t>знаниях и экспертном опыте.</w:t>
      </w:r>
    </w:p>
    <w:p w14:paraId="797EB35E" w14:textId="00C69013" w:rsidR="009850D6" w:rsidRPr="009850D6" w:rsidRDefault="0068578E" w:rsidP="009850D6">
      <w:pPr>
        <w:tabs>
          <w:tab w:val="clear" w:pos="1247"/>
          <w:tab w:val="clear" w:pos="1814"/>
          <w:tab w:val="clear" w:pos="2381"/>
          <w:tab w:val="clear" w:pos="2948"/>
          <w:tab w:val="clear" w:pos="3515"/>
        </w:tabs>
        <w:spacing w:after="120"/>
        <w:ind w:left="1247"/>
      </w:pPr>
      <w:r w:rsidRPr="00AA0928">
        <w:t>2.</w:t>
      </w:r>
      <w:r w:rsidRPr="00AA0928">
        <w:tab/>
      </w:r>
      <w:r w:rsidR="009850D6" w:rsidRPr="009850D6">
        <w:t xml:space="preserve">В настоящем дополнении содержится </w:t>
      </w:r>
      <w:r w:rsidR="005A0C7E" w:rsidRPr="009850D6">
        <w:t xml:space="preserve">также </w:t>
      </w:r>
      <w:r w:rsidR="009850D6" w:rsidRPr="009850D6">
        <w:t xml:space="preserve">предлагаемое положение о группе по мониторингу, которая будет выполнять задачи, связанные с мониторингом и определенные </w:t>
      </w:r>
      <w:r w:rsidR="00190DB7">
        <w:t>для</w:t>
      </w:r>
      <w:r w:rsidR="009850D6" w:rsidRPr="009850D6">
        <w:t xml:space="preserve"> уровн</w:t>
      </w:r>
      <w:r w:rsidR="00190DB7">
        <w:t>ей</w:t>
      </w:r>
      <w:r w:rsidR="009850D6" w:rsidRPr="009850D6">
        <w:t xml:space="preserve"> 1, 2 и 3 методологии оценки эффективности, и заниматься подготовкой доклада о глобальном мониторинге.</w:t>
      </w:r>
    </w:p>
    <w:p w14:paraId="0CB422E6" w14:textId="5C91C7D9" w:rsidR="009850D6" w:rsidRPr="009850D6" w:rsidRDefault="0068578E" w:rsidP="009850D6">
      <w:pPr>
        <w:tabs>
          <w:tab w:val="clear" w:pos="1247"/>
          <w:tab w:val="clear" w:pos="1814"/>
          <w:tab w:val="clear" w:pos="2381"/>
          <w:tab w:val="clear" w:pos="2948"/>
          <w:tab w:val="clear" w:pos="3515"/>
        </w:tabs>
        <w:spacing w:after="120"/>
        <w:ind w:left="1247"/>
      </w:pPr>
      <w:r w:rsidRPr="00AA0928">
        <w:t>3.</w:t>
      </w:r>
      <w:r w:rsidRPr="00AA0928">
        <w:tab/>
      </w:r>
      <w:r w:rsidR="009850D6" w:rsidRPr="009850D6">
        <w:t>Ключевыми элементами предлагаемых механизмов глобального мониторинга являются следующие:</w:t>
      </w:r>
    </w:p>
    <w:p w14:paraId="75AB8DDE" w14:textId="5FACAA58" w:rsidR="009850D6" w:rsidRPr="009850D6" w:rsidRDefault="0068578E" w:rsidP="0068578E">
      <w:pPr>
        <w:tabs>
          <w:tab w:val="clear" w:pos="1247"/>
          <w:tab w:val="clear" w:pos="1814"/>
          <w:tab w:val="clear" w:pos="2381"/>
          <w:tab w:val="clear" w:pos="2948"/>
          <w:tab w:val="clear" w:pos="3515"/>
        </w:tabs>
        <w:spacing w:after="120"/>
        <w:ind w:left="1247" w:firstLine="624"/>
      </w:pPr>
      <w:r>
        <w:rPr>
          <w:lang w:val="en-GB"/>
        </w:rPr>
        <w:t>a</w:t>
      </w:r>
      <w:r w:rsidRPr="00AA0928">
        <w:t>)</w:t>
      </w:r>
      <w:r w:rsidRPr="00AA0928">
        <w:tab/>
      </w:r>
      <w:r w:rsidR="009850D6" w:rsidRPr="009850D6">
        <w:t>данные о ртути и их наличие в рамках программ мониторинга здоровья человека и окружающей среды, которые обеспечивают глобальный охват и содержат по крайней мере основные репрезентативные данные по всем регионам;</w:t>
      </w:r>
    </w:p>
    <w:p w14:paraId="516E8651" w14:textId="7E0FE774" w:rsidR="009850D6" w:rsidRPr="009850D6" w:rsidRDefault="0068578E" w:rsidP="0068578E">
      <w:pPr>
        <w:tabs>
          <w:tab w:val="clear" w:pos="1247"/>
          <w:tab w:val="clear" w:pos="1814"/>
          <w:tab w:val="clear" w:pos="2381"/>
          <w:tab w:val="clear" w:pos="2948"/>
          <w:tab w:val="clear" w:pos="3515"/>
        </w:tabs>
        <w:spacing w:after="120"/>
        <w:ind w:left="1247" w:firstLine="624"/>
      </w:pPr>
      <w:r>
        <w:rPr>
          <w:lang w:val="en-GB"/>
        </w:rPr>
        <w:t>b</w:t>
      </w:r>
      <w:r w:rsidRPr="00AA0928">
        <w:t>)</w:t>
      </w:r>
      <w:r w:rsidRPr="00AA0928">
        <w:tab/>
      </w:r>
      <w:r w:rsidR="009850D6" w:rsidRPr="009850D6">
        <w:t xml:space="preserve">инструменты, способствующие унификации данных, такие как </w:t>
      </w:r>
      <w:r w:rsidR="00190DB7" w:rsidRPr="00190DB7">
        <w:t>типовые регламенты и руководств</w:t>
      </w:r>
      <w:r w:rsidR="005A0C7E">
        <w:t>о</w:t>
      </w:r>
      <w:r w:rsidR="00190DB7" w:rsidRPr="00190DB7">
        <w:t xml:space="preserve"> по проведению мониторинга</w:t>
      </w:r>
      <w:r w:rsidR="009850D6" w:rsidRPr="009850D6">
        <w:t>;</w:t>
      </w:r>
    </w:p>
    <w:p w14:paraId="1823B742" w14:textId="432F4626" w:rsidR="009850D6" w:rsidRPr="009850D6" w:rsidRDefault="0068578E" w:rsidP="0068578E">
      <w:pPr>
        <w:tabs>
          <w:tab w:val="clear" w:pos="1247"/>
          <w:tab w:val="clear" w:pos="1814"/>
          <w:tab w:val="clear" w:pos="2381"/>
          <w:tab w:val="clear" w:pos="2948"/>
          <w:tab w:val="clear" w:pos="3515"/>
        </w:tabs>
        <w:spacing w:after="120"/>
        <w:ind w:left="1247" w:firstLine="624"/>
      </w:pPr>
      <w:r>
        <w:rPr>
          <w:lang w:val="en-GB"/>
        </w:rPr>
        <w:t>c</w:t>
      </w:r>
      <w:r w:rsidRPr="00AA0928">
        <w:t>)</w:t>
      </w:r>
      <w:r w:rsidRPr="00AA0928">
        <w:tab/>
      </w:r>
      <w:r w:rsidR="009850D6" w:rsidRPr="009850D6">
        <w:t>экспертный опыт, необходимый для сбора и сведения воедино унифицированной информации, обеспечивающей сопоставимость и последовательность данных мониторинга ртути в долгосрочной перспективе;</w:t>
      </w:r>
    </w:p>
    <w:p w14:paraId="2D3A0CAF" w14:textId="265C598D" w:rsidR="009850D6" w:rsidRPr="009850D6" w:rsidRDefault="00750157" w:rsidP="0068578E">
      <w:pPr>
        <w:tabs>
          <w:tab w:val="clear" w:pos="1247"/>
          <w:tab w:val="clear" w:pos="1814"/>
          <w:tab w:val="clear" w:pos="2381"/>
          <w:tab w:val="clear" w:pos="2948"/>
          <w:tab w:val="clear" w:pos="3515"/>
        </w:tabs>
        <w:spacing w:after="120"/>
        <w:ind w:left="1247" w:firstLine="624"/>
      </w:pPr>
      <w:r>
        <w:rPr>
          <w:lang w:val="en-GB"/>
        </w:rPr>
        <w:t>d</w:t>
      </w:r>
      <w:r w:rsidRPr="00AA0928">
        <w:t>)</w:t>
      </w:r>
      <w:r w:rsidRPr="00AA0928">
        <w:tab/>
      </w:r>
      <w:r w:rsidR="009850D6" w:rsidRPr="009850D6">
        <w:t>возможности моделирования;</w:t>
      </w:r>
    </w:p>
    <w:p w14:paraId="270567C6" w14:textId="64D9D046" w:rsidR="009850D6" w:rsidRPr="009850D6" w:rsidRDefault="00750157" w:rsidP="0068578E">
      <w:pPr>
        <w:tabs>
          <w:tab w:val="clear" w:pos="1247"/>
          <w:tab w:val="clear" w:pos="1814"/>
          <w:tab w:val="clear" w:pos="2381"/>
          <w:tab w:val="clear" w:pos="2948"/>
          <w:tab w:val="clear" w:pos="3515"/>
        </w:tabs>
        <w:spacing w:after="120"/>
        <w:ind w:left="1247" w:firstLine="624"/>
      </w:pPr>
      <w:r>
        <w:rPr>
          <w:lang w:val="en-GB"/>
        </w:rPr>
        <w:t>e</w:t>
      </w:r>
      <w:r w:rsidRPr="00AA0928">
        <w:t>)</w:t>
      </w:r>
      <w:r w:rsidRPr="00AA0928">
        <w:tab/>
      </w:r>
      <w:r w:rsidR="009850D6" w:rsidRPr="009850D6">
        <w:t>периодический доклад о глобальном мониторинге уровней содержания ртути и тенденциях в этой области.</w:t>
      </w:r>
    </w:p>
    <w:p w14:paraId="156AD460" w14:textId="07A30722" w:rsidR="009850D6" w:rsidRPr="009850D6" w:rsidRDefault="00750157" w:rsidP="009850D6">
      <w:pPr>
        <w:tabs>
          <w:tab w:val="clear" w:pos="1247"/>
          <w:tab w:val="clear" w:pos="1814"/>
          <w:tab w:val="clear" w:pos="2381"/>
          <w:tab w:val="clear" w:pos="2948"/>
          <w:tab w:val="clear" w:pos="3515"/>
        </w:tabs>
        <w:spacing w:after="120"/>
        <w:ind w:left="1247"/>
      </w:pPr>
      <w:r w:rsidRPr="00AA0928">
        <w:t>4.</w:t>
      </w:r>
      <w:r w:rsidRPr="00AA0928">
        <w:tab/>
      </w:r>
      <w:r w:rsidR="009850D6" w:rsidRPr="009850D6">
        <w:t>Техническая информация в отношении мониторинга (включая предложение в отношении трех основных сред) представлена в дополнении I к докладу специальной технической группы экспертов (UNEP/MC/COP.3/14/Add.1). Более подробная информация о мониторинге, дополнительная справочная информация и дополнительные сведения о существующих возможностях моделирования содержатся в документе UNEP/MC/COP.3/INF/15.</w:t>
      </w:r>
    </w:p>
    <w:p w14:paraId="3E621841" w14:textId="1BFC7089" w:rsidR="009850D6" w:rsidRPr="009850D6" w:rsidRDefault="00750157" w:rsidP="009F7C34">
      <w:pPr>
        <w:tabs>
          <w:tab w:val="clear" w:pos="1247"/>
          <w:tab w:val="clear" w:pos="1814"/>
          <w:tab w:val="clear" w:pos="2381"/>
          <w:tab w:val="clear" w:pos="2948"/>
          <w:tab w:val="clear" w:pos="3515"/>
        </w:tabs>
        <w:spacing w:after="120"/>
        <w:ind w:left="1247"/>
      </w:pPr>
      <w:r w:rsidRPr="00AA0928">
        <w:t>5.</w:t>
      </w:r>
      <w:r w:rsidRPr="00AA0928">
        <w:tab/>
      </w:r>
      <w:r w:rsidR="009850D6" w:rsidRPr="009850D6">
        <w:t xml:space="preserve">Что касается наличия данных о ртути, то представленный в дополнении I обзор показывает, что, несмотря на то, что </w:t>
      </w:r>
      <w:r w:rsidR="009F7C34">
        <w:t>из</w:t>
      </w:r>
      <w:r w:rsidR="009F7C34" w:rsidRPr="009850D6">
        <w:t xml:space="preserve"> признанных загрязнителей окружающей среды</w:t>
      </w:r>
      <w:r w:rsidR="009F7C34">
        <w:t xml:space="preserve"> для </w:t>
      </w:r>
      <w:r w:rsidR="009850D6" w:rsidRPr="009850D6">
        <w:t xml:space="preserve">ртути </w:t>
      </w:r>
      <w:r w:rsidR="009F7C34">
        <w:t xml:space="preserve">совместными усилиями накоплен </w:t>
      </w:r>
      <w:r w:rsidR="009850D6" w:rsidRPr="009850D6">
        <w:t xml:space="preserve">один из самых </w:t>
      </w:r>
      <w:r w:rsidR="009F7C34">
        <w:t>обширных</w:t>
      </w:r>
      <w:r w:rsidR="009F7C34" w:rsidRPr="009850D6">
        <w:t xml:space="preserve"> </w:t>
      </w:r>
      <w:r w:rsidR="009850D6" w:rsidRPr="009850D6">
        <w:t>наборов данных, значительные пробелы в данных</w:t>
      </w:r>
      <w:r w:rsidR="009F7C34" w:rsidRPr="009F7C34">
        <w:t xml:space="preserve"> сохраняются</w:t>
      </w:r>
      <w:r w:rsidR="009850D6" w:rsidRPr="009850D6">
        <w:t>. Стороны могли бы легко восполнить эти пробелы путем оказания поддержки соответствующей научной деятельности и использования уже разработанных материалов.</w:t>
      </w:r>
    </w:p>
    <w:p w14:paraId="544943FD" w14:textId="14556956" w:rsidR="009850D6" w:rsidRPr="009850D6" w:rsidRDefault="00750157" w:rsidP="00750157">
      <w:pPr>
        <w:tabs>
          <w:tab w:val="clear" w:pos="1247"/>
          <w:tab w:val="clear" w:pos="1814"/>
          <w:tab w:val="clear" w:pos="2381"/>
          <w:tab w:val="clear" w:pos="2948"/>
          <w:tab w:val="clear" w:pos="3515"/>
        </w:tabs>
        <w:spacing w:after="240"/>
        <w:ind w:left="1247"/>
      </w:pPr>
      <w:r w:rsidRPr="00AA0928">
        <w:t>6.</w:t>
      </w:r>
      <w:r w:rsidRPr="00AA0928">
        <w:tab/>
      </w:r>
      <w:r w:rsidR="009850D6" w:rsidRPr="009850D6">
        <w:t xml:space="preserve">Если предположить, что </w:t>
      </w:r>
      <w:r w:rsidR="009F7C34">
        <w:t xml:space="preserve">уже осуществляемая </w:t>
      </w:r>
      <w:r w:rsidR="009850D6" w:rsidRPr="009850D6">
        <w:t>деятельность по мониторингу ртути будет и далее осуществляться согласованным образом и дополняться действиями по восполнению пробелов в географическом плане, то данные об уровнях содержания ртути и ртутных соединений в воздухе, биотических средах и</w:t>
      </w:r>
      <w:r w:rsidR="008368E4">
        <w:t xml:space="preserve"> </w:t>
      </w:r>
      <w:r w:rsidR="009F7C34">
        <w:t xml:space="preserve">организмах людей, относящихся к </w:t>
      </w:r>
      <w:r w:rsidR="009850D6" w:rsidRPr="009850D6">
        <w:t>уязвимы</w:t>
      </w:r>
      <w:r w:rsidR="009F7C34">
        <w:t>м</w:t>
      </w:r>
      <w:r w:rsidR="009850D6" w:rsidRPr="009850D6">
        <w:t xml:space="preserve"> группа</w:t>
      </w:r>
      <w:r w:rsidR="009F7C34">
        <w:t>м</w:t>
      </w:r>
      <w:r w:rsidR="009850D6" w:rsidRPr="009850D6">
        <w:t xml:space="preserve"> населения</w:t>
      </w:r>
      <w:r w:rsidR="009F7C34">
        <w:t>,</w:t>
      </w:r>
      <w:r w:rsidR="009850D6" w:rsidRPr="009850D6">
        <w:t xml:space="preserve"> должны иметься в наличии или быть доступными и сопоставимыми на глобальной основе.</w:t>
      </w:r>
    </w:p>
    <w:p w14:paraId="19C21A9A" w14:textId="03653C39" w:rsidR="009850D6" w:rsidRPr="009850D6" w:rsidRDefault="00750157" w:rsidP="00B509CF">
      <w:pPr>
        <w:tabs>
          <w:tab w:val="clear" w:pos="1247"/>
          <w:tab w:val="clear" w:pos="1814"/>
          <w:tab w:val="clear" w:pos="2381"/>
          <w:tab w:val="clear" w:pos="2948"/>
          <w:tab w:val="clear" w:pos="3515"/>
          <w:tab w:val="right" w:pos="851"/>
        </w:tabs>
        <w:spacing w:after="120"/>
        <w:ind w:left="1247" w:right="284" w:hanging="1247"/>
        <w:rPr>
          <w:b/>
          <w:bCs/>
          <w:sz w:val="28"/>
          <w:szCs w:val="28"/>
        </w:rPr>
      </w:pPr>
      <w:r w:rsidRPr="00750157">
        <w:rPr>
          <w:b/>
          <w:bCs/>
          <w:sz w:val="28"/>
          <w:szCs w:val="28"/>
        </w:rPr>
        <w:tab/>
      </w:r>
      <w:r w:rsidR="009850D6" w:rsidRPr="009850D6">
        <w:rPr>
          <w:b/>
          <w:bCs/>
          <w:sz w:val="28"/>
          <w:szCs w:val="28"/>
        </w:rPr>
        <w:t>II.</w:t>
      </w:r>
      <w:r w:rsidR="009850D6" w:rsidRPr="009850D6">
        <w:rPr>
          <w:b/>
          <w:bCs/>
          <w:sz w:val="28"/>
          <w:szCs w:val="28"/>
        </w:rPr>
        <w:tab/>
        <w:t>Инструменты, способствующие унификации данных</w:t>
      </w:r>
    </w:p>
    <w:p w14:paraId="468349AE" w14:textId="764AD9D6" w:rsidR="009850D6" w:rsidRPr="009850D6" w:rsidRDefault="00750157" w:rsidP="009850D6">
      <w:pPr>
        <w:tabs>
          <w:tab w:val="clear" w:pos="1247"/>
          <w:tab w:val="clear" w:pos="1814"/>
          <w:tab w:val="clear" w:pos="2381"/>
          <w:tab w:val="clear" w:pos="2948"/>
          <w:tab w:val="clear" w:pos="3515"/>
        </w:tabs>
        <w:spacing w:after="120"/>
        <w:ind w:left="1247"/>
      </w:pPr>
      <w:r w:rsidRPr="00AA0928">
        <w:t>7.</w:t>
      </w:r>
      <w:r w:rsidRPr="00AA0928">
        <w:tab/>
      </w:r>
      <w:r w:rsidR="009850D6" w:rsidRPr="009850D6">
        <w:t xml:space="preserve">В целях обеспечения сопоставимости целесообразно иметь инструменты, способствующие унификации данных. Такие инструменты включают </w:t>
      </w:r>
      <w:r w:rsidR="009F7C34" w:rsidRPr="009F7C34">
        <w:t>типовые регламенты</w:t>
      </w:r>
      <w:r w:rsidR="009F7C34">
        <w:t xml:space="preserve">, </w:t>
      </w:r>
      <w:r w:rsidR="009F7C34" w:rsidRPr="009F7C34">
        <w:t>руководств</w:t>
      </w:r>
      <w:r w:rsidR="009F7C34">
        <w:t xml:space="preserve">о </w:t>
      </w:r>
      <w:r w:rsidR="009F7C34" w:rsidRPr="009F7C34">
        <w:t xml:space="preserve">по проведению </w:t>
      </w:r>
      <w:r w:rsidR="009F7C34">
        <w:t xml:space="preserve">глобального </w:t>
      </w:r>
      <w:r w:rsidR="009F7C34" w:rsidRPr="009F7C34">
        <w:t>мониторинга</w:t>
      </w:r>
      <w:r w:rsidR="00D0042C">
        <w:t xml:space="preserve"> </w:t>
      </w:r>
      <w:r w:rsidR="009850D6" w:rsidRPr="009850D6">
        <w:t>ртути, периодически обновляе</w:t>
      </w:r>
      <w:r w:rsidR="009F7C34">
        <w:t>мое</w:t>
      </w:r>
      <w:r w:rsidR="009850D6" w:rsidRPr="009850D6">
        <w:t xml:space="preserve"> по мере появления новой информации и технологий, и исследования в области </w:t>
      </w:r>
      <w:proofErr w:type="spellStart"/>
      <w:r w:rsidR="009850D6" w:rsidRPr="009850D6">
        <w:t>интеркалибрации</w:t>
      </w:r>
      <w:proofErr w:type="spellEnd"/>
      <w:r w:rsidR="009850D6" w:rsidRPr="009850D6">
        <w:t>.</w:t>
      </w:r>
    </w:p>
    <w:p w14:paraId="35AE79D8" w14:textId="3093E11A" w:rsidR="009850D6" w:rsidRPr="009850D6" w:rsidRDefault="003109BE" w:rsidP="003109BE">
      <w:pPr>
        <w:tabs>
          <w:tab w:val="clear" w:pos="1247"/>
          <w:tab w:val="clear" w:pos="1814"/>
          <w:tab w:val="clear" w:pos="2381"/>
          <w:tab w:val="clear" w:pos="2948"/>
          <w:tab w:val="clear" w:pos="3515"/>
        </w:tabs>
        <w:spacing w:after="240"/>
        <w:ind w:left="1247"/>
      </w:pPr>
      <w:r w:rsidRPr="00AA0928">
        <w:t>8.</w:t>
      </w:r>
      <w:r w:rsidRPr="00AA0928">
        <w:tab/>
      </w:r>
      <w:r w:rsidR="009850D6" w:rsidRPr="009850D6">
        <w:t xml:space="preserve">Разработка руководства по проведению глобального мониторинга ртути будет иметь важнейшее значение для обеспечения и поддержания наличия унифицированной и сопоставимой информации об уровнях содержания ртути в окружающей среде. Хотя </w:t>
      </w:r>
      <w:r w:rsidR="009850D6" w:rsidRPr="009850D6">
        <w:lastRenderedPageBreak/>
        <w:t>разработка такого руководства была включена в мандат специальной технической группы экспертов, она откладывается до принятия Конференцией Сторон решения о механизмах мониторинга, после чего это руководство может быть оперативно подготовлено на базе основных матриц и имеющихся знаний. Был разработан проект структуры руководства, который содержится в документе UNEP/MC/COP.3/INF/15.</w:t>
      </w:r>
    </w:p>
    <w:p w14:paraId="018520F3" w14:textId="4A9C2BB8" w:rsidR="009850D6" w:rsidRPr="009850D6" w:rsidRDefault="003109BE" w:rsidP="00B509CF">
      <w:pPr>
        <w:tabs>
          <w:tab w:val="clear" w:pos="1247"/>
          <w:tab w:val="clear" w:pos="1814"/>
          <w:tab w:val="clear" w:pos="2381"/>
          <w:tab w:val="clear" w:pos="2948"/>
          <w:tab w:val="clear" w:pos="3515"/>
          <w:tab w:val="right" w:pos="851"/>
        </w:tabs>
        <w:spacing w:after="120"/>
        <w:ind w:left="1247" w:right="284" w:hanging="1247"/>
        <w:rPr>
          <w:b/>
          <w:bCs/>
          <w:sz w:val="28"/>
          <w:szCs w:val="28"/>
        </w:rPr>
      </w:pPr>
      <w:r>
        <w:rPr>
          <w:b/>
          <w:bCs/>
          <w:sz w:val="28"/>
          <w:szCs w:val="28"/>
        </w:rPr>
        <w:tab/>
      </w:r>
      <w:r w:rsidR="009850D6" w:rsidRPr="009850D6">
        <w:rPr>
          <w:b/>
          <w:bCs/>
          <w:sz w:val="28"/>
          <w:szCs w:val="28"/>
        </w:rPr>
        <w:t>III.</w:t>
      </w:r>
      <w:r w:rsidR="009850D6" w:rsidRPr="009850D6">
        <w:rPr>
          <w:b/>
          <w:bCs/>
          <w:sz w:val="28"/>
          <w:szCs w:val="28"/>
        </w:rPr>
        <w:tab/>
        <w:t>Подготовка периодического доклада о глобальном мониторинге ртути</w:t>
      </w:r>
    </w:p>
    <w:p w14:paraId="6B4DB6B5" w14:textId="2BB6D4BF" w:rsidR="009850D6" w:rsidRPr="009850D6" w:rsidRDefault="003109BE" w:rsidP="009850D6">
      <w:pPr>
        <w:tabs>
          <w:tab w:val="clear" w:pos="1247"/>
          <w:tab w:val="clear" w:pos="1814"/>
          <w:tab w:val="clear" w:pos="2381"/>
          <w:tab w:val="clear" w:pos="2948"/>
          <w:tab w:val="clear" w:pos="3515"/>
        </w:tabs>
        <w:spacing w:after="120"/>
        <w:ind w:left="1247"/>
      </w:pPr>
      <w:r w:rsidRPr="00AA0928">
        <w:t>9.</w:t>
      </w:r>
      <w:r w:rsidRPr="00AA0928">
        <w:tab/>
      </w:r>
      <w:r w:rsidR="009850D6" w:rsidRPr="009850D6">
        <w:t>Группа по мониторингу будет готовить доклад о глобальном мониторинге ртути для каждого цикла оценки эффективности.</w:t>
      </w:r>
    </w:p>
    <w:p w14:paraId="1F6732F2" w14:textId="200C6853" w:rsidR="009850D6" w:rsidRPr="009850D6" w:rsidRDefault="003109BE" w:rsidP="009850D6">
      <w:pPr>
        <w:tabs>
          <w:tab w:val="clear" w:pos="1247"/>
          <w:tab w:val="clear" w:pos="1814"/>
          <w:tab w:val="clear" w:pos="2381"/>
          <w:tab w:val="clear" w:pos="2948"/>
          <w:tab w:val="clear" w:pos="3515"/>
        </w:tabs>
        <w:spacing w:after="120"/>
        <w:ind w:left="1247"/>
      </w:pPr>
      <w:r w:rsidRPr="00AA0928">
        <w:t>10.</w:t>
      </w:r>
      <w:r w:rsidRPr="00AA0928">
        <w:tab/>
      </w:r>
      <w:r w:rsidR="009850D6" w:rsidRPr="009850D6">
        <w:t>Подготовка доклада о мониторинге потребует обширных экспертных знаний для компиляции, оценки и обобщения данных мониторинга.</w:t>
      </w:r>
    </w:p>
    <w:p w14:paraId="551A303A" w14:textId="1A922748" w:rsidR="009850D6" w:rsidRPr="009850D6" w:rsidRDefault="003109BE" w:rsidP="009850D6">
      <w:pPr>
        <w:tabs>
          <w:tab w:val="clear" w:pos="1247"/>
          <w:tab w:val="clear" w:pos="1814"/>
          <w:tab w:val="clear" w:pos="2381"/>
          <w:tab w:val="clear" w:pos="2948"/>
          <w:tab w:val="clear" w:pos="3515"/>
        </w:tabs>
        <w:spacing w:after="120"/>
        <w:ind w:left="1247"/>
      </w:pPr>
      <w:r w:rsidRPr="00AA0928">
        <w:t>11.</w:t>
      </w:r>
      <w:r w:rsidRPr="00AA0928">
        <w:tab/>
      </w:r>
      <w:r w:rsidR="009850D6" w:rsidRPr="009850D6">
        <w:t xml:space="preserve">Доклад о мониторинге будет организован по типу среды и отражать имеющиеся данные мониторинга и тенденции изменения уровней содержания ртути в окружающей среде, биотических средах и </w:t>
      </w:r>
      <w:r w:rsidR="009F7C34">
        <w:t xml:space="preserve">организмах людей, относящихся к </w:t>
      </w:r>
      <w:r w:rsidR="009850D6" w:rsidRPr="009850D6">
        <w:t>уязвимы</w:t>
      </w:r>
      <w:r w:rsidR="009F7C34">
        <w:t>м</w:t>
      </w:r>
      <w:r w:rsidR="009850D6" w:rsidRPr="009850D6">
        <w:t xml:space="preserve"> группа</w:t>
      </w:r>
      <w:r w:rsidR="009F7C34">
        <w:t>м</w:t>
      </w:r>
      <w:r w:rsidR="009850D6" w:rsidRPr="009850D6">
        <w:t xml:space="preserve"> населения. Там, где это возможно, для прогнозирования будущих тенденций будут использоваться модели.</w:t>
      </w:r>
    </w:p>
    <w:p w14:paraId="68B8F164" w14:textId="73F9C866" w:rsidR="009850D6" w:rsidRPr="009850D6" w:rsidRDefault="003109BE" w:rsidP="009850D6">
      <w:pPr>
        <w:tabs>
          <w:tab w:val="clear" w:pos="1247"/>
          <w:tab w:val="clear" w:pos="1814"/>
          <w:tab w:val="clear" w:pos="2381"/>
          <w:tab w:val="clear" w:pos="2948"/>
          <w:tab w:val="clear" w:pos="3515"/>
        </w:tabs>
        <w:spacing w:after="120"/>
        <w:ind w:left="1247"/>
      </w:pPr>
      <w:r w:rsidRPr="00AA0928">
        <w:t>12.</w:t>
      </w:r>
      <w:r w:rsidRPr="00AA0928">
        <w:tab/>
      </w:r>
      <w:r w:rsidR="009850D6" w:rsidRPr="009850D6">
        <w:t xml:space="preserve">Первый доклад о мониторинге состояния ртути в окружающей среде будет представлен первому совещанию </w:t>
      </w:r>
      <w:r w:rsidR="009F7C34">
        <w:t>к</w:t>
      </w:r>
      <w:r w:rsidR="009850D6" w:rsidRPr="009850D6">
        <w:t>омитета по оценке эффективности.</w:t>
      </w:r>
    </w:p>
    <w:p w14:paraId="1A117EBE" w14:textId="31BCAC7B" w:rsidR="009850D6" w:rsidRPr="009850D6" w:rsidRDefault="003109BE" w:rsidP="003109BE">
      <w:pPr>
        <w:tabs>
          <w:tab w:val="clear" w:pos="1247"/>
          <w:tab w:val="clear" w:pos="1814"/>
          <w:tab w:val="clear" w:pos="2381"/>
          <w:tab w:val="clear" w:pos="2948"/>
          <w:tab w:val="clear" w:pos="3515"/>
        </w:tabs>
        <w:spacing w:after="240"/>
        <w:ind w:left="1247"/>
      </w:pPr>
      <w:r w:rsidRPr="00AA0928">
        <w:t>13.</w:t>
      </w:r>
      <w:r w:rsidRPr="00AA0928">
        <w:tab/>
      </w:r>
      <w:r w:rsidR="009850D6" w:rsidRPr="009850D6">
        <w:t xml:space="preserve">Специальная группа экспертов также ожидает, что информация, содержащаяся в докладах о мониторинге, будет использоваться для </w:t>
      </w:r>
      <w:proofErr w:type="spellStart"/>
      <w:r w:rsidR="009850D6" w:rsidRPr="009850D6">
        <w:t>контекстуализации</w:t>
      </w:r>
      <w:proofErr w:type="spellEnd"/>
      <w:r w:rsidR="009850D6" w:rsidRPr="009850D6">
        <w:t xml:space="preserve"> информации в многокомпонентной модели для отражения социально-экономического сценария, исходных </w:t>
      </w:r>
      <w:r w:rsidR="009F7C34">
        <w:t>показателей</w:t>
      </w:r>
      <w:r w:rsidR="009850D6" w:rsidRPr="009850D6">
        <w:t xml:space="preserve"> и альтернативных </w:t>
      </w:r>
      <w:r w:rsidR="009F7C34">
        <w:t>мер</w:t>
      </w:r>
      <w:r w:rsidR="009850D6" w:rsidRPr="009850D6">
        <w:t xml:space="preserve"> полити</w:t>
      </w:r>
      <w:r w:rsidR="009F7C34">
        <w:t>ческого характера</w:t>
      </w:r>
      <w:r w:rsidR="009850D6" w:rsidRPr="009850D6">
        <w:t>. Эту задачу может выполнять подгруппа по моделированию.</w:t>
      </w:r>
    </w:p>
    <w:p w14:paraId="2C380AB4" w14:textId="7CB20206" w:rsidR="009850D6" w:rsidRPr="009850D6" w:rsidRDefault="003109BE" w:rsidP="00B509CF">
      <w:pPr>
        <w:tabs>
          <w:tab w:val="clear" w:pos="1247"/>
          <w:tab w:val="clear" w:pos="1814"/>
          <w:tab w:val="clear" w:pos="2381"/>
          <w:tab w:val="clear" w:pos="2948"/>
          <w:tab w:val="clear" w:pos="3515"/>
          <w:tab w:val="right" w:pos="851"/>
        </w:tabs>
        <w:spacing w:after="120"/>
        <w:ind w:left="1247" w:right="284" w:hanging="1247"/>
        <w:rPr>
          <w:b/>
          <w:bCs/>
          <w:sz w:val="28"/>
          <w:szCs w:val="28"/>
        </w:rPr>
      </w:pPr>
      <w:r w:rsidRPr="003109BE">
        <w:rPr>
          <w:b/>
          <w:bCs/>
          <w:sz w:val="28"/>
          <w:szCs w:val="28"/>
        </w:rPr>
        <w:tab/>
      </w:r>
      <w:r w:rsidR="009850D6" w:rsidRPr="009850D6">
        <w:rPr>
          <w:b/>
          <w:bCs/>
          <w:sz w:val="28"/>
          <w:szCs w:val="28"/>
        </w:rPr>
        <w:t>IV.</w:t>
      </w:r>
      <w:r w:rsidR="009850D6" w:rsidRPr="009850D6">
        <w:rPr>
          <w:b/>
          <w:bCs/>
          <w:sz w:val="28"/>
          <w:szCs w:val="28"/>
        </w:rPr>
        <w:tab/>
        <w:t>Проект положения о группе по мониторингу</w:t>
      </w:r>
    </w:p>
    <w:p w14:paraId="7CFF6065" w14:textId="77777777" w:rsidR="009850D6" w:rsidRPr="009850D6" w:rsidRDefault="009850D6" w:rsidP="00B509CF">
      <w:pPr>
        <w:tabs>
          <w:tab w:val="clear" w:pos="1247"/>
          <w:tab w:val="clear" w:pos="1814"/>
          <w:tab w:val="clear" w:pos="2381"/>
          <w:tab w:val="clear" w:pos="2948"/>
          <w:tab w:val="clear" w:pos="3515"/>
          <w:tab w:val="right" w:pos="851"/>
        </w:tabs>
        <w:spacing w:after="120"/>
        <w:ind w:left="1247" w:right="284" w:hanging="1247"/>
        <w:rPr>
          <w:b/>
          <w:bCs/>
          <w:sz w:val="24"/>
          <w:szCs w:val="24"/>
        </w:rPr>
      </w:pPr>
      <w:r w:rsidRPr="009850D6">
        <w:rPr>
          <w:b/>
          <w:bCs/>
          <w:sz w:val="24"/>
          <w:szCs w:val="24"/>
        </w:rPr>
        <w:tab/>
        <w:t>A.</w:t>
      </w:r>
      <w:r w:rsidRPr="009850D6">
        <w:rPr>
          <w:b/>
          <w:bCs/>
          <w:sz w:val="24"/>
          <w:szCs w:val="24"/>
        </w:rPr>
        <w:tab/>
        <w:t>Мандат</w:t>
      </w:r>
    </w:p>
    <w:p w14:paraId="6C220E0E" w14:textId="170AEFD4" w:rsidR="009850D6" w:rsidRPr="009850D6" w:rsidRDefault="003109BE" w:rsidP="009850D6">
      <w:pPr>
        <w:tabs>
          <w:tab w:val="clear" w:pos="1247"/>
          <w:tab w:val="clear" w:pos="1814"/>
          <w:tab w:val="clear" w:pos="2381"/>
          <w:tab w:val="clear" w:pos="2948"/>
          <w:tab w:val="clear" w:pos="3515"/>
        </w:tabs>
        <w:spacing w:after="120"/>
        <w:ind w:left="1247"/>
      </w:pPr>
      <w:r w:rsidRPr="00AA0928">
        <w:t>14.</w:t>
      </w:r>
      <w:r w:rsidRPr="00AA0928">
        <w:tab/>
      </w:r>
      <w:r w:rsidR="009850D6" w:rsidRPr="009850D6">
        <w:t xml:space="preserve">Группа по мониторингу (далее </w:t>
      </w:r>
      <w:r w:rsidR="009F7C34" w:rsidRPr="009F7C34">
        <w:t>именуемая</w:t>
      </w:r>
      <w:r w:rsidR="009F7C34">
        <w:t xml:space="preserve"> </w:t>
      </w:r>
      <w:r w:rsidR="009850D6" w:rsidRPr="009850D6">
        <w:t xml:space="preserve">«группа») будет выполнять задачи, связанные с мониторингом и определенные </w:t>
      </w:r>
      <w:r w:rsidR="009F7C34">
        <w:t>для</w:t>
      </w:r>
      <w:r w:rsidR="009F7C34" w:rsidRPr="009850D6">
        <w:t xml:space="preserve"> </w:t>
      </w:r>
      <w:r w:rsidR="009850D6" w:rsidRPr="009850D6">
        <w:t>уровн</w:t>
      </w:r>
      <w:r w:rsidR="009F7C34">
        <w:t>ей</w:t>
      </w:r>
      <w:r w:rsidR="009850D6" w:rsidRPr="009850D6">
        <w:t xml:space="preserve"> 1, 2 и 3 предлагаемой методологии оценки эффективности.</w:t>
      </w:r>
    </w:p>
    <w:p w14:paraId="71822997" w14:textId="199F49EC" w:rsidR="009850D6" w:rsidRPr="009850D6" w:rsidRDefault="003109BE" w:rsidP="009850D6">
      <w:pPr>
        <w:tabs>
          <w:tab w:val="clear" w:pos="1247"/>
          <w:tab w:val="clear" w:pos="1814"/>
          <w:tab w:val="clear" w:pos="2381"/>
          <w:tab w:val="clear" w:pos="2948"/>
          <w:tab w:val="clear" w:pos="3515"/>
        </w:tabs>
        <w:spacing w:after="120"/>
        <w:ind w:left="1247"/>
      </w:pPr>
      <w:r w:rsidRPr="00AA0928">
        <w:t>15.</w:t>
      </w:r>
      <w:r w:rsidRPr="00AA0928">
        <w:tab/>
      </w:r>
      <w:r w:rsidR="009850D6" w:rsidRPr="009850D6">
        <w:t xml:space="preserve">Группе поручается подготовка доклада о мониторинге, в котором будут собираться, анализироваться и обобщаться данные мониторинга ртути об изменениях концентраций ртути с течением времени и </w:t>
      </w:r>
      <w:r w:rsidR="00240BD3">
        <w:t xml:space="preserve">выноситься </w:t>
      </w:r>
      <w:r w:rsidR="009850D6" w:rsidRPr="009850D6">
        <w:t xml:space="preserve">заключения по этому вопросу для рассмотрения </w:t>
      </w:r>
      <w:r w:rsidR="00240BD3">
        <w:t>к</w:t>
      </w:r>
      <w:r w:rsidR="009850D6" w:rsidRPr="009850D6">
        <w:t>омитетом по оценке эффективности, который, в свою очередь, подготовит выводы для рассмотрения Конференцией Сторон.</w:t>
      </w:r>
    </w:p>
    <w:p w14:paraId="29828576" w14:textId="0EE3952A" w:rsidR="009850D6" w:rsidRPr="009850D6" w:rsidRDefault="002F6BC7" w:rsidP="009850D6">
      <w:pPr>
        <w:tabs>
          <w:tab w:val="clear" w:pos="1247"/>
          <w:tab w:val="clear" w:pos="1814"/>
          <w:tab w:val="clear" w:pos="2381"/>
          <w:tab w:val="clear" w:pos="2948"/>
          <w:tab w:val="clear" w:pos="3515"/>
        </w:tabs>
        <w:spacing w:after="120"/>
        <w:ind w:left="1247"/>
      </w:pPr>
      <w:r w:rsidRPr="00AA0928">
        <w:t>16.</w:t>
      </w:r>
      <w:r w:rsidRPr="00AA0928">
        <w:tab/>
      </w:r>
      <w:r w:rsidR="009850D6" w:rsidRPr="009850D6">
        <w:t xml:space="preserve">Доклад о мониторинге будет включать раздел, посвященный выявлению пробелов в информации и знаниях, если это </w:t>
      </w:r>
      <w:r w:rsidR="00240BD3">
        <w:t>релевантно</w:t>
      </w:r>
      <w:r w:rsidR="009850D6" w:rsidRPr="009850D6">
        <w:t>, а также предложения по устранению таких пробелов в будущих циклах.</w:t>
      </w:r>
    </w:p>
    <w:p w14:paraId="0F46C03C" w14:textId="4BDE2919" w:rsidR="009850D6" w:rsidRPr="009850D6" w:rsidRDefault="002F6BC7" w:rsidP="009850D6">
      <w:pPr>
        <w:tabs>
          <w:tab w:val="clear" w:pos="1247"/>
          <w:tab w:val="clear" w:pos="1814"/>
          <w:tab w:val="clear" w:pos="2381"/>
          <w:tab w:val="clear" w:pos="2948"/>
          <w:tab w:val="clear" w:pos="3515"/>
        </w:tabs>
        <w:spacing w:after="120"/>
        <w:ind w:left="1247"/>
      </w:pPr>
      <w:r w:rsidRPr="00AA0928">
        <w:t>17.</w:t>
      </w:r>
      <w:r w:rsidRPr="00AA0928">
        <w:tab/>
      </w:r>
      <w:r w:rsidR="009850D6" w:rsidRPr="009850D6">
        <w:t>Группа также разработает руководящий документ по проведению мониторинга в целях обеспечения и поддержания наличия унифицированной и сопоставимой информации об уровнях содержания ртути в окружающей среде. Был разработан проект структуры руководства, который содержится в документе UNEP/MC/COP.3/INF/15.</w:t>
      </w:r>
    </w:p>
    <w:p w14:paraId="28497266" w14:textId="24DB90CE" w:rsidR="009850D6" w:rsidRPr="009850D6" w:rsidRDefault="002F6BC7" w:rsidP="009850D6">
      <w:pPr>
        <w:tabs>
          <w:tab w:val="clear" w:pos="1247"/>
          <w:tab w:val="clear" w:pos="1814"/>
          <w:tab w:val="clear" w:pos="2381"/>
          <w:tab w:val="clear" w:pos="2948"/>
          <w:tab w:val="clear" w:pos="3515"/>
        </w:tabs>
        <w:spacing w:after="120"/>
        <w:ind w:left="1247"/>
      </w:pPr>
      <w:r w:rsidRPr="00AA0928">
        <w:t>18.</w:t>
      </w:r>
      <w:r w:rsidRPr="00AA0928">
        <w:tab/>
      </w:r>
      <w:r w:rsidR="009850D6" w:rsidRPr="009850D6">
        <w:t xml:space="preserve">Группа начнет свою работу непосредственно после проведения третьего совещания Конференции Сторон и подготовит доклад о мониторинге для рассмотрения </w:t>
      </w:r>
      <w:r w:rsidR="0074354A">
        <w:t>к</w:t>
      </w:r>
      <w:r w:rsidR="009850D6" w:rsidRPr="009850D6">
        <w:t>омитетом по оценке эффективности на его первом совещании в 2022 году.</w:t>
      </w:r>
    </w:p>
    <w:p w14:paraId="24B67A2A" w14:textId="164EF7D2" w:rsidR="009850D6" w:rsidRPr="009850D6" w:rsidRDefault="009850D6" w:rsidP="00B509CF">
      <w:pPr>
        <w:tabs>
          <w:tab w:val="clear" w:pos="1247"/>
          <w:tab w:val="clear" w:pos="1814"/>
          <w:tab w:val="clear" w:pos="2381"/>
          <w:tab w:val="clear" w:pos="2948"/>
          <w:tab w:val="clear" w:pos="3515"/>
          <w:tab w:val="right" w:pos="851"/>
        </w:tabs>
        <w:spacing w:after="120"/>
        <w:ind w:left="1247" w:right="284" w:hanging="1247"/>
        <w:rPr>
          <w:b/>
          <w:bCs/>
          <w:sz w:val="24"/>
          <w:szCs w:val="24"/>
        </w:rPr>
      </w:pPr>
      <w:r w:rsidRPr="009850D6">
        <w:rPr>
          <w:b/>
          <w:bCs/>
          <w:sz w:val="24"/>
          <w:szCs w:val="24"/>
        </w:rPr>
        <w:tab/>
        <w:t>B.</w:t>
      </w:r>
      <w:r w:rsidRPr="009850D6">
        <w:rPr>
          <w:b/>
          <w:bCs/>
          <w:sz w:val="24"/>
          <w:szCs w:val="24"/>
        </w:rPr>
        <w:tab/>
        <w:t>Членский состав</w:t>
      </w:r>
    </w:p>
    <w:p w14:paraId="07795F33" w14:textId="6E85E39E" w:rsidR="009850D6" w:rsidRPr="009850D6" w:rsidRDefault="002F6BC7" w:rsidP="009850D6">
      <w:pPr>
        <w:tabs>
          <w:tab w:val="clear" w:pos="1247"/>
          <w:tab w:val="clear" w:pos="1814"/>
          <w:tab w:val="clear" w:pos="2381"/>
          <w:tab w:val="clear" w:pos="2948"/>
          <w:tab w:val="clear" w:pos="3515"/>
        </w:tabs>
        <w:spacing w:after="120"/>
        <w:ind w:left="1247"/>
      </w:pPr>
      <w:r w:rsidRPr="00AA0928">
        <w:t>19.</w:t>
      </w:r>
      <w:r w:rsidRPr="00AA0928">
        <w:tab/>
      </w:r>
      <w:r w:rsidR="009850D6" w:rsidRPr="009850D6">
        <w:t>Члены группы назначаются на основе справедливого географического распределения с учетом необходимости обеспечения гендерной сбалансированности и различных областей экспертных знаний.</w:t>
      </w:r>
    </w:p>
    <w:p w14:paraId="5645D502" w14:textId="5BAFA807" w:rsidR="009850D6" w:rsidRPr="009850D6" w:rsidRDefault="002F6BC7" w:rsidP="009850D6">
      <w:pPr>
        <w:tabs>
          <w:tab w:val="clear" w:pos="1247"/>
          <w:tab w:val="clear" w:pos="1814"/>
          <w:tab w:val="clear" w:pos="2381"/>
          <w:tab w:val="clear" w:pos="2948"/>
          <w:tab w:val="clear" w:pos="3515"/>
        </w:tabs>
        <w:spacing w:after="120"/>
        <w:ind w:left="1247"/>
      </w:pPr>
      <w:r w:rsidRPr="00AA0928">
        <w:t>20.</w:t>
      </w:r>
      <w:r w:rsidRPr="00AA0928">
        <w:tab/>
      </w:r>
      <w:r w:rsidR="009850D6" w:rsidRPr="009850D6">
        <w:t>Каждый из пяти регионов Организации Объединенных Наций назначает в качестве членов двух экспертов по мониторингу/моделированию (экспертов по мониторингу ртути в основных средах, экспертов, участвующих в работе существующих сетей мониторинга ртути, экспертов по моделированию экологических тенденций).</w:t>
      </w:r>
    </w:p>
    <w:p w14:paraId="50099161" w14:textId="49F8B2B5" w:rsidR="009850D6" w:rsidRPr="009850D6" w:rsidRDefault="002F6BC7" w:rsidP="009850D6">
      <w:pPr>
        <w:tabs>
          <w:tab w:val="clear" w:pos="1247"/>
          <w:tab w:val="clear" w:pos="1814"/>
          <w:tab w:val="clear" w:pos="2381"/>
          <w:tab w:val="clear" w:pos="2948"/>
          <w:tab w:val="clear" w:pos="3515"/>
        </w:tabs>
        <w:spacing w:after="120"/>
        <w:ind w:left="1247"/>
      </w:pPr>
      <w:r w:rsidRPr="00AA0928">
        <w:lastRenderedPageBreak/>
        <w:t>21.</w:t>
      </w:r>
      <w:r w:rsidRPr="00AA0928">
        <w:tab/>
      </w:r>
      <w:r w:rsidR="009850D6" w:rsidRPr="009850D6">
        <w:t xml:space="preserve">Секретариат </w:t>
      </w:r>
      <w:r w:rsidR="00240BD3">
        <w:t xml:space="preserve">пригласит </w:t>
      </w:r>
      <w:r w:rsidR="009850D6" w:rsidRPr="009850D6">
        <w:t>дву</w:t>
      </w:r>
      <w:r w:rsidR="00240BD3">
        <w:t>х</w:t>
      </w:r>
      <w:r w:rsidR="009850D6" w:rsidRPr="009850D6">
        <w:t xml:space="preserve"> </w:t>
      </w:r>
      <w:proofErr w:type="spellStart"/>
      <w:r w:rsidR="009850D6" w:rsidRPr="009850D6">
        <w:t>международно</w:t>
      </w:r>
      <w:proofErr w:type="spellEnd"/>
      <w:r w:rsidR="009850D6" w:rsidRPr="009850D6">
        <w:t xml:space="preserve"> признанны</w:t>
      </w:r>
      <w:r w:rsidR="00240BD3">
        <w:t>х</w:t>
      </w:r>
      <w:r w:rsidR="009850D6" w:rsidRPr="009850D6">
        <w:t xml:space="preserve"> эксперт</w:t>
      </w:r>
      <w:r w:rsidR="00240BD3">
        <w:t>ов</w:t>
      </w:r>
      <w:r w:rsidR="009850D6" w:rsidRPr="009850D6">
        <w:t>, обладающи</w:t>
      </w:r>
      <w:r w:rsidR="00240BD3">
        <w:t>х</w:t>
      </w:r>
      <w:r w:rsidR="009850D6" w:rsidRPr="009850D6">
        <w:t xml:space="preserve"> опытом моделирования экологических тенденций/в области многокомпонентных моделей, принять участие в работе группы в качестве </w:t>
      </w:r>
      <w:r w:rsidR="00240BD3">
        <w:t xml:space="preserve">ее </w:t>
      </w:r>
      <w:r w:rsidR="009850D6" w:rsidRPr="009850D6">
        <w:t>членов.</w:t>
      </w:r>
    </w:p>
    <w:p w14:paraId="1A1B2669" w14:textId="217A044F" w:rsidR="009850D6" w:rsidRPr="009850D6" w:rsidRDefault="002F6BC7" w:rsidP="009850D6">
      <w:pPr>
        <w:tabs>
          <w:tab w:val="clear" w:pos="1247"/>
          <w:tab w:val="clear" w:pos="1814"/>
          <w:tab w:val="clear" w:pos="2381"/>
          <w:tab w:val="clear" w:pos="2948"/>
          <w:tab w:val="clear" w:pos="3515"/>
        </w:tabs>
        <w:spacing w:after="120"/>
        <w:ind w:left="1247"/>
      </w:pPr>
      <w:r w:rsidRPr="00AA0928">
        <w:t>22.</w:t>
      </w:r>
      <w:r w:rsidRPr="00AA0928">
        <w:tab/>
      </w:r>
      <w:r w:rsidR="009850D6" w:rsidRPr="009850D6">
        <w:t>Группа может предложить принять участие в ее работе в качестве наблюдателей экспертам в числе до пяти человек, представляющим гражданское общество, общины коренных народов, межправительственные организации, научно-исследовательские и академические круги, Глобальное партнерство по ртути и существующие сети мониторинга, в целях предоставления актуальной информации, научных знаний и другого соответствующего экспертного опыта, который поможет группе в подготовке доклада по мониторингу. Кроме того, при необходимости группа может прибегнуть к услугам дополнительных экспертов.</w:t>
      </w:r>
    </w:p>
    <w:p w14:paraId="1E9D3A67" w14:textId="6104115B" w:rsidR="009850D6" w:rsidRPr="009850D6" w:rsidRDefault="002F6BC7" w:rsidP="009850D6">
      <w:pPr>
        <w:tabs>
          <w:tab w:val="clear" w:pos="1247"/>
          <w:tab w:val="clear" w:pos="1814"/>
          <w:tab w:val="clear" w:pos="2381"/>
          <w:tab w:val="clear" w:pos="2948"/>
          <w:tab w:val="clear" w:pos="3515"/>
        </w:tabs>
        <w:spacing w:after="120"/>
        <w:ind w:left="1247"/>
      </w:pPr>
      <w:r w:rsidRPr="00AA0928">
        <w:t>23.</w:t>
      </w:r>
      <w:r w:rsidRPr="00AA0928">
        <w:tab/>
      </w:r>
      <w:r w:rsidR="009850D6" w:rsidRPr="009850D6">
        <w:t xml:space="preserve">Общий экспертный потенциал группы будет включать по </w:t>
      </w:r>
      <w:r w:rsidR="00240BD3">
        <w:t xml:space="preserve">меньшей </w:t>
      </w:r>
      <w:r w:rsidR="009850D6" w:rsidRPr="009850D6">
        <w:t>мере по одному эксперту по каждому виду экспертных знаний/от каждой группы заинтересованных сторон.</w:t>
      </w:r>
    </w:p>
    <w:p w14:paraId="10D633FF" w14:textId="741AB4E9" w:rsidR="009850D6" w:rsidRPr="009850D6" w:rsidRDefault="002F6BC7" w:rsidP="009850D6">
      <w:pPr>
        <w:tabs>
          <w:tab w:val="clear" w:pos="1247"/>
          <w:tab w:val="clear" w:pos="1814"/>
          <w:tab w:val="clear" w:pos="2381"/>
          <w:tab w:val="clear" w:pos="2948"/>
          <w:tab w:val="clear" w:pos="3515"/>
        </w:tabs>
        <w:spacing w:after="120"/>
        <w:ind w:left="1247"/>
      </w:pPr>
      <w:r w:rsidRPr="00AA0928">
        <w:t>24.</w:t>
      </w:r>
      <w:r w:rsidRPr="00AA0928">
        <w:tab/>
      </w:r>
      <w:r w:rsidR="009850D6" w:rsidRPr="009850D6">
        <w:t>Срок полномочий членов совпадает с циклом оценки эффективности, определяемым Конференцией Сторон. В целях обеспечения преемственности Конференция Сторон может продлить срок полномочий членов для проведения последующих оценок. Если один из членов не может завершить срок своих полномочий, регион или группа заинтересованных сторон, назначившие этого члена, назначают другое лицо для завершения этого срока полномочий.</w:t>
      </w:r>
    </w:p>
    <w:p w14:paraId="0495886B" w14:textId="77777777" w:rsidR="009850D6" w:rsidRPr="009850D6" w:rsidRDefault="009850D6" w:rsidP="00B509CF">
      <w:pPr>
        <w:tabs>
          <w:tab w:val="clear" w:pos="1247"/>
          <w:tab w:val="clear" w:pos="1814"/>
          <w:tab w:val="clear" w:pos="2381"/>
          <w:tab w:val="clear" w:pos="2948"/>
          <w:tab w:val="clear" w:pos="3515"/>
          <w:tab w:val="right" w:pos="851"/>
        </w:tabs>
        <w:spacing w:after="120"/>
        <w:ind w:left="1247" w:right="284" w:hanging="1247"/>
        <w:rPr>
          <w:b/>
          <w:bCs/>
          <w:sz w:val="24"/>
          <w:szCs w:val="24"/>
        </w:rPr>
      </w:pPr>
      <w:r w:rsidRPr="009850D6">
        <w:rPr>
          <w:b/>
          <w:bCs/>
          <w:sz w:val="24"/>
          <w:szCs w:val="24"/>
        </w:rPr>
        <w:tab/>
        <w:t>C.</w:t>
      </w:r>
      <w:r w:rsidRPr="009850D6">
        <w:rPr>
          <w:b/>
          <w:bCs/>
          <w:sz w:val="24"/>
          <w:szCs w:val="24"/>
        </w:rPr>
        <w:tab/>
        <w:t>Должностные лица</w:t>
      </w:r>
    </w:p>
    <w:p w14:paraId="779F2EFC" w14:textId="3F9B3B37" w:rsidR="009850D6" w:rsidRPr="009850D6" w:rsidRDefault="002F6BC7" w:rsidP="009850D6">
      <w:pPr>
        <w:tabs>
          <w:tab w:val="clear" w:pos="1247"/>
          <w:tab w:val="clear" w:pos="1814"/>
          <w:tab w:val="clear" w:pos="2381"/>
          <w:tab w:val="clear" w:pos="2948"/>
          <w:tab w:val="clear" w:pos="3515"/>
        </w:tabs>
        <w:spacing w:after="120"/>
        <w:ind w:left="1247"/>
      </w:pPr>
      <w:r w:rsidRPr="00AA0928">
        <w:t>25.</w:t>
      </w:r>
      <w:r w:rsidRPr="00AA0928">
        <w:tab/>
      </w:r>
      <w:r w:rsidR="009850D6" w:rsidRPr="009850D6">
        <w:t>Группа избирает двух сопредседателей для содействия проведению ее работы и совещаний.</w:t>
      </w:r>
    </w:p>
    <w:p w14:paraId="30DA69A4" w14:textId="77777777" w:rsidR="009850D6" w:rsidRPr="009850D6" w:rsidRDefault="009850D6" w:rsidP="00B509CF">
      <w:pPr>
        <w:tabs>
          <w:tab w:val="clear" w:pos="1247"/>
          <w:tab w:val="clear" w:pos="1814"/>
          <w:tab w:val="clear" w:pos="2381"/>
          <w:tab w:val="clear" w:pos="2948"/>
          <w:tab w:val="clear" w:pos="3515"/>
          <w:tab w:val="right" w:pos="851"/>
        </w:tabs>
        <w:spacing w:after="120"/>
        <w:ind w:left="1247" w:right="284" w:hanging="1247"/>
        <w:rPr>
          <w:b/>
          <w:bCs/>
          <w:sz w:val="24"/>
          <w:szCs w:val="24"/>
        </w:rPr>
      </w:pPr>
      <w:r w:rsidRPr="009850D6">
        <w:rPr>
          <w:b/>
          <w:bCs/>
          <w:sz w:val="24"/>
          <w:szCs w:val="24"/>
        </w:rPr>
        <w:tab/>
        <w:t>D.</w:t>
      </w:r>
      <w:r w:rsidRPr="009850D6">
        <w:rPr>
          <w:b/>
          <w:bCs/>
          <w:sz w:val="24"/>
          <w:szCs w:val="24"/>
        </w:rPr>
        <w:tab/>
        <w:t>Секретариат</w:t>
      </w:r>
    </w:p>
    <w:p w14:paraId="4613883A" w14:textId="0AA084E5" w:rsidR="009850D6" w:rsidRPr="009850D6" w:rsidRDefault="002F6BC7" w:rsidP="009850D6">
      <w:pPr>
        <w:tabs>
          <w:tab w:val="clear" w:pos="1247"/>
          <w:tab w:val="clear" w:pos="1814"/>
          <w:tab w:val="clear" w:pos="2381"/>
          <w:tab w:val="clear" w:pos="2948"/>
          <w:tab w:val="clear" w:pos="3515"/>
        </w:tabs>
        <w:spacing w:after="120"/>
        <w:ind w:left="1247"/>
      </w:pPr>
      <w:r w:rsidRPr="00AA0928">
        <w:t>26.</w:t>
      </w:r>
      <w:r w:rsidRPr="00AA0928">
        <w:tab/>
      </w:r>
      <w:r w:rsidR="009850D6" w:rsidRPr="009850D6">
        <w:t>Секретариат оказывает административную, материально-техническую, программную и основную поддержку совещаниям и работе группы.</w:t>
      </w:r>
    </w:p>
    <w:p w14:paraId="765DF621" w14:textId="77777777" w:rsidR="009850D6" w:rsidRPr="009850D6" w:rsidRDefault="009850D6" w:rsidP="00B509CF">
      <w:pPr>
        <w:tabs>
          <w:tab w:val="clear" w:pos="1247"/>
          <w:tab w:val="clear" w:pos="1814"/>
          <w:tab w:val="clear" w:pos="2381"/>
          <w:tab w:val="clear" w:pos="2948"/>
          <w:tab w:val="clear" w:pos="3515"/>
          <w:tab w:val="right" w:pos="851"/>
        </w:tabs>
        <w:spacing w:after="120"/>
        <w:ind w:left="1247" w:right="284" w:hanging="1247"/>
        <w:rPr>
          <w:b/>
          <w:bCs/>
          <w:sz w:val="24"/>
          <w:szCs w:val="24"/>
        </w:rPr>
      </w:pPr>
      <w:r w:rsidRPr="009850D6">
        <w:rPr>
          <w:b/>
          <w:bCs/>
          <w:sz w:val="24"/>
          <w:szCs w:val="24"/>
        </w:rPr>
        <w:tab/>
        <w:t>E.</w:t>
      </w:r>
      <w:r w:rsidRPr="009850D6">
        <w:rPr>
          <w:b/>
          <w:bCs/>
          <w:sz w:val="24"/>
          <w:szCs w:val="24"/>
        </w:rPr>
        <w:tab/>
        <w:t>Совещания</w:t>
      </w:r>
    </w:p>
    <w:p w14:paraId="0DB840C2" w14:textId="2F3D1D6C" w:rsidR="009850D6" w:rsidRPr="009850D6" w:rsidRDefault="00D6397E" w:rsidP="009850D6">
      <w:pPr>
        <w:tabs>
          <w:tab w:val="clear" w:pos="1247"/>
          <w:tab w:val="clear" w:pos="1814"/>
          <w:tab w:val="clear" w:pos="2381"/>
          <w:tab w:val="clear" w:pos="2948"/>
          <w:tab w:val="clear" w:pos="3515"/>
        </w:tabs>
        <w:spacing w:after="120"/>
        <w:ind w:left="1247"/>
      </w:pPr>
      <w:r w:rsidRPr="00AA0928">
        <w:t>27.</w:t>
      </w:r>
      <w:r w:rsidRPr="00AA0928">
        <w:tab/>
      </w:r>
      <w:r w:rsidR="009850D6" w:rsidRPr="009850D6">
        <w:t xml:space="preserve">Группа проведет не менее трех очных совещаний в течение цикла оценки эффективности для координации деятельности по мониторингу ртути и подготовки доклада о мониторинге состояния ртути в окружающей среде для </w:t>
      </w:r>
      <w:r w:rsidR="00240BD3">
        <w:t>к</w:t>
      </w:r>
      <w:r w:rsidR="009850D6" w:rsidRPr="009850D6">
        <w:t>омитета по оценке эффективности.</w:t>
      </w:r>
    </w:p>
    <w:p w14:paraId="70991430" w14:textId="77777777" w:rsidR="009850D6" w:rsidRPr="009850D6" w:rsidRDefault="009850D6" w:rsidP="00B509CF">
      <w:pPr>
        <w:tabs>
          <w:tab w:val="clear" w:pos="1247"/>
          <w:tab w:val="clear" w:pos="1814"/>
          <w:tab w:val="clear" w:pos="2381"/>
          <w:tab w:val="clear" w:pos="2948"/>
          <w:tab w:val="clear" w:pos="3515"/>
          <w:tab w:val="right" w:pos="851"/>
        </w:tabs>
        <w:spacing w:after="120"/>
        <w:ind w:left="1247" w:right="284" w:hanging="1247"/>
        <w:rPr>
          <w:b/>
          <w:bCs/>
          <w:sz w:val="24"/>
          <w:szCs w:val="24"/>
        </w:rPr>
      </w:pPr>
      <w:r w:rsidRPr="009850D6">
        <w:rPr>
          <w:b/>
          <w:bCs/>
          <w:sz w:val="24"/>
          <w:szCs w:val="24"/>
        </w:rPr>
        <w:tab/>
        <w:t>F.</w:t>
      </w:r>
      <w:r w:rsidRPr="009850D6">
        <w:rPr>
          <w:b/>
          <w:bCs/>
          <w:sz w:val="24"/>
          <w:szCs w:val="24"/>
        </w:rPr>
        <w:tab/>
        <w:t>Язык</w:t>
      </w:r>
    </w:p>
    <w:p w14:paraId="3BA85ABE" w14:textId="588F60B5" w:rsidR="009850D6" w:rsidRPr="009850D6" w:rsidRDefault="00D6397E" w:rsidP="009850D6">
      <w:pPr>
        <w:tabs>
          <w:tab w:val="clear" w:pos="1247"/>
          <w:tab w:val="clear" w:pos="1814"/>
          <w:tab w:val="clear" w:pos="2381"/>
          <w:tab w:val="clear" w:pos="2948"/>
          <w:tab w:val="clear" w:pos="3515"/>
        </w:tabs>
        <w:spacing w:after="120"/>
        <w:ind w:left="1247"/>
      </w:pPr>
      <w:r w:rsidRPr="00AA0928">
        <w:t>28.</w:t>
      </w:r>
      <w:r w:rsidRPr="00AA0928">
        <w:tab/>
      </w:r>
      <w:r w:rsidR="009850D6" w:rsidRPr="009850D6">
        <w:t>Рабочим языком группы является английский.</w:t>
      </w:r>
    </w:p>
    <w:p w14:paraId="44ADF4AE" w14:textId="77777777" w:rsidR="009850D6" w:rsidRPr="009850D6" w:rsidRDefault="009850D6" w:rsidP="009850D6">
      <w:pPr>
        <w:tabs>
          <w:tab w:val="clear" w:pos="1247"/>
          <w:tab w:val="clear" w:pos="1814"/>
          <w:tab w:val="clear" w:pos="2381"/>
          <w:tab w:val="clear" w:pos="2948"/>
          <w:tab w:val="clear" w:pos="3515"/>
        </w:tabs>
        <w:spacing w:after="120"/>
        <w:ind w:left="1247"/>
      </w:pPr>
      <w:r w:rsidRPr="009850D6">
        <w:br w:type="page"/>
      </w:r>
    </w:p>
    <w:p w14:paraId="60907FE4" w14:textId="77777777" w:rsidR="009850D6" w:rsidRPr="009850D6" w:rsidRDefault="009850D6" w:rsidP="00927EF8">
      <w:pPr>
        <w:tabs>
          <w:tab w:val="clear" w:pos="1247"/>
          <w:tab w:val="clear" w:pos="1814"/>
          <w:tab w:val="clear" w:pos="2381"/>
          <w:tab w:val="clear" w:pos="2948"/>
          <w:tab w:val="clear" w:pos="3515"/>
        </w:tabs>
        <w:spacing w:after="240"/>
        <w:rPr>
          <w:b/>
          <w:bCs/>
          <w:sz w:val="28"/>
          <w:szCs w:val="28"/>
        </w:rPr>
      </w:pPr>
      <w:r w:rsidRPr="009850D6">
        <w:rPr>
          <w:b/>
          <w:bCs/>
          <w:sz w:val="28"/>
          <w:szCs w:val="28"/>
        </w:rPr>
        <w:lastRenderedPageBreak/>
        <w:t>Дополнение IV</w:t>
      </w:r>
    </w:p>
    <w:p w14:paraId="22872F03" w14:textId="569E90E0" w:rsidR="009850D6" w:rsidRPr="009850D6" w:rsidRDefault="009850D6" w:rsidP="00927EF8">
      <w:pPr>
        <w:tabs>
          <w:tab w:val="clear" w:pos="1247"/>
          <w:tab w:val="clear" w:pos="1814"/>
          <w:tab w:val="clear" w:pos="2381"/>
          <w:tab w:val="clear" w:pos="2948"/>
          <w:tab w:val="clear" w:pos="3515"/>
        </w:tabs>
        <w:spacing w:after="120"/>
        <w:ind w:left="1247" w:right="567"/>
        <w:rPr>
          <w:b/>
          <w:bCs/>
          <w:sz w:val="28"/>
          <w:szCs w:val="28"/>
        </w:rPr>
      </w:pPr>
      <w:r w:rsidRPr="009850D6">
        <w:rPr>
          <w:b/>
          <w:bCs/>
          <w:sz w:val="28"/>
          <w:szCs w:val="28"/>
        </w:rPr>
        <w:t xml:space="preserve">Описание докладов, которые должны быть подготовлены для </w:t>
      </w:r>
      <w:r w:rsidR="00282CEA">
        <w:rPr>
          <w:b/>
          <w:bCs/>
          <w:sz w:val="28"/>
          <w:szCs w:val="28"/>
        </w:rPr>
        <w:t>к</w:t>
      </w:r>
      <w:r w:rsidRPr="009850D6">
        <w:rPr>
          <w:b/>
          <w:bCs/>
          <w:sz w:val="28"/>
          <w:szCs w:val="28"/>
        </w:rPr>
        <w:t>омитета по оценке эффективности</w:t>
      </w:r>
    </w:p>
    <w:p w14:paraId="3723501F" w14:textId="35EF713F" w:rsidR="009850D6" w:rsidRPr="009850D6" w:rsidRDefault="00927EF8" w:rsidP="009850D6">
      <w:pPr>
        <w:tabs>
          <w:tab w:val="clear" w:pos="1247"/>
          <w:tab w:val="clear" w:pos="1814"/>
          <w:tab w:val="clear" w:pos="2381"/>
          <w:tab w:val="clear" w:pos="2948"/>
          <w:tab w:val="clear" w:pos="3515"/>
        </w:tabs>
        <w:spacing w:after="120"/>
        <w:ind w:left="1247"/>
      </w:pPr>
      <w:r w:rsidRPr="00AA0928">
        <w:t>1.</w:t>
      </w:r>
      <w:r w:rsidRPr="00AA0928">
        <w:tab/>
      </w:r>
      <w:r w:rsidR="00240BD3">
        <w:t xml:space="preserve">Система оценки </w:t>
      </w:r>
      <w:r w:rsidR="009850D6" w:rsidRPr="009850D6">
        <w:t xml:space="preserve">предусматривает подготовку пяти-шести докладов для использования </w:t>
      </w:r>
      <w:r w:rsidR="00240BD3">
        <w:t>к</w:t>
      </w:r>
      <w:r w:rsidR="009850D6" w:rsidRPr="009850D6">
        <w:t xml:space="preserve">омитетом по оценке эффективности при рассмотрении им четырех </w:t>
      </w:r>
      <w:r w:rsidR="00240BD3">
        <w:t xml:space="preserve">предметных </w:t>
      </w:r>
      <w:r w:rsidR="009850D6" w:rsidRPr="009850D6">
        <w:t xml:space="preserve">вопросов. Для ответа на первые три </w:t>
      </w:r>
      <w:r w:rsidR="00240BD3">
        <w:t xml:space="preserve">предметных </w:t>
      </w:r>
      <w:r w:rsidR="009850D6" w:rsidRPr="009850D6">
        <w:t xml:space="preserve">вопроса необходимо </w:t>
      </w:r>
      <w:r w:rsidR="00240BD3">
        <w:t xml:space="preserve">на уровнях 1-3 </w:t>
      </w:r>
      <w:r w:rsidR="009850D6" w:rsidRPr="009850D6">
        <w:t xml:space="preserve">подготовить пять сводных докладов. </w:t>
      </w:r>
      <w:r w:rsidR="00240BD3" w:rsidRPr="00240BD3">
        <w:rPr>
          <w:highlight w:val="lightGray"/>
        </w:rPr>
        <w:t xml:space="preserve">Составление </w:t>
      </w:r>
      <w:r w:rsidR="00240BD3">
        <w:rPr>
          <w:highlight w:val="lightGray"/>
        </w:rPr>
        <w:t>ш</w:t>
      </w:r>
      <w:r w:rsidR="009850D6" w:rsidRPr="00E74F5E">
        <w:rPr>
          <w:highlight w:val="lightGray"/>
        </w:rPr>
        <w:t>есто</w:t>
      </w:r>
      <w:r w:rsidR="00240BD3">
        <w:rPr>
          <w:highlight w:val="lightGray"/>
        </w:rPr>
        <w:t>го</w:t>
      </w:r>
      <w:r w:rsidR="009850D6" w:rsidRPr="00E74F5E">
        <w:rPr>
          <w:highlight w:val="lightGray"/>
        </w:rPr>
        <w:t xml:space="preserve"> доклад</w:t>
      </w:r>
      <w:r w:rsidR="00240BD3">
        <w:rPr>
          <w:highlight w:val="lightGray"/>
        </w:rPr>
        <w:t>а – доклада о взаимосвязи –</w:t>
      </w:r>
      <w:r w:rsidR="009850D6" w:rsidRPr="00E74F5E">
        <w:rPr>
          <w:highlight w:val="lightGray"/>
        </w:rPr>
        <w:t xml:space="preserve"> для ответа на четвертый </w:t>
      </w:r>
      <w:r w:rsidR="00240BD3">
        <w:rPr>
          <w:highlight w:val="lightGray"/>
        </w:rPr>
        <w:t xml:space="preserve">предметный </w:t>
      </w:r>
      <w:r w:rsidR="009850D6" w:rsidRPr="00E74F5E">
        <w:rPr>
          <w:highlight w:val="lightGray"/>
        </w:rPr>
        <w:t xml:space="preserve">вопрос </w:t>
      </w:r>
      <w:r w:rsidR="00240BD3">
        <w:rPr>
          <w:highlight w:val="lightGray"/>
        </w:rPr>
        <w:t xml:space="preserve">предполагается на </w:t>
      </w:r>
      <w:r w:rsidR="009850D6" w:rsidRPr="00E74F5E">
        <w:rPr>
          <w:highlight w:val="lightGray"/>
        </w:rPr>
        <w:t>уровн</w:t>
      </w:r>
      <w:r w:rsidR="00240BD3">
        <w:rPr>
          <w:highlight w:val="lightGray"/>
        </w:rPr>
        <w:t>е</w:t>
      </w:r>
      <w:r w:rsidR="009850D6" w:rsidRPr="00E74F5E">
        <w:rPr>
          <w:highlight w:val="lightGray"/>
        </w:rPr>
        <w:t xml:space="preserve"> 4, когда такая информация будет доступна и готова</w:t>
      </w:r>
      <w:r w:rsidR="009850D6" w:rsidRPr="00036F05">
        <w:rPr>
          <w:vertAlign w:val="superscript"/>
        </w:rPr>
        <w:footnoteReference w:id="16"/>
      </w:r>
      <w:r w:rsidR="009850D6" w:rsidRPr="009850D6">
        <w:t>.</w:t>
      </w:r>
    </w:p>
    <w:p w14:paraId="60C57A6B" w14:textId="3DD8551B" w:rsidR="009850D6" w:rsidRPr="009850D6" w:rsidRDefault="00927EF8" w:rsidP="00240BD3">
      <w:pPr>
        <w:tabs>
          <w:tab w:val="clear" w:pos="1247"/>
          <w:tab w:val="clear" w:pos="1814"/>
          <w:tab w:val="clear" w:pos="2381"/>
          <w:tab w:val="clear" w:pos="2948"/>
          <w:tab w:val="clear" w:pos="3515"/>
        </w:tabs>
        <w:spacing w:after="120"/>
        <w:ind w:left="1247"/>
      </w:pPr>
      <w:r w:rsidRPr="00AA0928">
        <w:t>2.</w:t>
      </w:r>
      <w:r w:rsidRPr="00AA0928">
        <w:tab/>
      </w:r>
      <w:r w:rsidR="009850D6" w:rsidRPr="009850D6">
        <w:t xml:space="preserve">Данные доклады должны быть подготовлены с использованием информации, представленной в соответствии с подпунктами а)-d) пункта 3 статьи 22, </w:t>
      </w:r>
      <w:r w:rsidR="00240BD3">
        <w:t xml:space="preserve">что </w:t>
      </w:r>
      <w:r w:rsidR="009850D6" w:rsidRPr="009850D6">
        <w:t>схематично представлено на диаграмме 1 настоящего доклада, в которой показан процесс обработки информации и ее анализа.</w:t>
      </w:r>
    </w:p>
    <w:p w14:paraId="12F64DD0" w14:textId="22254CF0" w:rsidR="009850D6" w:rsidRPr="00AA0928" w:rsidRDefault="009850D6" w:rsidP="009850D6">
      <w:pPr>
        <w:tabs>
          <w:tab w:val="clear" w:pos="1247"/>
          <w:tab w:val="clear" w:pos="1814"/>
          <w:tab w:val="clear" w:pos="2381"/>
          <w:tab w:val="clear" w:pos="2948"/>
          <w:tab w:val="clear" w:pos="3515"/>
        </w:tabs>
        <w:spacing w:after="120"/>
        <w:ind w:left="1247"/>
        <w:rPr>
          <w:b/>
          <w:bCs/>
          <w:sz w:val="24"/>
          <w:szCs w:val="24"/>
        </w:rPr>
      </w:pPr>
      <w:r w:rsidRPr="009850D6">
        <w:rPr>
          <w:b/>
          <w:bCs/>
          <w:sz w:val="24"/>
          <w:szCs w:val="24"/>
        </w:rPr>
        <w:t>Сводные доклады</w:t>
      </w:r>
    </w:p>
    <w:p w14:paraId="0E13F078" w14:textId="7120C379" w:rsidR="009850D6" w:rsidRPr="009850D6" w:rsidRDefault="00927EF8" w:rsidP="009850D6">
      <w:pPr>
        <w:tabs>
          <w:tab w:val="clear" w:pos="1247"/>
          <w:tab w:val="clear" w:pos="1814"/>
          <w:tab w:val="clear" w:pos="2381"/>
          <w:tab w:val="clear" w:pos="2948"/>
          <w:tab w:val="clear" w:pos="3515"/>
        </w:tabs>
        <w:spacing w:after="120"/>
        <w:ind w:left="1247"/>
      </w:pPr>
      <w:r w:rsidRPr="00AA0928">
        <w:t>3.</w:t>
      </w:r>
      <w:r w:rsidRPr="00AA0928">
        <w:tab/>
      </w:r>
      <w:r w:rsidR="009850D6" w:rsidRPr="009850D6">
        <w:t xml:space="preserve">Ниже </w:t>
      </w:r>
      <w:r w:rsidR="0060619D">
        <w:t xml:space="preserve">описываются </w:t>
      </w:r>
      <w:r w:rsidR="009850D6" w:rsidRPr="009850D6">
        <w:t>материалы, которые должны быть подготовлены для пяти сводных докладов, а также задачи, которые необходимо решить, и требуемые экспертные знания</w:t>
      </w:r>
      <w:r w:rsidR="00874B0D">
        <w:t>.</w:t>
      </w:r>
    </w:p>
    <w:p w14:paraId="2DFCDF25" w14:textId="4FE9173D" w:rsidR="009850D6" w:rsidRPr="009850D6" w:rsidRDefault="005B2268" w:rsidP="00534D57">
      <w:pPr>
        <w:tabs>
          <w:tab w:val="clear" w:pos="1247"/>
          <w:tab w:val="clear" w:pos="1814"/>
          <w:tab w:val="clear" w:pos="2381"/>
          <w:tab w:val="clear" w:pos="2948"/>
          <w:tab w:val="clear" w:pos="3515"/>
        </w:tabs>
        <w:spacing w:after="120"/>
        <w:ind w:left="1872" w:firstLine="624"/>
      </w:pPr>
      <w:r w:rsidRPr="009850D6">
        <w:t xml:space="preserve">В </w:t>
      </w:r>
      <w:r w:rsidR="009850D6" w:rsidRPr="009850D6">
        <w:t xml:space="preserve">сводном докладе </w:t>
      </w:r>
      <w:r w:rsidR="00240BD3">
        <w:t xml:space="preserve">в соответствии со </w:t>
      </w:r>
      <w:r w:rsidR="009850D6" w:rsidRPr="009850D6">
        <w:t>статье</w:t>
      </w:r>
      <w:r w:rsidR="00240BD3">
        <w:t>й</w:t>
      </w:r>
      <w:r w:rsidR="009850D6" w:rsidRPr="009850D6">
        <w:t xml:space="preserve"> 21 будет собрана, проанализирована и обобщена соответствующая информация, полученная от Сторон в соответствии со статьями 3, 5, 7, 8 и 9</w:t>
      </w:r>
      <w:r>
        <w:t>.</w:t>
      </w:r>
    </w:p>
    <w:p w14:paraId="59096715" w14:textId="4B97F89A" w:rsidR="009850D6" w:rsidRPr="009850D6" w:rsidRDefault="005B2268" w:rsidP="00534D57">
      <w:pPr>
        <w:tabs>
          <w:tab w:val="clear" w:pos="1247"/>
          <w:tab w:val="clear" w:pos="1814"/>
          <w:tab w:val="clear" w:pos="2381"/>
          <w:tab w:val="clear" w:pos="2948"/>
          <w:tab w:val="clear" w:pos="3515"/>
        </w:tabs>
        <w:spacing w:after="120"/>
        <w:ind w:left="1872" w:firstLine="624"/>
      </w:pPr>
      <w:r w:rsidRPr="009850D6">
        <w:t xml:space="preserve">В </w:t>
      </w:r>
      <w:r w:rsidR="009850D6" w:rsidRPr="009850D6">
        <w:t xml:space="preserve">докладе о выбросах и высвобождениях будет собрана, проанализирована и обобщена соответствующая информация о кадастрах выбросов и высвобождений из соответствующих источников, как указано в статьях 8 и 9, а также информация о принятых Сторонами мерах для контроля за выбросами и высвобождениями ртути и о соответствующих изменениях в области выбросов и высвобождений. Экспертные знания, необходимые для выполнения этой задачи, включают опыт составления кадастров выбросов/высвобождений, разработки или осуществления мер по контролю за выбросами и высвобождениями ртути из соответствующих источников, включая наилучшие имеющиеся методы и наилучшие виды природоохранной деятельности, моделирование и кадастры в отношении </w:t>
      </w:r>
      <w:proofErr w:type="spellStart"/>
      <w:r w:rsidR="009850D6" w:rsidRPr="009850D6">
        <w:t>временн</w:t>
      </w:r>
      <w:r w:rsidR="0060619D" w:rsidRPr="0060619D">
        <w:t>ы́</w:t>
      </w:r>
      <w:r w:rsidR="009850D6" w:rsidRPr="009850D6">
        <w:t>х</w:t>
      </w:r>
      <w:proofErr w:type="spellEnd"/>
      <w:r w:rsidR="009850D6" w:rsidRPr="009850D6">
        <w:t xml:space="preserve"> и пространственных тенденций и изменчивости</w:t>
      </w:r>
      <w:r>
        <w:t>.</w:t>
      </w:r>
    </w:p>
    <w:p w14:paraId="58C465E5" w14:textId="127E5FDF" w:rsidR="009850D6" w:rsidRPr="009850D6" w:rsidRDefault="005B2268" w:rsidP="00534D57">
      <w:pPr>
        <w:tabs>
          <w:tab w:val="clear" w:pos="1247"/>
          <w:tab w:val="clear" w:pos="1814"/>
          <w:tab w:val="clear" w:pos="2381"/>
          <w:tab w:val="clear" w:pos="2948"/>
          <w:tab w:val="clear" w:pos="3515"/>
        </w:tabs>
        <w:spacing w:after="120"/>
        <w:ind w:left="1872" w:firstLine="624"/>
      </w:pPr>
      <w:r w:rsidRPr="009850D6">
        <w:t xml:space="preserve">Доклад </w:t>
      </w:r>
      <w:r w:rsidR="009850D6" w:rsidRPr="009850D6">
        <w:t xml:space="preserve">о торговле, предложении и спросе предназначен для сбора, анализа и обобщения соответствующей информации о потоках и социальных запасах ртути, тенденциях в торговле ртутью, </w:t>
      </w:r>
      <w:r w:rsidR="0060619D">
        <w:t xml:space="preserve">ее </w:t>
      </w:r>
      <w:r w:rsidR="009850D6" w:rsidRPr="009850D6">
        <w:t>предложении</w:t>
      </w:r>
      <w:r w:rsidR="0060619D">
        <w:t xml:space="preserve"> и спросе на нее</w:t>
      </w:r>
      <w:r w:rsidR="009850D6" w:rsidRPr="009850D6">
        <w:t>, а также о нормативно</w:t>
      </w:r>
      <w:r w:rsidR="000D0603">
        <w:noBreakHyphen/>
      </w:r>
      <w:r w:rsidR="009850D6" w:rsidRPr="009850D6">
        <w:t>правовой базе и осуществлении. Для выполнения этой задачи требуется экспертный опыт в области анализа торговли, секторального анализа, кустарной и мелкомасштабной золотодобычи и применения ртути в продукции и процессах, а также изменений в области этого применения и альтернатив ему</w:t>
      </w:r>
      <w:r>
        <w:t>.</w:t>
      </w:r>
    </w:p>
    <w:p w14:paraId="0185F729" w14:textId="1C197018" w:rsidR="009850D6" w:rsidRPr="009850D6" w:rsidRDefault="005B2268" w:rsidP="00534D57">
      <w:pPr>
        <w:tabs>
          <w:tab w:val="clear" w:pos="1247"/>
          <w:tab w:val="clear" w:pos="1814"/>
          <w:tab w:val="clear" w:pos="2381"/>
          <w:tab w:val="clear" w:pos="2948"/>
          <w:tab w:val="clear" w:pos="3515"/>
        </w:tabs>
        <w:spacing w:after="120"/>
        <w:ind w:left="1872" w:firstLine="624"/>
      </w:pPr>
      <w:r w:rsidRPr="007D4873">
        <w:rPr>
          <w:highlight w:val="lightGray"/>
        </w:rPr>
        <w:t xml:space="preserve">Доклад </w:t>
      </w:r>
      <w:r w:rsidR="009850D6" w:rsidRPr="007D4873">
        <w:rPr>
          <w:highlight w:val="lightGray"/>
        </w:rPr>
        <w:t>об отходах</w:t>
      </w:r>
      <w:r w:rsidR="009850D6" w:rsidRPr="009850D6">
        <w:t xml:space="preserve"> предназначен для сбора, анализа и обобщения соответствующей информации о потоках и запасах ртутных отходов, практике обращения с ртутными отходами и их рециркуляции, а также о нормативно-правовой базе и осуществлении и имеющихся пробелах. Для выполнения этой задачи требуется экспертный опыт в области анализа межотраслевых отношений, политики и практики обращения с отходами и инженерных решений в области удаления отходов</w:t>
      </w:r>
      <w:r>
        <w:t>.</w:t>
      </w:r>
    </w:p>
    <w:p w14:paraId="0B6781C4" w14:textId="462CB697" w:rsidR="009850D6" w:rsidRPr="009850D6" w:rsidRDefault="005B2268" w:rsidP="00534D57">
      <w:pPr>
        <w:tabs>
          <w:tab w:val="clear" w:pos="1247"/>
          <w:tab w:val="clear" w:pos="1814"/>
          <w:tab w:val="clear" w:pos="2381"/>
          <w:tab w:val="clear" w:pos="2948"/>
          <w:tab w:val="clear" w:pos="3515"/>
        </w:tabs>
        <w:spacing w:after="120"/>
        <w:ind w:left="1872" w:firstLine="624"/>
      </w:pPr>
      <w:r w:rsidRPr="009850D6">
        <w:t xml:space="preserve">Доклад </w:t>
      </w:r>
      <w:r w:rsidR="009850D6" w:rsidRPr="009850D6">
        <w:t>о мониторинге описан в дополнении III, посвященном предлагаемым механизмам глобального мониторинга и проекту положения о группе по мониторингу.</w:t>
      </w:r>
    </w:p>
    <w:p w14:paraId="1CE9F394" w14:textId="75067400" w:rsidR="009850D6" w:rsidRPr="009850D6" w:rsidRDefault="009850D6" w:rsidP="009850D6">
      <w:pPr>
        <w:tabs>
          <w:tab w:val="clear" w:pos="1247"/>
          <w:tab w:val="clear" w:pos="1814"/>
          <w:tab w:val="clear" w:pos="2381"/>
          <w:tab w:val="clear" w:pos="2948"/>
          <w:tab w:val="clear" w:pos="3515"/>
        </w:tabs>
        <w:spacing w:after="120"/>
        <w:ind w:left="1247"/>
        <w:rPr>
          <w:b/>
          <w:bCs/>
          <w:sz w:val="24"/>
          <w:szCs w:val="24"/>
        </w:rPr>
      </w:pPr>
      <w:r w:rsidRPr="007D4873">
        <w:rPr>
          <w:b/>
          <w:bCs/>
          <w:sz w:val="24"/>
          <w:szCs w:val="24"/>
          <w:highlight w:val="lightGray"/>
        </w:rPr>
        <w:t xml:space="preserve">Доклад о </w:t>
      </w:r>
      <w:r w:rsidR="0060619D" w:rsidRPr="007D4873">
        <w:rPr>
          <w:b/>
          <w:bCs/>
          <w:sz w:val="24"/>
          <w:szCs w:val="24"/>
          <w:highlight w:val="lightGray"/>
        </w:rPr>
        <w:t>взаимосвязи</w:t>
      </w:r>
    </w:p>
    <w:p w14:paraId="56323CA9" w14:textId="20D6A29B" w:rsidR="009850D6" w:rsidRPr="009850D6" w:rsidRDefault="005B724A" w:rsidP="009850D6">
      <w:pPr>
        <w:tabs>
          <w:tab w:val="clear" w:pos="1247"/>
          <w:tab w:val="clear" w:pos="1814"/>
          <w:tab w:val="clear" w:pos="2381"/>
          <w:tab w:val="clear" w:pos="2948"/>
          <w:tab w:val="clear" w:pos="3515"/>
        </w:tabs>
        <w:spacing w:after="120"/>
        <w:ind w:left="1247"/>
      </w:pPr>
      <w:r w:rsidRPr="00AA0928">
        <w:t>4.</w:t>
      </w:r>
      <w:r w:rsidRPr="00AA0928">
        <w:tab/>
      </w:r>
      <w:r w:rsidR="009850D6" w:rsidRPr="009850D6">
        <w:t xml:space="preserve">На основе сводных докладов и другой информации </w:t>
      </w:r>
      <w:r w:rsidR="00985FE3" w:rsidRPr="009850D6">
        <w:t>с использованием имеющихся источников данных, методов моделирования и аналитических инструментов, заимствованных из естественных и социальных наук</w:t>
      </w:r>
      <w:r w:rsidR="00985FE3">
        <w:t>,</w:t>
      </w:r>
      <w:r w:rsidR="00985FE3" w:rsidRPr="009850D6">
        <w:t xml:space="preserve"> </w:t>
      </w:r>
      <w:r w:rsidR="009850D6" w:rsidRPr="009850D6">
        <w:t>могут быть установлены связи между мерами</w:t>
      </w:r>
      <w:r w:rsidR="0060619D">
        <w:t xml:space="preserve"> политического характера</w:t>
      </w:r>
      <w:r w:rsidR="009850D6" w:rsidRPr="009850D6">
        <w:t>, сокращением выбросов и уровнями содержания ртути</w:t>
      </w:r>
      <w:r w:rsidR="00985FE3">
        <w:t>.</w:t>
      </w:r>
      <w:r w:rsidR="009850D6" w:rsidRPr="009850D6">
        <w:t xml:space="preserve"> Со временем </w:t>
      </w:r>
      <w:r w:rsidR="009850D6" w:rsidRPr="009850D6">
        <w:lastRenderedPageBreak/>
        <w:t>это может быть сделано в</w:t>
      </w:r>
      <w:r w:rsidR="0060619D">
        <w:t xml:space="preserve"> докладе о взаимосвязи</w:t>
      </w:r>
      <w:r w:rsidR="009850D6" w:rsidRPr="009850D6">
        <w:t xml:space="preserve">, </w:t>
      </w:r>
      <w:r w:rsidR="0060619D" w:rsidRPr="009850D6">
        <w:t>подгот</w:t>
      </w:r>
      <w:r w:rsidR="0060619D">
        <w:t xml:space="preserve">авливаемом </w:t>
      </w:r>
      <w:r w:rsidR="009850D6" w:rsidRPr="009850D6">
        <w:t xml:space="preserve">подгруппой по моделированию. Подгруппа по моделированию будет состоять из пяти экспертов, обладающих опытом в области методов многокомпонентного моделирования, круговорота ртути в окружающей среде и тенденций в области ртути и ее применения. Хотя </w:t>
      </w:r>
      <w:proofErr w:type="spellStart"/>
      <w:r w:rsidR="00036F05" w:rsidRPr="009850D6">
        <w:t>б</w:t>
      </w:r>
      <w:r w:rsidR="00036F05">
        <w:t>ó</w:t>
      </w:r>
      <w:r w:rsidR="00036F05" w:rsidRPr="009850D6">
        <w:t>льшую</w:t>
      </w:r>
      <w:proofErr w:type="spellEnd"/>
      <w:r w:rsidR="00036F05" w:rsidRPr="009850D6">
        <w:t xml:space="preserve"> </w:t>
      </w:r>
      <w:r w:rsidR="009850D6" w:rsidRPr="009850D6">
        <w:t>часть работы такой подгруппы можно проводить дистанционно, предусматривается проведение одного совещания для подготовки проекта доклада</w:t>
      </w:r>
      <w:r w:rsidR="0060619D" w:rsidRPr="0060619D">
        <w:t xml:space="preserve"> о взаимосвязи</w:t>
      </w:r>
      <w:r w:rsidR="009850D6" w:rsidRPr="009850D6">
        <w:t>.</w:t>
      </w:r>
    </w:p>
    <w:p w14:paraId="604DF0F4" w14:textId="6528E262" w:rsidR="009850D6" w:rsidRPr="009850D6" w:rsidRDefault="005B724A" w:rsidP="009850D6">
      <w:pPr>
        <w:tabs>
          <w:tab w:val="clear" w:pos="1247"/>
          <w:tab w:val="clear" w:pos="1814"/>
          <w:tab w:val="clear" w:pos="2381"/>
          <w:tab w:val="clear" w:pos="2948"/>
          <w:tab w:val="clear" w:pos="3515"/>
        </w:tabs>
        <w:spacing w:after="120"/>
        <w:ind w:left="1247"/>
      </w:pPr>
      <w:r w:rsidRPr="00AA0928">
        <w:t>5.</w:t>
      </w:r>
      <w:r w:rsidRPr="00AA0928">
        <w:tab/>
      </w:r>
      <w:r w:rsidR="009850D6" w:rsidRPr="009850D6">
        <w:t xml:space="preserve">Следует отметить, что функция </w:t>
      </w:r>
      <w:r w:rsidR="0060619D">
        <w:t xml:space="preserve">установления </w:t>
      </w:r>
      <w:r w:rsidR="0060619D" w:rsidRPr="0060619D">
        <w:t>взаимосвязи</w:t>
      </w:r>
      <w:r w:rsidR="0060619D" w:rsidRPr="009850D6">
        <w:t xml:space="preserve"> </w:t>
      </w:r>
      <w:r w:rsidR="009850D6" w:rsidRPr="009850D6">
        <w:t>будет меняться по мере улучшения со временем понимания ртути и моделирования.</w:t>
      </w:r>
    </w:p>
    <w:p w14:paraId="2921A2CC" w14:textId="50E22916" w:rsidR="009850D6" w:rsidRPr="009850D6" w:rsidRDefault="005B724A" w:rsidP="009850D6">
      <w:pPr>
        <w:tabs>
          <w:tab w:val="clear" w:pos="1247"/>
          <w:tab w:val="clear" w:pos="1814"/>
          <w:tab w:val="clear" w:pos="2381"/>
          <w:tab w:val="clear" w:pos="2948"/>
          <w:tab w:val="clear" w:pos="3515"/>
        </w:tabs>
        <w:spacing w:after="120"/>
        <w:ind w:left="1247"/>
      </w:pPr>
      <w:r w:rsidRPr="00AA0928">
        <w:t>6.</w:t>
      </w:r>
      <w:r w:rsidRPr="00AA0928">
        <w:tab/>
      </w:r>
      <w:r w:rsidR="009850D6" w:rsidRPr="009850D6">
        <w:t xml:space="preserve">После подготовки </w:t>
      </w:r>
      <w:r w:rsidR="0060619D">
        <w:t xml:space="preserve">доклада </w:t>
      </w:r>
      <w:r w:rsidR="0060619D" w:rsidRPr="0060619D">
        <w:t xml:space="preserve">о взаимосвязи </w:t>
      </w:r>
      <w:r w:rsidR="009850D6" w:rsidRPr="009850D6">
        <w:t>в нем, как ожидается, будет содержаться следующая информация:</w:t>
      </w:r>
    </w:p>
    <w:p w14:paraId="0A6F4401" w14:textId="695A16B1" w:rsidR="009850D6" w:rsidRPr="009850D6" w:rsidRDefault="00D61A1A" w:rsidP="00D61A1A">
      <w:pPr>
        <w:tabs>
          <w:tab w:val="clear" w:pos="1247"/>
          <w:tab w:val="clear" w:pos="1814"/>
          <w:tab w:val="clear" w:pos="2381"/>
          <w:tab w:val="clear" w:pos="2948"/>
          <w:tab w:val="clear" w:pos="3515"/>
        </w:tabs>
        <w:spacing w:after="120"/>
        <w:ind w:left="1247" w:firstLine="624"/>
      </w:pPr>
      <w:r>
        <w:rPr>
          <w:lang w:val="en-GB"/>
        </w:rPr>
        <w:t>a</w:t>
      </w:r>
      <w:r w:rsidRPr="00AA0928">
        <w:t>)</w:t>
      </w:r>
      <w:r w:rsidRPr="00AA0928">
        <w:tab/>
      </w:r>
      <w:r w:rsidR="009850D6" w:rsidRPr="009850D6">
        <w:t xml:space="preserve">рассмотрение </w:t>
      </w:r>
      <w:proofErr w:type="spellStart"/>
      <w:r w:rsidR="009850D6" w:rsidRPr="009850D6">
        <w:t>временн</w:t>
      </w:r>
      <w:r w:rsidR="0060619D" w:rsidRPr="0060619D">
        <w:t>ы́</w:t>
      </w:r>
      <w:r w:rsidR="009850D6" w:rsidRPr="009850D6">
        <w:t>х</w:t>
      </w:r>
      <w:proofErr w:type="spellEnd"/>
      <w:r w:rsidR="009850D6" w:rsidRPr="009850D6">
        <w:t xml:space="preserve"> промежутков между действиями и результатами, отмеченными в ходе последующих оценок;</w:t>
      </w:r>
    </w:p>
    <w:p w14:paraId="6990904F" w14:textId="522C8F5D" w:rsidR="009850D6" w:rsidRPr="009850D6" w:rsidRDefault="00D61A1A" w:rsidP="00D61A1A">
      <w:pPr>
        <w:tabs>
          <w:tab w:val="clear" w:pos="1247"/>
          <w:tab w:val="clear" w:pos="1814"/>
          <w:tab w:val="clear" w:pos="2381"/>
          <w:tab w:val="clear" w:pos="2948"/>
          <w:tab w:val="clear" w:pos="3515"/>
        </w:tabs>
        <w:spacing w:after="120"/>
        <w:ind w:left="1247" w:firstLine="624"/>
      </w:pPr>
      <w:r>
        <w:rPr>
          <w:lang w:val="en-GB"/>
        </w:rPr>
        <w:t>b</w:t>
      </w:r>
      <w:r w:rsidRPr="00AA0928">
        <w:t>)</w:t>
      </w:r>
      <w:r w:rsidRPr="00AA0928">
        <w:tab/>
      </w:r>
      <w:r w:rsidR="009850D6" w:rsidRPr="009850D6">
        <w:t>рассмотрение базового сценария, в основу которого положен гипотетический «инерционный» сценарий, охватывающий период, предшествующий осуществлению Конвенции;</w:t>
      </w:r>
    </w:p>
    <w:p w14:paraId="69FD1E82" w14:textId="40257392" w:rsidR="009850D6" w:rsidRPr="009850D6" w:rsidRDefault="00D61A1A" w:rsidP="00D61A1A">
      <w:pPr>
        <w:tabs>
          <w:tab w:val="clear" w:pos="1247"/>
          <w:tab w:val="clear" w:pos="1814"/>
          <w:tab w:val="clear" w:pos="2381"/>
          <w:tab w:val="clear" w:pos="2948"/>
          <w:tab w:val="clear" w:pos="3515"/>
        </w:tabs>
        <w:spacing w:after="120"/>
        <w:ind w:left="1247" w:firstLine="624"/>
      </w:pPr>
      <w:r>
        <w:rPr>
          <w:lang w:val="en-GB"/>
        </w:rPr>
        <w:t>c</w:t>
      </w:r>
      <w:r w:rsidRPr="00AA0928">
        <w:t>)</w:t>
      </w:r>
      <w:r w:rsidRPr="00AA0928">
        <w:tab/>
      </w:r>
      <w:r w:rsidR="009850D6" w:rsidRPr="009850D6">
        <w:t xml:space="preserve">оценка четырех </w:t>
      </w:r>
      <w:r w:rsidR="0060619D">
        <w:t xml:space="preserve">предметных </w:t>
      </w:r>
      <w:r w:rsidR="009850D6" w:rsidRPr="009850D6">
        <w:t>вопросов, которая может включать в себя прогноз на основе соответствующей экстраполяции;</w:t>
      </w:r>
    </w:p>
    <w:p w14:paraId="2E884C13" w14:textId="6D3257DE" w:rsidR="009850D6" w:rsidRPr="009850D6" w:rsidRDefault="00D61A1A" w:rsidP="00D61A1A">
      <w:pPr>
        <w:tabs>
          <w:tab w:val="clear" w:pos="1247"/>
          <w:tab w:val="clear" w:pos="1814"/>
          <w:tab w:val="clear" w:pos="2381"/>
          <w:tab w:val="clear" w:pos="2948"/>
          <w:tab w:val="clear" w:pos="3515"/>
        </w:tabs>
        <w:spacing w:after="120"/>
        <w:ind w:left="1247" w:firstLine="624"/>
      </w:pPr>
      <w:r>
        <w:rPr>
          <w:lang w:val="en-GB"/>
        </w:rPr>
        <w:t>d</w:t>
      </w:r>
      <w:r w:rsidRPr="00AA0928">
        <w:t>)</w:t>
      </w:r>
      <w:r w:rsidRPr="00AA0928">
        <w:tab/>
      </w:r>
      <w:r w:rsidR="009850D6" w:rsidRPr="009850D6">
        <w:t xml:space="preserve">комплексный анализ взаимодействия между различными показателями для выявления важных эффектов </w:t>
      </w:r>
      <w:r w:rsidR="00CF7C11">
        <w:t xml:space="preserve">взаимодополняемости и </w:t>
      </w:r>
      <w:r w:rsidR="00985FE3" w:rsidRPr="00985FE3">
        <w:t>взаимозависимост</w:t>
      </w:r>
      <w:r w:rsidR="00985FE3">
        <w:t>и</w:t>
      </w:r>
      <w:r w:rsidR="00985FE3" w:rsidRPr="00985FE3">
        <w:t xml:space="preserve"> </w:t>
      </w:r>
      <w:r w:rsidR="00CF7C11">
        <w:t>показателей</w:t>
      </w:r>
      <w:r w:rsidR="009850D6" w:rsidRPr="009850D6">
        <w:t>.</w:t>
      </w:r>
    </w:p>
    <w:p w14:paraId="3DDB4F7E" w14:textId="3F61CC5F" w:rsidR="009850D6" w:rsidRPr="009850D6" w:rsidRDefault="00D61A1A" w:rsidP="009850D6">
      <w:pPr>
        <w:tabs>
          <w:tab w:val="clear" w:pos="1247"/>
          <w:tab w:val="clear" w:pos="1814"/>
          <w:tab w:val="clear" w:pos="2381"/>
          <w:tab w:val="clear" w:pos="2948"/>
          <w:tab w:val="clear" w:pos="3515"/>
        </w:tabs>
        <w:spacing w:after="120"/>
        <w:ind w:left="1247"/>
      </w:pPr>
      <w:r w:rsidRPr="00AA0928">
        <w:t>7.</w:t>
      </w:r>
      <w:r w:rsidRPr="00AA0928">
        <w:tab/>
      </w:r>
      <w:r w:rsidR="009850D6" w:rsidRPr="009850D6">
        <w:t xml:space="preserve">Главы доклада </w:t>
      </w:r>
      <w:r w:rsidR="0060619D" w:rsidRPr="0060619D">
        <w:t>о взаимосвязи</w:t>
      </w:r>
      <w:r w:rsidR="0060619D" w:rsidRPr="0060619D" w:rsidDel="0060619D">
        <w:t xml:space="preserve"> </w:t>
      </w:r>
      <w:r w:rsidR="009850D6" w:rsidRPr="009850D6">
        <w:t>могут быть посвящены следующим вопросам:</w:t>
      </w:r>
    </w:p>
    <w:p w14:paraId="21855F67" w14:textId="607E59F0" w:rsidR="009850D6" w:rsidRPr="009850D6" w:rsidRDefault="00D61A1A" w:rsidP="00CF7C11">
      <w:pPr>
        <w:tabs>
          <w:tab w:val="clear" w:pos="1247"/>
          <w:tab w:val="clear" w:pos="1814"/>
          <w:tab w:val="clear" w:pos="2381"/>
          <w:tab w:val="clear" w:pos="2948"/>
          <w:tab w:val="clear" w:pos="3515"/>
        </w:tabs>
        <w:spacing w:after="120"/>
        <w:ind w:left="1247" w:firstLine="624"/>
      </w:pPr>
      <w:r>
        <w:rPr>
          <w:lang w:val="en-GB"/>
        </w:rPr>
        <w:t>a</w:t>
      </w:r>
      <w:r w:rsidRPr="00AA0928">
        <w:t>)</w:t>
      </w:r>
      <w:r w:rsidRPr="00AA0928">
        <w:tab/>
      </w:r>
      <w:r w:rsidR="00CF7C11">
        <w:t xml:space="preserve">взаимодополняемость и </w:t>
      </w:r>
      <w:r w:rsidR="00985FE3">
        <w:t>взаимозависимость</w:t>
      </w:r>
      <w:r w:rsidR="00CF7C11">
        <w:t xml:space="preserve"> показателей </w:t>
      </w:r>
      <w:r w:rsidR="009850D6" w:rsidRPr="009850D6">
        <w:t>в целях повышения эффективности осуществления;</w:t>
      </w:r>
    </w:p>
    <w:p w14:paraId="14A9C8F7" w14:textId="6A4D2D84" w:rsidR="009850D6" w:rsidRPr="009850D6" w:rsidRDefault="00D61A1A" w:rsidP="00D61A1A">
      <w:pPr>
        <w:tabs>
          <w:tab w:val="clear" w:pos="1247"/>
          <w:tab w:val="clear" w:pos="1814"/>
          <w:tab w:val="clear" w:pos="2381"/>
          <w:tab w:val="clear" w:pos="2948"/>
          <w:tab w:val="clear" w:pos="3515"/>
        </w:tabs>
        <w:spacing w:after="120"/>
        <w:ind w:left="1247" w:firstLine="624"/>
      </w:pPr>
      <w:r>
        <w:rPr>
          <w:lang w:val="en-GB"/>
        </w:rPr>
        <w:t>b</w:t>
      </w:r>
      <w:r w:rsidRPr="00AA0928">
        <w:t>)</w:t>
      </w:r>
      <w:r w:rsidRPr="00AA0928">
        <w:tab/>
      </w:r>
      <w:proofErr w:type="spellStart"/>
      <w:r w:rsidR="009850D6" w:rsidRPr="009850D6">
        <w:t>временн</w:t>
      </w:r>
      <w:r w:rsidR="00CF7C11" w:rsidRPr="00CF7C11">
        <w:t>ы́</w:t>
      </w:r>
      <w:r w:rsidR="009850D6" w:rsidRPr="009850D6">
        <w:t>е</w:t>
      </w:r>
      <w:proofErr w:type="spellEnd"/>
      <w:r w:rsidR="009850D6" w:rsidRPr="009850D6">
        <w:t xml:space="preserve"> промежутки между действиями и результатами;</w:t>
      </w:r>
    </w:p>
    <w:p w14:paraId="508F5757" w14:textId="3E733F78" w:rsidR="009850D6" w:rsidRPr="009850D6" w:rsidRDefault="00D61A1A" w:rsidP="00D61A1A">
      <w:pPr>
        <w:tabs>
          <w:tab w:val="clear" w:pos="1247"/>
          <w:tab w:val="clear" w:pos="1814"/>
          <w:tab w:val="clear" w:pos="2381"/>
          <w:tab w:val="clear" w:pos="2948"/>
          <w:tab w:val="clear" w:pos="3515"/>
        </w:tabs>
        <w:spacing w:after="120"/>
        <w:ind w:left="1247" w:firstLine="624"/>
      </w:pPr>
      <w:r>
        <w:rPr>
          <w:lang w:val="en-GB"/>
        </w:rPr>
        <w:t>c</w:t>
      </w:r>
      <w:r w:rsidRPr="00AA0928">
        <w:t>)</w:t>
      </w:r>
      <w:r w:rsidRPr="00AA0928">
        <w:tab/>
      </w:r>
      <w:r w:rsidR="009850D6" w:rsidRPr="009850D6">
        <w:t>выводы;</w:t>
      </w:r>
    </w:p>
    <w:p w14:paraId="26167382" w14:textId="0BBB0891" w:rsidR="009850D6" w:rsidRPr="009850D6" w:rsidRDefault="00D61A1A" w:rsidP="00D61A1A">
      <w:pPr>
        <w:tabs>
          <w:tab w:val="clear" w:pos="1247"/>
          <w:tab w:val="clear" w:pos="1814"/>
          <w:tab w:val="clear" w:pos="2381"/>
          <w:tab w:val="clear" w:pos="2948"/>
          <w:tab w:val="clear" w:pos="3515"/>
        </w:tabs>
        <w:spacing w:after="120"/>
        <w:ind w:left="1247" w:firstLine="624"/>
      </w:pPr>
      <w:r>
        <w:rPr>
          <w:lang w:val="en-GB"/>
        </w:rPr>
        <w:t>d</w:t>
      </w:r>
      <w:r w:rsidRPr="00AA0928">
        <w:t>)</w:t>
      </w:r>
      <w:r w:rsidRPr="00AA0928">
        <w:tab/>
      </w:r>
      <w:r w:rsidR="009850D6" w:rsidRPr="009850D6">
        <w:t>приложение, содержащее «информационную панель» результатов, в которой представлен обзор хода деятельности в отношении показателей, включенных в систему оценки эффективности.</w:t>
      </w:r>
    </w:p>
    <w:p w14:paraId="3819FEA8" w14:textId="631E375D" w:rsidR="009850D6" w:rsidRPr="00D61A1A" w:rsidRDefault="00D61A1A" w:rsidP="000B4576">
      <w:pPr>
        <w:pStyle w:val="Normalnumber"/>
        <w:numPr>
          <w:ilvl w:val="0"/>
          <w:numId w:val="0"/>
        </w:numPr>
        <w:tabs>
          <w:tab w:val="clear" w:pos="624"/>
        </w:tabs>
        <w:spacing w:before="240"/>
        <w:ind w:left="1247"/>
        <w:jc w:val="center"/>
        <w:rPr>
          <w:lang w:val="en-GB"/>
        </w:rPr>
      </w:pPr>
      <w:r>
        <w:rPr>
          <w:lang w:val="en-GB"/>
        </w:rPr>
        <w:t>__________________________</w:t>
      </w:r>
    </w:p>
    <w:sectPr w:rsidR="009850D6" w:rsidRPr="00D61A1A" w:rsidSect="002A398B">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0692F9" w14:textId="77777777" w:rsidR="0093233D" w:rsidRDefault="0093233D">
      <w:r>
        <w:separator/>
      </w:r>
    </w:p>
  </w:endnote>
  <w:endnote w:type="continuationSeparator" w:id="0">
    <w:p w14:paraId="119D5A85" w14:textId="77777777" w:rsidR="0093233D" w:rsidRDefault="00932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yriadPro-Regular">
    <w:altName w:val="Yu Gothic"/>
    <w:panose1 w:val="00000000000000000000"/>
    <w:charset w:val="80"/>
    <w:family w:val="swiss"/>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Roboto">
    <w:charset w:val="00"/>
    <w:family w:val="auto"/>
    <w:pitch w:val="variable"/>
    <w:sig w:usb0="E00002E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93233D" w:rsidRPr="001C208E" w:rsidRDefault="0093233D"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93233D" w:rsidRDefault="0093233D"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48007F33" w:rsidR="0093233D" w:rsidRPr="00620245" w:rsidRDefault="0093233D" w:rsidP="000A2D09">
    <w:pPr>
      <w:pStyle w:val="Footer"/>
      <w:tabs>
        <w:tab w:val="clear" w:pos="1247"/>
        <w:tab w:val="clear" w:pos="1814"/>
        <w:tab w:val="clear" w:pos="2381"/>
        <w:tab w:val="clear" w:pos="2948"/>
        <w:tab w:val="clear" w:pos="3515"/>
        <w:tab w:val="clear" w:pos="4320"/>
        <w:tab w:val="clear" w:pos="8640"/>
      </w:tabs>
      <w:rPr>
        <w:sz w:val="20"/>
        <w:lang w:val="en-GB"/>
      </w:rPr>
    </w:pPr>
    <w:proofErr w:type="spellStart"/>
    <w:r>
      <w:rPr>
        <w:sz w:val="20"/>
        <w:lang w:val="en-GB"/>
      </w:rPr>
      <w:t>K1904293</w:t>
    </w:r>
    <w:proofErr w:type="spellEnd"/>
    <w:r>
      <w:rPr>
        <w:sz w:val="20"/>
        <w:lang w:val="en-US"/>
      </w:rPr>
      <w:t xml:space="preserve">     2</w:t>
    </w:r>
    <w:r w:rsidR="00975EA2">
      <w:rPr>
        <w:sz w:val="20"/>
        <w:lang w:val="en-US"/>
      </w:rPr>
      <w:t>2</w:t>
    </w:r>
    <w:r>
      <w:rPr>
        <w:sz w:val="20"/>
        <w:lang w:val="en-US"/>
      </w:rPr>
      <w:t>11</w:t>
    </w:r>
    <w:r w:rsidRPr="00C4766A">
      <w:rPr>
        <w:sz w:val="20"/>
      </w:rPr>
      <w:t>1</w:t>
    </w:r>
    <w:r>
      <w:rPr>
        <w:sz w:val="20"/>
        <w:lang w:val="en-GB"/>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66BFFC" w14:textId="77777777" w:rsidR="0093233D" w:rsidRDefault="0093233D" w:rsidP="00835E10">
      <w:pPr>
        <w:tabs>
          <w:tab w:val="clear" w:pos="1247"/>
          <w:tab w:val="clear" w:pos="1814"/>
          <w:tab w:val="clear" w:pos="2381"/>
          <w:tab w:val="clear" w:pos="2948"/>
          <w:tab w:val="clear" w:pos="3515"/>
        </w:tabs>
        <w:ind w:left="624"/>
      </w:pPr>
      <w:r>
        <w:separator/>
      </w:r>
    </w:p>
  </w:footnote>
  <w:footnote w:type="continuationSeparator" w:id="0">
    <w:p w14:paraId="6E2390B4" w14:textId="77777777" w:rsidR="0093233D" w:rsidRDefault="0093233D">
      <w:r>
        <w:continuationSeparator/>
      </w:r>
    </w:p>
  </w:footnote>
  <w:footnote w:id="1">
    <w:p w14:paraId="6E78A238" w14:textId="072E526C" w:rsidR="0093233D" w:rsidRPr="00AA0928" w:rsidRDefault="0093233D" w:rsidP="00835E10">
      <w:pPr>
        <w:pStyle w:val="FootnoteText"/>
        <w:tabs>
          <w:tab w:val="clear" w:pos="1247"/>
          <w:tab w:val="clear" w:pos="1814"/>
          <w:tab w:val="clear" w:pos="2381"/>
          <w:tab w:val="clear" w:pos="2948"/>
          <w:tab w:val="clear" w:pos="3515"/>
          <w:tab w:val="clear" w:pos="4082"/>
        </w:tabs>
        <w:rPr>
          <w:szCs w:val="18"/>
          <w:lang w:val="en-US"/>
        </w:rPr>
      </w:pPr>
      <w:r w:rsidRPr="00AA0928">
        <w:rPr>
          <w:szCs w:val="18"/>
          <w:lang w:val="en-US"/>
        </w:rPr>
        <w:t>*</w:t>
      </w:r>
      <w:r w:rsidRPr="00AA0928">
        <w:rPr>
          <w:szCs w:val="18"/>
          <w:lang w:val="en-US"/>
        </w:rPr>
        <w:tab/>
        <w:t>UNEP/</w:t>
      </w:r>
      <w:r w:rsidRPr="00835E10">
        <w:rPr>
          <w:szCs w:val="18"/>
          <w:lang w:val="en-GB"/>
        </w:rPr>
        <w:t>MC</w:t>
      </w:r>
      <w:r w:rsidRPr="00AA0928">
        <w:rPr>
          <w:szCs w:val="18"/>
          <w:lang w:val="en-US"/>
        </w:rPr>
        <w:t>/</w:t>
      </w:r>
      <w:r w:rsidRPr="00835E10">
        <w:rPr>
          <w:szCs w:val="18"/>
          <w:lang w:val="en-GB"/>
        </w:rPr>
        <w:t>COP</w:t>
      </w:r>
      <w:r w:rsidRPr="00AA0928">
        <w:rPr>
          <w:szCs w:val="18"/>
          <w:lang w:val="en-US"/>
        </w:rPr>
        <w:t>.3/1.</w:t>
      </w:r>
    </w:p>
  </w:footnote>
  <w:footnote w:id="2">
    <w:p w14:paraId="313CA107" w14:textId="602C343A" w:rsidR="0093233D" w:rsidRPr="00AA0928" w:rsidRDefault="0093233D" w:rsidP="00835E10">
      <w:pPr>
        <w:pStyle w:val="FootnoteText"/>
        <w:tabs>
          <w:tab w:val="clear" w:pos="1247"/>
          <w:tab w:val="clear" w:pos="1814"/>
          <w:tab w:val="clear" w:pos="2381"/>
          <w:tab w:val="clear" w:pos="2948"/>
          <w:tab w:val="clear" w:pos="3515"/>
          <w:tab w:val="clear" w:pos="4082"/>
        </w:tabs>
        <w:rPr>
          <w:szCs w:val="18"/>
          <w:lang w:val="en-US"/>
        </w:rPr>
      </w:pPr>
      <w:r w:rsidRPr="00835E10">
        <w:rPr>
          <w:rStyle w:val="FootnoteReference"/>
          <w:sz w:val="18"/>
        </w:rPr>
        <w:footnoteRef/>
      </w:r>
      <w:r w:rsidRPr="00835E10">
        <w:rPr>
          <w:szCs w:val="18"/>
          <w:lang w:val="en-US"/>
        </w:rPr>
        <w:t xml:space="preserve"> </w:t>
      </w:r>
      <w:r w:rsidRPr="00835E10">
        <w:rPr>
          <w:szCs w:val="18"/>
          <w:lang w:val="en-US"/>
        </w:rPr>
        <w:tab/>
        <w:t>UNEP/MC/COP.3/14.</w:t>
      </w:r>
    </w:p>
  </w:footnote>
  <w:footnote w:id="3">
    <w:p w14:paraId="7DFA596A" w14:textId="2AEB2EB9" w:rsidR="0093233D" w:rsidRPr="00835E10" w:rsidRDefault="0093233D" w:rsidP="00835E10">
      <w:pPr>
        <w:pStyle w:val="FootnoteText"/>
        <w:tabs>
          <w:tab w:val="clear" w:pos="1247"/>
          <w:tab w:val="clear" w:pos="1814"/>
          <w:tab w:val="clear" w:pos="2381"/>
          <w:tab w:val="clear" w:pos="2948"/>
          <w:tab w:val="clear" w:pos="3515"/>
          <w:tab w:val="clear" w:pos="4082"/>
        </w:tabs>
        <w:rPr>
          <w:szCs w:val="18"/>
        </w:rPr>
      </w:pPr>
      <w:r w:rsidRPr="00835E10">
        <w:rPr>
          <w:rStyle w:val="FootnoteReference"/>
          <w:sz w:val="18"/>
        </w:rPr>
        <w:footnoteRef/>
      </w:r>
      <w:r w:rsidRPr="00835E10">
        <w:rPr>
          <w:szCs w:val="18"/>
        </w:rPr>
        <w:t xml:space="preserve"> </w:t>
      </w:r>
      <w:r w:rsidRPr="00835E10">
        <w:rPr>
          <w:szCs w:val="18"/>
        </w:rPr>
        <w:tab/>
        <w:t>UNEP/MC/COP.3</w:t>
      </w:r>
      <w:r w:rsidRPr="00AA0928">
        <w:rPr>
          <w:szCs w:val="18"/>
        </w:rPr>
        <w:t>/</w:t>
      </w:r>
      <w:r w:rsidRPr="00835E10">
        <w:rPr>
          <w:szCs w:val="18"/>
        </w:rPr>
        <w:t>INF/15.</w:t>
      </w:r>
    </w:p>
  </w:footnote>
  <w:footnote w:id="4">
    <w:p w14:paraId="0845297A" w14:textId="159A9231" w:rsidR="0093233D" w:rsidRPr="00835E10" w:rsidRDefault="0093233D" w:rsidP="00835E10">
      <w:pPr>
        <w:pStyle w:val="FootnoteText"/>
        <w:tabs>
          <w:tab w:val="clear" w:pos="1247"/>
          <w:tab w:val="clear" w:pos="1814"/>
          <w:tab w:val="clear" w:pos="2381"/>
          <w:tab w:val="clear" w:pos="2948"/>
          <w:tab w:val="clear" w:pos="3515"/>
          <w:tab w:val="clear" w:pos="4082"/>
        </w:tabs>
        <w:rPr>
          <w:szCs w:val="18"/>
        </w:rPr>
      </w:pPr>
      <w:r w:rsidRPr="00835E10">
        <w:rPr>
          <w:rStyle w:val="FootnoteReference"/>
          <w:sz w:val="18"/>
        </w:rPr>
        <w:footnoteRef/>
      </w:r>
      <w:r w:rsidRPr="00835E10">
        <w:rPr>
          <w:szCs w:val="18"/>
        </w:rPr>
        <w:t xml:space="preserve"> </w:t>
      </w:r>
      <w:r w:rsidRPr="00835E10">
        <w:rPr>
          <w:szCs w:val="18"/>
        </w:rPr>
        <w:tab/>
        <w:t>UNEP/MC/COP.3/14, приложение II, разделы II и III.</w:t>
      </w:r>
    </w:p>
  </w:footnote>
  <w:footnote w:id="5">
    <w:p w14:paraId="6054EB6F" w14:textId="65E710B4" w:rsidR="0093233D" w:rsidRPr="00835E10" w:rsidRDefault="0093233D" w:rsidP="00835E10">
      <w:pPr>
        <w:pStyle w:val="FootnoteText"/>
        <w:tabs>
          <w:tab w:val="clear" w:pos="1247"/>
          <w:tab w:val="clear" w:pos="1814"/>
          <w:tab w:val="clear" w:pos="2381"/>
          <w:tab w:val="clear" w:pos="2948"/>
          <w:tab w:val="clear" w:pos="3515"/>
          <w:tab w:val="clear" w:pos="4082"/>
        </w:tabs>
        <w:rPr>
          <w:szCs w:val="18"/>
        </w:rPr>
      </w:pPr>
      <w:r w:rsidRPr="00835E10">
        <w:rPr>
          <w:rStyle w:val="FootnoteReference"/>
          <w:sz w:val="18"/>
        </w:rPr>
        <w:footnoteRef/>
      </w:r>
      <w:r w:rsidRPr="00835E10">
        <w:rPr>
          <w:szCs w:val="18"/>
        </w:rPr>
        <w:t xml:space="preserve"> </w:t>
      </w:r>
      <w:r w:rsidRPr="00835E10">
        <w:rPr>
          <w:szCs w:val="18"/>
        </w:rPr>
        <w:tab/>
        <w:t>UNEP/MC/COP.3/14, приложение II, дополнение II.</w:t>
      </w:r>
    </w:p>
  </w:footnote>
  <w:footnote w:id="6">
    <w:p w14:paraId="34D8F16B" w14:textId="6C78BE5A" w:rsidR="0093233D" w:rsidRPr="00835E10" w:rsidRDefault="0093233D" w:rsidP="00835E10">
      <w:pPr>
        <w:pStyle w:val="FootnoteText"/>
        <w:tabs>
          <w:tab w:val="clear" w:pos="1247"/>
          <w:tab w:val="clear" w:pos="1814"/>
          <w:tab w:val="clear" w:pos="2381"/>
          <w:tab w:val="clear" w:pos="2948"/>
          <w:tab w:val="clear" w:pos="3515"/>
          <w:tab w:val="clear" w:pos="4082"/>
        </w:tabs>
        <w:rPr>
          <w:szCs w:val="18"/>
        </w:rPr>
      </w:pPr>
      <w:r w:rsidRPr="00835E10">
        <w:rPr>
          <w:rStyle w:val="FootnoteReference"/>
          <w:sz w:val="18"/>
        </w:rPr>
        <w:footnoteRef/>
      </w:r>
      <w:r w:rsidRPr="00835E10">
        <w:rPr>
          <w:szCs w:val="18"/>
        </w:rPr>
        <w:t xml:space="preserve"> </w:t>
      </w:r>
      <w:r w:rsidRPr="00835E10">
        <w:rPr>
          <w:szCs w:val="18"/>
        </w:rPr>
        <w:tab/>
        <w:t>UNEP/MC/COP.3/14, приложение II, дополнение III.</w:t>
      </w:r>
    </w:p>
  </w:footnote>
  <w:footnote w:id="7">
    <w:p w14:paraId="01B26586" w14:textId="6F2B7149" w:rsidR="0093233D" w:rsidRPr="00AA0928" w:rsidRDefault="0093233D" w:rsidP="00835E10">
      <w:pPr>
        <w:pStyle w:val="FootnoteText"/>
        <w:tabs>
          <w:tab w:val="clear" w:pos="1247"/>
          <w:tab w:val="clear" w:pos="1814"/>
          <w:tab w:val="clear" w:pos="2381"/>
          <w:tab w:val="clear" w:pos="2948"/>
          <w:tab w:val="clear" w:pos="3515"/>
          <w:tab w:val="clear" w:pos="4082"/>
        </w:tabs>
        <w:rPr>
          <w:szCs w:val="18"/>
          <w:lang w:val="en-US"/>
        </w:rPr>
      </w:pPr>
      <w:r w:rsidRPr="00835E10">
        <w:rPr>
          <w:rStyle w:val="FootnoteReference"/>
          <w:sz w:val="18"/>
        </w:rPr>
        <w:footnoteRef/>
      </w:r>
      <w:r w:rsidRPr="00835E10">
        <w:rPr>
          <w:szCs w:val="18"/>
          <w:lang w:val="en-US"/>
        </w:rPr>
        <w:t xml:space="preserve"> </w:t>
      </w:r>
      <w:r w:rsidRPr="00835E10">
        <w:rPr>
          <w:szCs w:val="18"/>
          <w:lang w:val="en-US"/>
        </w:rPr>
        <w:tab/>
        <w:t xml:space="preserve">United Nations Environment </w:t>
      </w:r>
      <w:proofErr w:type="spellStart"/>
      <w:r w:rsidRPr="00835E10">
        <w:rPr>
          <w:szCs w:val="18"/>
          <w:lang w:val="en-US"/>
        </w:rPr>
        <w:t>Programme</w:t>
      </w:r>
      <w:proofErr w:type="spellEnd"/>
      <w:r w:rsidRPr="00835E10">
        <w:rPr>
          <w:szCs w:val="18"/>
          <w:lang w:val="en-US"/>
        </w:rPr>
        <w:t xml:space="preserve">, 2018. Global Mercury Assessment 2018. https://wedocs.unep.org/handle/20.500.11822/27579. </w:t>
      </w:r>
    </w:p>
  </w:footnote>
  <w:footnote w:id="8">
    <w:p w14:paraId="33ED7C61" w14:textId="70A6019E" w:rsidR="0093233D" w:rsidRPr="00AA0928" w:rsidRDefault="0093233D" w:rsidP="00835E10">
      <w:pPr>
        <w:pStyle w:val="FootnoteText"/>
        <w:tabs>
          <w:tab w:val="clear" w:pos="1247"/>
          <w:tab w:val="clear" w:pos="1814"/>
          <w:tab w:val="clear" w:pos="2381"/>
          <w:tab w:val="clear" w:pos="2948"/>
          <w:tab w:val="clear" w:pos="3515"/>
          <w:tab w:val="clear" w:pos="4082"/>
        </w:tabs>
        <w:rPr>
          <w:szCs w:val="18"/>
          <w:lang w:val="en-US"/>
        </w:rPr>
      </w:pPr>
      <w:r w:rsidRPr="00835E10">
        <w:rPr>
          <w:rStyle w:val="FootnoteReference"/>
          <w:sz w:val="18"/>
        </w:rPr>
        <w:footnoteRef/>
      </w:r>
      <w:r w:rsidRPr="00835E10">
        <w:rPr>
          <w:szCs w:val="18"/>
          <w:lang w:val="en-US"/>
        </w:rPr>
        <w:t xml:space="preserve"> </w:t>
      </w:r>
      <w:r w:rsidRPr="00835E10">
        <w:rPr>
          <w:szCs w:val="18"/>
          <w:lang w:val="en-US"/>
        </w:rPr>
        <w:tab/>
        <w:t xml:space="preserve">United Nations Environment </w:t>
      </w:r>
      <w:proofErr w:type="spellStart"/>
      <w:r w:rsidRPr="00835E10">
        <w:rPr>
          <w:szCs w:val="18"/>
          <w:lang w:val="en-US"/>
        </w:rPr>
        <w:t>Programme</w:t>
      </w:r>
      <w:proofErr w:type="spellEnd"/>
      <w:r w:rsidRPr="00835E10">
        <w:rPr>
          <w:szCs w:val="18"/>
          <w:lang w:val="en-US"/>
        </w:rPr>
        <w:t xml:space="preserve">, 2017. Global Mercury Supply, Trade and Demand. https://wedocs.unep.org/handle/20.500.11822/21725. </w:t>
      </w:r>
    </w:p>
  </w:footnote>
  <w:footnote w:id="9">
    <w:p w14:paraId="38C95FA5" w14:textId="2B98ED3B" w:rsidR="0093233D" w:rsidRPr="00AA0928" w:rsidRDefault="0093233D" w:rsidP="00835E10">
      <w:pPr>
        <w:pStyle w:val="FootnoteText"/>
        <w:tabs>
          <w:tab w:val="clear" w:pos="1247"/>
          <w:tab w:val="clear" w:pos="1814"/>
          <w:tab w:val="clear" w:pos="2381"/>
          <w:tab w:val="clear" w:pos="2948"/>
          <w:tab w:val="clear" w:pos="3515"/>
          <w:tab w:val="clear" w:pos="4082"/>
        </w:tabs>
        <w:rPr>
          <w:szCs w:val="18"/>
          <w:lang w:val="en-US"/>
        </w:rPr>
      </w:pPr>
      <w:r w:rsidRPr="00835E10">
        <w:rPr>
          <w:rStyle w:val="FootnoteReference"/>
          <w:sz w:val="18"/>
        </w:rPr>
        <w:footnoteRef/>
      </w:r>
      <w:r w:rsidRPr="00835E10">
        <w:rPr>
          <w:szCs w:val="18"/>
          <w:lang w:val="en-US"/>
        </w:rPr>
        <w:t xml:space="preserve"> </w:t>
      </w:r>
      <w:r w:rsidRPr="00835E10">
        <w:rPr>
          <w:szCs w:val="18"/>
          <w:lang w:val="en-US"/>
        </w:rPr>
        <w:tab/>
        <w:t xml:space="preserve">United Nations Environment </w:t>
      </w:r>
      <w:proofErr w:type="spellStart"/>
      <w:r w:rsidRPr="00835E10">
        <w:rPr>
          <w:szCs w:val="18"/>
          <w:lang w:val="en-US"/>
        </w:rPr>
        <w:t>Programme</w:t>
      </w:r>
      <w:proofErr w:type="spellEnd"/>
      <w:r w:rsidRPr="00835E10">
        <w:rPr>
          <w:szCs w:val="18"/>
          <w:lang w:val="en-US"/>
        </w:rPr>
        <w:t xml:space="preserve">, 2018. </w:t>
      </w:r>
      <w:r w:rsidRPr="00835E10">
        <w:rPr>
          <w:i/>
          <w:iCs/>
          <w:szCs w:val="18"/>
          <w:lang w:val="en-US"/>
        </w:rPr>
        <w:t>Global Mercury Waste Assessment: Review of Current National Measures.</w:t>
      </w:r>
      <w:r w:rsidRPr="00835E10">
        <w:rPr>
          <w:szCs w:val="18"/>
          <w:lang w:val="en-US"/>
        </w:rPr>
        <w:t xml:space="preserve"> https://wedocs.unep.org/handle/20.500.11822/22766. </w:t>
      </w:r>
    </w:p>
  </w:footnote>
  <w:footnote w:id="10">
    <w:p w14:paraId="20671595" w14:textId="24F8C604" w:rsidR="0093233D" w:rsidRPr="00835E10" w:rsidRDefault="0093233D" w:rsidP="00835E10">
      <w:pPr>
        <w:pStyle w:val="FootnoteText"/>
        <w:tabs>
          <w:tab w:val="clear" w:pos="1247"/>
          <w:tab w:val="clear" w:pos="1814"/>
          <w:tab w:val="clear" w:pos="2381"/>
          <w:tab w:val="clear" w:pos="2948"/>
          <w:tab w:val="clear" w:pos="3515"/>
          <w:tab w:val="clear" w:pos="4082"/>
        </w:tabs>
        <w:rPr>
          <w:szCs w:val="18"/>
        </w:rPr>
      </w:pPr>
      <w:bookmarkStart w:id="8" w:name="_Hlk25300743"/>
      <w:r w:rsidRPr="00835E10">
        <w:rPr>
          <w:rStyle w:val="FootnoteReference"/>
          <w:sz w:val="18"/>
        </w:rPr>
        <w:footnoteRef/>
      </w:r>
      <w:r w:rsidRPr="00835E10">
        <w:rPr>
          <w:szCs w:val="18"/>
        </w:rPr>
        <w:t xml:space="preserve"> </w:t>
      </w:r>
      <w:r w:rsidRPr="00835E10">
        <w:rPr>
          <w:szCs w:val="18"/>
        </w:rPr>
        <w:tab/>
        <w:t xml:space="preserve">В настоящем докладе выделение </w:t>
      </w:r>
      <w:r>
        <w:rPr>
          <w:szCs w:val="18"/>
        </w:rPr>
        <w:t xml:space="preserve">текста </w:t>
      </w:r>
      <w:r w:rsidRPr="00835E10">
        <w:rPr>
          <w:szCs w:val="18"/>
        </w:rPr>
        <w:t>серым цветом используется для обозначения различий во мнениях</w:t>
      </w:r>
      <w:r>
        <w:rPr>
          <w:szCs w:val="18"/>
        </w:rPr>
        <w:t xml:space="preserve"> </w:t>
      </w:r>
      <w:r w:rsidRPr="00835E10">
        <w:rPr>
          <w:szCs w:val="18"/>
        </w:rPr>
        <w:t xml:space="preserve">представивших </w:t>
      </w:r>
      <w:r>
        <w:rPr>
          <w:szCs w:val="18"/>
        </w:rPr>
        <w:t xml:space="preserve">свои </w:t>
      </w:r>
      <w:r w:rsidRPr="00835E10">
        <w:rPr>
          <w:szCs w:val="18"/>
        </w:rPr>
        <w:t>замечания</w:t>
      </w:r>
      <w:r w:rsidRPr="00190DB7">
        <w:rPr>
          <w:sz w:val="20"/>
          <w:szCs w:val="18"/>
        </w:rPr>
        <w:t xml:space="preserve"> </w:t>
      </w:r>
      <w:r w:rsidRPr="00190DB7">
        <w:rPr>
          <w:szCs w:val="18"/>
        </w:rPr>
        <w:t>субъектов</w:t>
      </w:r>
      <w:r w:rsidRPr="00835E10">
        <w:rPr>
          <w:szCs w:val="18"/>
        </w:rPr>
        <w:t xml:space="preserve"> относительно включения выделенного текста</w:t>
      </w:r>
      <w:r>
        <w:rPr>
          <w:szCs w:val="18"/>
        </w:rPr>
        <w:t xml:space="preserve"> в документ</w:t>
      </w:r>
      <w:r w:rsidRPr="00835E10">
        <w:rPr>
          <w:szCs w:val="18"/>
        </w:rPr>
        <w:t>.</w:t>
      </w:r>
    </w:p>
    <w:bookmarkEnd w:id="8"/>
  </w:footnote>
  <w:footnote w:id="11">
    <w:p w14:paraId="7999CEE2" w14:textId="48BD4E28" w:rsidR="0093233D" w:rsidRPr="00835E10" w:rsidRDefault="0093233D" w:rsidP="00835E10">
      <w:pPr>
        <w:pStyle w:val="FootnoteText"/>
        <w:tabs>
          <w:tab w:val="clear" w:pos="1247"/>
          <w:tab w:val="clear" w:pos="1814"/>
          <w:tab w:val="clear" w:pos="2381"/>
          <w:tab w:val="clear" w:pos="2948"/>
          <w:tab w:val="clear" w:pos="3515"/>
          <w:tab w:val="clear" w:pos="4082"/>
        </w:tabs>
        <w:rPr>
          <w:rFonts w:asciiTheme="majorBidi" w:hAnsiTheme="majorBidi" w:cstheme="majorBidi"/>
          <w:szCs w:val="18"/>
        </w:rPr>
      </w:pPr>
      <w:r w:rsidRPr="00835E10">
        <w:rPr>
          <w:rStyle w:val="FootnoteReference"/>
          <w:rFonts w:asciiTheme="majorBidi" w:hAnsiTheme="majorBidi" w:cstheme="majorBidi"/>
          <w:sz w:val="18"/>
        </w:rPr>
        <w:footnoteRef/>
      </w:r>
      <w:r w:rsidRPr="00835E10">
        <w:rPr>
          <w:szCs w:val="18"/>
        </w:rPr>
        <w:t xml:space="preserve"> </w:t>
      </w:r>
      <w:r w:rsidRPr="00835E10">
        <w:rPr>
          <w:szCs w:val="18"/>
        </w:rPr>
        <w:tab/>
        <w:t>В решении МК-1/9 о формировании механизмов в отношении оценки эффективности Конференция Сторон учредила специальную группу экспертов по вопросам механизмов обеспечения Конференции Сторон сравнимыми данными мониторинга и элементов системы оценки эффективности в соответствии со статьей 22 Минаматской конвенции, как это было предусмотрено соответствующим планом деятельности. Специальная группа экспертов подготовила доклад, который был представлен второму совещанию Конференции Сторон (см. документы UNEP/MC/COP.2/13 и UNEP/MC/COP.</w:t>
      </w:r>
      <w:r>
        <w:rPr>
          <w:szCs w:val="18"/>
        </w:rPr>
        <w:t>2/</w:t>
      </w:r>
      <w:r w:rsidRPr="00835E10">
        <w:rPr>
          <w:szCs w:val="18"/>
        </w:rPr>
        <w:t>INF/8). Впоследствии в решении МК-2/10 об оценке эффективности Конференция Сторон расширила положение о специальной технической группе экспертов, утвердила план ее последующей деятельности, поручила специальной технической группе экспертов разработать положение о механизмах глобального мониторинга и также поручила ей представить Конференции Сторон на ее третьем совещании доклад о ходе своей работы.</w:t>
      </w:r>
    </w:p>
  </w:footnote>
  <w:footnote w:id="12">
    <w:p w14:paraId="1CA2BE1F" w14:textId="56697021" w:rsidR="0093233D" w:rsidRPr="00835E10" w:rsidRDefault="0093233D" w:rsidP="00835E10">
      <w:pPr>
        <w:pStyle w:val="FootnoteText"/>
        <w:tabs>
          <w:tab w:val="clear" w:pos="1247"/>
          <w:tab w:val="clear" w:pos="1814"/>
          <w:tab w:val="clear" w:pos="2381"/>
          <w:tab w:val="clear" w:pos="2948"/>
          <w:tab w:val="clear" w:pos="3515"/>
          <w:tab w:val="clear" w:pos="4082"/>
        </w:tabs>
        <w:rPr>
          <w:rFonts w:asciiTheme="majorBidi" w:hAnsiTheme="majorBidi" w:cstheme="majorBidi"/>
          <w:szCs w:val="18"/>
        </w:rPr>
      </w:pPr>
      <w:r w:rsidRPr="00835E10">
        <w:rPr>
          <w:rStyle w:val="FootnoteReference"/>
          <w:rFonts w:asciiTheme="majorBidi" w:hAnsiTheme="majorBidi" w:cstheme="majorBidi"/>
          <w:sz w:val="18"/>
        </w:rPr>
        <w:footnoteRef/>
      </w:r>
      <w:r w:rsidRPr="00835E10">
        <w:rPr>
          <w:szCs w:val="18"/>
        </w:rPr>
        <w:t xml:space="preserve"> </w:t>
      </w:r>
      <w:r w:rsidRPr="00835E10">
        <w:rPr>
          <w:szCs w:val="18"/>
        </w:rPr>
        <w:tab/>
        <w:t>Первая оценка эффективности Минаматской конвенции о ртути должна быть проведена в течение шести лет после вступления Конвенции в силу</w:t>
      </w:r>
      <w:r>
        <w:rPr>
          <w:szCs w:val="18"/>
        </w:rPr>
        <w:t>;</w:t>
      </w:r>
      <w:r w:rsidRPr="00835E10">
        <w:rPr>
          <w:szCs w:val="18"/>
        </w:rPr>
        <w:t xml:space="preserve"> при этом Конференции Сторон необходимо принять решение о том, с какой периодичностью оценка эффективности будет проводиться в будущем.</w:t>
      </w:r>
    </w:p>
  </w:footnote>
  <w:footnote w:id="13">
    <w:p w14:paraId="2A647538" w14:textId="55A5C108" w:rsidR="0093233D" w:rsidRPr="00835E10" w:rsidRDefault="0093233D" w:rsidP="00835E10">
      <w:pPr>
        <w:pStyle w:val="FootnoteText"/>
        <w:tabs>
          <w:tab w:val="clear" w:pos="1247"/>
          <w:tab w:val="clear" w:pos="1814"/>
          <w:tab w:val="clear" w:pos="2381"/>
          <w:tab w:val="clear" w:pos="2948"/>
          <w:tab w:val="clear" w:pos="3515"/>
          <w:tab w:val="clear" w:pos="4082"/>
        </w:tabs>
        <w:rPr>
          <w:rFonts w:asciiTheme="majorBidi" w:hAnsiTheme="majorBidi" w:cstheme="majorBidi"/>
          <w:szCs w:val="18"/>
        </w:rPr>
      </w:pPr>
      <w:r w:rsidRPr="00835E10">
        <w:rPr>
          <w:rStyle w:val="FootnoteReference"/>
          <w:rFonts w:asciiTheme="majorBidi" w:hAnsiTheme="majorBidi" w:cstheme="majorBidi"/>
          <w:sz w:val="18"/>
        </w:rPr>
        <w:footnoteRef/>
      </w:r>
      <w:r w:rsidRPr="00835E10">
        <w:rPr>
          <w:szCs w:val="18"/>
        </w:rPr>
        <w:t xml:space="preserve"> </w:t>
      </w:r>
      <w:r w:rsidRPr="00835E10">
        <w:rPr>
          <w:szCs w:val="18"/>
        </w:rPr>
        <w:tab/>
      </w:r>
      <w:r>
        <w:rPr>
          <w:szCs w:val="18"/>
        </w:rPr>
        <w:t>В</w:t>
      </w:r>
      <w:r w:rsidRPr="00835E10">
        <w:rPr>
          <w:szCs w:val="18"/>
        </w:rPr>
        <w:t xml:space="preserve"> </w:t>
      </w:r>
      <w:r>
        <w:rPr>
          <w:szCs w:val="18"/>
        </w:rPr>
        <w:t xml:space="preserve">ходе </w:t>
      </w:r>
      <w:r w:rsidRPr="00835E10">
        <w:rPr>
          <w:szCs w:val="18"/>
        </w:rPr>
        <w:t>совещани</w:t>
      </w:r>
      <w:r>
        <w:rPr>
          <w:szCs w:val="18"/>
        </w:rPr>
        <w:t>я</w:t>
      </w:r>
      <w:r w:rsidRPr="00835E10">
        <w:rPr>
          <w:szCs w:val="18"/>
        </w:rPr>
        <w:t xml:space="preserve"> в распоряжении специальной технической группы экспертов имелась подборка замечаний относительно системы оценки эффективности (UNEP/MC/EE.2/5), обзор информации, представленной Сторонами и другими субъектами (UNEP/MC/EE.2/3), и подборка замечаний по докладу, который группа представила Конференции Сторон на ее втором совещании (UNEP/MC/EE.2/4).</w:t>
      </w:r>
    </w:p>
  </w:footnote>
  <w:footnote w:id="14">
    <w:p w14:paraId="412B301C" w14:textId="1D78C369" w:rsidR="0093233D" w:rsidRPr="00D04FE6" w:rsidRDefault="0093233D" w:rsidP="00D04FE6">
      <w:pPr>
        <w:pStyle w:val="FootnoteText"/>
        <w:tabs>
          <w:tab w:val="clear" w:pos="1247"/>
          <w:tab w:val="clear" w:pos="1814"/>
          <w:tab w:val="clear" w:pos="2381"/>
          <w:tab w:val="clear" w:pos="2948"/>
          <w:tab w:val="clear" w:pos="3515"/>
          <w:tab w:val="clear" w:pos="4082"/>
        </w:tabs>
        <w:rPr>
          <w:rStyle w:val="FootnoteReference"/>
          <w:sz w:val="18"/>
          <w:vertAlign w:val="baseline"/>
        </w:rPr>
      </w:pPr>
      <w:r w:rsidRPr="00D04FE6">
        <w:rPr>
          <w:rStyle w:val="FootnoteReference"/>
          <w:sz w:val="18"/>
        </w:rPr>
        <w:footnoteRef/>
      </w:r>
      <w:r w:rsidRPr="00D04FE6">
        <w:rPr>
          <w:rStyle w:val="FootnoteReference"/>
          <w:sz w:val="18"/>
          <w:vertAlign w:val="baseline"/>
        </w:rPr>
        <w:t xml:space="preserve"> </w:t>
      </w:r>
      <w:r>
        <w:tab/>
      </w:r>
      <w:r w:rsidRPr="00D04FE6">
        <w:rPr>
          <w:rStyle w:val="FootnoteReference"/>
          <w:sz w:val="18"/>
          <w:vertAlign w:val="baseline"/>
        </w:rPr>
        <w:t>Что касается подготовки докладов, то было также высказано предложение о проведении торгов для определения сотрудничающих партнеров. Для этого будет объявлено о принятии заявок с описанием подхода и методологии для выполнения поставленной задачи, необходимой для этого структуры и расход</w:t>
      </w:r>
      <w:r>
        <w:t>ов</w:t>
      </w:r>
      <w:r w:rsidRPr="00D04FE6">
        <w:rPr>
          <w:rStyle w:val="FootnoteReference"/>
          <w:sz w:val="18"/>
          <w:vertAlign w:val="baseline"/>
        </w:rPr>
        <w:t xml:space="preserve"> на выполнение задачи. Все процессы в рамках организуемых секретариатом торгов будут проводиться с соблюдением правил и процедур Организации Объединенных Наций в отношении закупок. Полная информация о них будет представлена Конференции Сторон.</w:t>
      </w:r>
    </w:p>
  </w:footnote>
  <w:footnote w:id="15">
    <w:p w14:paraId="4659FFF8" w14:textId="564AB0E7" w:rsidR="0093233D" w:rsidRPr="005F7853" w:rsidRDefault="0093233D" w:rsidP="005F7853">
      <w:pPr>
        <w:pStyle w:val="FootnoteText"/>
        <w:tabs>
          <w:tab w:val="clear" w:pos="1247"/>
          <w:tab w:val="clear" w:pos="1814"/>
          <w:tab w:val="clear" w:pos="2381"/>
          <w:tab w:val="clear" w:pos="2948"/>
          <w:tab w:val="clear" w:pos="3515"/>
          <w:tab w:val="clear" w:pos="4082"/>
        </w:tabs>
        <w:rPr>
          <w:szCs w:val="18"/>
        </w:rPr>
      </w:pPr>
      <w:bookmarkStart w:id="15" w:name="_Hlk25300680"/>
      <w:bookmarkStart w:id="16" w:name="_Hlk25300690"/>
      <w:r w:rsidRPr="005F7853">
        <w:rPr>
          <w:rStyle w:val="FootnoteReference"/>
          <w:sz w:val="18"/>
        </w:rPr>
        <w:footnoteRef/>
      </w:r>
      <w:r w:rsidRPr="005F7853">
        <w:rPr>
          <w:szCs w:val="18"/>
        </w:rPr>
        <w:tab/>
        <w:t xml:space="preserve">В настоящем дополнении </w:t>
      </w:r>
      <w:r>
        <w:rPr>
          <w:szCs w:val="18"/>
        </w:rPr>
        <w:t xml:space="preserve">выделение </w:t>
      </w:r>
      <w:r w:rsidRPr="005F7853">
        <w:rPr>
          <w:szCs w:val="18"/>
        </w:rPr>
        <w:t>текст</w:t>
      </w:r>
      <w:r>
        <w:rPr>
          <w:szCs w:val="18"/>
        </w:rPr>
        <w:t xml:space="preserve">а </w:t>
      </w:r>
      <w:r w:rsidRPr="005F7853">
        <w:rPr>
          <w:szCs w:val="18"/>
        </w:rPr>
        <w:t>серым цветом используется для обозначения различий во мнениях</w:t>
      </w:r>
      <w:r>
        <w:rPr>
          <w:szCs w:val="18"/>
        </w:rPr>
        <w:t xml:space="preserve"> </w:t>
      </w:r>
      <w:r w:rsidRPr="005F7853">
        <w:rPr>
          <w:szCs w:val="18"/>
        </w:rPr>
        <w:t xml:space="preserve">представивших </w:t>
      </w:r>
      <w:r>
        <w:rPr>
          <w:szCs w:val="18"/>
        </w:rPr>
        <w:t xml:space="preserve">свои </w:t>
      </w:r>
      <w:r w:rsidRPr="005F7853">
        <w:rPr>
          <w:szCs w:val="18"/>
        </w:rPr>
        <w:t>замечания</w:t>
      </w:r>
      <w:r w:rsidRPr="008750F1">
        <w:rPr>
          <w:sz w:val="20"/>
          <w:szCs w:val="18"/>
        </w:rPr>
        <w:t xml:space="preserve"> </w:t>
      </w:r>
      <w:r w:rsidRPr="008750F1">
        <w:rPr>
          <w:szCs w:val="18"/>
        </w:rPr>
        <w:t>субъектов</w:t>
      </w:r>
      <w:r w:rsidRPr="005F7853">
        <w:rPr>
          <w:szCs w:val="18"/>
        </w:rPr>
        <w:t xml:space="preserve"> относительно включения выделенного текста</w:t>
      </w:r>
      <w:r>
        <w:rPr>
          <w:szCs w:val="18"/>
        </w:rPr>
        <w:t xml:space="preserve"> в документ</w:t>
      </w:r>
      <w:r w:rsidRPr="005F7853">
        <w:rPr>
          <w:szCs w:val="18"/>
        </w:rPr>
        <w:t>.</w:t>
      </w:r>
      <w:bookmarkEnd w:id="15"/>
    </w:p>
    <w:bookmarkEnd w:id="16"/>
  </w:footnote>
  <w:footnote w:id="16">
    <w:p w14:paraId="55D70639" w14:textId="0A0FD504" w:rsidR="0093233D" w:rsidRPr="00AA0928" w:rsidRDefault="0093233D" w:rsidP="005B724A">
      <w:pPr>
        <w:pStyle w:val="FootnoteText"/>
        <w:tabs>
          <w:tab w:val="clear" w:pos="1247"/>
          <w:tab w:val="clear" w:pos="1814"/>
          <w:tab w:val="clear" w:pos="2381"/>
          <w:tab w:val="clear" w:pos="2948"/>
          <w:tab w:val="clear" w:pos="3515"/>
          <w:tab w:val="clear" w:pos="4082"/>
        </w:tabs>
      </w:pPr>
      <w:r w:rsidRPr="00095A55">
        <w:rPr>
          <w:rStyle w:val="FootnoteReference"/>
        </w:rPr>
        <w:footnoteRef/>
      </w:r>
      <w:r w:rsidRPr="00095A55">
        <w:rPr>
          <w:szCs w:val="18"/>
        </w:rPr>
        <w:t xml:space="preserve"> </w:t>
      </w:r>
      <w:r w:rsidRPr="00095A55">
        <w:rPr>
          <w:szCs w:val="18"/>
        </w:rPr>
        <w:tab/>
        <w:t xml:space="preserve">В настоящем дополнении </w:t>
      </w:r>
      <w:r>
        <w:rPr>
          <w:szCs w:val="18"/>
        </w:rPr>
        <w:t xml:space="preserve">выделение </w:t>
      </w:r>
      <w:r w:rsidRPr="00095A55">
        <w:rPr>
          <w:szCs w:val="18"/>
        </w:rPr>
        <w:t>текст</w:t>
      </w:r>
      <w:r>
        <w:rPr>
          <w:szCs w:val="18"/>
        </w:rPr>
        <w:t>а</w:t>
      </w:r>
      <w:r w:rsidRPr="00095A55">
        <w:rPr>
          <w:szCs w:val="18"/>
        </w:rPr>
        <w:t xml:space="preserve"> серым цветом используется для обозначения различий во мнениях </w:t>
      </w:r>
      <w:r w:rsidRPr="008750F1">
        <w:rPr>
          <w:szCs w:val="18"/>
        </w:rPr>
        <w:t xml:space="preserve">представивших </w:t>
      </w:r>
      <w:r>
        <w:rPr>
          <w:szCs w:val="18"/>
        </w:rPr>
        <w:t xml:space="preserve">свои </w:t>
      </w:r>
      <w:r w:rsidRPr="008750F1">
        <w:rPr>
          <w:szCs w:val="18"/>
        </w:rPr>
        <w:t xml:space="preserve">замечания </w:t>
      </w:r>
      <w:r w:rsidRPr="00095A55">
        <w:rPr>
          <w:szCs w:val="18"/>
        </w:rPr>
        <w:t>субъектов относительно включения выделенного текста</w:t>
      </w:r>
      <w:r>
        <w:rPr>
          <w:szCs w:val="18"/>
        </w:rPr>
        <w:t xml:space="preserve"> в документ</w:t>
      </w:r>
      <w:r w:rsidRPr="00095A55">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304AAC67" w:rsidR="0093233D" w:rsidRPr="00942112" w:rsidRDefault="0093233D" w:rsidP="000A2D09">
    <w:pPr>
      <w:pStyle w:val="Header"/>
      <w:tabs>
        <w:tab w:val="clear" w:pos="1247"/>
        <w:tab w:val="clear" w:pos="4536"/>
        <w:tab w:val="clear" w:pos="9072"/>
      </w:tabs>
      <w:rPr>
        <w:szCs w:val="18"/>
        <w:lang w:val="en-US"/>
      </w:rPr>
    </w:pPr>
    <w:r>
      <w:rPr>
        <w:lang w:val="en-US"/>
      </w:rPr>
      <w:t>UNEP/MC/COP.3/14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0E62911C" w:rsidR="0093233D" w:rsidRPr="00942112" w:rsidRDefault="0093233D" w:rsidP="00F1712F">
    <w:pPr>
      <w:pStyle w:val="Header"/>
      <w:tabs>
        <w:tab w:val="clear" w:pos="1247"/>
        <w:tab w:val="clear" w:pos="4536"/>
        <w:tab w:val="clear" w:pos="9072"/>
      </w:tabs>
      <w:jc w:val="right"/>
      <w:rPr>
        <w:szCs w:val="18"/>
        <w:lang w:val="en-US"/>
      </w:rPr>
    </w:pPr>
    <w:r>
      <w:rPr>
        <w:lang w:val="en-US"/>
      </w:rPr>
      <w:t>UNEP/MC/COP.3/14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93233D" w:rsidRDefault="0093233D"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DBA1577"/>
    <w:multiLevelType w:val="hybridMultilevel"/>
    <w:tmpl w:val="61989BAC"/>
    <w:lvl w:ilvl="0" w:tplc="2EA02082">
      <w:start w:val="1"/>
      <w:numFmt w:val="lowerLetter"/>
      <w:lvlText w:val="%1)"/>
      <w:lvlJc w:val="left"/>
      <w:pPr>
        <w:ind w:left="4083" w:hanging="360"/>
      </w:pPr>
      <w:rPr>
        <w:rFonts w:hint="default"/>
      </w:rPr>
    </w:lvl>
    <w:lvl w:ilvl="1" w:tplc="08090019" w:tentative="1">
      <w:start w:val="1"/>
      <w:numFmt w:val="lowerLetter"/>
      <w:lvlText w:val="%2."/>
      <w:lvlJc w:val="left"/>
      <w:pPr>
        <w:ind w:left="4803" w:hanging="360"/>
      </w:pPr>
    </w:lvl>
    <w:lvl w:ilvl="2" w:tplc="0809001B" w:tentative="1">
      <w:start w:val="1"/>
      <w:numFmt w:val="lowerRoman"/>
      <w:lvlText w:val="%3."/>
      <w:lvlJc w:val="right"/>
      <w:pPr>
        <w:ind w:left="5523" w:hanging="180"/>
      </w:pPr>
    </w:lvl>
    <w:lvl w:ilvl="3" w:tplc="0809000F" w:tentative="1">
      <w:start w:val="1"/>
      <w:numFmt w:val="decimal"/>
      <w:lvlText w:val="%4."/>
      <w:lvlJc w:val="left"/>
      <w:pPr>
        <w:ind w:left="6243" w:hanging="360"/>
      </w:pPr>
    </w:lvl>
    <w:lvl w:ilvl="4" w:tplc="08090019" w:tentative="1">
      <w:start w:val="1"/>
      <w:numFmt w:val="lowerLetter"/>
      <w:lvlText w:val="%5."/>
      <w:lvlJc w:val="left"/>
      <w:pPr>
        <w:ind w:left="6963" w:hanging="360"/>
      </w:pPr>
    </w:lvl>
    <w:lvl w:ilvl="5" w:tplc="0809001B" w:tentative="1">
      <w:start w:val="1"/>
      <w:numFmt w:val="lowerRoman"/>
      <w:lvlText w:val="%6."/>
      <w:lvlJc w:val="right"/>
      <w:pPr>
        <w:ind w:left="7683" w:hanging="180"/>
      </w:pPr>
    </w:lvl>
    <w:lvl w:ilvl="6" w:tplc="0809000F" w:tentative="1">
      <w:start w:val="1"/>
      <w:numFmt w:val="decimal"/>
      <w:lvlText w:val="%7."/>
      <w:lvlJc w:val="left"/>
      <w:pPr>
        <w:ind w:left="8403" w:hanging="360"/>
      </w:pPr>
    </w:lvl>
    <w:lvl w:ilvl="7" w:tplc="08090019" w:tentative="1">
      <w:start w:val="1"/>
      <w:numFmt w:val="lowerLetter"/>
      <w:lvlText w:val="%8."/>
      <w:lvlJc w:val="left"/>
      <w:pPr>
        <w:ind w:left="9123" w:hanging="360"/>
      </w:pPr>
    </w:lvl>
    <w:lvl w:ilvl="8" w:tplc="0809001B" w:tentative="1">
      <w:start w:val="1"/>
      <w:numFmt w:val="lowerRoman"/>
      <w:lvlText w:val="%9."/>
      <w:lvlJc w:val="right"/>
      <w:pPr>
        <w:ind w:left="9843" w:hanging="180"/>
      </w:pPr>
    </w:lvl>
  </w:abstractNum>
  <w:abstractNum w:abstractNumId="5"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6"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588530DB"/>
    <w:multiLevelType w:val="hybridMultilevel"/>
    <w:tmpl w:val="DC1CD312"/>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8"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77C16CB1"/>
    <w:multiLevelType w:val="multilevel"/>
    <w:tmpl w:val="067ABE8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Letter"/>
      <w:pStyle w:val="Subparagraphs"/>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6"/>
  </w:num>
  <w:num w:numId="2">
    <w:abstractNumId w:val="1"/>
  </w:num>
  <w:num w:numId="3">
    <w:abstractNumId w:val="3"/>
  </w:num>
  <w:num w:numId="4">
    <w:abstractNumId w:val="6"/>
  </w:num>
  <w:num w:numId="5">
    <w:abstractNumId w:val="6"/>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1"/>
  </w:num>
  <w:num w:numId="13">
    <w:abstractNumId w:val="6"/>
  </w:num>
  <w:num w:numId="14">
    <w:abstractNumId w:val="6"/>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5"/>
  </w:num>
  <w:num w:numId="19">
    <w:abstractNumId w:val="6"/>
    <w:lvlOverride w:ilvl="1">
      <w:lvl w:ilvl="1">
        <w:start w:val="1"/>
        <w:numFmt w:val="lowerLetter"/>
        <w:lvlText w:val="(%2)"/>
        <w:lvlJc w:val="left"/>
        <w:pPr>
          <w:tabs>
            <w:tab w:val="num" w:pos="1134"/>
          </w:tabs>
          <w:ind w:left="1247" w:firstLine="567"/>
        </w:pPr>
        <w:rPr>
          <w:rFonts w:hint="default"/>
        </w:rPr>
      </w:lvl>
    </w:lvlOverride>
  </w:num>
  <w:num w:numId="20">
    <w:abstractNumId w:val="6"/>
    <w:lvlOverride w:ilvl="0">
      <w:lvl w:ilvl="0">
        <w:start w:val="1"/>
        <w:numFmt w:val="decimal"/>
        <w:pStyle w:val="Normalnumber"/>
        <w:lvlText w:val="%1."/>
        <w:lvlJc w:val="left"/>
        <w:pPr>
          <w:tabs>
            <w:tab w:val="num" w:pos="1057"/>
          </w:tabs>
          <w:ind w:left="1170" w:firstLine="0"/>
        </w:pPr>
        <w:rPr>
          <w:rFonts w:hint="default"/>
        </w:rPr>
      </w:lvl>
    </w:lvlOverride>
  </w:num>
  <w:num w:numId="21">
    <w:abstractNumId w:val="10"/>
  </w:num>
  <w:num w:numId="22">
    <w:abstractNumId w:val="4"/>
  </w:num>
  <w:num w:numId="2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06738"/>
    <w:rsid w:val="00013C2B"/>
    <w:rsid w:val="000149E6"/>
    <w:rsid w:val="00023DA9"/>
    <w:rsid w:val="000247B0"/>
    <w:rsid w:val="0002502C"/>
    <w:rsid w:val="00026997"/>
    <w:rsid w:val="00026A08"/>
    <w:rsid w:val="00032E4E"/>
    <w:rsid w:val="00033E0B"/>
    <w:rsid w:val="000355E0"/>
    <w:rsid w:val="00035EDE"/>
    <w:rsid w:val="00036F05"/>
    <w:rsid w:val="00050146"/>
    <w:rsid w:val="000509B4"/>
    <w:rsid w:val="000553F1"/>
    <w:rsid w:val="00056B67"/>
    <w:rsid w:val="0006035B"/>
    <w:rsid w:val="0006096F"/>
    <w:rsid w:val="000649C5"/>
    <w:rsid w:val="00066CAB"/>
    <w:rsid w:val="00071886"/>
    <w:rsid w:val="000742BC"/>
    <w:rsid w:val="00075D5E"/>
    <w:rsid w:val="00076CC6"/>
    <w:rsid w:val="00082A0C"/>
    <w:rsid w:val="00082BFB"/>
    <w:rsid w:val="000832C7"/>
    <w:rsid w:val="00083504"/>
    <w:rsid w:val="000849CA"/>
    <w:rsid w:val="000905DA"/>
    <w:rsid w:val="00093477"/>
    <w:rsid w:val="0009640C"/>
    <w:rsid w:val="0009785A"/>
    <w:rsid w:val="000A035D"/>
    <w:rsid w:val="000A2D09"/>
    <w:rsid w:val="000A33DF"/>
    <w:rsid w:val="000A48BD"/>
    <w:rsid w:val="000A5627"/>
    <w:rsid w:val="000B22A2"/>
    <w:rsid w:val="000B3A56"/>
    <w:rsid w:val="000B4576"/>
    <w:rsid w:val="000B5621"/>
    <w:rsid w:val="000B6C42"/>
    <w:rsid w:val="000B73F9"/>
    <w:rsid w:val="000C2A52"/>
    <w:rsid w:val="000C61C3"/>
    <w:rsid w:val="000D0603"/>
    <w:rsid w:val="000D221F"/>
    <w:rsid w:val="000D24D3"/>
    <w:rsid w:val="000D33C0"/>
    <w:rsid w:val="000D4CF6"/>
    <w:rsid w:val="000D6941"/>
    <w:rsid w:val="000D7B0E"/>
    <w:rsid w:val="000E04CD"/>
    <w:rsid w:val="000E2427"/>
    <w:rsid w:val="000F1B80"/>
    <w:rsid w:val="000F4829"/>
    <w:rsid w:val="000F6535"/>
    <w:rsid w:val="000F7B98"/>
    <w:rsid w:val="001056F1"/>
    <w:rsid w:val="00105BC8"/>
    <w:rsid w:val="00110A13"/>
    <w:rsid w:val="001143B8"/>
    <w:rsid w:val="00114F8F"/>
    <w:rsid w:val="001202E3"/>
    <w:rsid w:val="00123699"/>
    <w:rsid w:val="001241FB"/>
    <w:rsid w:val="00126CBE"/>
    <w:rsid w:val="00126E66"/>
    <w:rsid w:val="0013059D"/>
    <w:rsid w:val="00136187"/>
    <w:rsid w:val="00141A55"/>
    <w:rsid w:val="001421DB"/>
    <w:rsid w:val="0014293F"/>
    <w:rsid w:val="00142F36"/>
    <w:rsid w:val="0014397D"/>
    <w:rsid w:val="001446A3"/>
    <w:rsid w:val="00145890"/>
    <w:rsid w:val="00152B6B"/>
    <w:rsid w:val="00155395"/>
    <w:rsid w:val="00156B6B"/>
    <w:rsid w:val="00160D74"/>
    <w:rsid w:val="00160E55"/>
    <w:rsid w:val="0016251F"/>
    <w:rsid w:val="001646EA"/>
    <w:rsid w:val="00167D02"/>
    <w:rsid w:val="001726AD"/>
    <w:rsid w:val="001759D8"/>
    <w:rsid w:val="00175EE6"/>
    <w:rsid w:val="00177D7F"/>
    <w:rsid w:val="00180C3F"/>
    <w:rsid w:val="00181EC8"/>
    <w:rsid w:val="00182C6D"/>
    <w:rsid w:val="00184349"/>
    <w:rsid w:val="00190DB7"/>
    <w:rsid w:val="00190EBD"/>
    <w:rsid w:val="001933B5"/>
    <w:rsid w:val="00195F33"/>
    <w:rsid w:val="0019763A"/>
    <w:rsid w:val="001A04AA"/>
    <w:rsid w:val="001A3865"/>
    <w:rsid w:val="001B1617"/>
    <w:rsid w:val="001B504B"/>
    <w:rsid w:val="001B6F89"/>
    <w:rsid w:val="001B6F98"/>
    <w:rsid w:val="001C0FF0"/>
    <w:rsid w:val="001C191A"/>
    <w:rsid w:val="001C208E"/>
    <w:rsid w:val="001D3874"/>
    <w:rsid w:val="001D7E75"/>
    <w:rsid w:val="001E0D73"/>
    <w:rsid w:val="001E4028"/>
    <w:rsid w:val="001E45BD"/>
    <w:rsid w:val="001E56D2"/>
    <w:rsid w:val="001E76D5"/>
    <w:rsid w:val="001E7D56"/>
    <w:rsid w:val="001F0FBB"/>
    <w:rsid w:val="001F4EF3"/>
    <w:rsid w:val="001F75DE"/>
    <w:rsid w:val="00200ABD"/>
    <w:rsid w:val="00200D58"/>
    <w:rsid w:val="002011C1"/>
    <w:rsid w:val="002013BE"/>
    <w:rsid w:val="00201EDC"/>
    <w:rsid w:val="002063A4"/>
    <w:rsid w:val="0021145B"/>
    <w:rsid w:val="00217692"/>
    <w:rsid w:val="00220C23"/>
    <w:rsid w:val="002212DC"/>
    <w:rsid w:val="002247F6"/>
    <w:rsid w:val="00225E21"/>
    <w:rsid w:val="002274D8"/>
    <w:rsid w:val="00234E78"/>
    <w:rsid w:val="00240BD3"/>
    <w:rsid w:val="00243D36"/>
    <w:rsid w:val="002445B0"/>
    <w:rsid w:val="00246151"/>
    <w:rsid w:val="0024616E"/>
    <w:rsid w:val="00247707"/>
    <w:rsid w:val="00255632"/>
    <w:rsid w:val="0026018E"/>
    <w:rsid w:val="00260410"/>
    <w:rsid w:val="002623CD"/>
    <w:rsid w:val="00271A4F"/>
    <w:rsid w:val="00272100"/>
    <w:rsid w:val="00276824"/>
    <w:rsid w:val="00277CE2"/>
    <w:rsid w:val="00282CEA"/>
    <w:rsid w:val="0028635C"/>
    <w:rsid w:val="00286740"/>
    <w:rsid w:val="00291EAE"/>
    <w:rsid w:val="002929D8"/>
    <w:rsid w:val="0029570E"/>
    <w:rsid w:val="002A237D"/>
    <w:rsid w:val="002A398B"/>
    <w:rsid w:val="002A4C53"/>
    <w:rsid w:val="002B0672"/>
    <w:rsid w:val="002B247F"/>
    <w:rsid w:val="002B50D4"/>
    <w:rsid w:val="002B5F16"/>
    <w:rsid w:val="002C145D"/>
    <w:rsid w:val="002C2C3E"/>
    <w:rsid w:val="002C3FC3"/>
    <w:rsid w:val="002C477F"/>
    <w:rsid w:val="002C533E"/>
    <w:rsid w:val="002C5EA0"/>
    <w:rsid w:val="002D027F"/>
    <w:rsid w:val="002D1250"/>
    <w:rsid w:val="002D3E15"/>
    <w:rsid w:val="002D6E8C"/>
    <w:rsid w:val="002D7A85"/>
    <w:rsid w:val="002D7B60"/>
    <w:rsid w:val="002E6C80"/>
    <w:rsid w:val="002F42D1"/>
    <w:rsid w:val="002F4761"/>
    <w:rsid w:val="002F5C79"/>
    <w:rsid w:val="002F68EE"/>
    <w:rsid w:val="002F6BC7"/>
    <w:rsid w:val="002F7F95"/>
    <w:rsid w:val="003019E2"/>
    <w:rsid w:val="00304499"/>
    <w:rsid w:val="0031042A"/>
    <w:rsid w:val="003109BE"/>
    <w:rsid w:val="00310B4B"/>
    <w:rsid w:val="00310BEB"/>
    <w:rsid w:val="00312543"/>
    <w:rsid w:val="0031413F"/>
    <w:rsid w:val="00314854"/>
    <w:rsid w:val="003148BB"/>
    <w:rsid w:val="00317976"/>
    <w:rsid w:val="00320F2F"/>
    <w:rsid w:val="00324D47"/>
    <w:rsid w:val="00326E66"/>
    <w:rsid w:val="00332216"/>
    <w:rsid w:val="003338F7"/>
    <w:rsid w:val="00337D72"/>
    <w:rsid w:val="003472DA"/>
    <w:rsid w:val="0034782B"/>
    <w:rsid w:val="00355EA9"/>
    <w:rsid w:val="003578DE"/>
    <w:rsid w:val="00361688"/>
    <w:rsid w:val="003616AB"/>
    <w:rsid w:val="00361855"/>
    <w:rsid w:val="00372443"/>
    <w:rsid w:val="00377FD5"/>
    <w:rsid w:val="003877D5"/>
    <w:rsid w:val="003903D6"/>
    <w:rsid w:val="003929B8"/>
    <w:rsid w:val="00396257"/>
    <w:rsid w:val="00397EB8"/>
    <w:rsid w:val="003A4FD0"/>
    <w:rsid w:val="003A69D1"/>
    <w:rsid w:val="003A69F0"/>
    <w:rsid w:val="003A7705"/>
    <w:rsid w:val="003A77F1"/>
    <w:rsid w:val="003B1545"/>
    <w:rsid w:val="003B2A2E"/>
    <w:rsid w:val="003B34AA"/>
    <w:rsid w:val="003C2885"/>
    <w:rsid w:val="003C3219"/>
    <w:rsid w:val="003C34B1"/>
    <w:rsid w:val="003C3795"/>
    <w:rsid w:val="003C3C3F"/>
    <w:rsid w:val="003C409D"/>
    <w:rsid w:val="003C5583"/>
    <w:rsid w:val="003C5BA6"/>
    <w:rsid w:val="003C6163"/>
    <w:rsid w:val="003C73A5"/>
    <w:rsid w:val="003C74CF"/>
    <w:rsid w:val="003D2FCB"/>
    <w:rsid w:val="003D3752"/>
    <w:rsid w:val="003E35DA"/>
    <w:rsid w:val="003E455D"/>
    <w:rsid w:val="003E5F64"/>
    <w:rsid w:val="003F0E85"/>
    <w:rsid w:val="003F10BE"/>
    <w:rsid w:val="003F5F95"/>
    <w:rsid w:val="00401D8B"/>
    <w:rsid w:val="00410C55"/>
    <w:rsid w:val="00415FE6"/>
    <w:rsid w:val="0041608D"/>
    <w:rsid w:val="00416854"/>
    <w:rsid w:val="00417725"/>
    <w:rsid w:val="00420709"/>
    <w:rsid w:val="004368F5"/>
    <w:rsid w:val="004375DD"/>
    <w:rsid w:val="00437F26"/>
    <w:rsid w:val="00440739"/>
    <w:rsid w:val="0044137F"/>
    <w:rsid w:val="0044299C"/>
    <w:rsid w:val="00444097"/>
    <w:rsid w:val="00445487"/>
    <w:rsid w:val="0044713F"/>
    <w:rsid w:val="00447E0D"/>
    <w:rsid w:val="00453A68"/>
    <w:rsid w:val="00454769"/>
    <w:rsid w:val="0046222F"/>
    <w:rsid w:val="00465D27"/>
    <w:rsid w:val="00466991"/>
    <w:rsid w:val="0047045D"/>
    <w:rsid w:val="0047064C"/>
    <w:rsid w:val="004822B7"/>
    <w:rsid w:val="00483E03"/>
    <w:rsid w:val="004844FA"/>
    <w:rsid w:val="0049469E"/>
    <w:rsid w:val="004A2217"/>
    <w:rsid w:val="004A24F9"/>
    <w:rsid w:val="004A42E1"/>
    <w:rsid w:val="004A4B18"/>
    <w:rsid w:val="004A7DDC"/>
    <w:rsid w:val="004B162C"/>
    <w:rsid w:val="004B2ABE"/>
    <w:rsid w:val="004B50B2"/>
    <w:rsid w:val="004C3DBE"/>
    <w:rsid w:val="004C5C96"/>
    <w:rsid w:val="004D06A4"/>
    <w:rsid w:val="004F117C"/>
    <w:rsid w:val="004F14FF"/>
    <w:rsid w:val="004F1A81"/>
    <w:rsid w:val="004F2185"/>
    <w:rsid w:val="004F3976"/>
    <w:rsid w:val="004F7229"/>
    <w:rsid w:val="004F79F2"/>
    <w:rsid w:val="005050D2"/>
    <w:rsid w:val="00511D7B"/>
    <w:rsid w:val="0051272E"/>
    <w:rsid w:val="00514C13"/>
    <w:rsid w:val="00516D71"/>
    <w:rsid w:val="005218D9"/>
    <w:rsid w:val="00521EED"/>
    <w:rsid w:val="0052216E"/>
    <w:rsid w:val="005254C3"/>
    <w:rsid w:val="00534D57"/>
    <w:rsid w:val="00535A20"/>
    <w:rsid w:val="005360CF"/>
    <w:rsid w:val="00536186"/>
    <w:rsid w:val="00544CBB"/>
    <w:rsid w:val="00544D17"/>
    <w:rsid w:val="00545499"/>
    <w:rsid w:val="00560A35"/>
    <w:rsid w:val="00560E18"/>
    <w:rsid w:val="00562374"/>
    <w:rsid w:val="005656D7"/>
    <w:rsid w:val="0056690C"/>
    <w:rsid w:val="00567280"/>
    <w:rsid w:val="00571C42"/>
    <w:rsid w:val="0057315F"/>
    <w:rsid w:val="005738A4"/>
    <w:rsid w:val="00573E5E"/>
    <w:rsid w:val="00576104"/>
    <w:rsid w:val="00580923"/>
    <w:rsid w:val="00584860"/>
    <w:rsid w:val="00587213"/>
    <w:rsid w:val="00592B21"/>
    <w:rsid w:val="00596774"/>
    <w:rsid w:val="005A0C7E"/>
    <w:rsid w:val="005A110C"/>
    <w:rsid w:val="005A6F34"/>
    <w:rsid w:val="005B2268"/>
    <w:rsid w:val="005B44BF"/>
    <w:rsid w:val="005B66F5"/>
    <w:rsid w:val="005B724A"/>
    <w:rsid w:val="005C4DFD"/>
    <w:rsid w:val="005C67C8"/>
    <w:rsid w:val="005C782C"/>
    <w:rsid w:val="005D0249"/>
    <w:rsid w:val="005D18FA"/>
    <w:rsid w:val="005D2120"/>
    <w:rsid w:val="005D220C"/>
    <w:rsid w:val="005D25CF"/>
    <w:rsid w:val="005D4FD4"/>
    <w:rsid w:val="005D6E8C"/>
    <w:rsid w:val="005E3004"/>
    <w:rsid w:val="005E3C86"/>
    <w:rsid w:val="005F100C"/>
    <w:rsid w:val="005F49C6"/>
    <w:rsid w:val="005F68DA"/>
    <w:rsid w:val="005F70D6"/>
    <w:rsid w:val="005F7853"/>
    <w:rsid w:val="00601BC9"/>
    <w:rsid w:val="0060619D"/>
    <w:rsid w:val="0060773B"/>
    <w:rsid w:val="00610A5E"/>
    <w:rsid w:val="00613FD6"/>
    <w:rsid w:val="00614E24"/>
    <w:rsid w:val="006157B5"/>
    <w:rsid w:val="00616741"/>
    <w:rsid w:val="00617224"/>
    <w:rsid w:val="00620222"/>
    <w:rsid w:val="00620245"/>
    <w:rsid w:val="006233C8"/>
    <w:rsid w:val="00624B58"/>
    <w:rsid w:val="00624C92"/>
    <w:rsid w:val="00626FC6"/>
    <w:rsid w:val="00627293"/>
    <w:rsid w:val="006303B4"/>
    <w:rsid w:val="00630ADC"/>
    <w:rsid w:val="00633D3D"/>
    <w:rsid w:val="006343C4"/>
    <w:rsid w:val="0063654D"/>
    <w:rsid w:val="006368F1"/>
    <w:rsid w:val="00641703"/>
    <w:rsid w:val="006431A6"/>
    <w:rsid w:val="006432A0"/>
    <w:rsid w:val="00643B4C"/>
    <w:rsid w:val="00643E3A"/>
    <w:rsid w:val="006459F6"/>
    <w:rsid w:val="006501AD"/>
    <w:rsid w:val="00651BFA"/>
    <w:rsid w:val="006534F9"/>
    <w:rsid w:val="00654475"/>
    <w:rsid w:val="00654C35"/>
    <w:rsid w:val="00655560"/>
    <w:rsid w:val="00656DF0"/>
    <w:rsid w:val="00657A13"/>
    <w:rsid w:val="00661446"/>
    <w:rsid w:val="00665A4B"/>
    <w:rsid w:val="00665D0D"/>
    <w:rsid w:val="006744CB"/>
    <w:rsid w:val="00684351"/>
    <w:rsid w:val="00684BE1"/>
    <w:rsid w:val="00684C36"/>
    <w:rsid w:val="0068578E"/>
    <w:rsid w:val="00692E2A"/>
    <w:rsid w:val="00694797"/>
    <w:rsid w:val="006963F8"/>
    <w:rsid w:val="00696702"/>
    <w:rsid w:val="006A3BB0"/>
    <w:rsid w:val="006A76F2"/>
    <w:rsid w:val="006A7DE0"/>
    <w:rsid w:val="006B3D4A"/>
    <w:rsid w:val="006B6333"/>
    <w:rsid w:val="006C0792"/>
    <w:rsid w:val="006C0CC0"/>
    <w:rsid w:val="006C310F"/>
    <w:rsid w:val="006D19D4"/>
    <w:rsid w:val="006D2247"/>
    <w:rsid w:val="006D3527"/>
    <w:rsid w:val="006D7433"/>
    <w:rsid w:val="006D7EFB"/>
    <w:rsid w:val="006E6672"/>
    <w:rsid w:val="006E6722"/>
    <w:rsid w:val="006F0D46"/>
    <w:rsid w:val="006F27D0"/>
    <w:rsid w:val="006F6CB5"/>
    <w:rsid w:val="006F7AFF"/>
    <w:rsid w:val="007027B9"/>
    <w:rsid w:val="007066B5"/>
    <w:rsid w:val="00711F4E"/>
    <w:rsid w:val="007145DA"/>
    <w:rsid w:val="00715E88"/>
    <w:rsid w:val="00720092"/>
    <w:rsid w:val="00721A6D"/>
    <w:rsid w:val="0072441F"/>
    <w:rsid w:val="00724590"/>
    <w:rsid w:val="00731EC1"/>
    <w:rsid w:val="007334E8"/>
    <w:rsid w:val="00734CAA"/>
    <w:rsid w:val="00735D97"/>
    <w:rsid w:val="00741552"/>
    <w:rsid w:val="00742680"/>
    <w:rsid w:val="0074354A"/>
    <w:rsid w:val="00744004"/>
    <w:rsid w:val="00750157"/>
    <w:rsid w:val="00752407"/>
    <w:rsid w:val="007551E2"/>
    <w:rsid w:val="0075533C"/>
    <w:rsid w:val="00755A53"/>
    <w:rsid w:val="00757581"/>
    <w:rsid w:val="007602F5"/>
    <w:rsid w:val="00760D36"/>
    <w:rsid w:val="007611A0"/>
    <w:rsid w:val="00763603"/>
    <w:rsid w:val="00763DAB"/>
    <w:rsid w:val="00766F1B"/>
    <w:rsid w:val="00773E54"/>
    <w:rsid w:val="00774E34"/>
    <w:rsid w:val="00775D8D"/>
    <w:rsid w:val="00780709"/>
    <w:rsid w:val="0078489D"/>
    <w:rsid w:val="00785A62"/>
    <w:rsid w:val="00787240"/>
    <w:rsid w:val="00787688"/>
    <w:rsid w:val="007935E6"/>
    <w:rsid w:val="00796D3F"/>
    <w:rsid w:val="007A1683"/>
    <w:rsid w:val="007A3DC0"/>
    <w:rsid w:val="007A5C12"/>
    <w:rsid w:val="007A7CB0"/>
    <w:rsid w:val="007B68A3"/>
    <w:rsid w:val="007B718E"/>
    <w:rsid w:val="007C2541"/>
    <w:rsid w:val="007D4873"/>
    <w:rsid w:val="007D66A8"/>
    <w:rsid w:val="007E003F"/>
    <w:rsid w:val="007E391E"/>
    <w:rsid w:val="007E5F07"/>
    <w:rsid w:val="007F0CF8"/>
    <w:rsid w:val="007F29FD"/>
    <w:rsid w:val="007F41F5"/>
    <w:rsid w:val="007F62CB"/>
    <w:rsid w:val="008041AB"/>
    <w:rsid w:val="00804AA1"/>
    <w:rsid w:val="00804E87"/>
    <w:rsid w:val="00805335"/>
    <w:rsid w:val="008142EC"/>
    <w:rsid w:val="008164F2"/>
    <w:rsid w:val="00821395"/>
    <w:rsid w:val="00822E3D"/>
    <w:rsid w:val="00826AF3"/>
    <w:rsid w:val="00830E26"/>
    <w:rsid w:val="00833D15"/>
    <w:rsid w:val="00835E10"/>
    <w:rsid w:val="008368E4"/>
    <w:rsid w:val="00842874"/>
    <w:rsid w:val="00843576"/>
    <w:rsid w:val="00843B64"/>
    <w:rsid w:val="00844866"/>
    <w:rsid w:val="008473F4"/>
    <w:rsid w:val="008478FC"/>
    <w:rsid w:val="00851756"/>
    <w:rsid w:val="00851C51"/>
    <w:rsid w:val="00851D61"/>
    <w:rsid w:val="00856CDB"/>
    <w:rsid w:val="00867A15"/>
    <w:rsid w:val="00867BFF"/>
    <w:rsid w:val="00871542"/>
    <w:rsid w:val="0087180B"/>
    <w:rsid w:val="00871E08"/>
    <w:rsid w:val="00872BF6"/>
    <w:rsid w:val="00874B0D"/>
    <w:rsid w:val="008750F1"/>
    <w:rsid w:val="0088480A"/>
    <w:rsid w:val="0088757A"/>
    <w:rsid w:val="00890C63"/>
    <w:rsid w:val="0089431B"/>
    <w:rsid w:val="00894479"/>
    <w:rsid w:val="00894DA2"/>
    <w:rsid w:val="00895668"/>
    <w:rsid w:val="008957DD"/>
    <w:rsid w:val="00897D98"/>
    <w:rsid w:val="008A2570"/>
    <w:rsid w:val="008A2F23"/>
    <w:rsid w:val="008A6DF2"/>
    <w:rsid w:val="008A7807"/>
    <w:rsid w:val="008B0CED"/>
    <w:rsid w:val="008B4CC9"/>
    <w:rsid w:val="008B5543"/>
    <w:rsid w:val="008B6ECC"/>
    <w:rsid w:val="008C09D9"/>
    <w:rsid w:val="008C34A4"/>
    <w:rsid w:val="008C5EE0"/>
    <w:rsid w:val="008C5FFF"/>
    <w:rsid w:val="008D1818"/>
    <w:rsid w:val="008D4EF1"/>
    <w:rsid w:val="008D75E4"/>
    <w:rsid w:val="008D7C99"/>
    <w:rsid w:val="008E0FCB"/>
    <w:rsid w:val="008F5040"/>
    <w:rsid w:val="008F6DFE"/>
    <w:rsid w:val="008F749B"/>
    <w:rsid w:val="009008EA"/>
    <w:rsid w:val="0090529F"/>
    <w:rsid w:val="00905742"/>
    <w:rsid w:val="009063FB"/>
    <w:rsid w:val="009148B3"/>
    <w:rsid w:val="00917EEE"/>
    <w:rsid w:val="0092178C"/>
    <w:rsid w:val="00922BA1"/>
    <w:rsid w:val="00922DC1"/>
    <w:rsid w:val="00924370"/>
    <w:rsid w:val="00924736"/>
    <w:rsid w:val="00927EF8"/>
    <w:rsid w:val="00930B88"/>
    <w:rsid w:val="0093233D"/>
    <w:rsid w:val="009337A8"/>
    <w:rsid w:val="00934554"/>
    <w:rsid w:val="00940DCC"/>
    <w:rsid w:val="0094179A"/>
    <w:rsid w:val="00942112"/>
    <w:rsid w:val="00942F46"/>
    <w:rsid w:val="00943834"/>
    <w:rsid w:val="0094459E"/>
    <w:rsid w:val="00944DBC"/>
    <w:rsid w:val="00950977"/>
    <w:rsid w:val="00951A7B"/>
    <w:rsid w:val="009541FC"/>
    <w:rsid w:val="009564A6"/>
    <w:rsid w:val="00960269"/>
    <w:rsid w:val="00960425"/>
    <w:rsid w:val="0096427B"/>
    <w:rsid w:val="00966A53"/>
    <w:rsid w:val="00967621"/>
    <w:rsid w:val="00967E6A"/>
    <w:rsid w:val="00974D5F"/>
    <w:rsid w:val="00975EA2"/>
    <w:rsid w:val="009850D6"/>
    <w:rsid w:val="00985FE3"/>
    <w:rsid w:val="009907B9"/>
    <w:rsid w:val="00990918"/>
    <w:rsid w:val="00997BEB"/>
    <w:rsid w:val="009A3A83"/>
    <w:rsid w:val="009B0D04"/>
    <w:rsid w:val="009B1C44"/>
    <w:rsid w:val="009B30FD"/>
    <w:rsid w:val="009B4A0F"/>
    <w:rsid w:val="009C11D2"/>
    <w:rsid w:val="009C3362"/>
    <w:rsid w:val="009C4C07"/>
    <w:rsid w:val="009C6C70"/>
    <w:rsid w:val="009C7B0A"/>
    <w:rsid w:val="009D0B63"/>
    <w:rsid w:val="009D197D"/>
    <w:rsid w:val="009D32CE"/>
    <w:rsid w:val="009D5CB8"/>
    <w:rsid w:val="009E307E"/>
    <w:rsid w:val="009E509E"/>
    <w:rsid w:val="009E55F7"/>
    <w:rsid w:val="009F0A2A"/>
    <w:rsid w:val="009F6586"/>
    <w:rsid w:val="009F7611"/>
    <w:rsid w:val="009F7C34"/>
    <w:rsid w:val="009F7ED2"/>
    <w:rsid w:val="00A0132D"/>
    <w:rsid w:val="00A018C0"/>
    <w:rsid w:val="00A0287D"/>
    <w:rsid w:val="00A02C98"/>
    <w:rsid w:val="00A056B5"/>
    <w:rsid w:val="00A07870"/>
    <w:rsid w:val="00A07C54"/>
    <w:rsid w:val="00A07F19"/>
    <w:rsid w:val="00A10047"/>
    <w:rsid w:val="00A1348D"/>
    <w:rsid w:val="00A13C99"/>
    <w:rsid w:val="00A232EE"/>
    <w:rsid w:val="00A243E5"/>
    <w:rsid w:val="00A2589A"/>
    <w:rsid w:val="00A345E1"/>
    <w:rsid w:val="00A414F6"/>
    <w:rsid w:val="00A4175F"/>
    <w:rsid w:val="00A426E2"/>
    <w:rsid w:val="00A43A67"/>
    <w:rsid w:val="00A44411"/>
    <w:rsid w:val="00A44FD5"/>
    <w:rsid w:val="00A469FA"/>
    <w:rsid w:val="00A5053C"/>
    <w:rsid w:val="00A53662"/>
    <w:rsid w:val="00A54CB9"/>
    <w:rsid w:val="00A55B01"/>
    <w:rsid w:val="00A55DA3"/>
    <w:rsid w:val="00A56158"/>
    <w:rsid w:val="00A56B5B"/>
    <w:rsid w:val="00A603FF"/>
    <w:rsid w:val="00A619B6"/>
    <w:rsid w:val="00A648CA"/>
    <w:rsid w:val="00A657DD"/>
    <w:rsid w:val="00A65D0C"/>
    <w:rsid w:val="00A666A6"/>
    <w:rsid w:val="00A675FD"/>
    <w:rsid w:val="00A72437"/>
    <w:rsid w:val="00A730BD"/>
    <w:rsid w:val="00A752FE"/>
    <w:rsid w:val="00A8048B"/>
    <w:rsid w:val="00A80611"/>
    <w:rsid w:val="00A839F6"/>
    <w:rsid w:val="00A84544"/>
    <w:rsid w:val="00A90581"/>
    <w:rsid w:val="00A91D38"/>
    <w:rsid w:val="00A92050"/>
    <w:rsid w:val="00AA0928"/>
    <w:rsid w:val="00AA2EC0"/>
    <w:rsid w:val="00AA5135"/>
    <w:rsid w:val="00AA5BF4"/>
    <w:rsid w:val="00AB01D4"/>
    <w:rsid w:val="00AB5340"/>
    <w:rsid w:val="00AC0A89"/>
    <w:rsid w:val="00AC62F0"/>
    <w:rsid w:val="00AC7252"/>
    <w:rsid w:val="00AC7C96"/>
    <w:rsid w:val="00AD1D99"/>
    <w:rsid w:val="00AD4326"/>
    <w:rsid w:val="00AD451C"/>
    <w:rsid w:val="00AE237D"/>
    <w:rsid w:val="00AE2C90"/>
    <w:rsid w:val="00AE38EB"/>
    <w:rsid w:val="00AE502A"/>
    <w:rsid w:val="00AE5B0D"/>
    <w:rsid w:val="00AF0010"/>
    <w:rsid w:val="00AF2C1F"/>
    <w:rsid w:val="00AF5E0F"/>
    <w:rsid w:val="00AF7A9F"/>
    <w:rsid w:val="00AF7C07"/>
    <w:rsid w:val="00B03E98"/>
    <w:rsid w:val="00B06C64"/>
    <w:rsid w:val="00B11CAC"/>
    <w:rsid w:val="00B153E7"/>
    <w:rsid w:val="00B15A29"/>
    <w:rsid w:val="00B17A26"/>
    <w:rsid w:val="00B17D81"/>
    <w:rsid w:val="00B22C93"/>
    <w:rsid w:val="00B23C23"/>
    <w:rsid w:val="00B27589"/>
    <w:rsid w:val="00B36D10"/>
    <w:rsid w:val="00B405B7"/>
    <w:rsid w:val="00B45A38"/>
    <w:rsid w:val="00B509CF"/>
    <w:rsid w:val="00B52222"/>
    <w:rsid w:val="00B52581"/>
    <w:rsid w:val="00B531DA"/>
    <w:rsid w:val="00B54895"/>
    <w:rsid w:val="00B54FE7"/>
    <w:rsid w:val="00B568CE"/>
    <w:rsid w:val="00B62CB6"/>
    <w:rsid w:val="00B647C6"/>
    <w:rsid w:val="00B655F9"/>
    <w:rsid w:val="00B66901"/>
    <w:rsid w:val="00B70F47"/>
    <w:rsid w:val="00B71151"/>
    <w:rsid w:val="00B718B5"/>
    <w:rsid w:val="00B71E6D"/>
    <w:rsid w:val="00B72070"/>
    <w:rsid w:val="00B779E1"/>
    <w:rsid w:val="00B81E3A"/>
    <w:rsid w:val="00B85CFB"/>
    <w:rsid w:val="00B91EE1"/>
    <w:rsid w:val="00B93098"/>
    <w:rsid w:val="00B94602"/>
    <w:rsid w:val="00B95620"/>
    <w:rsid w:val="00BA0090"/>
    <w:rsid w:val="00BA1780"/>
    <w:rsid w:val="00BA1A67"/>
    <w:rsid w:val="00BA6A80"/>
    <w:rsid w:val="00BB3A5D"/>
    <w:rsid w:val="00BB3EEE"/>
    <w:rsid w:val="00BB4ABB"/>
    <w:rsid w:val="00BC041F"/>
    <w:rsid w:val="00BC5810"/>
    <w:rsid w:val="00BD506D"/>
    <w:rsid w:val="00BD60B5"/>
    <w:rsid w:val="00BE5B5F"/>
    <w:rsid w:val="00BE7993"/>
    <w:rsid w:val="00BE7AD2"/>
    <w:rsid w:val="00BF5992"/>
    <w:rsid w:val="00C027FF"/>
    <w:rsid w:val="00C116AA"/>
    <w:rsid w:val="00C12FD1"/>
    <w:rsid w:val="00C168A7"/>
    <w:rsid w:val="00C172E3"/>
    <w:rsid w:val="00C20A2D"/>
    <w:rsid w:val="00C26F55"/>
    <w:rsid w:val="00C27DCA"/>
    <w:rsid w:val="00C30C63"/>
    <w:rsid w:val="00C30FF3"/>
    <w:rsid w:val="00C3165D"/>
    <w:rsid w:val="00C36B8B"/>
    <w:rsid w:val="00C415C1"/>
    <w:rsid w:val="00C4766A"/>
    <w:rsid w:val="00C47DBF"/>
    <w:rsid w:val="00C543FE"/>
    <w:rsid w:val="00C552FF"/>
    <w:rsid w:val="00C558DA"/>
    <w:rsid w:val="00C55AF3"/>
    <w:rsid w:val="00C57E56"/>
    <w:rsid w:val="00C6062B"/>
    <w:rsid w:val="00C60754"/>
    <w:rsid w:val="00C60791"/>
    <w:rsid w:val="00C626C6"/>
    <w:rsid w:val="00C724EE"/>
    <w:rsid w:val="00C75781"/>
    <w:rsid w:val="00C771A9"/>
    <w:rsid w:val="00C84759"/>
    <w:rsid w:val="00C854BD"/>
    <w:rsid w:val="00C870D8"/>
    <w:rsid w:val="00C87AAA"/>
    <w:rsid w:val="00C87C97"/>
    <w:rsid w:val="00C87EEF"/>
    <w:rsid w:val="00C93753"/>
    <w:rsid w:val="00C956E9"/>
    <w:rsid w:val="00CA2EA3"/>
    <w:rsid w:val="00CA5CA9"/>
    <w:rsid w:val="00CA6C7F"/>
    <w:rsid w:val="00CB6B35"/>
    <w:rsid w:val="00CB71A3"/>
    <w:rsid w:val="00CC0FC7"/>
    <w:rsid w:val="00CC10A6"/>
    <w:rsid w:val="00CC7142"/>
    <w:rsid w:val="00CD11DF"/>
    <w:rsid w:val="00CD2011"/>
    <w:rsid w:val="00CD46C5"/>
    <w:rsid w:val="00CD5EB8"/>
    <w:rsid w:val="00CD7044"/>
    <w:rsid w:val="00CE08B9"/>
    <w:rsid w:val="00CE524C"/>
    <w:rsid w:val="00CF141F"/>
    <w:rsid w:val="00CF4777"/>
    <w:rsid w:val="00CF65C8"/>
    <w:rsid w:val="00CF7C11"/>
    <w:rsid w:val="00D0042C"/>
    <w:rsid w:val="00D013F5"/>
    <w:rsid w:val="00D04FE6"/>
    <w:rsid w:val="00D05E3F"/>
    <w:rsid w:val="00D067BB"/>
    <w:rsid w:val="00D1226D"/>
    <w:rsid w:val="00D1352A"/>
    <w:rsid w:val="00D15EC4"/>
    <w:rsid w:val="00D169AF"/>
    <w:rsid w:val="00D25249"/>
    <w:rsid w:val="00D37A8D"/>
    <w:rsid w:val="00D37EBA"/>
    <w:rsid w:val="00D411B5"/>
    <w:rsid w:val="00D4234C"/>
    <w:rsid w:val="00D44172"/>
    <w:rsid w:val="00D47BE3"/>
    <w:rsid w:val="00D61A1A"/>
    <w:rsid w:val="00D6397E"/>
    <w:rsid w:val="00D63B8C"/>
    <w:rsid w:val="00D651E4"/>
    <w:rsid w:val="00D739CC"/>
    <w:rsid w:val="00D8093D"/>
    <w:rsid w:val="00D8108C"/>
    <w:rsid w:val="00D8160C"/>
    <w:rsid w:val="00D842AE"/>
    <w:rsid w:val="00D9211C"/>
    <w:rsid w:val="00D92DE0"/>
    <w:rsid w:val="00D92FEF"/>
    <w:rsid w:val="00D93A0F"/>
    <w:rsid w:val="00D94C06"/>
    <w:rsid w:val="00D9579D"/>
    <w:rsid w:val="00DA1BCA"/>
    <w:rsid w:val="00DA4A45"/>
    <w:rsid w:val="00DB34E0"/>
    <w:rsid w:val="00DB5925"/>
    <w:rsid w:val="00DC46FF"/>
    <w:rsid w:val="00DC5254"/>
    <w:rsid w:val="00DC569D"/>
    <w:rsid w:val="00DC5AB5"/>
    <w:rsid w:val="00DD0B5A"/>
    <w:rsid w:val="00DD0BB9"/>
    <w:rsid w:val="00DD1A4F"/>
    <w:rsid w:val="00DD3107"/>
    <w:rsid w:val="00DD7C2C"/>
    <w:rsid w:val="00DE5BDA"/>
    <w:rsid w:val="00DE6C22"/>
    <w:rsid w:val="00DE6F2C"/>
    <w:rsid w:val="00DF40F8"/>
    <w:rsid w:val="00DF433C"/>
    <w:rsid w:val="00DF5087"/>
    <w:rsid w:val="00E0035A"/>
    <w:rsid w:val="00E01B33"/>
    <w:rsid w:val="00E03D75"/>
    <w:rsid w:val="00E06797"/>
    <w:rsid w:val="00E115C9"/>
    <w:rsid w:val="00E1265B"/>
    <w:rsid w:val="00E13B48"/>
    <w:rsid w:val="00E13CEC"/>
    <w:rsid w:val="00E1404F"/>
    <w:rsid w:val="00E2042D"/>
    <w:rsid w:val="00E206B3"/>
    <w:rsid w:val="00E21C83"/>
    <w:rsid w:val="00E24098"/>
    <w:rsid w:val="00E24ADA"/>
    <w:rsid w:val="00E308A4"/>
    <w:rsid w:val="00E32F59"/>
    <w:rsid w:val="00E37C93"/>
    <w:rsid w:val="00E41908"/>
    <w:rsid w:val="00E46D9A"/>
    <w:rsid w:val="00E565FF"/>
    <w:rsid w:val="00E65388"/>
    <w:rsid w:val="00E71382"/>
    <w:rsid w:val="00E741D3"/>
    <w:rsid w:val="00E74C25"/>
    <w:rsid w:val="00E74F5E"/>
    <w:rsid w:val="00E76752"/>
    <w:rsid w:val="00E7741D"/>
    <w:rsid w:val="00E808CD"/>
    <w:rsid w:val="00E82928"/>
    <w:rsid w:val="00E8348F"/>
    <w:rsid w:val="00E85B7D"/>
    <w:rsid w:val="00E9121B"/>
    <w:rsid w:val="00E92E21"/>
    <w:rsid w:val="00E9302E"/>
    <w:rsid w:val="00E94F86"/>
    <w:rsid w:val="00E9582E"/>
    <w:rsid w:val="00E96942"/>
    <w:rsid w:val="00E976AB"/>
    <w:rsid w:val="00EA0AE2"/>
    <w:rsid w:val="00EA1159"/>
    <w:rsid w:val="00EA39E5"/>
    <w:rsid w:val="00EA57A3"/>
    <w:rsid w:val="00EB7CF4"/>
    <w:rsid w:val="00EC2813"/>
    <w:rsid w:val="00EC4197"/>
    <w:rsid w:val="00EC5A46"/>
    <w:rsid w:val="00EC6114"/>
    <w:rsid w:val="00EC63E2"/>
    <w:rsid w:val="00EC7AAA"/>
    <w:rsid w:val="00ED366A"/>
    <w:rsid w:val="00ED6BB7"/>
    <w:rsid w:val="00EE1723"/>
    <w:rsid w:val="00EE7BDD"/>
    <w:rsid w:val="00EF19FD"/>
    <w:rsid w:val="00EF22B3"/>
    <w:rsid w:val="00EF5D53"/>
    <w:rsid w:val="00EF7555"/>
    <w:rsid w:val="00F0088D"/>
    <w:rsid w:val="00F03B69"/>
    <w:rsid w:val="00F07A50"/>
    <w:rsid w:val="00F113DA"/>
    <w:rsid w:val="00F12DA4"/>
    <w:rsid w:val="00F13319"/>
    <w:rsid w:val="00F1495C"/>
    <w:rsid w:val="00F1562D"/>
    <w:rsid w:val="00F1712F"/>
    <w:rsid w:val="00F22A8E"/>
    <w:rsid w:val="00F266FC"/>
    <w:rsid w:val="00F300DF"/>
    <w:rsid w:val="00F3037A"/>
    <w:rsid w:val="00F3465A"/>
    <w:rsid w:val="00F37DC8"/>
    <w:rsid w:val="00F439B3"/>
    <w:rsid w:val="00F46049"/>
    <w:rsid w:val="00F47833"/>
    <w:rsid w:val="00F54B53"/>
    <w:rsid w:val="00F60008"/>
    <w:rsid w:val="00F650C3"/>
    <w:rsid w:val="00F65D85"/>
    <w:rsid w:val="00F6700B"/>
    <w:rsid w:val="00F7229D"/>
    <w:rsid w:val="00F746BF"/>
    <w:rsid w:val="00F8091E"/>
    <w:rsid w:val="00F83855"/>
    <w:rsid w:val="00F8615C"/>
    <w:rsid w:val="00F8673E"/>
    <w:rsid w:val="00F90A52"/>
    <w:rsid w:val="00F969E5"/>
    <w:rsid w:val="00FA002A"/>
    <w:rsid w:val="00FA1D9B"/>
    <w:rsid w:val="00FA295B"/>
    <w:rsid w:val="00FA3168"/>
    <w:rsid w:val="00FA4972"/>
    <w:rsid w:val="00FA6617"/>
    <w:rsid w:val="00FA6BB0"/>
    <w:rsid w:val="00FB2DBD"/>
    <w:rsid w:val="00FB53D9"/>
    <w:rsid w:val="00FC27EE"/>
    <w:rsid w:val="00FC6DA0"/>
    <w:rsid w:val="00FD48DF"/>
    <w:rsid w:val="00FD5860"/>
    <w:rsid w:val="00FD5945"/>
    <w:rsid w:val="00FE352D"/>
    <w:rsid w:val="00FE40EB"/>
    <w:rsid w:val="00FE4D02"/>
    <w:rsid w:val="00FE7D62"/>
    <w:rsid w:val="00FF08D3"/>
    <w:rsid w:val="00FF3559"/>
    <w:rsid w:val="00FF3819"/>
    <w:rsid w:val="00FF561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link w:val="NormalnumberChar"/>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numberChar">
    <w:name w:val="Normal_number Char"/>
    <w:link w:val="Normalnumber"/>
    <w:locked/>
    <w:rsid w:val="0087180B"/>
    <w:rPr>
      <w:lang w:eastAsia="en-US"/>
    </w:rPr>
  </w:style>
  <w:style w:type="character" w:customStyle="1" w:styleId="Normal-poolChar">
    <w:name w:val="Normal-pool Char"/>
    <w:link w:val="Normal-pool"/>
    <w:rsid w:val="00AA5135"/>
    <w:rPr>
      <w:lang w:eastAsia="en-US"/>
    </w:rPr>
  </w:style>
  <w:style w:type="paragraph" w:customStyle="1" w:styleId="Subparagraphs">
    <w:name w:val="Subparagraphs"/>
    <w:basedOn w:val="Normal"/>
    <w:qFormat/>
    <w:rsid w:val="00AA5135"/>
    <w:pPr>
      <w:numPr>
        <w:ilvl w:val="2"/>
        <w:numId w:val="21"/>
      </w:numPr>
      <w:tabs>
        <w:tab w:val="clear" w:pos="1134"/>
        <w:tab w:val="clear" w:pos="1247"/>
        <w:tab w:val="clear" w:pos="1814"/>
        <w:tab w:val="clear" w:pos="2381"/>
        <w:tab w:val="clear" w:pos="2948"/>
        <w:tab w:val="clear" w:pos="3515"/>
      </w:tabs>
      <w:spacing w:after="120"/>
      <w:ind w:left="1276" w:firstLine="709"/>
    </w:pPr>
    <w:rPr>
      <w:rFonts w:asciiTheme="majorBidi" w:hAnsiTheme="majorBidi" w:cstheme="majorBidi"/>
      <w:color w:val="242424"/>
      <w:lang w:val="en-GB"/>
    </w:rPr>
  </w:style>
  <w:style w:type="paragraph" w:styleId="Caption">
    <w:name w:val="caption"/>
    <w:basedOn w:val="Normal"/>
    <w:next w:val="Normal"/>
    <w:unhideWhenUsed/>
    <w:qFormat/>
    <w:rsid w:val="00804AA1"/>
    <w:pPr>
      <w:spacing w:after="200"/>
    </w:pPr>
    <w:rPr>
      <w:i/>
      <w:iCs/>
      <w:color w:val="1F497D" w:themeColor="text2"/>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DFFBB-1BE0-4E2E-8ECE-8247BEE48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14902</Words>
  <Characters>100975</Characters>
  <Application>Microsoft Office Word</Application>
  <DocSecurity>0</DocSecurity>
  <Lines>841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115646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Tamara Olago</cp:lastModifiedBy>
  <cp:revision>3</cp:revision>
  <cp:lastPrinted>2019-11-22T09:58:00Z</cp:lastPrinted>
  <dcterms:created xsi:type="dcterms:W3CDTF">2019-11-22T09:58:00Z</dcterms:created>
  <dcterms:modified xsi:type="dcterms:W3CDTF">2019-11-22T09:59:00Z</dcterms:modified>
</cp:coreProperties>
</file>