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80620A" w14:paraId="4B9F0F9B" w14:textId="77777777" w:rsidTr="00F00DBB">
        <w:trPr>
          <w:cantSplit/>
          <w:trHeight w:val="57"/>
          <w:jc w:val="right"/>
        </w:trPr>
        <w:tc>
          <w:tcPr>
            <w:tcW w:w="1550" w:type="dxa"/>
          </w:tcPr>
          <w:p w14:paraId="2A9B9F9D" w14:textId="24FB5277" w:rsidR="00032E4E" w:rsidRPr="0080620A" w:rsidRDefault="00032E4E" w:rsidP="00023DA9">
            <w:pPr>
              <w:rPr>
                <w:rFonts w:ascii="Univers" w:hAnsi="Univers"/>
                <w:b/>
                <w:sz w:val="27"/>
                <w:szCs w:val="27"/>
              </w:rPr>
            </w:pPr>
            <w:r w:rsidRPr="0080620A">
              <w:rPr>
                <w:rFonts w:ascii="Arial" w:hAnsi="Arial" w:cs="Arial"/>
                <w:b/>
                <w:sz w:val="27"/>
                <w:szCs w:val="27"/>
              </w:rPr>
              <w:t>UNITED</w:t>
            </w:r>
            <w:r w:rsidR="009F412C" w:rsidRPr="0080620A">
              <w:rPr>
                <w:rFonts w:ascii="Arial" w:hAnsi="Arial" w:cs="Arial"/>
                <w:b/>
                <w:sz w:val="27"/>
                <w:szCs w:val="27"/>
              </w:rPr>
              <w:t xml:space="preserve"> </w:t>
            </w:r>
            <w:r w:rsidRPr="0080620A">
              <w:rPr>
                <w:rFonts w:ascii="Arial" w:hAnsi="Arial" w:cs="Arial"/>
                <w:b/>
                <w:sz w:val="27"/>
                <w:szCs w:val="27"/>
              </w:rPr>
              <w:br/>
              <w:t>NATIONS</w:t>
            </w:r>
          </w:p>
        </w:tc>
        <w:tc>
          <w:tcPr>
            <w:tcW w:w="4751" w:type="dxa"/>
          </w:tcPr>
          <w:p w14:paraId="2F47229A" w14:textId="77777777" w:rsidR="00032E4E" w:rsidRPr="0080620A" w:rsidRDefault="00032E4E" w:rsidP="00023DA9">
            <w:pPr>
              <w:rPr>
                <w:rFonts w:ascii="Univers" w:hAnsi="Univers"/>
                <w:b/>
                <w:sz w:val="27"/>
                <w:szCs w:val="27"/>
              </w:rPr>
            </w:pPr>
          </w:p>
        </w:tc>
        <w:tc>
          <w:tcPr>
            <w:tcW w:w="3411" w:type="dxa"/>
          </w:tcPr>
          <w:p w14:paraId="57073C3F" w14:textId="77777777" w:rsidR="00032E4E" w:rsidRPr="0080620A" w:rsidRDefault="00787688" w:rsidP="00023DA9">
            <w:pPr>
              <w:jc w:val="right"/>
              <w:rPr>
                <w:rFonts w:ascii="Arial" w:hAnsi="Arial" w:cs="Arial"/>
                <w:b/>
                <w:sz w:val="64"/>
                <w:szCs w:val="64"/>
              </w:rPr>
            </w:pPr>
            <w:r w:rsidRPr="0080620A">
              <w:rPr>
                <w:rFonts w:ascii="Arial" w:hAnsi="Arial" w:cs="Arial"/>
                <w:b/>
                <w:sz w:val="64"/>
                <w:szCs w:val="64"/>
              </w:rPr>
              <w:t>MC</w:t>
            </w:r>
          </w:p>
        </w:tc>
      </w:tr>
      <w:tr w:rsidR="00032E4E" w:rsidRPr="0080620A" w14:paraId="0DEAC680" w14:textId="77777777" w:rsidTr="00F00DBB">
        <w:trPr>
          <w:cantSplit/>
          <w:trHeight w:val="57"/>
          <w:jc w:val="right"/>
        </w:trPr>
        <w:tc>
          <w:tcPr>
            <w:tcW w:w="1550" w:type="dxa"/>
            <w:tcBorders>
              <w:bottom w:val="single" w:sz="4" w:space="0" w:color="auto"/>
            </w:tcBorders>
          </w:tcPr>
          <w:p w14:paraId="30269B88" w14:textId="77777777" w:rsidR="00032E4E" w:rsidRPr="0080620A" w:rsidRDefault="00032E4E" w:rsidP="009E249F"/>
        </w:tc>
        <w:tc>
          <w:tcPr>
            <w:tcW w:w="4751" w:type="dxa"/>
            <w:tcBorders>
              <w:bottom w:val="single" w:sz="4" w:space="0" w:color="auto"/>
            </w:tcBorders>
          </w:tcPr>
          <w:p w14:paraId="54296B4D" w14:textId="77777777" w:rsidR="00032E4E" w:rsidRPr="0080620A" w:rsidRDefault="00032E4E" w:rsidP="009E249F"/>
        </w:tc>
        <w:tc>
          <w:tcPr>
            <w:tcW w:w="3411" w:type="dxa"/>
            <w:tcBorders>
              <w:bottom w:val="single" w:sz="4" w:space="0" w:color="auto"/>
            </w:tcBorders>
          </w:tcPr>
          <w:p w14:paraId="540639F8" w14:textId="238945BA" w:rsidR="00032E4E" w:rsidRPr="0080620A" w:rsidRDefault="00032E4E" w:rsidP="00434321">
            <w:pPr>
              <w:rPr>
                <w:sz w:val="18"/>
                <w:szCs w:val="18"/>
              </w:rPr>
            </w:pPr>
            <w:r w:rsidRPr="0080620A">
              <w:rPr>
                <w:b/>
                <w:bCs/>
                <w:sz w:val="28"/>
              </w:rPr>
              <w:t>UNEP</w:t>
            </w:r>
            <w:bookmarkStart w:id="0" w:name="OLE_LINK1"/>
            <w:bookmarkStart w:id="1" w:name="OLE_LINK2"/>
            <w:r w:rsidR="00787688" w:rsidRPr="0080620A">
              <w:rPr>
                <w:b/>
                <w:bCs/>
                <w:sz w:val="28"/>
              </w:rPr>
              <w:t>/</w:t>
            </w:r>
            <w:r w:rsidR="00787688" w:rsidRPr="0080620A">
              <w:t>MC</w:t>
            </w:r>
            <w:r w:rsidRPr="0080620A">
              <w:t>/</w:t>
            </w:r>
            <w:bookmarkEnd w:id="0"/>
            <w:bookmarkEnd w:id="1"/>
            <w:r w:rsidR="00787688" w:rsidRPr="0080620A">
              <w:t>COP.</w:t>
            </w:r>
            <w:r w:rsidR="003C3511" w:rsidRPr="0080620A">
              <w:t>3</w:t>
            </w:r>
            <w:r w:rsidRPr="0080620A">
              <w:t>/</w:t>
            </w:r>
            <w:r w:rsidR="003C3511" w:rsidRPr="0080620A">
              <w:t>1</w:t>
            </w:r>
            <w:r w:rsidR="00C951BF" w:rsidRPr="0080620A">
              <w:t>4</w:t>
            </w:r>
          </w:p>
        </w:tc>
      </w:tr>
      <w:bookmarkStart w:id="2" w:name="_MON_1021710482"/>
      <w:bookmarkEnd w:id="2"/>
      <w:bookmarkStart w:id="3" w:name="_MON_1021710510"/>
      <w:bookmarkEnd w:id="3"/>
      <w:tr w:rsidR="00032E4E" w:rsidRPr="0080620A" w14:paraId="34AA74B4" w14:textId="77777777" w:rsidTr="00F00DBB">
        <w:trPr>
          <w:cantSplit/>
          <w:trHeight w:val="57"/>
          <w:jc w:val="right"/>
        </w:trPr>
        <w:tc>
          <w:tcPr>
            <w:tcW w:w="1550" w:type="dxa"/>
            <w:tcBorders>
              <w:top w:val="single" w:sz="4" w:space="0" w:color="auto"/>
              <w:bottom w:val="single" w:sz="24" w:space="0" w:color="auto"/>
            </w:tcBorders>
          </w:tcPr>
          <w:p w14:paraId="02CDC318" w14:textId="77777777" w:rsidR="00032E4E" w:rsidRPr="0080620A" w:rsidRDefault="003379E2" w:rsidP="00023DA9">
            <w:r w:rsidRPr="0080620A">
              <w:object w:dxaOrig="1831" w:dyaOrig="1726" w14:anchorId="39238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5pt;height:58.55pt" o:ole="" fillcolor="window">
                  <v:imagedata r:id="rId8" o:title=""/>
                </v:shape>
                <o:OLEObject Type="Embed" ProgID="Word.Picture.8" ShapeID="_x0000_i1029" DrawAspect="Content" ObjectID="_1635771025" r:id="rId9"/>
              </w:object>
            </w:r>
            <w:r w:rsidR="00011A16" w:rsidRPr="0080620A">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73E66C98" w:rsidR="00032E4E" w:rsidRPr="0080620A" w:rsidRDefault="00032E4E" w:rsidP="00023DA9">
            <w:pPr>
              <w:spacing w:before="1200"/>
              <w:rPr>
                <w:rFonts w:ascii="Arial" w:hAnsi="Arial" w:cs="Arial"/>
                <w:b/>
                <w:sz w:val="28"/>
              </w:rPr>
            </w:pPr>
            <w:r w:rsidRPr="0080620A">
              <w:rPr>
                <w:rFonts w:ascii="Arial" w:hAnsi="Arial" w:cs="Arial"/>
                <w:b/>
                <w:sz w:val="32"/>
                <w:szCs w:val="32"/>
              </w:rPr>
              <w:t>United Nations</w:t>
            </w:r>
            <w:r w:rsidR="005B2DF4" w:rsidRPr="0080620A">
              <w:rPr>
                <w:rFonts w:ascii="Arial" w:hAnsi="Arial" w:cs="Arial"/>
                <w:b/>
                <w:sz w:val="32"/>
                <w:szCs w:val="32"/>
              </w:rPr>
              <w:t xml:space="preserve"> </w:t>
            </w:r>
            <w:r w:rsidRPr="0080620A">
              <w:rPr>
                <w:rFonts w:ascii="Arial" w:hAnsi="Arial" w:cs="Arial"/>
                <w:b/>
                <w:sz w:val="32"/>
                <w:szCs w:val="32"/>
              </w:rPr>
              <w:br w:type="textWrapping" w:clear="all"/>
              <w:t>Environment</w:t>
            </w:r>
            <w:r w:rsidR="005B2DF4" w:rsidRPr="0080620A">
              <w:rPr>
                <w:rFonts w:ascii="Arial" w:hAnsi="Arial" w:cs="Arial"/>
                <w:b/>
                <w:sz w:val="32"/>
                <w:szCs w:val="32"/>
              </w:rPr>
              <w:t xml:space="preserve"> </w:t>
            </w:r>
            <w:r w:rsidRPr="0080620A">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56BC6A0E" w:rsidR="00032E4E" w:rsidRPr="0080620A" w:rsidRDefault="00032E4E" w:rsidP="00814443">
            <w:pPr>
              <w:spacing w:before="120"/>
            </w:pPr>
            <w:r w:rsidRPr="0080620A">
              <w:t>Distr.: General</w:t>
            </w:r>
            <w:r w:rsidR="005B2DF4" w:rsidRPr="0080620A">
              <w:t xml:space="preserve"> </w:t>
            </w:r>
            <w:r w:rsidRPr="0080620A">
              <w:br w:type="textWrapping" w:clear="all"/>
            </w:r>
            <w:r w:rsidR="00646B7E" w:rsidRPr="0080620A">
              <w:t>7</w:t>
            </w:r>
            <w:r w:rsidR="00C951BF" w:rsidRPr="0080620A">
              <w:t xml:space="preserve"> October</w:t>
            </w:r>
            <w:r w:rsidR="004E2BAB" w:rsidRPr="0080620A">
              <w:t xml:space="preserve"> 201</w:t>
            </w:r>
            <w:r w:rsidR="003C3511" w:rsidRPr="0080620A">
              <w:t>9</w:t>
            </w:r>
          </w:p>
          <w:p w14:paraId="1A75CF9D" w14:textId="77777777" w:rsidR="00032E4E" w:rsidRPr="0080620A" w:rsidRDefault="00032E4E" w:rsidP="00C1570C">
            <w:pPr>
              <w:spacing w:before="120"/>
            </w:pPr>
            <w:r w:rsidRPr="0080620A">
              <w:t>Original: English</w:t>
            </w:r>
          </w:p>
        </w:tc>
      </w:tr>
    </w:tbl>
    <w:p w14:paraId="0A4BFFDA" w14:textId="30575E0E" w:rsidR="00E976AB" w:rsidRPr="0080620A" w:rsidRDefault="00CB007D" w:rsidP="000B0C89">
      <w:pPr>
        <w:pStyle w:val="AATitle"/>
      </w:pPr>
      <w:r w:rsidRPr="0080620A">
        <w:t xml:space="preserve">Conference of </w:t>
      </w:r>
      <w:r w:rsidRPr="000B0C89">
        <w:t>the</w:t>
      </w:r>
      <w:r w:rsidRPr="0080620A">
        <w:t xml:space="preserve"> Parties to the</w:t>
      </w:r>
      <w:r w:rsidR="005B2DF4" w:rsidRPr="0080620A">
        <w:t xml:space="preserve"> </w:t>
      </w:r>
      <w:r w:rsidR="005B2DF4" w:rsidRPr="0080620A">
        <w:br/>
      </w:r>
      <w:r w:rsidR="00787688" w:rsidRPr="0080620A">
        <w:t>Minamata Convention on Mercury</w:t>
      </w:r>
    </w:p>
    <w:p w14:paraId="26A6CAA0" w14:textId="16A1BAF1" w:rsidR="00E976AB" w:rsidRPr="0080620A" w:rsidRDefault="003C3511" w:rsidP="000B0C89">
      <w:pPr>
        <w:pStyle w:val="AATitle"/>
      </w:pPr>
      <w:r w:rsidRPr="0080620A">
        <w:t>Third</w:t>
      </w:r>
      <w:r w:rsidR="00787688" w:rsidRPr="0080620A">
        <w:t xml:space="preserve"> meeting</w:t>
      </w:r>
    </w:p>
    <w:p w14:paraId="67B82F12" w14:textId="77B8A868" w:rsidR="00787688" w:rsidRPr="000B0C89" w:rsidRDefault="00787688" w:rsidP="000B0C89">
      <w:pPr>
        <w:pStyle w:val="AATitle"/>
        <w:rPr>
          <w:b w:val="0"/>
        </w:rPr>
      </w:pPr>
      <w:r w:rsidRPr="000B0C89">
        <w:rPr>
          <w:b w:val="0"/>
        </w:rPr>
        <w:t>Geneva</w:t>
      </w:r>
      <w:r w:rsidR="00E976AB" w:rsidRPr="000B0C89">
        <w:rPr>
          <w:b w:val="0"/>
        </w:rPr>
        <w:t xml:space="preserve">, </w:t>
      </w:r>
      <w:r w:rsidR="003C3511" w:rsidRPr="000B0C89">
        <w:rPr>
          <w:b w:val="0"/>
        </w:rPr>
        <w:t>25</w:t>
      </w:r>
      <w:r w:rsidR="007342FE" w:rsidRPr="000B0C89">
        <w:rPr>
          <w:b w:val="0"/>
        </w:rPr>
        <w:sym w:font="Symbol" w:char="F02D"/>
      </w:r>
      <w:r w:rsidR="003C3511" w:rsidRPr="000B0C89">
        <w:rPr>
          <w:b w:val="0"/>
        </w:rPr>
        <w:t>29</w:t>
      </w:r>
      <w:r w:rsidR="00325D38" w:rsidRPr="000B0C89">
        <w:rPr>
          <w:b w:val="0"/>
        </w:rPr>
        <w:t xml:space="preserve"> </w:t>
      </w:r>
      <w:r w:rsidR="00434321" w:rsidRPr="000B0C89">
        <w:rPr>
          <w:b w:val="0"/>
        </w:rPr>
        <w:t>November 201</w:t>
      </w:r>
      <w:r w:rsidR="003C3511" w:rsidRPr="000B0C89">
        <w:rPr>
          <w:b w:val="0"/>
        </w:rPr>
        <w:t>9</w:t>
      </w:r>
    </w:p>
    <w:p w14:paraId="41CF4448" w14:textId="61B5F645" w:rsidR="00F15578" w:rsidRPr="000B0C89" w:rsidRDefault="00E54866" w:rsidP="000B0C89">
      <w:pPr>
        <w:pStyle w:val="AATitle"/>
        <w:rPr>
          <w:b w:val="0"/>
        </w:rPr>
      </w:pPr>
      <w:r w:rsidRPr="000B0C89">
        <w:rPr>
          <w:b w:val="0"/>
        </w:rPr>
        <w:t xml:space="preserve">Item </w:t>
      </w:r>
      <w:r w:rsidR="00F7267C" w:rsidRPr="000B0C89">
        <w:rPr>
          <w:b w:val="0"/>
        </w:rPr>
        <w:t>5</w:t>
      </w:r>
      <w:r w:rsidRPr="000B0C89">
        <w:rPr>
          <w:b w:val="0"/>
        </w:rPr>
        <w:t xml:space="preserve"> (</w:t>
      </w:r>
      <w:r w:rsidR="00C951BF" w:rsidRPr="000B0C89">
        <w:rPr>
          <w:b w:val="0"/>
        </w:rPr>
        <w:t>h</w:t>
      </w:r>
      <w:r w:rsidRPr="000B0C89">
        <w:rPr>
          <w:b w:val="0"/>
        </w:rPr>
        <w:t>)</w:t>
      </w:r>
      <w:r w:rsidR="007352DC" w:rsidRPr="000B0C89">
        <w:rPr>
          <w:b w:val="0"/>
        </w:rPr>
        <w:t xml:space="preserve"> </w:t>
      </w:r>
      <w:r w:rsidRPr="000B0C89">
        <w:rPr>
          <w:b w:val="0"/>
        </w:rPr>
        <w:t>of the provisional agenda</w:t>
      </w:r>
      <w:r w:rsidRPr="000B0C89">
        <w:rPr>
          <w:b w:val="0"/>
        </w:rPr>
        <w:footnoteReference w:customMarkFollows="1" w:id="1"/>
        <w:t>*</w:t>
      </w:r>
    </w:p>
    <w:p w14:paraId="2D8757BE" w14:textId="59CC98ED" w:rsidR="00F15578" w:rsidRPr="0080620A" w:rsidRDefault="00ED6C14" w:rsidP="000B0C89">
      <w:pPr>
        <w:pStyle w:val="AATitle2"/>
        <w:tabs>
          <w:tab w:val="left" w:pos="4320"/>
        </w:tabs>
        <w:ind w:right="5177"/>
      </w:pPr>
      <w:r w:rsidRPr="0080620A">
        <w:t xml:space="preserve">Matters </w:t>
      </w:r>
      <w:r w:rsidR="004E2BAB" w:rsidRPr="0080620A">
        <w:t>for</w:t>
      </w:r>
      <w:r w:rsidRPr="0080620A">
        <w:t xml:space="preserve"> consideration or action by the Conference of </w:t>
      </w:r>
      <w:r w:rsidR="006F3218" w:rsidRPr="0080620A">
        <w:t xml:space="preserve">the </w:t>
      </w:r>
      <w:r w:rsidRPr="0080620A">
        <w:t xml:space="preserve">Parties: </w:t>
      </w:r>
      <w:r w:rsidR="004D4146" w:rsidRPr="0080620A">
        <w:t>e</w:t>
      </w:r>
      <w:r w:rsidR="00C951BF" w:rsidRPr="0080620A">
        <w:t xml:space="preserve">ffectiveness </w:t>
      </w:r>
      <w:r w:rsidR="004D4146" w:rsidRPr="0080620A">
        <w:t>e</w:t>
      </w:r>
      <w:r w:rsidR="00C951BF" w:rsidRPr="0080620A">
        <w:t>valuation</w:t>
      </w:r>
    </w:p>
    <w:p w14:paraId="2D4E2359" w14:textId="19139E2E" w:rsidR="004E2BAB" w:rsidRPr="0080620A" w:rsidRDefault="00C951BF" w:rsidP="002E30A2">
      <w:pPr>
        <w:pStyle w:val="BBTitle"/>
      </w:pPr>
      <w:r w:rsidRPr="0080620A">
        <w:t>R</w:t>
      </w:r>
      <w:r w:rsidR="007352DC" w:rsidRPr="0080620A">
        <w:t xml:space="preserve">eport </w:t>
      </w:r>
      <w:r w:rsidRPr="0080620A">
        <w:t>of the ad hoc technical expert group for effectiveness evaluation</w:t>
      </w:r>
      <w:r w:rsidR="00D743B5" w:rsidRPr="0080620A">
        <w:t xml:space="preserve">: </w:t>
      </w:r>
      <w:r w:rsidR="00917442" w:rsidRPr="0080620A">
        <w:t>p</w:t>
      </w:r>
      <w:r w:rsidR="00D743B5" w:rsidRPr="0080620A">
        <w:t>roposed framework</w:t>
      </w:r>
      <w:r w:rsidR="00243815" w:rsidRPr="0080620A">
        <w:t xml:space="preserve"> for the effectiveness evaluation of the Minamata Convention on Mercury</w:t>
      </w:r>
    </w:p>
    <w:p w14:paraId="1696A3D0" w14:textId="6E4E27B8" w:rsidR="00B258A8" w:rsidRPr="0080620A" w:rsidRDefault="004E2BAB" w:rsidP="00C951BF">
      <w:pPr>
        <w:pStyle w:val="CH2"/>
        <w:tabs>
          <w:tab w:val="clear" w:pos="851"/>
          <w:tab w:val="clear" w:pos="1247"/>
          <w:tab w:val="clear" w:pos="1814"/>
          <w:tab w:val="clear" w:pos="2381"/>
          <w:tab w:val="clear" w:pos="2948"/>
          <w:tab w:val="clear" w:pos="3515"/>
          <w:tab w:val="clear" w:pos="4082"/>
          <w:tab w:val="left" w:pos="624"/>
        </w:tabs>
        <w:spacing w:before="240"/>
      </w:pPr>
      <w:r w:rsidRPr="0080620A">
        <w:tab/>
      </w:r>
      <w:r w:rsidRPr="0080620A">
        <w:tab/>
        <w:t>Note by the secretariat</w:t>
      </w:r>
    </w:p>
    <w:p w14:paraId="3D6F3672" w14:textId="6BB083A4" w:rsidR="008E2E5D" w:rsidRPr="0080620A" w:rsidRDefault="00D743B5" w:rsidP="001B0AA1">
      <w:pPr>
        <w:pStyle w:val="Normalnumber"/>
      </w:pPr>
      <w:r w:rsidRPr="0080620A">
        <w:t>Th</w:t>
      </w:r>
      <w:r w:rsidR="00B54AF2" w:rsidRPr="0080620A">
        <w:t>e</w:t>
      </w:r>
      <w:r w:rsidRPr="0080620A">
        <w:t xml:space="preserve"> </w:t>
      </w:r>
      <w:r w:rsidR="00B54AF2" w:rsidRPr="0080620A">
        <w:t xml:space="preserve">present </w:t>
      </w:r>
      <w:r w:rsidRPr="0080620A">
        <w:t xml:space="preserve">note relates to the outcome of the work of the ad hoc technical expert group </w:t>
      </w:r>
      <w:r w:rsidR="00106767" w:rsidRPr="0080620A">
        <w:t xml:space="preserve">for </w:t>
      </w:r>
      <w:r w:rsidRPr="0080620A">
        <w:t xml:space="preserve">effectiveness evaluation </w:t>
      </w:r>
      <w:r w:rsidR="005663E2" w:rsidRPr="0080620A">
        <w:t xml:space="preserve">as </w:t>
      </w:r>
      <w:r w:rsidRPr="0080620A">
        <w:t xml:space="preserve">mandated by </w:t>
      </w:r>
      <w:r w:rsidR="001B258D" w:rsidRPr="0080620A">
        <w:t>decision</w:t>
      </w:r>
      <w:r w:rsidR="005663E2" w:rsidRPr="0080620A">
        <w:t xml:space="preserve">s </w:t>
      </w:r>
      <w:r w:rsidRPr="0080620A">
        <w:t>MC-1/9 and MC-2/10</w:t>
      </w:r>
      <w:r w:rsidR="00B54AF2" w:rsidRPr="0080620A">
        <w:t>,</w:t>
      </w:r>
      <w:r w:rsidRPr="0080620A">
        <w:t xml:space="preserve"> </w:t>
      </w:r>
      <w:r w:rsidR="00443215" w:rsidRPr="0080620A">
        <w:t>with respect to</w:t>
      </w:r>
      <w:r w:rsidRPr="0080620A">
        <w:t xml:space="preserve"> the arrangements to be put in place to provide the Conference of the Parties with the information </w:t>
      </w:r>
      <w:r w:rsidR="00603502" w:rsidRPr="0080620A">
        <w:t xml:space="preserve">required </w:t>
      </w:r>
      <w:r w:rsidRPr="0080620A">
        <w:t xml:space="preserve">to conduct an effectiveness evaluation of the Minamata Convention on Mercury. </w:t>
      </w:r>
    </w:p>
    <w:p w14:paraId="172CA3F9" w14:textId="630843A9" w:rsidR="008E2E5D" w:rsidRPr="0080620A" w:rsidRDefault="00D743B5" w:rsidP="001B0AA1">
      <w:pPr>
        <w:pStyle w:val="Normalnumber"/>
      </w:pPr>
      <w:r w:rsidRPr="0080620A">
        <w:t>The note contains two annexes. The first annex presents a draft decision for consideration by the Conference of the Parties at its third meeting. The second annex contains the report of the ad hoc technical expert group</w:t>
      </w:r>
      <w:r w:rsidR="00F11276" w:rsidRPr="0080620A">
        <w:t>, which</w:t>
      </w:r>
      <w:r w:rsidRPr="0080620A">
        <w:t xml:space="preserve"> </w:t>
      </w:r>
      <w:r w:rsidR="00F11276" w:rsidRPr="0080620A">
        <w:t xml:space="preserve">sets out </w:t>
      </w:r>
      <w:r w:rsidRPr="0080620A">
        <w:t xml:space="preserve">the proposed framework for the effectiveness evaluation. The report in turn contains </w:t>
      </w:r>
      <w:r w:rsidR="00555D09" w:rsidRPr="0080620A">
        <w:t>four</w:t>
      </w:r>
      <w:r w:rsidRPr="0080620A">
        <w:t xml:space="preserve"> appendi</w:t>
      </w:r>
      <w:r w:rsidR="00555D09" w:rsidRPr="0080620A">
        <w:t>c</w:t>
      </w:r>
      <w:r w:rsidRPr="0080620A">
        <w:t xml:space="preserve">es. </w:t>
      </w:r>
      <w:r w:rsidR="0008012D">
        <w:t>T</w:t>
      </w:r>
      <w:r w:rsidRPr="0080620A">
        <w:t xml:space="preserve">he text for appendix I is contained in </w:t>
      </w:r>
      <w:r w:rsidR="00443215" w:rsidRPr="0080620A">
        <w:t xml:space="preserve">document </w:t>
      </w:r>
      <w:r w:rsidRPr="0080620A">
        <w:t>UNEP/MC/COP.3</w:t>
      </w:r>
      <w:r w:rsidR="00E83FF8" w:rsidRPr="0080620A">
        <w:t>/</w:t>
      </w:r>
      <w:r w:rsidRPr="0080620A">
        <w:t>14</w:t>
      </w:r>
      <w:r w:rsidR="00E83FF8" w:rsidRPr="0080620A">
        <w:t>/</w:t>
      </w:r>
      <w:r w:rsidRPr="0080620A">
        <w:t xml:space="preserve">Add.1. Furthermore, the report </w:t>
      </w:r>
      <w:r w:rsidR="00443215" w:rsidRPr="0080620A">
        <w:t xml:space="preserve">of the ad hoc technical expert group </w:t>
      </w:r>
      <w:r w:rsidRPr="0080620A">
        <w:t xml:space="preserve">is complemented by additional information contained in </w:t>
      </w:r>
      <w:r w:rsidR="00443215" w:rsidRPr="0080620A">
        <w:t xml:space="preserve">document </w:t>
      </w:r>
      <w:r w:rsidRPr="0080620A">
        <w:t>UNEP/MC/COP.3</w:t>
      </w:r>
      <w:r w:rsidR="002D1263" w:rsidRPr="0080620A">
        <w:t>/</w:t>
      </w:r>
      <w:r w:rsidRPr="0080620A">
        <w:t>INF</w:t>
      </w:r>
      <w:r w:rsidR="00E83FF8" w:rsidRPr="0080620A">
        <w:t>/</w:t>
      </w:r>
      <w:r w:rsidRPr="0080620A">
        <w:t>15.</w:t>
      </w:r>
    </w:p>
    <w:p w14:paraId="7CEAB050" w14:textId="77777777" w:rsidR="00D5336A" w:rsidRDefault="00001203">
      <w:pPr>
        <w:tabs>
          <w:tab w:val="clear" w:pos="1247"/>
          <w:tab w:val="clear" w:pos="1814"/>
          <w:tab w:val="clear" w:pos="2381"/>
          <w:tab w:val="clear" w:pos="2948"/>
          <w:tab w:val="clear" w:pos="3515"/>
        </w:tabs>
        <w:sectPr w:rsidR="00D5336A" w:rsidSect="00D5336A">
          <w:headerReference w:type="even" r:id="rId11"/>
          <w:headerReference w:type="default" r:id="rId12"/>
          <w:footerReference w:type="even" r:id="rId13"/>
          <w:footerReference w:type="default" r:id="rId14"/>
          <w:footerReference w:type="first" r:id="rId15"/>
          <w:pgSz w:w="11907" w:h="16840" w:code="9"/>
          <w:pgMar w:top="907" w:right="992" w:bottom="1418" w:left="1418" w:header="539" w:footer="975" w:gutter="0"/>
          <w:pgNumType w:start="1"/>
          <w:cols w:space="708"/>
          <w:titlePg/>
          <w:docGrid w:linePitch="360"/>
        </w:sectPr>
      </w:pPr>
      <w:r>
        <w:br w:type="page"/>
      </w:r>
    </w:p>
    <w:p w14:paraId="4E646156" w14:textId="4BFDA73E" w:rsidR="00917EE1" w:rsidRPr="0080620A" w:rsidRDefault="00650D54" w:rsidP="003C6542">
      <w:pPr>
        <w:pStyle w:val="ZZAnxheader"/>
      </w:pPr>
      <w:r w:rsidRPr="00432816">
        <w:lastRenderedPageBreak/>
        <w:t>Annex</w:t>
      </w:r>
      <w:r w:rsidR="00592ACD" w:rsidRPr="0080620A">
        <w:t xml:space="preserve"> I</w:t>
      </w:r>
    </w:p>
    <w:p w14:paraId="40F5788D" w14:textId="3284FCF5" w:rsidR="002651EE" w:rsidRPr="0080620A" w:rsidRDefault="002651EE" w:rsidP="00F00DBB">
      <w:pPr>
        <w:pStyle w:val="ZZAnxtitle"/>
      </w:pPr>
      <w:r w:rsidRPr="0080620A">
        <w:t>Draft decision MC-3[</w:t>
      </w:r>
      <w:r w:rsidR="008A5BC1" w:rsidRPr="0080620A">
        <w:t>--</w:t>
      </w:r>
      <w:r w:rsidRPr="0080620A">
        <w:t>]:</w:t>
      </w:r>
      <w:r w:rsidR="00592ACD" w:rsidRPr="0080620A">
        <w:t xml:space="preserve"> Arrangements for the first effectiveness evaluation</w:t>
      </w:r>
      <w:r w:rsidR="00856047" w:rsidRPr="0080620A">
        <w:t xml:space="preserve"> of the Minamata Convention</w:t>
      </w:r>
      <w:r w:rsidR="005663E2" w:rsidRPr="0080620A">
        <w:t xml:space="preserve"> on Mercury</w:t>
      </w:r>
    </w:p>
    <w:p w14:paraId="59718776" w14:textId="14A3103A" w:rsidR="001F0066" w:rsidRPr="000B0C89" w:rsidRDefault="002A2D72" w:rsidP="00BF0B17">
      <w:pPr>
        <w:tabs>
          <w:tab w:val="clear" w:pos="1247"/>
          <w:tab w:val="clear" w:pos="1814"/>
          <w:tab w:val="clear" w:pos="2381"/>
          <w:tab w:val="clear" w:pos="2948"/>
          <w:tab w:val="clear" w:pos="3515"/>
          <w:tab w:val="left" w:pos="624"/>
        </w:tabs>
        <w:spacing w:after="120"/>
        <w:ind w:left="1247" w:firstLine="624"/>
        <w:rPr>
          <w:i/>
        </w:rPr>
      </w:pPr>
      <w:r w:rsidRPr="000B0C89">
        <w:rPr>
          <w:i/>
        </w:rPr>
        <w:tab/>
      </w:r>
      <w:r w:rsidR="001F0066" w:rsidRPr="000B0C89">
        <w:rPr>
          <w:i/>
        </w:rPr>
        <w:t>The Conference of the Parties,</w:t>
      </w:r>
      <w:r w:rsidR="00750566" w:rsidRPr="000B0C89">
        <w:rPr>
          <w:i/>
        </w:rPr>
        <w:t xml:space="preserve"> </w:t>
      </w:r>
    </w:p>
    <w:p w14:paraId="35FF37AD" w14:textId="625962DE" w:rsidR="006212A9" w:rsidRPr="0080620A" w:rsidRDefault="006212A9" w:rsidP="00BF0B17">
      <w:pPr>
        <w:tabs>
          <w:tab w:val="clear" w:pos="1247"/>
          <w:tab w:val="clear" w:pos="1814"/>
          <w:tab w:val="clear" w:pos="2381"/>
          <w:tab w:val="clear" w:pos="2948"/>
          <w:tab w:val="clear" w:pos="3515"/>
          <w:tab w:val="left" w:pos="624"/>
        </w:tabs>
        <w:spacing w:after="120"/>
        <w:ind w:left="1247" w:firstLine="624"/>
      </w:pPr>
      <w:r w:rsidRPr="0080620A">
        <w:rPr>
          <w:i/>
          <w:iCs/>
        </w:rPr>
        <w:t xml:space="preserve">Welcoming </w:t>
      </w:r>
      <w:r w:rsidRPr="0080620A">
        <w:t>the report</w:t>
      </w:r>
      <w:r w:rsidR="000070C6" w:rsidRPr="0080620A">
        <w:rPr>
          <w:rStyle w:val="FootnoteReference"/>
        </w:rPr>
        <w:footnoteReference w:id="2"/>
      </w:r>
      <w:r w:rsidRPr="0080620A">
        <w:t xml:space="preserve"> </w:t>
      </w:r>
      <w:r w:rsidR="00FE4A4B" w:rsidRPr="00FE4A4B">
        <w:t>on the proposed framework for the effectiveness evaluation and monitoring arrangements under the Minamata Convention,</w:t>
      </w:r>
      <w:r w:rsidR="00FE4A4B">
        <w:t xml:space="preserve"> </w:t>
      </w:r>
      <w:r w:rsidRPr="0080620A">
        <w:t xml:space="preserve">and </w:t>
      </w:r>
      <w:r w:rsidR="00FF12CD" w:rsidRPr="0080620A">
        <w:t xml:space="preserve">the </w:t>
      </w:r>
      <w:r w:rsidRPr="0080620A">
        <w:t xml:space="preserve">complementing information developed by the ad hoc technical expert group on the basis of </w:t>
      </w:r>
      <w:r w:rsidR="00FF12CD" w:rsidRPr="0080620A">
        <w:t xml:space="preserve">the </w:t>
      </w:r>
      <w:r w:rsidRPr="0080620A">
        <w:t xml:space="preserve">mandates </w:t>
      </w:r>
      <w:r w:rsidR="005663E2" w:rsidRPr="0080620A">
        <w:t xml:space="preserve">set out </w:t>
      </w:r>
      <w:r w:rsidR="00FF12CD" w:rsidRPr="0080620A">
        <w:t xml:space="preserve">in </w:t>
      </w:r>
      <w:r w:rsidRPr="0080620A">
        <w:t>decision</w:t>
      </w:r>
      <w:r w:rsidR="00443215" w:rsidRPr="0080620A">
        <w:t>s</w:t>
      </w:r>
      <w:r w:rsidRPr="0080620A">
        <w:t xml:space="preserve"> </w:t>
      </w:r>
      <w:r w:rsidR="001B0AA1">
        <w:t>MC</w:t>
      </w:r>
      <w:r w:rsidR="001B0AA1">
        <w:noBreakHyphen/>
        <w:t>1/9</w:t>
      </w:r>
      <w:r w:rsidRPr="0080620A">
        <w:t xml:space="preserve"> and MC-2/</w:t>
      </w:r>
      <w:r w:rsidR="001B258D" w:rsidRPr="0080620A">
        <w:t>1</w:t>
      </w:r>
      <w:r w:rsidRPr="0080620A">
        <w:t>0</w:t>
      </w:r>
      <w:r w:rsidR="000070C6" w:rsidRPr="0080620A">
        <w:t>,</w:t>
      </w:r>
      <w:r w:rsidR="003B4C6C" w:rsidRPr="0080620A">
        <w:rPr>
          <w:rStyle w:val="FootnoteReference"/>
        </w:rPr>
        <w:footnoteReference w:id="3"/>
      </w:r>
    </w:p>
    <w:p w14:paraId="73669859" w14:textId="74083B6C" w:rsidR="001F0066" w:rsidRPr="0080620A" w:rsidRDefault="002A2D72" w:rsidP="00BF0B17">
      <w:pPr>
        <w:tabs>
          <w:tab w:val="clear" w:pos="1247"/>
          <w:tab w:val="clear" w:pos="1814"/>
          <w:tab w:val="clear" w:pos="2381"/>
          <w:tab w:val="clear" w:pos="2948"/>
          <w:tab w:val="clear" w:pos="3515"/>
          <w:tab w:val="left" w:pos="624"/>
        </w:tabs>
        <w:spacing w:after="120"/>
        <w:ind w:left="1247" w:firstLine="624"/>
        <w:rPr>
          <w:i/>
          <w:iCs/>
        </w:rPr>
      </w:pPr>
      <w:r w:rsidRPr="0080620A">
        <w:tab/>
      </w:r>
      <w:r w:rsidR="001F0066" w:rsidRPr="0080620A">
        <w:rPr>
          <w:i/>
          <w:iCs/>
        </w:rPr>
        <w:t xml:space="preserve">Welcoming </w:t>
      </w:r>
      <w:r w:rsidR="00FF12CD" w:rsidRPr="0080620A">
        <w:t xml:space="preserve">the </w:t>
      </w:r>
      <w:r w:rsidR="001F0066" w:rsidRPr="0080620A">
        <w:t xml:space="preserve">monitoring activities already in place and </w:t>
      </w:r>
      <w:r w:rsidR="00FF12CD" w:rsidRPr="0080620A">
        <w:t xml:space="preserve">the </w:t>
      </w:r>
      <w:r w:rsidR="001F0066" w:rsidRPr="0080620A">
        <w:t xml:space="preserve">efforts of </w:t>
      </w:r>
      <w:r w:rsidR="00250709" w:rsidRPr="0080620A">
        <w:t>p</w:t>
      </w:r>
      <w:r w:rsidR="001F0066" w:rsidRPr="0080620A">
        <w:t xml:space="preserve">arties and others to support the provision of </w:t>
      </w:r>
      <w:r w:rsidR="00B54AF2" w:rsidRPr="0080620A">
        <w:t xml:space="preserve">mercury </w:t>
      </w:r>
      <w:r w:rsidR="001F0066" w:rsidRPr="0080620A">
        <w:t>monitoring data and their availability in the future</w:t>
      </w:r>
      <w:r w:rsidR="000070C6" w:rsidRPr="0080620A">
        <w:t>,</w:t>
      </w:r>
    </w:p>
    <w:p w14:paraId="41EF9068" w14:textId="743158E0"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rPr>
          <w:i/>
          <w:iCs/>
        </w:rPr>
        <w:tab/>
      </w:r>
      <w:r w:rsidR="001F0066" w:rsidRPr="0080620A">
        <w:rPr>
          <w:i/>
          <w:iCs/>
        </w:rPr>
        <w:t xml:space="preserve">Acknowledging </w:t>
      </w:r>
      <w:r w:rsidR="001F0066" w:rsidRPr="0080620A">
        <w:t xml:space="preserve">the modelling capacities </w:t>
      </w:r>
      <w:r w:rsidR="00FF12CD" w:rsidRPr="0080620A">
        <w:t xml:space="preserve">available </w:t>
      </w:r>
      <w:r w:rsidR="001F0066" w:rsidRPr="0080620A">
        <w:t>for use in the effectiveness evaluation</w:t>
      </w:r>
      <w:r w:rsidR="000070C6" w:rsidRPr="0080620A">
        <w:t>,</w:t>
      </w:r>
    </w:p>
    <w:p w14:paraId="1E83CC36" w14:textId="242B9245"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1F0066" w:rsidRPr="0080620A">
        <w:t>1.</w:t>
      </w:r>
      <w:r w:rsidR="001F0066" w:rsidRPr="0080620A">
        <w:tab/>
      </w:r>
      <w:r w:rsidR="001F0066" w:rsidRPr="0080620A">
        <w:rPr>
          <w:i/>
          <w:iCs/>
        </w:rPr>
        <w:t>Adopts</w:t>
      </w:r>
      <w:r w:rsidR="001F0066" w:rsidRPr="0080620A">
        <w:t xml:space="preserve"> the </w:t>
      </w:r>
      <w:r w:rsidR="00FF12CD" w:rsidRPr="0080620A">
        <w:t xml:space="preserve">proposed </w:t>
      </w:r>
      <w:r w:rsidR="001F0066" w:rsidRPr="0080620A">
        <w:t xml:space="preserve">framework for the effectiveness evaluation </w:t>
      </w:r>
      <w:r w:rsidR="00FF12CD" w:rsidRPr="0080620A">
        <w:t>of</w:t>
      </w:r>
      <w:r w:rsidR="001F0066" w:rsidRPr="0080620A">
        <w:t xml:space="preserve"> the Minamata Convention, including its methodology, indicators, reports, schedule and timeline;</w:t>
      </w:r>
      <w:r w:rsidR="000A2084" w:rsidRPr="0080620A">
        <w:rPr>
          <w:rStyle w:val="FootnoteReference"/>
        </w:rPr>
        <w:footnoteReference w:id="4"/>
      </w:r>
      <w:r w:rsidR="001F0066" w:rsidRPr="0080620A">
        <w:t xml:space="preserve"> </w:t>
      </w:r>
    </w:p>
    <w:p w14:paraId="413DF2B5" w14:textId="6344C4CE"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1F0066" w:rsidRPr="0080620A">
        <w:t>2.</w:t>
      </w:r>
      <w:r w:rsidR="001F0066" w:rsidRPr="0080620A">
        <w:tab/>
      </w:r>
      <w:r w:rsidR="001F0066" w:rsidRPr="0080620A">
        <w:rPr>
          <w:i/>
          <w:iCs/>
        </w:rPr>
        <w:t>Adopts</w:t>
      </w:r>
      <w:r w:rsidR="001F0066" w:rsidRPr="0080620A">
        <w:t xml:space="preserve"> </w:t>
      </w:r>
      <w:r w:rsidR="001F0066" w:rsidRPr="006325B1">
        <w:t xml:space="preserve">the </w:t>
      </w:r>
      <w:r w:rsidR="001F0066" w:rsidRPr="000B0C89">
        <w:t>terms of reference</w:t>
      </w:r>
      <w:r w:rsidR="001F0066" w:rsidRPr="0080620A">
        <w:t xml:space="preserve"> and mandate of the </w:t>
      </w:r>
      <w:r w:rsidR="00FF12CD" w:rsidRPr="0080620A">
        <w:t>c</w:t>
      </w:r>
      <w:r w:rsidR="001F0066" w:rsidRPr="0080620A">
        <w:t>ommittee to</w:t>
      </w:r>
      <w:r w:rsidR="00FF12CD" w:rsidRPr="0080620A">
        <w:t xml:space="preserve"> be established to</w:t>
      </w:r>
      <w:r w:rsidR="001F0066" w:rsidRPr="0080620A">
        <w:t xml:space="preserve"> perform the </w:t>
      </w:r>
      <w:r w:rsidR="00FF12CD" w:rsidRPr="0080620A">
        <w:t xml:space="preserve">effectiveness </w:t>
      </w:r>
      <w:r w:rsidR="001F0066" w:rsidRPr="0080620A">
        <w:t>evaluation;</w:t>
      </w:r>
      <w:r w:rsidR="003B4C6C" w:rsidRPr="0080620A">
        <w:rPr>
          <w:rStyle w:val="FootnoteReference"/>
        </w:rPr>
        <w:footnoteReference w:id="5"/>
      </w:r>
    </w:p>
    <w:p w14:paraId="0094E159" w14:textId="0B8D0C87"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1F0066" w:rsidRPr="0080620A">
        <w:t>3.</w:t>
      </w:r>
      <w:r w:rsidR="001F0066" w:rsidRPr="0080620A">
        <w:tab/>
      </w:r>
      <w:r w:rsidR="001F0066" w:rsidRPr="0080620A">
        <w:rPr>
          <w:i/>
          <w:iCs/>
        </w:rPr>
        <w:t>Decides</w:t>
      </w:r>
      <w:r w:rsidR="001F0066" w:rsidRPr="0080620A">
        <w:t xml:space="preserve"> to establish the </w:t>
      </w:r>
      <w:r w:rsidR="00971B3F" w:rsidRPr="0080620A">
        <w:t>E</w:t>
      </w:r>
      <w:r w:rsidR="00FF12CD" w:rsidRPr="0080620A">
        <w:t xml:space="preserve">ffectiveness </w:t>
      </w:r>
      <w:r w:rsidR="00971B3F" w:rsidRPr="0080620A">
        <w:t>E</w:t>
      </w:r>
      <w:r w:rsidR="00FF12CD" w:rsidRPr="0080620A">
        <w:t xml:space="preserve">valuation </w:t>
      </w:r>
      <w:r w:rsidR="00971B3F" w:rsidRPr="0080620A">
        <w:t>C</w:t>
      </w:r>
      <w:r w:rsidR="001F0066" w:rsidRPr="0080620A">
        <w:t xml:space="preserve">ommittee at its fourth meeting; </w:t>
      </w:r>
    </w:p>
    <w:p w14:paraId="6A95D3C5" w14:textId="27A798BD"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1F0066" w:rsidRPr="0080620A">
        <w:t>4.</w:t>
      </w:r>
      <w:r w:rsidR="001F0066" w:rsidRPr="0080620A">
        <w:tab/>
      </w:r>
      <w:r w:rsidR="00B1107F" w:rsidRPr="000B0C89">
        <w:rPr>
          <w:i/>
          <w:iCs/>
        </w:rPr>
        <w:t>Decides</w:t>
      </w:r>
      <w:r w:rsidR="00B1107F" w:rsidRPr="000B0C89">
        <w:t xml:space="preserve"> on</w:t>
      </w:r>
      <w:r w:rsidR="00B1107F" w:rsidRPr="0080620A">
        <w:t xml:space="preserve"> global monitoring arrangement</w:t>
      </w:r>
      <w:r w:rsidR="006212A9" w:rsidRPr="0080620A">
        <w:t>s</w:t>
      </w:r>
      <w:r w:rsidR="00D5336A" w:rsidRPr="0080620A">
        <w:rPr>
          <w:rStyle w:val="FootnoteReference"/>
        </w:rPr>
        <w:footnoteReference w:id="6"/>
      </w:r>
      <w:r w:rsidR="00B1107F" w:rsidRPr="0080620A">
        <w:t xml:space="preserve"> and e</w:t>
      </w:r>
      <w:r w:rsidR="001F0066" w:rsidRPr="0080620A">
        <w:t xml:space="preserve">stablishes a </w:t>
      </w:r>
      <w:r w:rsidR="00FF12CD" w:rsidRPr="0080620A">
        <w:t>m</w:t>
      </w:r>
      <w:r w:rsidR="001F0066" w:rsidRPr="0080620A">
        <w:t xml:space="preserve">onitoring </w:t>
      </w:r>
      <w:r w:rsidR="00FF12CD" w:rsidRPr="0080620A">
        <w:t>g</w:t>
      </w:r>
      <w:r w:rsidR="001F0066" w:rsidRPr="0080620A">
        <w:t xml:space="preserve">roup </w:t>
      </w:r>
      <w:r w:rsidR="008724DA" w:rsidRPr="0080620A">
        <w:t xml:space="preserve">to work in line with </w:t>
      </w:r>
      <w:r w:rsidR="00B1107F" w:rsidRPr="0080620A">
        <w:t>its</w:t>
      </w:r>
      <w:r w:rsidR="008724DA" w:rsidRPr="0080620A">
        <w:t xml:space="preserve"> terms of reference </w:t>
      </w:r>
      <w:r w:rsidR="001F0066" w:rsidRPr="0080620A">
        <w:t xml:space="preserve">to </w:t>
      </w:r>
      <w:r w:rsidR="008724DA" w:rsidRPr="0080620A">
        <w:t xml:space="preserve">produce a </w:t>
      </w:r>
      <w:r w:rsidR="00FC4282" w:rsidRPr="0080620A">
        <w:t xml:space="preserve">global </w:t>
      </w:r>
      <w:r w:rsidR="008724DA" w:rsidRPr="0080620A">
        <w:t xml:space="preserve">monitoring report </w:t>
      </w:r>
      <w:r w:rsidR="00DF2E9E" w:rsidRPr="0080620A">
        <w:t xml:space="preserve">for the Effectiveness Evaluation Committee, as well as guidance and </w:t>
      </w:r>
      <w:r w:rsidR="008724DA" w:rsidRPr="0080620A">
        <w:t xml:space="preserve">recommendations for </w:t>
      </w:r>
      <w:r w:rsidR="00FF12CD" w:rsidRPr="0080620A">
        <w:t>s</w:t>
      </w:r>
      <w:r w:rsidR="008724DA" w:rsidRPr="0080620A">
        <w:t xml:space="preserve">tandard </w:t>
      </w:r>
      <w:r w:rsidR="00FF12CD" w:rsidRPr="0080620A">
        <w:t>o</w:t>
      </w:r>
      <w:r w:rsidR="008724DA" w:rsidRPr="0080620A">
        <w:t xml:space="preserve">perating </w:t>
      </w:r>
      <w:r w:rsidR="00FF12CD" w:rsidRPr="0080620A">
        <w:t>p</w:t>
      </w:r>
      <w:r w:rsidR="008724DA" w:rsidRPr="0080620A">
        <w:t>rocedures for monitoring activities</w:t>
      </w:r>
      <w:r w:rsidR="00F66B76" w:rsidRPr="0080620A">
        <w:t>,</w:t>
      </w:r>
      <w:r w:rsidR="008724DA" w:rsidRPr="0080620A">
        <w:t xml:space="preserve"> </w:t>
      </w:r>
      <w:r w:rsidR="001F0066" w:rsidRPr="000B0C89">
        <w:t xml:space="preserve">by </w:t>
      </w:r>
      <w:r w:rsidR="006212A9" w:rsidRPr="000B0C89">
        <w:t>the Conference</w:t>
      </w:r>
      <w:r w:rsidR="00F66B76" w:rsidRPr="000B0C89">
        <w:t xml:space="preserve"> of the Parties at it</w:t>
      </w:r>
      <w:r w:rsidR="006212A9" w:rsidRPr="000B0C89">
        <w:t>s</w:t>
      </w:r>
      <w:r w:rsidR="001F0066" w:rsidRPr="000B0C89">
        <w:t xml:space="preserve"> fourth meeting</w:t>
      </w:r>
      <w:r w:rsidR="001F0066" w:rsidRPr="0080620A">
        <w:t xml:space="preserve">, to enable the Committee to </w:t>
      </w:r>
      <w:r w:rsidR="00DF2E9E" w:rsidRPr="0080620A">
        <w:t>convene</w:t>
      </w:r>
      <w:r w:rsidR="001F0066" w:rsidRPr="0080620A">
        <w:t xml:space="preserve"> ahead of </w:t>
      </w:r>
      <w:r w:rsidR="00DF2E9E" w:rsidRPr="0080620A">
        <w:t xml:space="preserve">the </w:t>
      </w:r>
      <w:r w:rsidR="001F0066" w:rsidRPr="0080620A">
        <w:t xml:space="preserve">fifth meeting </w:t>
      </w:r>
      <w:r w:rsidR="000D5641" w:rsidRPr="0080620A">
        <w:t xml:space="preserve">of the Conference of the Parties </w:t>
      </w:r>
      <w:r w:rsidR="001F0066" w:rsidRPr="0080620A">
        <w:t>to complete the first evaluation of the Minamata Convention;</w:t>
      </w:r>
    </w:p>
    <w:p w14:paraId="7E3B12F2" w14:textId="61246137"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1F0066" w:rsidRPr="0080620A">
        <w:t>5.</w:t>
      </w:r>
      <w:r w:rsidR="001F0066" w:rsidRPr="0080620A">
        <w:tab/>
      </w:r>
      <w:r w:rsidR="001F0066" w:rsidRPr="0080620A">
        <w:rPr>
          <w:i/>
          <w:iCs/>
        </w:rPr>
        <w:t>Requests</w:t>
      </w:r>
      <w:r w:rsidR="001F0066" w:rsidRPr="0080620A">
        <w:t xml:space="preserve"> the </w:t>
      </w:r>
      <w:r w:rsidR="00C95EA7" w:rsidRPr="003707BB">
        <w:t>s</w:t>
      </w:r>
      <w:r w:rsidR="001F0066" w:rsidRPr="003707BB">
        <w:t xml:space="preserve">ecretariat to support the work of the </w:t>
      </w:r>
      <w:r w:rsidR="00DF2E9E" w:rsidRPr="003707BB">
        <w:t>e</w:t>
      </w:r>
      <w:r w:rsidR="001F0066" w:rsidRPr="003707BB">
        <w:t>ffectiveness</w:t>
      </w:r>
      <w:r w:rsidR="001F0066" w:rsidRPr="0080620A">
        <w:t xml:space="preserve"> evaluation, and to continue to collect information relevant to the effectiveness evaluation</w:t>
      </w:r>
      <w:r w:rsidR="00F66B76" w:rsidRPr="0080620A">
        <w:t>,</w:t>
      </w:r>
      <w:r w:rsidR="001F0066" w:rsidRPr="0080620A">
        <w:t xml:space="preserve"> including for the development of </w:t>
      </w:r>
      <w:r w:rsidR="00F66B76" w:rsidRPr="0080620A">
        <w:t>the</w:t>
      </w:r>
      <w:r w:rsidR="006212A9" w:rsidRPr="0080620A">
        <w:t xml:space="preserve"> required</w:t>
      </w:r>
      <w:r w:rsidR="001F0066" w:rsidRPr="0080620A">
        <w:t xml:space="preserve"> reports; </w:t>
      </w:r>
    </w:p>
    <w:p w14:paraId="3B52D4EF" w14:textId="7709CCC8"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E6254A" w:rsidRPr="0080620A">
        <w:t>6</w:t>
      </w:r>
      <w:r w:rsidR="001F0066" w:rsidRPr="0080620A">
        <w:t>.</w:t>
      </w:r>
      <w:r w:rsidR="001F0066" w:rsidRPr="0080620A">
        <w:tab/>
      </w:r>
      <w:r w:rsidR="001F0066" w:rsidRPr="0080620A">
        <w:rPr>
          <w:i/>
          <w:iCs/>
        </w:rPr>
        <w:t>Encourages</w:t>
      </w:r>
      <w:r w:rsidR="001F0066" w:rsidRPr="0080620A">
        <w:t xml:space="preserve"> </w:t>
      </w:r>
      <w:r w:rsidR="00EA5C32" w:rsidRPr="0080620A">
        <w:t>p</w:t>
      </w:r>
      <w:r w:rsidR="001F0066" w:rsidRPr="0080620A">
        <w:t xml:space="preserve">arties to actively </w:t>
      </w:r>
      <w:r w:rsidR="00C95EA7" w:rsidRPr="0080620A">
        <w:t xml:space="preserve">engage </w:t>
      </w:r>
      <w:r w:rsidR="001F0066" w:rsidRPr="0080620A">
        <w:t xml:space="preserve">in the implementation of the effectiveness evaluation framework, in particular:  </w:t>
      </w:r>
    </w:p>
    <w:p w14:paraId="73BFBAF3" w14:textId="639B46AD"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2E30A2" w:rsidRPr="0080620A">
        <w:t>(</w:t>
      </w:r>
      <w:r w:rsidR="001F0066" w:rsidRPr="0080620A">
        <w:t>a)</w:t>
      </w:r>
      <w:r w:rsidR="001F0066" w:rsidRPr="0080620A">
        <w:tab/>
      </w:r>
      <w:r w:rsidR="00C95EA7" w:rsidRPr="0080620A">
        <w:t>To c</w:t>
      </w:r>
      <w:r w:rsidR="001F0066" w:rsidRPr="0080620A">
        <w:t xml:space="preserve">ontinue to monitor mercury and to share </w:t>
      </w:r>
      <w:r w:rsidR="001F0066" w:rsidRPr="006325B1">
        <w:t xml:space="preserve">the </w:t>
      </w:r>
      <w:r w:rsidR="001F0066" w:rsidRPr="000B0C89">
        <w:t>resulting</w:t>
      </w:r>
      <w:r w:rsidR="001F0066" w:rsidRPr="006325B1">
        <w:t xml:space="preserve"> </w:t>
      </w:r>
      <w:r w:rsidR="001F0066" w:rsidRPr="000B0C89">
        <w:t>data</w:t>
      </w:r>
      <w:r w:rsidR="001F0066" w:rsidRPr="006325B1">
        <w:t xml:space="preserve"> through</w:t>
      </w:r>
      <w:r w:rsidR="001F0066" w:rsidRPr="0080620A">
        <w:t xml:space="preserve"> the </w:t>
      </w:r>
      <w:r w:rsidR="007865CB" w:rsidRPr="0080620A">
        <w:t xml:space="preserve">monitoring </w:t>
      </w:r>
      <w:r w:rsidR="001F0066" w:rsidRPr="0080620A">
        <w:t xml:space="preserve">group established pursuant to paragraph </w:t>
      </w:r>
      <w:r w:rsidR="00E6254A" w:rsidRPr="0080620A">
        <w:t>4</w:t>
      </w:r>
      <w:r w:rsidR="001F0066" w:rsidRPr="0080620A">
        <w:t xml:space="preserve">; </w:t>
      </w:r>
    </w:p>
    <w:p w14:paraId="1D73EC39" w14:textId="2A90044A"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2E30A2" w:rsidRPr="0080620A">
        <w:t>(</w:t>
      </w:r>
      <w:r w:rsidR="001F0066" w:rsidRPr="0080620A">
        <w:t>b)</w:t>
      </w:r>
      <w:r w:rsidR="001F0066" w:rsidRPr="0080620A">
        <w:tab/>
      </w:r>
      <w:r w:rsidR="00C95EA7" w:rsidRPr="0080620A">
        <w:t>To c</w:t>
      </w:r>
      <w:r w:rsidR="001F0066" w:rsidRPr="0080620A">
        <w:t xml:space="preserve">ollaborate </w:t>
      </w:r>
      <w:r w:rsidR="009F13E2" w:rsidRPr="0080620A">
        <w:t>in</w:t>
      </w:r>
      <w:r w:rsidR="001F0066" w:rsidRPr="0080620A">
        <w:t xml:space="preserve"> develop</w:t>
      </w:r>
      <w:r w:rsidR="009F13E2" w:rsidRPr="0080620A">
        <w:t>ing</w:t>
      </w:r>
      <w:r w:rsidR="001F0066" w:rsidRPr="0080620A">
        <w:t xml:space="preserve"> and improv</w:t>
      </w:r>
      <w:r w:rsidR="009F13E2" w:rsidRPr="0080620A">
        <w:t>ing</w:t>
      </w:r>
      <w:r w:rsidR="001F0066" w:rsidRPr="0080620A">
        <w:t xml:space="preserve"> modelling </w:t>
      </w:r>
      <w:r w:rsidR="009F13E2" w:rsidRPr="0080620A">
        <w:t xml:space="preserve">tools </w:t>
      </w:r>
      <w:r w:rsidR="001F0066" w:rsidRPr="0080620A">
        <w:t xml:space="preserve">as needed and </w:t>
      </w:r>
      <w:r w:rsidR="00C95EA7" w:rsidRPr="0080620A">
        <w:t xml:space="preserve">to </w:t>
      </w:r>
      <w:r w:rsidR="001F0066" w:rsidRPr="0080620A">
        <w:t>carry o</w:t>
      </w:r>
      <w:r w:rsidR="00C95EA7" w:rsidRPr="0080620A">
        <w:t>ut</w:t>
      </w:r>
      <w:r w:rsidR="001F0066" w:rsidRPr="0080620A">
        <w:t xml:space="preserve"> geographically representative monitoring of mercury in the environment, </w:t>
      </w:r>
      <w:r w:rsidR="00E6254A" w:rsidRPr="0080620A">
        <w:t>biotic media and vulnerable populations</w:t>
      </w:r>
      <w:r w:rsidR="001F0066" w:rsidRPr="0080620A">
        <w:t>;</w:t>
      </w:r>
    </w:p>
    <w:p w14:paraId="033A0893" w14:textId="5AB8523C"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2E30A2" w:rsidRPr="0080620A">
        <w:t>(</w:t>
      </w:r>
      <w:r w:rsidR="001F0066" w:rsidRPr="0080620A">
        <w:t>c)</w:t>
      </w:r>
      <w:r w:rsidR="001F0066" w:rsidRPr="0080620A">
        <w:tab/>
      </w:r>
      <w:r w:rsidR="00C95EA7" w:rsidRPr="0080620A">
        <w:t>To u</w:t>
      </w:r>
      <w:r w:rsidR="001F0066" w:rsidRPr="0080620A">
        <w:t xml:space="preserve">se </w:t>
      </w:r>
      <w:r w:rsidR="00C95EA7" w:rsidRPr="0080620A">
        <w:t xml:space="preserve">the </w:t>
      </w:r>
      <w:r w:rsidR="001F0066" w:rsidRPr="0080620A">
        <w:t xml:space="preserve">tools </w:t>
      </w:r>
      <w:r w:rsidR="00C95EA7" w:rsidRPr="0080620A">
        <w:t xml:space="preserve">identified by the ad hoc </w:t>
      </w:r>
      <w:r w:rsidR="007865CB" w:rsidRPr="0080620A">
        <w:t xml:space="preserve">technical </w:t>
      </w:r>
      <w:r w:rsidR="00C95EA7" w:rsidRPr="0080620A">
        <w:t xml:space="preserve">expert group to </w:t>
      </w:r>
      <w:r w:rsidR="001F0066" w:rsidRPr="0080620A">
        <w:t>support data harmonization</w:t>
      </w:r>
      <w:r w:rsidR="00C95EA7" w:rsidRPr="0080620A">
        <w:t>,</w:t>
      </w:r>
      <w:r w:rsidR="001F0066" w:rsidRPr="0080620A">
        <w:t xml:space="preserve"> such as standard operating procedures, methodologies and techniques; </w:t>
      </w:r>
    </w:p>
    <w:p w14:paraId="13BD1475" w14:textId="6C37B3EB" w:rsidR="001F0066" w:rsidRPr="0080620A" w:rsidRDefault="002A2D72" w:rsidP="00BF0B17">
      <w:pPr>
        <w:tabs>
          <w:tab w:val="clear" w:pos="1247"/>
          <w:tab w:val="clear" w:pos="1814"/>
          <w:tab w:val="clear" w:pos="2381"/>
          <w:tab w:val="clear" w:pos="2948"/>
          <w:tab w:val="clear" w:pos="3515"/>
          <w:tab w:val="left" w:pos="624"/>
        </w:tabs>
        <w:spacing w:after="120"/>
        <w:ind w:left="1247" w:firstLine="624"/>
      </w:pPr>
      <w:r w:rsidRPr="0080620A">
        <w:tab/>
      </w:r>
      <w:r w:rsidR="002E30A2" w:rsidRPr="0080620A">
        <w:t>(</w:t>
      </w:r>
      <w:r w:rsidR="001F0066" w:rsidRPr="0080620A">
        <w:t>d)</w:t>
      </w:r>
      <w:r w:rsidR="001F0066" w:rsidRPr="0080620A">
        <w:tab/>
      </w:r>
      <w:r w:rsidR="00C95EA7" w:rsidRPr="0080620A">
        <w:t>To s</w:t>
      </w:r>
      <w:r w:rsidR="001F0066" w:rsidRPr="0080620A">
        <w:t>upport the further development and long-term implementation of the global monitoring arrangements, if in a position to do so.</w:t>
      </w:r>
    </w:p>
    <w:p w14:paraId="402F9E85" w14:textId="247E6E0B" w:rsidR="00650D54" w:rsidRPr="0080620A" w:rsidRDefault="00650D54" w:rsidP="009E249F"/>
    <w:p w14:paraId="1D812DBF" w14:textId="74B460E6" w:rsidR="002526A4" w:rsidRPr="0080620A" w:rsidRDefault="002526A4">
      <w:pPr>
        <w:tabs>
          <w:tab w:val="clear" w:pos="1247"/>
          <w:tab w:val="clear" w:pos="1814"/>
          <w:tab w:val="clear" w:pos="2381"/>
          <w:tab w:val="clear" w:pos="2948"/>
          <w:tab w:val="clear" w:pos="3515"/>
        </w:tabs>
        <w:rPr>
          <w:bCs/>
        </w:rPr>
      </w:pPr>
      <w:r w:rsidRPr="0080620A">
        <w:rPr>
          <w:bCs/>
        </w:rPr>
        <w:br w:type="page"/>
      </w:r>
    </w:p>
    <w:p w14:paraId="74801490" w14:textId="4E1054E4" w:rsidR="002526A4" w:rsidRPr="0080620A" w:rsidRDefault="002526A4" w:rsidP="002526A4">
      <w:pPr>
        <w:pStyle w:val="ZZAnxheader"/>
      </w:pPr>
      <w:r w:rsidRPr="0080620A">
        <w:lastRenderedPageBreak/>
        <w:t>Annex II</w:t>
      </w:r>
    </w:p>
    <w:p w14:paraId="09F21E7A" w14:textId="4E7F4858" w:rsidR="002526A4" w:rsidRDefault="002526A4" w:rsidP="002526A4">
      <w:pPr>
        <w:pStyle w:val="BBTitle"/>
      </w:pPr>
      <w:r w:rsidRPr="0080620A">
        <w:t>Report of the ad hoc technical expert group for effectiveness evaluation</w:t>
      </w:r>
      <w:r w:rsidR="00B1107F" w:rsidRPr="0080620A">
        <w:t xml:space="preserve">: </w:t>
      </w:r>
      <w:r w:rsidR="003B4C6C" w:rsidRPr="0080620A">
        <w:t>p</w:t>
      </w:r>
      <w:r w:rsidR="00B1107F" w:rsidRPr="0080620A">
        <w:t>roposed framework for the effectiveness evaluation of the Minamata Convention on Mercury</w:t>
      </w:r>
    </w:p>
    <w:p w14:paraId="4AED9267" w14:textId="2F93E11F" w:rsidR="00B1107F" w:rsidRPr="00FF10F4" w:rsidRDefault="00FF10F4" w:rsidP="00FF10F4">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B1107F" w:rsidRPr="00FF10F4">
        <w:rPr>
          <w:rFonts w:ascii="Times New Roman" w:hAnsi="Times New Roman" w:cs="Times New Roman"/>
        </w:rPr>
        <w:t xml:space="preserve">Executive </w:t>
      </w:r>
      <w:r w:rsidR="00C95EA7" w:rsidRPr="00FF10F4">
        <w:rPr>
          <w:rFonts w:ascii="Times New Roman" w:hAnsi="Times New Roman" w:cs="Times New Roman"/>
        </w:rPr>
        <w:t>s</w:t>
      </w:r>
      <w:r w:rsidR="00B1107F" w:rsidRPr="00FF10F4">
        <w:rPr>
          <w:rFonts w:ascii="Times New Roman" w:hAnsi="Times New Roman" w:cs="Times New Roman"/>
        </w:rPr>
        <w:t>ummary</w:t>
      </w:r>
    </w:p>
    <w:p w14:paraId="49A62426" w14:textId="292F6A50" w:rsidR="00B1107F" w:rsidRPr="0080620A" w:rsidRDefault="00B1107F" w:rsidP="00270AE8">
      <w:pPr>
        <w:pStyle w:val="Normalnumber"/>
        <w:numPr>
          <w:ilvl w:val="0"/>
          <w:numId w:val="43"/>
        </w:numPr>
        <w:tabs>
          <w:tab w:val="clear" w:pos="1057"/>
        </w:tabs>
        <w:ind w:left="1247"/>
      </w:pPr>
      <w:r w:rsidRPr="0080620A">
        <w:t>Th</w:t>
      </w:r>
      <w:r w:rsidR="001D642C" w:rsidRPr="0080620A">
        <w:t>e</w:t>
      </w:r>
      <w:r w:rsidRPr="0080620A">
        <w:t xml:space="preserve"> </w:t>
      </w:r>
      <w:r w:rsidR="008842DC" w:rsidRPr="0080620A">
        <w:t xml:space="preserve">present </w:t>
      </w:r>
      <w:r w:rsidRPr="0080620A">
        <w:t xml:space="preserve">report proposes a framework for effectiveness evaluation and </w:t>
      </w:r>
      <w:r w:rsidR="00B47218" w:rsidRPr="0080620A">
        <w:t xml:space="preserve">global </w:t>
      </w:r>
      <w:r w:rsidRPr="0080620A">
        <w:t xml:space="preserve">monitoring arrangements under the Minamata Convention on Mercury. </w:t>
      </w:r>
      <w:r w:rsidR="001D642C" w:rsidRPr="0080620A">
        <w:t>It</w:t>
      </w:r>
      <w:r w:rsidRPr="0080620A">
        <w:t xml:space="preserve"> was developed by the ad hoc technical expert group based on mandates provided in decisions </w:t>
      </w:r>
      <w:r w:rsidR="001B0AA1">
        <w:t>MC</w:t>
      </w:r>
      <w:r w:rsidR="001B0AA1">
        <w:noBreakHyphen/>
        <w:t>1/9</w:t>
      </w:r>
      <w:r w:rsidRPr="0080620A">
        <w:t xml:space="preserve"> and MC-2/10</w:t>
      </w:r>
      <w:r w:rsidR="00D57380" w:rsidRPr="0080620A">
        <w:t>,</w:t>
      </w:r>
      <w:r w:rsidRPr="0080620A">
        <w:t xml:space="preserve"> information contained in submissions by </w:t>
      </w:r>
      <w:r w:rsidR="00EA5C32" w:rsidRPr="0080620A">
        <w:t>p</w:t>
      </w:r>
      <w:r w:rsidRPr="0080620A">
        <w:t>arties</w:t>
      </w:r>
      <w:r w:rsidR="00435932" w:rsidRPr="0080620A">
        <w:t xml:space="preserve"> and</w:t>
      </w:r>
      <w:r w:rsidRPr="0080620A">
        <w:t xml:space="preserve"> stakeholders and other information. </w:t>
      </w:r>
      <w:r w:rsidR="001D642C" w:rsidRPr="0080620A">
        <w:t>It</w:t>
      </w:r>
      <w:r w:rsidRPr="0080620A">
        <w:t xml:space="preserve"> represents the outcome of consultations and </w:t>
      </w:r>
      <w:r w:rsidR="00435932" w:rsidRPr="0080620A">
        <w:t xml:space="preserve">a </w:t>
      </w:r>
      <w:r w:rsidRPr="0080620A">
        <w:t>review performed by the experts, including two meetings of the ad hoc group</w:t>
      </w:r>
      <w:r w:rsidR="00435932" w:rsidRPr="0080620A">
        <w:t>,</w:t>
      </w:r>
      <w:r w:rsidRPr="0080620A">
        <w:t xml:space="preserve"> in 2018 and 2019</w:t>
      </w:r>
      <w:r w:rsidR="00435932" w:rsidRPr="0080620A">
        <w:t>,</w:t>
      </w:r>
      <w:r w:rsidRPr="0080620A">
        <w:t xml:space="preserve"> respectively, with follow-up drafting and reviews by </w:t>
      </w:r>
      <w:r w:rsidR="00EA5C32" w:rsidRPr="0080620A">
        <w:t>p</w:t>
      </w:r>
      <w:r w:rsidRPr="0080620A">
        <w:t xml:space="preserve">arties, experts and other commentators </w:t>
      </w:r>
      <w:r w:rsidRPr="00321692">
        <w:t>until</w:t>
      </w:r>
      <w:r w:rsidRPr="0080620A">
        <w:t xml:space="preserve"> September 2019. </w:t>
      </w:r>
    </w:p>
    <w:p w14:paraId="0728EA09" w14:textId="2D2344F3" w:rsidR="00B1107F" w:rsidRPr="0080620A" w:rsidRDefault="00B1107F" w:rsidP="003C6542">
      <w:pPr>
        <w:pStyle w:val="Normalnumber"/>
      </w:pPr>
      <w:r w:rsidRPr="0080620A">
        <w:t xml:space="preserve">Building on the identification of elements for the effectiveness evaluation framework and </w:t>
      </w:r>
      <w:r w:rsidR="00435932" w:rsidRPr="0080620A">
        <w:t xml:space="preserve">the </w:t>
      </w:r>
      <w:r w:rsidRPr="0080620A">
        <w:t xml:space="preserve">review of monitoring activities included in the first report </w:t>
      </w:r>
      <w:r w:rsidR="00435932" w:rsidRPr="0080620A">
        <w:t xml:space="preserve">of </w:t>
      </w:r>
      <w:r w:rsidRPr="0080620A">
        <w:t>the ad hoc group</w:t>
      </w:r>
      <w:r w:rsidR="00D57380" w:rsidRPr="0080620A">
        <w:t>, which was submitted</w:t>
      </w:r>
      <w:r w:rsidRPr="0080620A">
        <w:t xml:space="preserve"> to </w:t>
      </w:r>
      <w:r w:rsidR="00435932" w:rsidRPr="0080620A">
        <w:t>the Conference of the Parties at its second meeting</w:t>
      </w:r>
      <w:r w:rsidRPr="0080620A">
        <w:t>, th</w:t>
      </w:r>
      <w:r w:rsidR="001D642C" w:rsidRPr="0080620A">
        <w:t>e</w:t>
      </w:r>
      <w:r w:rsidRPr="0080620A">
        <w:t xml:space="preserve"> report proposes a framework</w:t>
      </w:r>
      <w:r w:rsidR="00D57380" w:rsidRPr="0080620A">
        <w:t xml:space="preserve"> that sets</w:t>
      </w:r>
      <w:r w:rsidRPr="0080620A">
        <w:t xml:space="preserve"> out </w:t>
      </w:r>
      <w:r w:rsidR="00D57380" w:rsidRPr="0080620A">
        <w:t xml:space="preserve">the </w:t>
      </w:r>
      <w:r w:rsidRPr="0080620A">
        <w:t xml:space="preserve">arrangements, </w:t>
      </w:r>
      <w:r w:rsidR="007865CB" w:rsidRPr="0080620A">
        <w:t xml:space="preserve">the </w:t>
      </w:r>
      <w:r w:rsidRPr="0080620A">
        <w:t xml:space="preserve">information and analysis flows and </w:t>
      </w:r>
      <w:r w:rsidR="007865CB" w:rsidRPr="0080620A">
        <w:t xml:space="preserve">the </w:t>
      </w:r>
      <w:r w:rsidRPr="0080620A">
        <w:t>reports on which the Effectiveness Evaluation Committee will base its findings o</w:t>
      </w:r>
      <w:r w:rsidR="00435932" w:rsidRPr="0080620A">
        <w:t>n</w:t>
      </w:r>
      <w:r w:rsidRPr="0080620A">
        <w:t xml:space="preserve"> the effectiveness of the Convention. </w:t>
      </w:r>
    </w:p>
    <w:p w14:paraId="6D8ED6D5" w14:textId="4D84DC02" w:rsidR="00B1107F" w:rsidRPr="00FF10F4" w:rsidRDefault="00E52267" w:rsidP="00FF10F4">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739F6" w:rsidRPr="00FF10F4">
        <w:rPr>
          <w:rFonts w:ascii="Times New Roman" w:hAnsi="Times New Roman" w:cs="Times New Roman"/>
        </w:rPr>
        <w:t>E</w:t>
      </w:r>
      <w:r w:rsidR="00B1107F" w:rsidRPr="00FF10F4">
        <w:rPr>
          <w:rFonts w:ascii="Times New Roman" w:hAnsi="Times New Roman" w:cs="Times New Roman"/>
        </w:rPr>
        <w:t>ffectiveness evaluation framework</w:t>
      </w:r>
    </w:p>
    <w:p w14:paraId="4D626E7C" w14:textId="5D2B74AF" w:rsidR="00B1107F" w:rsidRPr="0080620A" w:rsidRDefault="00B1107F" w:rsidP="003C6542">
      <w:pPr>
        <w:pStyle w:val="Normalnumber"/>
      </w:pPr>
      <w:r w:rsidRPr="0080620A">
        <w:t xml:space="preserve">The effectiveness evaluation </w:t>
      </w:r>
      <w:r w:rsidR="00402309" w:rsidRPr="0080620A">
        <w:t xml:space="preserve">framework </w:t>
      </w:r>
      <w:r w:rsidRPr="0080620A">
        <w:t xml:space="preserve">is based on four policy questions that will allow the Conference of the Parties to consider </w:t>
      </w:r>
      <w:r w:rsidR="00402309" w:rsidRPr="0080620A">
        <w:t>the</w:t>
      </w:r>
      <w:r w:rsidRPr="0080620A">
        <w:t xml:space="preserve"> extent </w:t>
      </w:r>
      <w:r w:rsidR="00402309" w:rsidRPr="0080620A">
        <w:t xml:space="preserve">to which </w:t>
      </w:r>
      <w:r w:rsidRPr="0080620A">
        <w:t xml:space="preserve">the existing measures under the Convention will achieve </w:t>
      </w:r>
      <w:r w:rsidR="00402309" w:rsidRPr="0080620A">
        <w:t>the</w:t>
      </w:r>
      <w:r w:rsidRPr="0080620A">
        <w:t xml:space="preserve"> objective of protecting human health and the environment from the anthropogenic emissions and releases of mercury and mercury compounds. The policy questions are:</w:t>
      </w:r>
    </w:p>
    <w:p w14:paraId="54356722" w14:textId="67284233" w:rsidR="00B1107F" w:rsidRPr="0080620A" w:rsidRDefault="00B1107F" w:rsidP="00740F92">
      <w:pPr>
        <w:pStyle w:val="Normalnumber"/>
        <w:numPr>
          <w:ilvl w:val="1"/>
          <w:numId w:val="24"/>
        </w:numPr>
        <w:ind w:left="1247" w:firstLine="624"/>
      </w:pPr>
      <w:r w:rsidRPr="0080620A">
        <w:t xml:space="preserve">Have the </w:t>
      </w:r>
      <w:r w:rsidR="00EA5C32" w:rsidRPr="0080620A">
        <w:t>p</w:t>
      </w:r>
      <w:r w:rsidRPr="0080620A">
        <w:t>arties taken actions to implement the Minamata Convention?</w:t>
      </w:r>
    </w:p>
    <w:p w14:paraId="1FC26642" w14:textId="0E809C8F" w:rsidR="00B1107F" w:rsidRPr="0080620A" w:rsidRDefault="00B1107F" w:rsidP="00740F92">
      <w:pPr>
        <w:pStyle w:val="Normalnumber"/>
        <w:numPr>
          <w:ilvl w:val="1"/>
          <w:numId w:val="24"/>
        </w:numPr>
        <w:ind w:left="1247" w:firstLine="624"/>
      </w:pPr>
      <w:r w:rsidRPr="0080620A">
        <w:t xml:space="preserve">Have the actions </w:t>
      </w:r>
      <w:r w:rsidR="007865CB" w:rsidRPr="0080620A">
        <w:t xml:space="preserve">taken </w:t>
      </w:r>
      <w:r w:rsidRPr="0080620A">
        <w:t>resulted in changes in</w:t>
      </w:r>
      <w:r w:rsidR="00C4759F" w:rsidRPr="0080620A">
        <w:t xml:space="preserve"> mercury</w:t>
      </w:r>
      <w:r w:rsidRPr="0080620A">
        <w:t xml:space="preserve"> supply, use, emission</w:t>
      </w:r>
      <w:r w:rsidR="008842DC" w:rsidRPr="0080620A">
        <w:t>s</w:t>
      </w:r>
      <w:r w:rsidRPr="0080620A">
        <w:t xml:space="preserve"> and releases </w:t>
      </w:r>
      <w:r w:rsidR="008842DC" w:rsidRPr="0080620A">
        <w:t>in</w:t>
      </w:r>
      <w:r w:rsidRPr="0080620A">
        <w:t xml:space="preserve">to the environment? </w:t>
      </w:r>
    </w:p>
    <w:p w14:paraId="7FD9C2D2" w14:textId="448C3DDE" w:rsidR="00B1107F" w:rsidRPr="0080620A" w:rsidRDefault="00B1107F" w:rsidP="00740F92">
      <w:pPr>
        <w:pStyle w:val="Normalnumber"/>
        <w:numPr>
          <w:ilvl w:val="1"/>
          <w:numId w:val="24"/>
        </w:numPr>
        <w:ind w:left="1247" w:firstLine="624"/>
      </w:pPr>
      <w:r w:rsidRPr="0080620A">
        <w:t>Have th</w:t>
      </w:r>
      <w:r w:rsidR="0079131D" w:rsidRPr="0080620A">
        <w:t>o</w:t>
      </w:r>
      <w:r w:rsidRPr="0080620A">
        <w:t xml:space="preserve">se changes resulted in changes in levels of mercury in the environment, </w:t>
      </w:r>
      <w:r w:rsidR="0039609C" w:rsidRPr="0080620A">
        <w:t>biotic</w:t>
      </w:r>
      <w:r w:rsidR="00EE7D24" w:rsidRPr="0080620A">
        <w:t xml:space="preserve"> media and vulnerable populations </w:t>
      </w:r>
      <w:r w:rsidR="00C42482" w:rsidRPr="0080620A">
        <w:t xml:space="preserve">that can be </w:t>
      </w:r>
      <w:r w:rsidRPr="0080620A">
        <w:t>attribut</w:t>
      </w:r>
      <w:r w:rsidR="00C42482" w:rsidRPr="0080620A">
        <w:t>ed</w:t>
      </w:r>
      <w:r w:rsidRPr="0080620A">
        <w:t xml:space="preserve"> to the </w:t>
      </w:r>
      <w:r w:rsidR="00772D69" w:rsidRPr="0080620A">
        <w:t xml:space="preserve">Minamata </w:t>
      </w:r>
      <w:r w:rsidRPr="0080620A">
        <w:t xml:space="preserve">Convention? </w:t>
      </w:r>
    </w:p>
    <w:p w14:paraId="6013F21D" w14:textId="532E575F" w:rsidR="00B1107F" w:rsidRPr="0080620A" w:rsidRDefault="00B1107F" w:rsidP="00740F92">
      <w:pPr>
        <w:pStyle w:val="Normalnumber"/>
        <w:numPr>
          <w:ilvl w:val="1"/>
          <w:numId w:val="24"/>
        </w:numPr>
        <w:ind w:left="1247" w:firstLine="624"/>
      </w:pPr>
      <w:r w:rsidRPr="0080620A">
        <w:t xml:space="preserve">To what </w:t>
      </w:r>
      <w:r w:rsidR="00772D69" w:rsidRPr="0080620A">
        <w:t xml:space="preserve">extent </w:t>
      </w:r>
      <w:r w:rsidRPr="0080620A">
        <w:t xml:space="preserve">are existing measures under the Minamata Convention meeting </w:t>
      </w:r>
      <w:r w:rsidR="00772D69" w:rsidRPr="0080620A">
        <w:t>the</w:t>
      </w:r>
      <w:r w:rsidRPr="0080620A">
        <w:t xml:space="preserve"> objective of protecting human health and </w:t>
      </w:r>
      <w:r w:rsidR="00772D69" w:rsidRPr="0080620A">
        <w:t xml:space="preserve">the </w:t>
      </w:r>
      <w:r w:rsidRPr="0080620A">
        <w:t>environment from mercury?</w:t>
      </w:r>
    </w:p>
    <w:p w14:paraId="3A2CA618" w14:textId="2C37F98F" w:rsidR="00B1107F" w:rsidRPr="0080620A" w:rsidRDefault="00B1107F" w:rsidP="003C6542">
      <w:pPr>
        <w:pStyle w:val="Normalnumber"/>
      </w:pPr>
      <w:r w:rsidRPr="0080620A">
        <w:t>The framework relies on evaluating evidence along the causal pathway linking actions to implement the Convention</w:t>
      </w:r>
      <w:r w:rsidR="00CC12B1" w:rsidRPr="0080620A">
        <w:t xml:space="preserve"> with the</w:t>
      </w:r>
      <w:r w:rsidRPr="0080620A">
        <w:t xml:space="preserve"> associated changes in </w:t>
      </w:r>
      <w:r w:rsidR="00840E72" w:rsidRPr="0080620A">
        <w:t xml:space="preserve">mercury </w:t>
      </w:r>
      <w:r w:rsidRPr="0080620A">
        <w:t xml:space="preserve">supply, use, emissions and releases and </w:t>
      </w:r>
      <w:r w:rsidR="00CC12B1" w:rsidRPr="0080620A">
        <w:t xml:space="preserve">the </w:t>
      </w:r>
      <w:r w:rsidRPr="0080620A">
        <w:t xml:space="preserve">resulting changes in </w:t>
      </w:r>
      <w:r w:rsidR="00772D69" w:rsidRPr="0080620A">
        <w:t xml:space="preserve">mercury </w:t>
      </w:r>
      <w:r w:rsidRPr="0080620A">
        <w:t xml:space="preserve">levels and trends </w:t>
      </w:r>
      <w:r w:rsidR="00772D69" w:rsidRPr="0080620A">
        <w:t>in those levels</w:t>
      </w:r>
      <w:r w:rsidRPr="0080620A">
        <w:t xml:space="preserve"> in the global environment, biot</w:t>
      </w:r>
      <w:r w:rsidR="003C4FEC" w:rsidRPr="0080620A">
        <w:t>ic</w:t>
      </w:r>
      <w:r w:rsidR="0039609C" w:rsidRPr="0080620A">
        <w:t xml:space="preserve"> media</w:t>
      </w:r>
      <w:r w:rsidRPr="0080620A">
        <w:t xml:space="preserve"> and </w:t>
      </w:r>
      <w:r w:rsidR="0039609C" w:rsidRPr="0080620A">
        <w:t>vulnerable populations</w:t>
      </w:r>
      <w:r w:rsidRPr="0080620A">
        <w:t xml:space="preserve">. </w:t>
      </w:r>
      <w:r w:rsidR="00840E72" w:rsidRPr="0080620A">
        <w:t>S</w:t>
      </w:r>
      <w:r w:rsidRPr="0080620A">
        <w:t xml:space="preserve">ets of </w:t>
      </w:r>
      <w:r w:rsidR="009C6D79" w:rsidRPr="0080620A">
        <w:t xml:space="preserve">process, outcome and monitoring </w:t>
      </w:r>
      <w:r w:rsidRPr="0080620A">
        <w:t xml:space="preserve">indicators </w:t>
      </w:r>
      <w:r w:rsidR="009076C3" w:rsidRPr="0080620A">
        <w:t xml:space="preserve">are proposed </w:t>
      </w:r>
      <w:r w:rsidRPr="0080620A">
        <w:t xml:space="preserve">to inform the policy questions. The proposed indicators draw on </w:t>
      </w:r>
      <w:r w:rsidR="00C4759F" w:rsidRPr="0080620A">
        <w:t xml:space="preserve">the earlier </w:t>
      </w:r>
      <w:r w:rsidRPr="0080620A">
        <w:t xml:space="preserve">work on elements of the effectiveness evaluation framework and a review of monitoring capacities and abilities. </w:t>
      </w:r>
    </w:p>
    <w:p w14:paraId="5B6824DE" w14:textId="0E0CAE97" w:rsidR="00B1107F" w:rsidRPr="0080620A" w:rsidRDefault="009076C3" w:rsidP="003C6542">
      <w:pPr>
        <w:pStyle w:val="Normalnumber"/>
      </w:pPr>
      <w:r w:rsidRPr="0080620A">
        <w:t>It is likely, however</w:t>
      </w:r>
      <w:r w:rsidR="00B1107F" w:rsidRPr="0080620A">
        <w:t xml:space="preserve">, that monitoring will </w:t>
      </w:r>
      <w:r w:rsidR="00C4759F" w:rsidRPr="0080620A">
        <w:t xml:space="preserve">reveal </w:t>
      </w:r>
      <w:r w:rsidR="00B1107F" w:rsidRPr="0080620A">
        <w:t xml:space="preserve">an increased amount of mercury </w:t>
      </w:r>
      <w:r w:rsidR="009C6D79" w:rsidRPr="0080620A">
        <w:t>(e.g.,</w:t>
      </w:r>
      <w:r w:rsidR="00B1107F" w:rsidRPr="0080620A">
        <w:t xml:space="preserve"> in the atmosphere</w:t>
      </w:r>
      <w:r w:rsidR="009C6D79" w:rsidRPr="0080620A">
        <w:t>)</w:t>
      </w:r>
      <w:r w:rsidR="00B1107F" w:rsidRPr="0080620A">
        <w:t xml:space="preserve"> due to factors outside the scope of the Convention. Th</w:t>
      </w:r>
      <w:r w:rsidRPr="0080620A">
        <w:t>ese</w:t>
      </w:r>
      <w:r w:rsidR="00B1107F" w:rsidRPr="0080620A">
        <w:t xml:space="preserve"> include legacy mercury, natural mercury </w:t>
      </w:r>
      <w:r w:rsidRPr="0080620A">
        <w:t>and the</w:t>
      </w:r>
      <w:r w:rsidR="00B1107F" w:rsidRPr="0080620A">
        <w:t xml:space="preserve"> </w:t>
      </w:r>
      <w:r w:rsidR="00C4759F" w:rsidRPr="0080620A">
        <w:t xml:space="preserve">effects </w:t>
      </w:r>
      <w:r w:rsidRPr="0080620A">
        <w:t>of</w:t>
      </w:r>
      <w:r w:rsidR="00B1107F" w:rsidRPr="0080620A">
        <w:t xml:space="preserve"> climate change</w:t>
      </w:r>
      <w:r w:rsidRPr="0080620A">
        <w:t>,</w:t>
      </w:r>
      <w:r w:rsidR="00B1107F" w:rsidRPr="0080620A">
        <w:t xml:space="preserve"> such as increased availability of mercury stored in melting sea ice, ice sheets</w:t>
      </w:r>
      <w:r w:rsidRPr="0080620A">
        <w:t xml:space="preserve"> and</w:t>
      </w:r>
      <w:r w:rsidR="00B1107F" w:rsidRPr="0080620A">
        <w:t xml:space="preserve"> permafrost and increased evaporation of mercury from the warming oceans. Consequently, it is </w:t>
      </w:r>
      <w:r w:rsidRPr="0080620A">
        <w:t>un</w:t>
      </w:r>
      <w:r w:rsidR="00B1107F" w:rsidRPr="0080620A">
        <w:t xml:space="preserve">likely that </w:t>
      </w:r>
      <w:r w:rsidRPr="0080620A">
        <w:t xml:space="preserve">an </w:t>
      </w:r>
      <w:r w:rsidR="00B1107F" w:rsidRPr="0080620A">
        <w:t xml:space="preserve">unequivocal link </w:t>
      </w:r>
      <w:r w:rsidRPr="0080620A">
        <w:t xml:space="preserve">will be </w:t>
      </w:r>
      <w:r w:rsidR="00C4759F" w:rsidRPr="0080620A">
        <w:t>established</w:t>
      </w:r>
      <w:r w:rsidRPr="0080620A">
        <w:t xml:space="preserve"> in the near future </w:t>
      </w:r>
      <w:r w:rsidR="00B1107F" w:rsidRPr="0080620A">
        <w:t xml:space="preserve">between levels of mercury observed in the environment, </w:t>
      </w:r>
      <w:r w:rsidR="0039609C" w:rsidRPr="0080620A">
        <w:t>biotic media</w:t>
      </w:r>
      <w:r w:rsidR="00B1107F" w:rsidRPr="0080620A">
        <w:t xml:space="preserve"> and </w:t>
      </w:r>
      <w:r w:rsidR="0039609C" w:rsidRPr="0080620A">
        <w:t>vulnerable populations</w:t>
      </w:r>
      <w:r w:rsidR="00B1107F" w:rsidRPr="0080620A">
        <w:t xml:space="preserve"> and actions taken under the Convention. </w:t>
      </w:r>
    </w:p>
    <w:p w14:paraId="563F7BFF" w14:textId="1EB62A02" w:rsidR="00B1107F" w:rsidRPr="0080620A" w:rsidRDefault="009C6D79" w:rsidP="003C6542">
      <w:pPr>
        <w:pStyle w:val="Normalnumber"/>
      </w:pPr>
      <w:r w:rsidRPr="0080620A">
        <w:t xml:space="preserve">Many of the </w:t>
      </w:r>
      <w:r w:rsidR="00B1107F" w:rsidRPr="0080620A">
        <w:t xml:space="preserve">indicators developed following an article-by-article review </w:t>
      </w:r>
      <w:r w:rsidRPr="0080620A">
        <w:t xml:space="preserve">have been </w:t>
      </w:r>
      <w:r w:rsidR="00B1107F" w:rsidRPr="0080620A">
        <w:t>clustered to enable synthesized analysis for an integrated picture</w:t>
      </w:r>
      <w:r w:rsidRPr="0080620A">
        <w:t xml:space="preserve">; however, the indicators for </w:t>
      </w:r>
      <w:r w:rsidR="00B1107F" w:rsidRPr="0080620A">
        <w:t xml:space="preserve">articles </w:t>
      </w:r>
      <w:r w:rsidRPr="0080620A">
        <w:t xml:space="preserve">considered as </w:t>
      </w:r>
      <w:r w:rsidR="00B1107F" w:rsidRPr="0080620A">
        <w:t xml:space="preserve">central or </w:t>
      </w:r>
      <w:r w:rsidRPr="0080620A">
        <w:t xml:space="preserve">of </w:t>
      </w:r>
      <w:r w:rsidR="00B1107F" w:rsidRPr="0080620A">
        <w:t>cross</w:t>
      </w:r>
      <w:r w:rsidRPr="0080620A">
        <w:t>-</w:t>
      </w:r>
      <w:r w:rsidR="00B1107F" w:rsidRPr="0080620A">
        <w:t>cutting importance to the overall provisions</w:t>
      </w:r>
      <w:r w:rsidR="00717E7D" w:rsidRPr="0080620A">
        <w:t>, such as articles 1 and 16,</w:t>
      </w:r>
      <w:r w:rsidR="00B1107F" w:rsidRPr="0080620A">
        <w:t xml:space="preserve"> </w:t>
      </w:r>
      <w:r w:rsidRPr="0080620A">
        <w:t xml:space="preserve">have </w:t>
      </w:r>
      <w:r w:rsidR="00B1107F" w:rsidRPr="0080620A">
        <w:t xml:space="preserve">not </w:t>
      </w:r>
      <w:r w:rsidR="009E4B17" w:rsidRPr="0080620A">
        <w:t xml:space="preserve">been </w:t>
      </w:r>
      <w:r w:rsidR="00B1107F" w:rsidRPr="0080620A">
        <w:t xml:space="preserve">clustered. The </w:t>
      </w:r>
      <w:r w:rsidRPr="0080620A">
        <w:t>clusters are as follows</w:t>
      </w:r>
      <w:r w:rsidR="00B1107F" w:rsidRPr="0080620A">
        <w:t>:</w:t>
      </w:r>
    </w:p>
    <w:p w14:paraId="5C84C22C" w14:textId="19BFE5CC" w:rsidR="00B1107F" w:rsidRPr="0080620A" w:rsidRDefault="00B1107F" w:rsidP="00A00B9F">
      <w:pPr>
        <w:pStyle w:val="Normalnumber"/>
        <w:numPr>
          <w:ilvl w:val="0"/>
          <w:numId w:val="25"/>
        </w:numPr>
        <w:ind w:left="1247" w:firstLine="624"/>
      </w:pPr>
      <w:r w:rsidRPr="0080620A">
        <w:t>Supply cluster (B): supply, storage and waste (</w:t>
      </w:r>
      <w:r w:rsidR="00DA36E9" w:rsidRPr="0080620A">
        <w:t>a</w:t>
      </w:r>
      <w:r w:rsidRPr="0080620A">
        <w:t>rt</w:t>
      </w:r>
      <w:r w:rsidR="00717E7D" w:rsidRPr="0080620A">
        <w:t>icles</w:t>
      </w:r>
      <w:r w:rsidRPr="0080620A">
        <w:t xml:space="preserve"> 3, 10</w:t>
      </w:r>
      <w:r w:rsidR="00DA36E9" w:rsidRPr="0080620A">
        <w:t xml:space="preserve"> and</w:t>
      </w:r>
      <w:r w:rsidRPr="0080620A">
        <w:t xml:space="preserve"> 11);</w:t>
      </w:r>
    </w:p>
    <w:p w14:paraId="6C19F856" w14:textId="23C3B7B4" w:rsidR="00B1107F" w:rsidRPr="0080620A" w:rsidRDefault="00B1107F" w:rsidP="00A00B9F">
      <w:pPr>
        <w:pStyle w:val="Normalnumber"/>
        <w:numPr>
          <w:ilvl w:val="0"/>
          <w:numId w:val="25"/>
        </w:numPr>
        <w:ind w:left="1247" w:firstLine="624"/>
      </w:pPr>
      <w:r w:rsidRPr="0080620A">
        <w:t xml:space="preserve">Demand cluster (C): products, processes and </w:t>
      </w:r>
      <w:r w:rsidR="00EA6FBE" w:rsidRPr="0080620A">
        <w:t>artisanal and small-scale gold mining</w:t>
      </w:r>
      <w:r w:rsidRPr="0080620A">
        <w:t xml:space="preserve"> (</w:t>
      </w:r>
      <w:r w:rsidR="00DA36E9" w:rsidRPr="0080620A">
        <w:t>a</w:t>
      </w:r>
      <w:r w:rsidRPr="0080620A">
        <w:t>rt</w:t>
      </w:r>
      <w:r w:rsidR="00717E7D" w:rsidRPr="0080620A">
        <w:t>icles</w:t>
      </w:r>
      <w:r w:rsidRPr="0080620A">
        <w:t xml:space="preserve"> 4,</w:t>
      </w:r>
      <w:r w:rsidR="00DA36E9" w:rsidRPr="0080620A">
        <w:t xml:space="preserve"> </w:t>
      </w:r>
      <w:r w:rsidRPr="0080620A">
        <w:t>5</w:t>
      </w:r>
      <w:r w:rsidR="00DA36E9" w:rsidRPr="0080620A">
        <w:t xml:space="preserve"> and </w:t>
      </w:r>
      <w:r w:rsidRPr="0080620A">
        <w:t>7);</w:t>
      </w:r>
    </w:p>
    <w:p w14:paraId="3B58D9BA" w14:textId="3C6C119E" w:rsidR="00B1107F" w:rsidRPr="0080620A" w:rsidRDefault="00B1107F" w:rsidP="00A00B9F">
      <w:pPr>
        <w:pStyle w:val="Normalnumber"/>
        <w:numPr>
          <w:ilvl w:val="0"/>
          <w:numId w:val="25"/>
        </w:numPr>
        <w:ind w:left="1247" w:firstLine="624"/>
      </w:pPr>
      <w:r w:rsidRPr="0080620A">
        <w:t>Pressure cluster (D): emissions, releases and contaminated sites (</w:t>
      </w:r>
      <w:r w:rsidR="00DA36E9" w:rsidRPr="0080620A">
        <w:t>a</w:t>
      </w:r>
      <w:r w:rsidRPr="0080620A">
        <w:t>rt</w:t>
      </w:r>
      <w:r w:rsidR="00717E7D" w:rsidRPr="0080620A">
        <w:t>icles</w:t>
      </w:r>
      <w:r w:rsidRPr="0080620A">
        <w:t xml:space="preserve"> 8, 9 and 12)</w:t>
      </w:r>
      <w:r w:rsidR="00F80CFA" w:rsidRPr="0080620A">
        <w:t>;</w:t>
      </w:r>
    </w:p>
    <w:p w14:paraId="5AA5905B" w14:textId="715DF11D" w:rsidR="00B1107F" w:rsidRPr="0080620A" w:rsidRDefault="00B1107F" w:rsidP="00A00B9F">
      <w:pPr>
        <w:pStyle w:val="Normalnumber"/>
        <w:numPr>
          <w:ilvl w:val="0"/>
          <w:numId w:val="25"/>
        </w:numPr>
        <w:ind w:left="1247" w:firstLine="624"/>
      </w:pPr>
      <w:r w:rsidRPr="0080620A">
        <w:lastRenderedPageBreak/>
        <w:t>Support cluster (E): financial and technical assistance (</w:t>
      </w:r>
      <w:r w:rsidR="00DA36E9" w:rsidRPr="0080620A">
        <w:t>a</w:t>
      </w:r>
      <w:r w:rsidRPr="0080620A">
        <w:t>rt</w:t>
      </w:r>
      <w:r w:rsidR="00717E7D" w:rsidRPr="0080620A">
        <w:t>icles</w:t>
      </w:r>
      <w:r w:rsidRPr="0080620A">
        <w:t xml:space="preserve"> 13 and 14)</w:t>
      </w:r>
      <w:r w:rsidR="00F80CFA" w:rsidRPr="0080620A">
        <w:t>;</w:t>
      </w:r>
    </w:p>
    <w:p w14:paraId="1C9FE075" w14:textId="017EC6E3" w:rsidR="00B1107F" w:rsidRPr="0080620A" w:rsidRDefault="00B1107F" w:rsidP="00A00B9F">
      <w:pPr>
        <w:pStyle w:val="Normalnumber"/>
        <w:numPr>
          <w:ilvl w:val="0"/>
          <w:numId w:val="25"/>
        </w:numPr>
        <w:ind w:left="1247" w:firstLine="624"/>
      </w:pPr>
      <w:r w:rsidRPr="0080620A">
        <w:t>Information and research cluster (H): information exchange, public information</w:t>
      </w:r>
      <w:r w:rsidR="00EA6FBE" w:rsidRPr="0080620A">
        <w:t xml:space="preserve"> and</w:t>
      </w:r>
      <w:r w:rsidRPr="0080620A">
        <w:t xml:space="preserve"> research (</w:t>
      </w:r>
      <w:r w:rsidR="00DA36E9" w:rsidRPr="0080620A">
        <w:t>a</w:t>
      </w:r>
      <w:r w:rsidRPr="0080620A">
        <w:t>rt</w:t>
      </w:r>
      <w:r w:rsidR="00717E7D" w:rsidRPr="0080620A">
        <w:t>icles</w:t>
      </w:r>
      <w:r w:rsidRPr="0080620A">
        <w:t xml:space="preserve"> 17, 18 and 19).</w:t>
      </w:r>
    </w:p>
    <w:p w14:paraId="3018FA4F" w14:textId="2C57EE07" w:rsidR="00B1107F" w:rsidRPr="0080620A" w:rsidRDefault="00B1107F" w:rsidP="003C6542">
      <w:pPr>
        <w:pStyle w:val="Normalnumber"/>
      </w:pPr>
      <w:r w:rsidRPr="0080620A">
        <w:t>Article 22, paragraph 3</w:t>
      </w:r>
      <w:r w:rsidR="00DA36E9" w:rsidRPr="0080620A">
        <w:t>,</w:t>
      </w:r>
      <w:r w:rsidRPr="0080620A">
        <w:t xml:space="preserve"> indicates that the evaluation </w:t>
      </w:r>
      <w:r w:rsidR="00717E7D" w:rsidRPr="0080620A">
        <w:t xml:space="preserve">should </w:t>
      </w:r>
      <w:r w:rsidRPr="0080620A">
        <w:t>be conducted using available scientific, environmental, technical, financial and economic information</w:t>
      </w:r>
      <w:r w:rsidR="00717E7D" w:rsidRPr="0080620A">
        <w:t xml:space="preserve">. </w:t>
      </w:r>
      <w:r w:rsidR="00C43B4B" w:rsidRPr="0080620A">
        <w:t>T</w:t>
      </w:r>
      <w:r w:rsidRPr="0080620A">
        <w:t>he framework foresees five to six reports to be produced</w:t>
      </w:r>
      <w:r w:rsidR="00C43B4B" w:rsidRPr="0080620A">
        <w:t xml:space="preserve"> based on such information</w:t>
      </w:r>
      <w:r w:rsidRPr="0080620A">
        <w:t xml:space="preserve">: </w:t>
      </w:r>
    </w:p>
    <w:p w14:paraId="49476910" w14:textId="5B5050DD" w:rsidR="00B1107F" w:rsidRPr="0080620A" w:rsidRDefault="00B1107F" w:rsidP="00A00B9F">
      <w:pPr>
        <w:pStyle w:val="Normalnumber"/>
        <w:numPr>
          <w:ilvl w:val="0"/>
          <w:numId w:val="26"/>
        </w:numPr>
        <w:ind w:left="1247" w:firstLine="624"/>
      </w:pPr>
      <w:r w:rsidRPr="0080620A">
        <w:t xml:space="preserve">The </w:t>
      </w:r>
      <w:r w:rsidR="00DA36E9" w:rsidRPr="0080620A">
        <w:t>a</w:t>
      </w:r>
      <w:r w:rsidRPr="0080620A">
        <w:t xml:space="preserve">rticle 21 </w:t>
      </w:r>
      <w:r w:rsidR="00DA36E9" w:rsidRPr="0080620A">
        <w:t>s</w:t>
      </w:r>
      <w:r w:rsidRPr="0080620A">
        <w:t xml:space="preserve">ynthesis </w:t>
      </w:r>
      <w:r w:rsidR="00DA36E9" w:rsidRPr="0080620A">
        <w:t>r</w:t>
      </w:r>
      <w:r w:rsidRPr="0080620A">
        <w:t>eport</w:t>
      </w:r>
      <w:r w:rsidR="00DA36E9" w:rsidRPr="0080620A">
        <w:t>,</w:t>
      </w:r>
      <w:r w:rsidRPr="0080620A">
        <w:t xml:space="preserve"> based on information </w:t>
      </w:r>
      <w:r w:rsidR="00717E7D" w:rsidRPr="0080620A">
        <w:t xml:space="preserve">submitted </w:t>
      </w:r>
      <w:r w:rsidRPr="0080620A">
        <w:t xml:space="preserve">by </w:t>
      </w:r>
      <w:r w:rsidR="00EA5C32" w:rsidRPr="0080620A">
        <w:t>p</w:t>
      </w:r>
      <w:r w:rsidRPr="0080620A">
        <w:t xml:space="preserve">arties under </w:t>
      </w:r>
      <w:r w:rsidR="00DA36E9" w:rsidRPr="0080620A">
        <w:t>a</w:t>
      </w:r>
      <w:r w:rsidRPr="0080620A">
        <w:t>rticle</w:t>
      </w:r>
      <w:r w:rsidR="00717E7D" w:rsidRPr="0080620A">
        <w:t> </w:t>
      </w:r>
      <w:r w:rsidRPr="0080620A">
        <w:t>21 on reporting</w:t>
      </w:r>
      <w:r w:rsidR="00DA4696" w:rsidRPr="0080620A">
        <w:t>;</w:t>
      </w:r>
    </w:p>
    <w:p w14:paraId="539665C6" w14:textId="26854B03" w:rsidR="00B1107F" w:rsidRPr="0080620A" w:rsidRDefault="00B1107F" w:rsidP="00A00B9F">
      <w:pPr>
        <w:pStyle w:val="Normalnumber"/>
        <w:numPr>
          <w:ilvl w:val="0"/>
          <w:numId w:val="26"/>
        </w:numPr>
        <w:ind w:left="1247" w:firstLine="624"/>
      </w:pPr>
      <w:r w:rsidRPr="0080620A">
        <w:t xml:space="preserve">The </w:t>
      </w:r>
      <w:r w:rsidR="00DA36E9" w:rsidRPr="0080620A">
        <w:t>e</w:t>
      </w:r>
      <w:r w:rsidRPr="0080620A">
        <w:t xml:space="preserve">missions and </w:t>
      </w:r>
      <w:r w:rsidR="00DA36E9" w:rsidRPr="0080620A">
        <w:t>r</w:t>
      </w:r>
      <w:r w:rsidRPr="0080620A">
        <w:t xml:space="preserve">eleases </w:t>
      </w:r>
      <w:r w:rsidR="00DA36E9" w:rsidRPr="0080620A">
        <w:t>r</w:t>
      </w:r>
      <w:r w:rsidRPr="0080620A">
        <w:t>eport</w:t>
      </w:r>
      <w:r w:rsidR="00DA36E9" w:rsidRPr="0080620A">
        <w:t>,</w:t>
      </w:r>
      <w:r w:rsidRPr="0080620A">
        <w:t xml:space="preserve"> modelled </w:t>
      </w:r>
      <w:r w:rsidR="00DA36E9" w:rsidRPr="0080620A">
        <w:t xml:space="preserve">on </w:t>
      </w:r>
      <w:r w:rsidRPr="0080620A">
        <w:t xml:space="preserve">the </w:t>
      </w:r>
      <w:r w:rsidR="00B536D2">
        <w:t xml:space="preserve">report </w:t>
      </w:r>
      <w:r w:rsidRPr="00B536D2">
        <w:rPr>
          <w:i/>
        </w:rPr>
        <w:t>Global Mercury Assessment</w:t>
      </w:r>
      <w:r w:rsidR="00B536D2" w:rsidRPr="00B536D2">
        <w:rPr>
          <w:i/>
        </w:rPr>
        <w:t xml:space="preserve"> 2018</w:t>
      </w:r>
      <w:r w:rsidR="00D85F7A" w:rsidRPr="0080620A">
        <w:t>;</w:t>
      </w:r>
      <w:bookmarkStart w:id="4" w:name="_Ref23323081"/>
      <w:r w:rsidR="0042702F" w:rsidRPr="0080620A">
        <w:rPr>
          <w:rStyle w:val="FootnoteReference"/>
        </w:rPr>
        <w:footnoteReference w:id="7"/>
      </w:r>
      <w:bookmarkEnd w:id="4"/>
    </w:p>
    <w:p w14:paraId="4BCB4A66" w14:textId="1ABFC0B6" w:rsidR="00B1107F" w:rsidRPr="003C6542" w:rsidRDefault="00B1107F" w:rsidP="00A00B9F">
      <w:pPr>
        <w:pStyle w:val="Normalnumber"/>
        <w:numPr>
          <w:ilvl w:val="0"/>
          <w:numId w:val="26"/>
        </w:numPr>
        <w:ind w:left="1247" w:firstLine="624"/>
      </w:pPr>
      <w:r w:rsidRPr="003C6542">
        <w:t xml:space="preserve">The </w:t>
      </w:r>
      <w:r w:rsidR="00DA36E9" w:rsidRPr="003C6542">
        <w:t>t</w:t>
      </w:r>
      <w:r w:rsidRPr="003C6542">
        <w:t xml:space="preserve">rade, </w:t>
      </w:r>
      <w:r w:rsidR="00DA36E9" w:rsidRPr="003C6542">
        <w:t>s</w:t>
      </w:r>
      <w:r w:rsidRPr="003C6542">
        <w:t xml:space="preserve">upply and </w:t>
      </w:r>
      <w:r w:rsidR="00DA36E9" w:rsidRPr="003C6542">
        <w:t>d</w:t>
      </w:r>
      <w:r w:rsidRPr="003C6542">
        <w:t xml:space="preserve">emand </w:t>
      </w:r>
      <w:r w:rsidR="00DA36E9" w:rsidRPr="003C6542">
        <w:t>r</w:t>
      </w:r>
      <w:r w:rsidRPr="003C6542">
        <w:t>eport</w:t>
      </w:r>
      <w:r w:rsidR="00DA36E9" w:rsidRPr="003C6542">
        <w:t>,</w:t>
      </w:r>
      <w:r w:rsidRPr="003C6542">
        <w:t xml:space="preserve"> modelled </w:t>
      </w:r>
      <w:r w:rsidR="00DA36E9" w:rsidRPr="003C6542">
        <w:t xml:space="preserve">on </w:t>
      </w:r>
      <w:r w:rsidRPr="003C6542">
        <w:t xml:space="preserve">the </w:t>
      </w:r>
      <w:r w:rsidR="006C0253" w:rsidRPr="003C6542">
        <w:t xml:space="preserve">2017 </w:t>
      </w:r>
      <w:r w:rsidRPr="003C6542">
        <w:t xml:space="preserve">report </w:t>
      </w:r>
      <w:r w:rsidRPr="003C6542">
        <w:rPr>
          <w:i/>
        </w:rPr>
        <w:t>Global Mercury: Supply, Trade and Demand</w:t>
      </w:r>
      <w:r w:rsidR="00D85F7A" w:rsidRPr="003C6542">
        <w:t>;</w:t>
      </w:r>
      <w:bookmarkStart w:id="5" w:name="_Ref23323106"/>
      <w:r w:rsidR="0042702F" w:rsidRPr="003C6542">
        <w:rPr>
          <w:rStyle w:val="FootnoteReference"/>
        </w:rPr>
        <w:footnoteReference w:id="8"/>
      </w:r>
      <w:bookmarkEnd w:id="5"/>
    </w:p>
    <w:p w14:paraId="50F2135B" w14:textId="58B8F876" w:rsidR="00B1107F" w:rsidRPr="00814E71" w:rsidRDefault="00B1107F" w:rsidP="00A00B9F">
      <w:pPr>
        <w:pStyle w:val="Normalnumber"/>
        <w:numPr>
          <w:ilvl w:val="0"/>
          <w:numId w:val="26"/>
        </w:numPr>
        <w:ind w:left="1247" w:firstLine="624"/>
        <w:rPr>
          <w:highlight w:val="lightGray"/>
        </w:rPr>
      </w:pPr>
      <w:r w:rsidRPr="00814E71">
        <w:rPr>
          <w:highlight w:val="lightGray"/>
        </w:rPr>
        <w:t xml:space="preserve">The </w:t>
      </w:r>
      <w:r w:rsidR="00DA36E9" w:rsidRPr="00814E71">
        <w:rPr>
          <w:highlight w:val="lightGray"/>
        </w:rPr>
        <w:t>w</w:t>
      </w:r>
      <w:r w:rsidRPr="00814E71">
        <w:rPr>
          <w:highlight w:val="lightGray"/>
        </w:rPr>
        <w:t xml:space="preserve">aste </w:t>
      </w:r>
      <w:r w:rsidR="00DA36E9" w:rsidRPr="00814E71">
        <w:rPr>
          <w:highlight w:val="lightGray"/>
        </w:rPr>
        <w:t>r</w:t>
      </w:r>
      <w:r w:rsidRPr="00814E71">
        <w:rPr>
          <w:highlight w:val="lightGray"/>
        </w:rPr>
        <w:t>eport</w:t>
      </w:r>
      <w:r w:rsidR="00DA36E9" w:rsidRPr="00814E71">
        <w:rPr>
          <w:highlight w:val="lightGray"/>
        </w:rPr>
        <w:t>,</w:t>
      </w:r>
      <w:r w:rsidRPr="00814E71">
        <w:rPr>
          <w:highlight w:val="lightGray"/>
        </w:rPr>
        <w:t xml:space="preserve"> building on the </w:t>
      </w:r>
      <w:r w:rsidR="006C0253" w:rsidRPr="00814E71">
        <w:rPr>
          <w:highlight w:val="lightGray"/>
        </w:rPr>
        <w:t xml:space="preserve">2018 </w:t>
      </w:r>
      <w:r w:rsidR="00B536D2" w:rsidRPr="00814E71">
        <w:rPr>
          <w:highlight w:val="lightGray"/>
        </w:rPr>
        <w:t xml:space="preserve">report </w:t>
      </w:r>
      <w:r w:rsidRPr="00814E71">
        <w:rPr>
          <w:i/>
          <w:highlight w:val="lightGray"/>
        </w:rPr>
        <w:t>Global Mercury Waste Assessment</w:t>
      </w:r>
      <w:r w:rsidR="00B536D2" w:rsidRPr="00814E71">
        <w:rPr>
          <w:i/>
          <w:highlight w:val="lightGray"/>
        </w:rPr>
        <w:t>:</w:t>
      </w:r>
      <w:r w:rsidR="00B536D2" w:rsidRPr="00814E71">
        <w:rPr>
          <w:rFonts w:ascii="Times New Roman" w:hAnsi="Times New Roman" w:cs="Times New Roman"/>
          <w:i/>
          <w:iCs/>
          <w:highlight w:val="lightGray"/>
          <w:lang w:val="en-CA"/>
        </w:rPr>
        <w:t xml:space="preserve"> </w:t>
      </w:r>
      <w:r w:rsidR="00B536D2" w:rsidRPr="00814E71">
        <w:rPr>
          <w:i/>
          <w:iCs/>
          <w:highlight w:val="lightGray"/>
          <w:lang w:val="en-CA"/>
        </w:rPr>
        <w:t>Review of Current National Measures</w:t>
      </w:r>
      <w:r w:rsidR="00D85F7A" w:rsidRPr="00814E71">
        <w:rPr>
          <w:highlight w:val="lightGray"/>
        </w:rPr>
        <w:t>;</w:t>
      </w:r>
      <w:bookmarkStart w:id="6" w:name="_Ref23323134"/>
      <w:r w:rsidRPr="00814E71">
        <w:rPr>
          <w:rStyle w:val="FootnoteReference"/>
          <w:rFonts w:asciiTheme="majorBidi" w:hAnsiTheme="majorBidi"/>
          <w:szCs w:val="20"/>
          <w:highlight w:val="lightGray"/>
        </w:rPr>
        <w:footnoteReference w:id="9"/>
      </w:r>
      <w:bookmarkEnd w:id="6"/>
      <w:r w:rsidR="00467C6D" w:rsidRPr="00814E71">
        <w:rPr>
          <w:highlight w:val="lightGray"/>
          <w:vertAlign w:val="superscript"/>
        </w:rPr>
        <w:t xml:space="preserve">, </w:t>
      </w:r>
      <w:r w:rsidR="00C93752" w:rsidRPr="00814E71">
        <w:rPr>
          <w:rStyle w:val="FootnoteReference"/>
          <w:highlight w:val="lightGray"/>
        </w:rPr>
        <w:footnoteReference w:id="10"/>
      </w:r>
    </w:p>
    <w:p w14:paraId="71DD5DE7" w14:textId="4173C6E1" w:rsidR="00B1107F" w:rsidRPr="003C6542" w:rsidRDefault="00B1107F" w:rsidP="00A00B9F">
      <w:pPr>
        <w:pStyle w:val="Normalnumber"/>
        <w:numPr>
          <w:ilvl w:val="0"/>
          <w:numId w:val="26"/>
        </w:numPr>
        <w:ind w:left="1247" w:firstLine="624"/>
      </w:pPr>
      <w:r w:rsidRPr="003C6542">
        <w:t xml:space="preserve">The </w:t>
      </w:r>
      <w:r w:rsidR="00DA36E9" w:rsidRPr="003C6542">
        <w:t>m</w:t>
      </w:r>
      <w:r w:rsidRPr="003C6542">
        <w:t xml:space="preserve">onitoring </w:t>
      </w:r>
      <w:r w:rsidR="00DA36E9" w:rsidRPr="003C6542">
        <w:t>r</w:t>
      </w:r>
      <w:r w:rsidRPr="003C6542">
        <w:t>eport</w:t>
      </w:r>
      <w:r w:rsidR="00DA36E9" w:rsidRPr="003C6542">
        <w:t>,</w:t>
      </w:r>
      <w:r w:rsidRPr="003C6542">
        <w:t xml:space="preserve"> presenting the state of global mercury levels in the environment, </w:t>
      </w:r>
      <w:r w:rsidR="00424B90" w:rsidRPr="003C6542">
        <w:t>biotic media and vulnerable populations</w:t>
      </w:r>
      <w:r w:rsidRPr="003C6542">
        <w:t>, as well as trends over time.</w:t>
      </w:r>
    </w:p>
    <w:p w14:paraId="41272A68" w14:textId="7E9B339E" w:rsidR="00953357" w:rsidRPr="0080620A" w:rsidRDefault="00953357" w:rsidP="003C6542">
      <w:pPr>
        <w:pStyle w:val="Normalnumber"/>
      </w:pPr>
      <w:r w:rsidRPr="003C6542">
        <w:t xml:space="preserve">When robust and reliable attribution tools and models are available, the sixth report, the attribution report, can be produced for the </w:t>
      </w:r>
      <w:r w:rsidR="00D61AA7" w:rsidRPr="003C6542">
        <w:t>E</w:t>
      </w:r>
      <w:r w:rsidRPr="003C6542">
        <w:t xml:space="preserve">ffectiveness </w:t>
      </w:r>
      <w:r w:rsidR="00D61AA7" w:rsidRPr="003C6542">
        <w:t>E</w:t>
      </w:r>
      <w:r w:rsidRPr="003C6542">
        <w:t xml:space="preserve">valuation </w:t>
      </w:r>
      <w:r w:rsidR="00D61AA7" w:rsidRPr="003C6542">
        <w:t>C</w:t>
      </w:r>
      <w:r w:rsidRPr="003C6542">
        <w:t>ommittee to consider in the formulation of its findings</w:t>
      </w:r>
      <w:r w:rsidRPr="0080620A">
        <w:t xml:space="preserve"> for the Conference of the Parties. A modelling subgroup may need to be established in this regard. </w:t>
      </w:r>
    </w:p>
    <w:p w14:paraId="4001B35B" w14:textId="27CE6275" w:rsidR="00B1107F" w:rsidRPr="0080620A" w:rsidRDefault="00B1107F" w:rsidP="003C6542">
      <w:pPr>
        <w:pStyle w:val="Normalnumber"/>
      </w:pPr>
      <w:r w:rsidRPr="0080620A">
        <w:t xml:space="preserve">The framework </w:t>
      </w:r>
      <w:r w:rsidR="00C43B4B" w:rsidRPr="0080620A">
        <w:t>provides for</w:t>
      </w:r>
      <w:r w:rsidRPr="0080620A">
        <w:t xml:space="preserve"> a flow of information </w:t>
      </w:r>
      <w:r w:rsidR="00D10615" w:rsidRPr="0080620A">
        <w:t>and analysis that</w:t>
      </w:r>
      <w:r w:rsidR="00DA4696" w:rsidRPr="0080620A">
        <w:t xml:space="preserve"> starts </w:t>
      </w:r>
      <w:r w:rsidR="00717E7D" w:rsidRPr="0080620A">
        <w:t xml:space="preserve">with </w:t>
      </w:r>
      <w:r w:rsidR="00DA4696" w:rsidRPr="0080620A">
        <w:t>information identification</w:t>
      </w:r>
      <w:r w:rsidR="00D10615" w:rsidRPr="0080620A">
        <w:t>,</w:t>
      </w:r>
      <w:r w:rsidRPr="0080620A">
        <w:t xml:space="preserve"> compil</w:t>
      </w:r>
      <w:r w:rsidR="00305D35" w:rsidRPr="0080620A">
        <w:t>ation</w:t>
      </w:r>
      <w:r w:rsidR="00717E7D" w:rsidRPr="0080620A">
        <w:t xml:space="preserve"> and</w:t>
      </w:r>
      <w:r w:rsidRPr="0080620A">
        <w:t xml:space="preserve"> synthesi</w:t>
      </w:r>
      <w:r w:rsidR="00305D35" w:rsidRPr="0080620A">
        <w:t>s</w:t>
      </w:r>
      <w:r w:rsidRPr="0080620A">
        <w:t xml:space="preserve"> (levels 1 to 3)</w:t>
      </w:r>
      <w:r w:rsidR="00C43B4B" w:rsidRPr="0080620A">
        <w:t xml:space="preserve">, followed by </w:t>
      </w:r>
      <w:r w:rsidRPr="0080620A">
        <w:t xml:space="preserve">attribution (level 4) </w:t>
      </w:r>
      <w:r w:rsidR="00305D35" w:rsidRPr="0080620A">
        <w:t xml:space="preserve">once </w:t>
      </w:r>
      <w:r w:rsidRPr="0080620A">
        <w:t>robust and reliable models are available. Next, the Effectiveness Evaluation Committee integrates the information</w:t>
      </w:r>
      <w:r w:rsidR="00631F1F" w:rsidRPr="0080620A">
        <w:t xml:space="preserve"> (level 5)</w:t>
      </w:r>
      <w:r w:rsidRPr="0080620A">
        <w:t xml:space="preserve"> to formulate its findings </w:t>
      </w:r>
      <w:r w:rsidR="00DA4696" w:rsidRPr="0080620A">
        <w:t xml:space="preserve">for </w:t>
      </w:r>
      <w:r w:rsidR="00305D35" w:rsidRPr="0080620A">
        <w:t>the consideration of</w:t>
      </w:r>
      <w:r w:rsidRPr="0080620A">
        <w:t xml:space="preserve"> the Conference of the Parties (level 6).</w:t>
      </w:r>
    </w:p>
    <w:p w14:paraId="70E04C16" w14:textId="39ED1F8B" w:rsidR="00B1107F" w:rsidRPr="0080620A" w:rsidRDefault="00B1107F" w:rsidP="003C6542">
      <w:pPr>
        <w:pStyle w:val="Normalnumber"/>
      </w:pPr>
      <w:r w:rsidRPr="0080620A">
        <w:t xml:space="preserve">The framework identifies </w:t>
      </w:r>
      <w:r w:rsidR="00CA08FA" w:rsidRPr="0080620A">
        <w:t xml:space="preserve">roles played by </w:t>
      </w:r>
      <w:r w:rsidR="002F6CA8" w:rsidRPr="0080620A">
        <w:t xml:space="preserve">various </w:t>
      </w:r>
      <w:r w:rsidRPr="0080620A">
        <w:t xml:space="preserve">entities in the </w:t>
      </w:r>
      <w:r w:rsidR="00ED3697" w:rsidRPr="0080620A">
        <w:t xml:space="preserve">effectiveness evaluation </w:t>
      </w:r>
      <w:r w:rsidRPr="0080620A">
        <w:t xml:space="preserve">process. </w:t>
      </w:r>
      <w:r w:rsidR="008B13C9" w:rsidRPr="0080620A">
        <w:t>It</w:t>
      </w:r>
      <w:r w:rsidRPr="0080620A">
        <w:t xml:space="preserve"> also foresees different scientific and technical functions: monitoring and synthesis (level 3), attribution (level 4) and integration (level 5). For the synthesis reports, the framework foresees a role for the secretariat with/through</w:t>
      </w:r>
      <w:r w:rsidR="00FB686E">
        <w:t xml:space="preserve"> collaboration with</w:t>
      </w:r>
      <w:r w:rsidRPr="0080620A">
        <w:t xml:space="preserve"> </w:t>
      </w:r>
      <w:r w:rsidR="00526F1F">
        <w:t>partners</w:t>
      </w:r>
      <w:r w:rsidRPr="0080620A">
        <w:t xml:space="preserve">. </w:t>
      </w:r>
    </w:p>
    <w:p w14:paraId="3E0F650F" w14:textId="3C251A8F" w:rsidR="00B1107F" w:rsidRPr="0080620A" w:rsidRDefault="00B1107F" w:rsidP="003C6542">
      <w:pPr>
        <w:pStyle w:val="Normalnumber"/>
      </w:pPr>
      <w:r w:rsidRPr="0080620A">
        <w:t xml:space="preserve">The Effectiveness Evaluation Committee will work with all the reports produced to consider the policy questions </w:t>
      </w:r>
      <w:r w:rsidR="00CA08FA" w:rsidRPr="0080620A">
        <w:t xml:space="preserve">indicated </w:t>
      </w:r>
      <w:r w:rsidRPr="0080620A">
        <w:t>above</w:t>
      </w:r>
      <w:r w:rsidR="00CA08FA" w:rsidRPr="0080620A">
        <w:t>,</w:t>
      </w:r>
      <w:r w:rsidRPr="0080620A">
        <w:t xml:space="preserve"> and </w:t>
      </w:r>
      <w:r w:rsidR="00CA08FA" w:rsidRPr="0080620A">
        <w:t xml:space="preserve">will </w:t>
      </w:r>
      <w:r w:rsidRPr="0080620A">
        <w:t>use an integrative approach to prepare its findings on the effectiveness of the Convention for its report to the Conference of the Parties.</w:t>
      </w:r>
      <w:r w:rsidR="00953357" w:rsidRPr="0080620A">
        <w:t xml:space="preserve"> </w:t>
      </w:r>
      <w:r w:rsidRPr="0080620A">
        <w:t xml:space="preserve">The Conference of the Parties </w:t>
      </w:r>
      <w:r w:rsidR="00953357" w:rsidRPr="0080620A">
        <w:t>will</w:t>
      </w:r>
      <w:r w:rsidRPr="0080620A">
        <w:t xml:space="preserve"> </w:t>
      </w:r>
      <w:r w:rsidR="00953357" w:rsidRPr="0080620A">
        <w:t>use</w:t>
      </w:r>
      <w:r w:rsidRPr="0080620A">
        <w:t xml:space="preserve"> the findings of the Effectiveness Evaluation Committee </w:t>
      </w:r>
      <w:r w:rsidR="00953357" w:rsidRPr="0080620A">
        <w:t>as a basis for</w:t>
      </w:r>
      <w:r w:rsidRPr="0080620A">
        <w:t xml:space="preserve"> its conclusions and recommendations on the effectiveness of the Convention. </w:t>
      </w:r>
    </w:p>
    <w:p w14:paraId="1F3C32B4" w14:textId="728792DF" w:rsidR="00B1107F" w:rsidRPr="0080620A" w:rsidRDefault="00B1107F" w:rsidP="003C6542">
      <w:pPr>
        <w:pStyle w:val="Normalnumber"/>
      </w:pPr>
      <w:r w:rsidRPr="0080620A">
        <w:t xml:space="preserve">The </w:t>
      </w:r>
      <w:r w:rsidR="00953357" w:rsidRPr="0080620A">
        <w:t xml:space="preserve">ad hoc technical expert group is submitting the </w:t>
      </w:r>
      <w:r w:rsidRPr="0080620A">
        <w:t xml:space="preserve">framework </w:t>
      </w:r>
      <w:r w:rsidR="00953357" w:rsidRPr="0080620A">
        <w:t>for</w:t>
      </w:r>
      <w:r w:rsidR="00AB7C74">
        <w:t xml:space="preserve"> consideration and</w:t>
      </w:r>
      <w:r w:rsidR="00953357" w:rsidRPr="0080620A">
        <w:t xml:space="preserve"> adoption by the Conference of the Parties at its</w:t>
      </w:r>
      <w:r w:rsidRPr="0080620A">
        <w:t xml:space="preserve"> third meeting </w:t>
      </w:r>
      <w:r w:rsidR="00953357" w:rsidRPr="0080620A">
        <w:t xml:space="preserve">in accordance with </w:t>
      </w:r>
      <w:r w:rsidRPr="0080620A">
        <w:t>a timeline for the first cycle of the effectiveness evaluation</w:t>
      </w:r>
      <w:r w:rsidR="00B3540A" w:rsidRPr="0080620A">
        <w:t>,</w:t>
      </w:r>
      <w:r w:rsidRPr="0080620A">
        <w:t xml:space="preserve"> where</w:t>
      </w:r>
      <w:r w:rsidR="00953357" w:rsidRPr="0080620A">
        <w:t>by</w:t>
      </w:r>
      <w:r w:rsidRPr="0080620A">
        <w:t xml:space="preserve"> the Conference of the Parties establishes the Effectiveness Evaluation Committee</w:t>
      </w:r>
      <w:r w:rsidR="00953357" w:rsidRPr="0080620A">
        <w:t xml:space="preserve"> at its fourth meeting</w:t>
      </w:r>
      <w:r w:rsidRPr="0080620A">
        <w:t xml:space="preserve"> and considers the findings of that Committee</w:t>
      </w:r>
      <w:r w:rsidR="00953357" w:rsidRPr="0080620A">
        <w:t xml:space="preserve"> at its fifth meeting</w:t>
      </w:r>
      <w:r w:rsidRPr="0080620A">
        <w:t xml:space="preserve">. </w:t>
      </w:r>
    </w:p>
    <w:p w14:paraId="37E76C9C" w14:textId="73DA498B" w:rsidR="00B1107F" w:rsidRPr="00FF10F4" w:rsidRDefault="00E52267" w:rsidP="00FF10F4">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B1107F" w:rsidRPr="00FF10F4">
        <w:rPr>
          <w:rFonts w:ascii="Times New Roman" w:hAnsi="Times New Roman" w:cs="Times New Roman"/>
        </w:rPr>
        <w:t>Global monitoring arrangements (</w:t>
      </w:r>
      <w:r w:rsidR="00555D09" w:rsidRPr="00FF10F4">
        <w:rPr>
          <w:rFonts w:ascii="Times New Roman" w:hAnsi="Times New Roman" w:cs="Times New Roman"/>
        </w:rPr>
        <w:t>a</w:t>
      </w:r>
      <w:r w:rsidR="00B1107F" w:rsidRPr="00FF10F4">
        <w:rPr>
          <w:rFonts w:ascii="Times New Roman" w:hAnsi="Times New Roman" w:cs="Times New Roman"/>
        </w:rPr>
        <w:t>ppendix III)</w:t>
      </w:r>
    </w:p>
    <w:p w14:paraId="2B6C503B" w14:textId="0F085804" w:rsidR="00B1107F" w:rsidRPr="0080620A" w:rsidRDefault="00B1107F" w:rsidP="003C6542">
      <w:pPr>
        <w:pStyle w:val="Normalnumber"/>
      </w:pPr>
      <w:r w:rsidRPr="0080620A">
        <w:t xml:space="preserve">The report addresses the task </w:t>
      </w:r>
      <w:r w:rsidR="00141CFA" w:rsidRPr="0080620A">
        <w:t xml:space="preserve">assigned </w:t>
      </w:r>
      <w:r w:rsidRPr="0080620A">
        <w:t xml:space="preserve">in decisions </w:t>
      </w:r>
      <w:r w:rsidR="001B0AA1">
        <w:t>MC</w:t>
      </w:r>
      <w:r w:rsidR="001B0AA1">
        <w:noBreakHyphen/>
        <w:t>1/9</w:t>
      </w:r>
      <w:r w:rsidRPr="0080620A">
        <w:t xml:space="preserve"> and MC-2/10 </w:t>
      </w:r>
      <w:r w:rsidR="00141CFA" w:rsidRPr="0080620A">
        <w:t xml:space="preserve">with respect to </w:t>
      </w:r>
      <w:r w:rsidRPr="0080620A">
        <w:t>global monitoring arrangements, by reviewing available monitoring data, identifying gaps, examining modelling capabilities and outlining global monitoring arrangements.</w:t>
      </w:r>
    </w:p>
    <w:p w14:paraId="645765C7" w14:textId="3247F02A" w:rsidR="00B1107F" w:rsidRPr="0080620A" w:rsidRDefault="00B1107F" w:rsidP="003C6542">
      <w:pPr>
        <w:pStyle w:val="Normalnumber"/>
      </w:pPr>
      <w:r w:rsidRPr="0080620A">
        <w:t xml:space="preserve">In considering monitoring information </w:t>
      </w:r>
      <w:r w:rsidR="002D4357" w:rsidRPr="0080620A">
        <w:t xml:space="preserve">and </w:t>
      </w:r>
      <w:r w:rsidRPr="0080620A">
        <w:t xml:space="preserve">data, the ad hoc group considered </w:t>
      </w:r>
      <w:r w:rsidR="00CC12B1" w:rsidRPr="0080620A">
        <w:t xml:space="preserve">the </w:t>
      </w:r>
      <w:r w:rsidRPr="0080620A">
        <w:t xml:space="preserve">matrices mentioned in </w:t>
      </w:r>
      <w:r w:rsidR="008A323F" w:rsidRPr="0080620A">
        <w:t xml:space="preserve">decision </w:t>
      </w:r>
      <w:r w:rsidRPr="0080620A">
        <w:t xml:space="preserve">MC-2/10: air, </w:t>
      </w:r>
      <w:r w:rsidR="004B5046" w:rsidRPr="0080620A">
        <w:t xml:space="preserve">water, biota and </w:t>
      </w:r>
      <w:r w:rsidRPr="0080620A">
        <w:t xml:space="preserve">humans. The group concluded that data on levels </w:t>
      </w:r>
      <w:r w:rsidRPr="0080620A">
        <w:lastRenderedPageBreak/>
        <w:t xml:space="preserve">of mercury in air, </w:t>
      </w:r>
      <w:r w:rsidR="003B02C8" w:rsidRPr="0080620A">
        <w:t>biotic media</w:t>
      </w:r>
      <w:r w:rsidRPr="0080620A">
        <w:t xml:space="preserve"> and humans were available</w:t>
      </w:r>
      <w:r w:rsidR="002D4357" w:rsidRPr="0080620A">
        <w:t xml:space="preserve"> or</w:t>
      </w:r>
      <w:r w:rsidRPr="0080620A">
        <w:t xml:space="preserve"> obtain</w:t>
      </w:r>
      <w:r w:rsidR="00CA08FA" w:rsidRPr="0080620A">
        <w:t>able</w:t>
      </w:r>
      <w:r w:rsidRPr="0080620A">
        <w:t xml:space="preserve"> and </w:t>
      </w:r>
      <w:r w:rsidR="004B5046" w:rsidRPr="0080620A">
        <w:t xml:space="preserve">would be </w:t>
      </w:r>
      <w:r w:rsidRPr="0080620A">
        <w:t xml:space="preserve">comparable on a global basis. </w:t>
      </w:r>
    </w:p>
    <w:p w14:paraId="7D73F788" w14:textId="0C5E8E70" w:rsidR="00B1107F" w:rsidRPr="0080620A" w:rsidRDefault="00D92439" w:rsidP="00A00B9F">
      <w:pPr>
        <w:pStyle w:val="Normalnumber"/>
      </w:pPr>
      <w:r w:rsidRPr="0080620A">
        <w:t>Data on l</w:t>
      </w:r>
      <w:r w:rsidR="00B1107F" w:rsidRPr="0080620A">
        <w:t xml:space="preserve">evels of mercury and mercury compounds in water are collected in </w:t>
      </w:r>
      <w:r w:rsidR="00CA08FA" w:rsidRPr="0080620A">
        <w:t>connection with</w:t>
      </w:r>
      <w:r w:rsidR="00B1107F" w:rsidRPr="0080620A">
        <w:t xml:space="preserve"> water quality </w:t>
      </w:r>
      <w:r w:rsidR="00CA08FA" w:rsidRPr="0080620A">
        <w:t xml:space="preserve">monitoring </w:t>
      </w:r>
      <w:r w:rsidR="00B1107F" w:rsidRPr="0080620A">
        <w:t xml:space="preserve">in a number of countries. These data may be useful in tracking mercury resulting from local activities </w:t>
      </w:r>
      <w:r w:rsidRPr="0080620A">
        <w:t xml:space="preserve">that </w:t>
      </w:r>
      <w:r w:rsidR="00B1107F" w:rsidRPr="0080620A">
        <w:t xml:space="preserve">release mercury; however, </w:t>
      </w:r>
      <w:r w:rsidR="00CA08FA" w:rsidRPr="0080620A">
        <w:t>they</w:t>
      </w:r>
      <w:r w:rsidR="00B1107F" w:rsidRPr="0080620A">
        <w:t xml:space="preserve"> will not </w:t>
      </w:r>
      <w:r w:rsidRPr="0080620A">
        <w:t xml:space="preserve">indicate </w:t>
      </w:r>
      <w:r w:rsidR="00B1107F" w:rsidRPr="0080620A">
        <w:t xml:space="preserve">overall trends on a global basis. Levels of mercury in ocean water could be comparable on a global basis and </w:t>
      </w:r>
      <w:r w:rsidR="00CA08FA" w:rsidRPr="0080620A">
        <w:t xml:space="preserve">could be </w:t>
      </w:r>
      <w:r w:rsidR="00B1107F" w:rsidRPr="0080620A">
        <w:t>collected by existing networks and ad hoc research programmes, but currently such work is done through research-based activities</w:t>
      </w:r>
      <w:r w:rsidR="00CA08FA" w:rsidRPr="0080620A">
        <w:t xml:space="preserve"> rather than</w:t>
      </w:r>
      <w:r w:rsidR="00B1107F" w:rsidRPr="0080620A">
        <w:t xml:space="preserve"> through dedicated long-term monitoring programmes</w:t>
      </w:r>
      <w:r w:rsidR="003B02C8" w:rsidRPr="0080620A">
        <w:t>.</w:t>
      </w:r>
    </w:p>
    <w:p w14:paraId="4E9FBA9C" w14:textId="548925A9" w:rsidR="00B1107F" w:rsidRPr="0080620A" w:rsidRDefault="00B1107F" w:rsidP="00A00B9F">
      <w:pPr>
        <w:pStyle w:val="Normalnumber"/>
      </w:pPr>
      <w:r w:rsidRPr="0080620A">
        <w:t>Global modelling capabilities were reviewed to better understand the availability of tools for use in the effectiveness evaluation</w:t>
      </w:r>
      <w:r w:rsidR="0091711D" w:rsidRPr="0080620A">
        <w:t>;</w:t>
      </w:r>
      <w:r w:rsidRPr="0080620A">
        <w:t xml:space="preserve"> </w:t>
      </w:r>
      <w:r w:rsidR="0091711D" w:rsidRPr="0080620A">
        <w:t>m</w:t>
      </w:r>
      <w:r w:rsidRPr="0080620A">
        <w:t xml:space="preserve">odels complement monitoring data with estimation based on scientific understanding of mechanisms affecting mercury behaviour. Models for different media (air, </w:t>
      </w:r>
      <w:r w:rsidR="007D60FA">
        <w:t xml:space="preserve">humans, </w:t>
      </w:r>
      <w:r w:rsidRPr="0080620A">
        <w:t xml:space="preserve">water, land, </w:t>
      </w:r>
      <w:r w:rsidR="003B02C8" w:rsidRPr="0080620A">
        <w:t>biota</w:t>
      </w:r>
      <w:r w:rsidRPr="0080620A">
        <w:t>) vary in their ability</w:t>
      </w:r>
      <w:r w:rsidR="00FB686E" w:rsidRPr="0080620A">
        <w:t xml:space="preserve"> </w:t>
      </w:r>
      <w:r w:rsidRPr="0080620A">
        <w:t xml:space="preserve">and state of development. Atmospheric models have been extensively evaluated and can be applied to assess spatial gradients </w:t>
      </w:r>
      <w:r w:rsidR="00CA08FA" w:rsidRPr="0080620A">
        <w:t>of</w:t>
      </w:r>
      <w:r w:rsidRPr="0080620A">
        <w:t xml:space="preserve"> atmospheric mercury concentrations and deposition, as well as temporal changes. By contrast, models for other media</w:t>
      </w:r>
      <w:r w:rsidR="00CA08FA" w:rsidRPr="0080620A">
        <w:t xml:space="preserve"> </w:t>
      </w:r>
      <w:r w:rsidR="00C12E79" w:rsidRPr="0080620A">
        <w:t>tend to be</w:t>
      </w:r>
      <w:r w:rsidRPr="0080620A">
        <w:t xml:space="preserve"> used only in research applications. Integrated models that work across media, drawing on expertise that bridges natural science, social science and engineering, are undergoing rapid development in the scientific and academic community</w:t>
      </w:r>
      <w:r w:rsidR="00CC12B1" w:rsidRPr="0080620A">
        <w:t>, and</w:t>
      </w:r>
      <w:r w:rsidRPr="0080620A">
        <w:t xml:space="preserve"> can be expected </w:t>
      </w:r>
      <w:r w:rsidR="00CC12B1" w:rsidRPr="0080620A">
        <w:t>to be</w:t>
      </w:r>
      <w:r w:rsidRPr="0080620A">
        <w:t xml:space="preserve"> available by 2023 for policy-relevant analyses.</w:t>
      </w:r>
    </w:p>
    <w:p w14:paraId="4901C856" w14:textId="77777777" w:rsidR="00B1107F" w:rsidRPr="0080620A" w:rsidRDefault="00B1107F" w:rsidP="00A00B9F">
      <w:pPr>
        <w:pStyle w:val="Normalnumber"/>
      </w:pPr>
      <w:r w:rsidRPr="0080620A">
        <w:t xml:space="preserve">In considering monitoring arrangements, the following key elements were identified: </w:t>
      </w:r>
    </w:p>
    <w:p w14:paraId="646F57D1" w14:textId="65015947" w:rsidR="00B1107F" w:rsidRPr="0080620A" w:rsidRDefault="00B1107F" w:rsidP="00A00B9F">
      <w:pPr>
        <w:pStyle w:val="Normalnumber"/>
        <w:numPr>
          <w:ilvl w:val="0"/>
          <w:numId w:val="27"/>
        </w:numPr>
        <w:ind w:left="1247" w:firstLine="624"/>
      </w:pPr>
      <w:r w:rsidRPr="0080620A">
        <w:t>Mercury data and their availability from human health and environmental monitoring programmes that achieve global coverage and contain at least core representative data from all regions</w:t>
      </w:r>
      <w:r w:rsidR="00D85F7A" w:rsidRPr="0080620A">
        <w:t>;</w:t>
      </w:r>
      <w:r w:rsidRPr="0080620A">
        <w:t xml:space="preserve"> </w:t>
      </w:r>
    </w:p>
    <w:p w14:paraId="1E88DF32" w14:textId="38646081" w:rsidR="00B1107F" w:rsidRPr="0080620A" w:rsidRDefault="00B1107F" w:rsidP="00A00B9F">
      <w:pPr>
        <w:pStyle w:val="Normalnumber"/>
        <w:numPr>
          <w:ilvl w:val="0"/>
          <w:numId w:val="27"/>
        </w:numPr>
        <w:ind w:left="1247" w:firstLine="624"/>
      </w:pPr>
      <w:r w:rsidRPr="0080620A">
        <w:t>Tools supporting data harmonization</w:t>
      </w:r>
      <w:r w:rsidR="00457BAD" w:rsidRPr="0080620A">
        <w:t>,</w:t>
      </w:r>
      <w:r w:rsidRPr="0080620A">
        <w:t xml:space="preserve"> such as standard operating procedures and </w:t>
      </w:r>
      <w:r w:rsidR="00B1283A" w:rsidRPr="0080620A">
        <w:t xml:space="preserve">a </w:t>
      </w:r>
      <w:r w:rsidRPr="0080620A">
        <w:t>monitoring guidance document</w:t>
      </w:r>
      <w:r w:rsidR="00D85F7A" w:rsidRPr="0080620A">
        <w:t>;</w:t>
      </w:r>
      <w:r w:rsidRPr="0080620A">
        <w:t xml:space="preserve"> </w:t>
      </w:r>
    </w:p>
    <w:p w14:paraId="03E734B8" w14:textId="168B8232" w:rsidR="00B1107F" w:rsidRPr="0080620A" w:rsidRDefault="00B1283A" w:rsidP="00A00B9F">
      <w:pPr>
        <w:pStyle w:val="Normalnumber"/>
        <w:numPr>
          <w:ilvl w:val="0"/>
          <w:numId w:val="27"/>
        </w:numPr>
        <w:ind w:left="1247" w:firstLine="624"/>
      </w:pPr>
      <w:r w:rsidRPr="0080620A">
        <w:t>E</w:t>
      </w:r>
      <w:r w:rsidR="00B1107F" w:rsidRPr="0080620A">
        <w:t xml:space="preserve">xpertise </w:t>
      </w:r>
      <w:r w:rsidR="00457BAD" w:rsidRPr="0080620A">
        <w:t>to</w:t>
      </w:r>
      <w:r w:rsidR="00B1107F" w:rsidRPr="0080620A">
        <w:t xml:space="preserve"> gather and consolidat</w:t>
      </w:r>
      <w:r w:rsidR="00457BAD" w:rsidRPr="0080620A">
        <w:t>e</w:t>
      </w:r>
      <w:r w:rsidR="00B1107F" w:rsidRPr="0080620A">
        <w:t xml:space="preserve"> harmonized information that ensures comparability and consistency in monitoring data over the long</w:t>
      </w:r>
      <w:r w:rsidR="00457BAD" w:rsidRPr="0080620A">
        <w:t xml:space="preserve"> </w:t>
      </w:r>
      <w:r w:rsidR="00B1107F" w:rsidRPr="0080620A">
        <w:t>term</w:t>
      </w:r>
      <w:r w:rsidR="00D85F7A" w:rsidRPr="0080620A">
        <w:t>;</w:t>
      </w:r>
      <w:r w:rsidR="00B1107F" w:rsidRPr="0080620A">
        <w:t xml:space="preserve"> </w:t>
      </w:r>
    </w:p>
    <w:p w14:paraId="57DE291F" w14:textId="010E79F5" w:rsidR="00B1107F" w:rsidRPr="0080620A" w:rsidRDefault="00B1107F" w:rsidP="00A00B9F">
      <w:pPr>
        <w:pStyle w:val="Normalnumber"/>
        <w:numPr>
          <w:ilvl w:val="0"/>
          <w:numId w:val="27"/>
        </w:numPr>
        <w:ind w:left="1247" w:firstLine="624"/>
      </w:pPr>
      <w:r w:rsidRPr="0080620A">
        <w:t>Modelling capabilities</w:t>
      </w:r>
      <w:r w:rsidR="00D85F7A" w:rsidRPr="0080620A">
        <w:t>;</w:t>
      </w:r>
      <w:r w:rsidRPr="0080620A">
        <w:t xml:space="preserve"> </w:t>
      </w:r>
    </w:p>
    <w:p w14:paraId="00DC5F89" w14:textId="64A31737" w:rsidR="00B1107F" w:rsidRPr="0080620A" w:rsidRDefault="00B1283A" w:rsidP="00A00B9F">
      <w:pPr>
        <w:pStyle w:val="Normalnumber"/>
        <w:numPr>
          <w:ilvl w:val="0"/>
          <w:numId w:val="27"/>
        </w:numPr>
        <w:ind w:left="1247" w:firstLine="624"/>
      </w:pPr>
      <w:r w:rsidRPr="0080620A">
        <w:t>A</w:t>
      </w:r>
      <w:r w:rsidR="00B1107F" w:rsidRPr="0080620A">
        <w:t xml:space="preserve"> periodic global monitoring report </w:t>
      </w:r>
      <w:r w:rsidRPr="0080620A">
        <w:t>on mercury levels and trends</w:t>
      </w:r>
      <w:r w:rsidR="00D85F7A" w:rsidRPr="0080620A">
        <w:t>;</w:t>
      </w:r>
    </w:p>
    <w:p w14:paraId="23651BF6" w14:textId="4682D66D" w:rsidR="00B1107F" w:rsidRPr="0080620A" w:rsidRDefault="00B1107F" w:rsidP="00A00B9F">
      <w:pPr>
        <w:pStyle w:val="Normalnumber"/>
      </w:pPr>
      <w:r w:rsidRPr="0080620A">
        <w:t xml:space="preserve">The tasks described above </w:t>
      </w:r>
      <w:r w:rsidR="00582543">
        <w:t>will</w:t>
      </w:r>
      <w:r w:rsidRPr="0080620A">
        <w:t xml:space="preserve"> be carried out by a </w:t>
      </w:r>
      <w:r w:rsidR="00582543">
        <w:t>m</w:t>
      </w:r>
      <w:r w:rsidRPr="0080620A">
        <w:t xml:space="preserve">onitoring </w:t>
      </w:r>
      <w:r w:rsidR="00582543">
        <w:t>g</w:t>
      </w:r>
      <w:r w:rsidRPr="0080620A">
        <w:t>roup</w:t>
      </w:r>
      <w:r w:rsidR="00582543">
        <w:t>,</w:t>
      </w:r>
      <w:r w:rsidRPr="0080620A">
        <w:t xml:space="preserve"> </w:t>
      </w:r>
      <w:r w:rsidR="00582543">
        <w:t xml:space="preserve">which will </w:t>
      </w:r>
      <w:r w:rsidRPr="0080620A">
        <w:t xml:space="preserve">produce the </w:t>
      </w:r>
      <w:r w:rsidR="00582543">
        <w:t xml:space="preserve">periodic global </w:t>
      </w:r>
      <w:r w:rsidR="00457BAD" w:rsidRPr="0080620A">
        <w:t>m</w:t>
      </w:r>
      <w:r w:rsidRPr="0080620A">
        <w:t xml:space="preserve">onitoring </w:t>
      </w:r>
      <w:r w:rsidR="00457BAD" w:rsidRPr="0080620A">
        <w:t>r</w:t>
      </w:r>
      <w:r w:rsidRPr="0080620A">
        <w:t>eport.</w:t>
      </w:r>
    </w:p>
    <w:p w14:paraId="5D5D5451" w14:textId="77777777" w:rsidR="00C4509C" w:rsidRPr="0080620A" w:rsidRDefault="00C4509C">
      <w:pPr>
        <w:tabs>
          <w:tab w:val="clear" w:pos="1247"/>
          <w:tab w:val="clear" w:pos="1814"/>
          <w:tab w:val="clear" w:pos="2381"/>
          <w:tab w:val="clear" w:pos="2948"/>
          <w:tab w:val="clear" w:pos="3515"/>
        </w:tabs>
        <w:rPr>
          <w:rFonts w:asciiTheme="majorBidi" w:hAnsiTheme="majorBidi" w:cstheme="majorBidi"/>
        </w:rPr>
      </w:pPr>
      <w:r w:rsidRPr="0080620A">
        <w:rPr>
          <w:rFonts w:asciiTheme="majorBidi" w:hAnsiTheme="majorBidi" w:cstheme="majorBidi"/>
        </w:rPr>
        <w:br w:type="page"/>
      </w:r>
    </w:p>
    <w:p w14:paraId="73C36D2F" w14:textId="33412DEE" w:rsidR="00B1107F" w:rsidRPr="00FF10F4" w:rsidRDefault="00E52267" w:rsidP="00FF10F4">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lastRenderedPageBreak/>
        <w:tab/>
      </w:r>
      <w:r w:rsidR="00992554" w:rsidRPr="00FF10F4">
        <w:rPr>
          <w:rFonts w:ascii="Times New Roman" w:hAnsi="Times New Roman" w:cs="Times New Roman"/>
        </w:rPr>
        <w:t>I.</w:t>
      </w:r>
      <w:r w:rsidR="00092851" w:rsidRPr="00FF10F4">
        <w:rPr>
          <w:rFonts w:ascii="Times New Roman" w:hAnsi="Times New Roman" w:cs="Times New Roman"/>
        </w:rPr>
        <w:tab/>
      </w:r>
      <w:r w:rsidR="00B1107F" w:rsidRPr="00FF10F4">
        <w:rPr>
          <w:rFonts w:ascii="Times New Roman" w:hAnsi="Times New Roman" w:cs="Times New Roman"/>
        </w:rPr>
        <w:t>Introduction</w:t>
      </w:r>
    </w:p>
    <w:p w14:paraId="618AAE4B" w14:textId="7073B573" w:rsidR="00B1107F" w:rsidRPr="0080620A" w:rsidRDefault="00B1107F" w:rsidP="00A00B9F">
      <w:pPr>
        <w:pStyle w:val="Normalnumber"/>
      </w:pPr>
      <w:r w:rsidRPr="0080620A">
        <w:t xml:space="preserve">At </w:t>
      </w:r>
      <w:r w:rsidR="003C2854" w:rsidRPr="0080620A">
        <w:t>its</w:t>
      </w:r>
      <w:r w:rsidRPr="0080620A">
        <w:t xml:space="preserve"> first and second meetings, the Conference of the Parties tasked an ad hoc </w:t>
      </w:r>
      <w:r w:rsidR="003C2854" w:rsidRPr="0080620A">
        <w:t xml:space="preserve">technical </w:t>
      </w:r>
      <w:r w:rsidRPr="0080620A">
        <w:t>expert group to consider the arrangements to be put in place to provide the Conference of the Parties with the</w:t>
      </w:r>
      <w:r w:rsidR="003A2909" w:rsidRPr="0080620A">
        <w:t xml:space="preserve"> </w:t>
      </w:r>
      <w:r w:rsidRPr="0080620A">
        <w:t>required information to conduct an effectiveness evaluation of the Minamata Convention on Mercury</w:t>
      </w:r>
      <w:r w:rsidR="003836EE" w:rsidRPr="0080620A">
        <w:t>.</w:t>
      </w:r>
      <w:r w:rsidRPr="0080620A">
        <w:rPr>
          <w:rStyle w:val="FootnoteReference"/>
          <w:rFonts w:asciiTheme="majorBidi" w:hAnsiTheme="majorBidi"/>
          <w:szCs w:val="20"/>
        </w:rPr>
        <w:footnoteReference w:id="11"/>
      </w:r>
      <w:r w:rsidRPr="0080620A">
        <w:t xml:space="preserve"> </w:t>
      </w:r>
      <w:r w:rsidR="008C197A" w:rsidRPr="0080620A">
        <w:t xml:space="preserve">Article 22 of the Minamata Convention on Mercury calls for the effectiveness of the Convention to be evaluated </w:t>
      </w:r>
      <w:r w:rsidRPr="0080620A">
        <w:t xml:space="preserve">at regular intervals, with the first </w:t>
      </w:r>
      <w:r w:rsidR="00D61D0C" w:rsidRPr="0080620A">
        <w:t xml:space="preserve">evaluation </w:t>
      </w:r>
      <w:r w:rsidRPr="0080620A">
        <w:t xml:space="preserve">taking place within six years </w:t>
      </w:r>
      <w:r w:rsidR="00D773FC" w:rsidRPr="0080620A">
        <w:t>of</w:t>
      </w:r>
      <w:r w:rsidRPr="0080620A">
        <w:t xml:space="preserve"> entry into force.</w:t>
      </w:r>
      <w:r w:rsidRPr="0080620A">
        <w:rPr>
          <w:rStyle w:val="FootnoteReference"/>
          <w:rFonts w:asciiTheme="majorBidi" w:hAnsiTheme="majorBidi"/>
          <w:szCs w:val="20"/>
        </w:rPr>
        <w:footnoteReference w:id="12"/>
      </w:r>
      <w:r w:rsidRPr="0080620A">
        <w:t xml:space="preserve"> </w:t>
      </w:r>
      <w:r w:rsidR="00D61D0C" w:rsidRPr="0080620A">
        <w:t xml:space="preserve">It </w:t>
      </w:r>
      <w:r w:rsidRPr="0080620A">
        <w:t xml:space="preserve">stipulates that </w:t>
      </w:r>
      <w:r w:rsidR="008C197A" w:rsidRPr="0080620A">
        <w:t xml:space="preserve">at its first meeting, </w:t>
      </w:r>
      <w:r w:rsidR="00D61D0C" w:rsidRPr="0080620A">
        <w:t xml:space="preserve">the Conference of the Parties </w:t>
      </w:r>
      <w:r w:rsidR="001D2394" w:rsidRPr="0080620A">
        <w:t xml:space="preserve">will </w:t>
      </w:r>
      <w:r w:rsidRPr="0080620A">
        <w:t xml:space="preserve">initiate the establishment of arrangements for providing itself with comparable monitoring data on the presence and movement of mercury and mercury compounds in the environment, as well as the trends in the levels of mercury and mercury compounds as observed in biotic media and vulnerable populations. </w:t>
      </w:r>
      <w:r w:rsidR="00D61D0C" w:rsidRPr="0080620A">
        <w:t>It further</w:t>
      </w:r>
      <w:r w:rsidR="00C85033" w:rsidRPr="0080620A">
        <w:t xml:space="preserve"> </w:t>
      </w:r>
      <w:r w:rsidRPr="0080620A">
        <w:t xml:space="preserve">stipulates that the evaluation </w:t>
      </w:r>
      <w:r w:rsidR="001D2394" w:rsidRPr="0080620A">
        <w:t xml:space="preserve">will </w:t>
      </w:r>
      <w:r w:rsidRPr="0080620A">
        <w:t xml:space="preserve">be conducted based on available scientific, environmental, technical, financial and economic information, including: </w:t>
      </w:r>
    </w:p>
    <w:p w14:paraId="204D7001" w14:textId="4ED52361" w:rsidR="00B1107F" w:rsidRPr="0080620A" w:rsidRDefault="00B1107F" w:rsidP="00A00B9F">
      <w:pPr>
        <w:pStyle w:val="Normalnumber"/>
        <w:numPr>
          <w:ilvl w:val="0"/>
          <w:numId w:val="28"/>
        </w:numPr>
        <w:ind w:left="1247" w:firstLine="624"/>
      </w:pPr>
      <w:r w:rsidRPr="0080620A">
        <w:t>Reports and other monitoring information provided to the Conference of the Parties pursuant to paragraph 2</w:t>
      </w:r>
      <w:r w:rsidR="00D61D0C" w:rsidRPr="0080620A">
        <w:t xml:space="preserve"> of article 22 of the Convention</w:t>
      </w:r>
      <w:r w:rsidRPr="0080620A">
        <w:t xml:space="preserve">; </w:t>
      </w:r>
    </w:p>
    <w:p w14:paraId="55CE9A66" w14:textId="2204E59B" w:rsidR="00B1107F" w:rsidRPr="0080620A" w:rsidRDefault="00B1107F" w:rsidP="00A00B9F">
      <w:pPr>
        <w:pStyle w:val="Normalnumber"/>
        <w:numPr>
          <w:ilvl w:val="0"/>
          <w:numId w:val="28"/>
        </w:numPr>
        <w:ind w:left="1247" w:firstLine="624"/>
      </w:pPr>
      <w:r w:rsidRPr="0080620A">
        <w:t xml:space="preserve">Reports submitted pursuant to </w:t>
      </w:r>
      <w:r w:rsidR="0027457B" w:rsidRPr="0080620A">
        <w:t>a</w:t>
      </w:r>
      <w:r w:rsidRPr="0080620A">
        <w:t xml:space="preserve">rticle 21; </w:t>
      </w:r>
    </w:p>
    <w:p w14:paraId="72061232" w14:textId="7AFB4EEE" w:rsidR="00B1107F" w:rsidRPr="0080620A" w:rsidRDefault="00B1107F" w:rsidP="00A00B9F">
      <w:pPr>
        <w:pStyle w:val="Normalnumber"/>
        <w:numPr>
          <w:ilvl w:val="0"/>
          <w:numId w:val="28"/>
        </w:numPr>
        <w:ind w:left="1247" w:firstLine="624"/>
      </w:pPr>
      <w:r w:rsidRPr="0080620A">
        <w:t xml:space="preserve">Information and recommendations provided pursuant to </w:t>
      </w:r>
      <w:r w:rsidR="0027457B" w:rsidRPr="0080620A">
        <w:t>a</w:t>
      </w:r>
      <w:r w:rsidRPr="0080620A">
        <w:t xml:space="preserve">rticle 15; </w:t>
      </w:r>
    </w:p>
    <w:p w14:paraId="6DF4EB84" w14:textId="7C55A9C3" w:rsidR="00B1107F" w:rsidRPr="0080620A" w:rsidRDefault="00B1107F" w:rsidP="00A00B9F">
      <w:pPr>
        <w:pStyle w:val="Normalnumber"/>
        <w:numPr>
          <w:ilvl w:val="0"/>
          <w:numId w:val="28"/>
        </w:numPr>
        <w:ind w:left="1247" w:firstLine="624"/>
      </w:pPr>
      <w:r w:rsidRPr="0080620A">
        <w:t>Reports and other relevant information on the operation of the financial assistance, technology transfer and capacity</w:t>
      </w:r>
      <w:r w:rsidR="0086797F" w:rsidRPr="0080620A">
        <w:t>-</w:t>
      </w:r>
      <w:r w:rsidRPr="0080620A">
        <w:t>building arrangements put in place under th</w:t>
      </w:r>
      <w:r w:rsidR="00D61D0C" w:rsidRPr="0080620A">
        <w:t>e</w:t>
      </w:r>
      <w:r w:rsidRPr="0080620A">
        <w:t xml:space="preserve"> Convention.</w:t>
      </w:r>
    </w:p>
    <w:p w14:paraId="67FC21C2" w14:textId="0A72A65D" w:rsidR="00B1107F" w:rsidRPr="0080620A" w:rsidRDefault="00B64377" w:rsidP="00A00B9F">
      <w:pPr>
        <w:pStyle w:val="Normalnumber"/>
      </w:pPr>
      <w:r w:rsidRPr="0080620A">
        <w:t xml:space="preserve">At its </w:t>
      </w:r>
      <w:r w:rsidR="00B1107F" w:rsidRPr="0080620A">
        <w:t>first meeting</w:t>
      </w:r>
      <w:r w:rsidRPr="0080620A">
        <w:t xml:space="preserve">, in decision </w:t>
      </w:r>
      <w:r w:rsidR="001B0AA1">
        <w:t>MC</w:t>
      </w:r>
      <w:r w:rsidR="001B0AA1">
        <w:noBreakHyphen/>
        <w:t>1/9</w:t>
      </w:r>
      <w:r w:rsidRPr="0080620A">
        <w:t>,</w:t>
      </w:r>
      <w:r w:rsidR="00B1107F" w:rsidRPr="0080620A">
        <w:t xml:space="preserve"> the Conference of the Parties recogni</w:t>
      </w:r>
      <w:r w:rsidR="003C1126" w:rsidRPr="0080620A">
        <w:t>z</w:t>
      </w:r>
      <w:r w:rsidR="00B1107F" w:rsidRPr="0080620A">
        <w:t>ed the urgent need for a framework for the effectiveness evaluation that include</w:t>
      </w:r>
      <w:r w:rsidRPr="0080620A">
        <w:t>d</w:t>
      </w:r>
      <w:r w:rsidR="00B1107F" w:rsidRPr="0080620A">
        <w:t xml:space="preserve"> a strategic, cost-effective approach that provide</w:t>
      </w:r>
      <w:r w:rsidRPr="0080620A">
        <w:t>d</w:t>
      </w:r>
      <w:r w:rsidR="00B1107F" w:rsidRPr="0080620A">
        <w:t xml:space="preserve"> appropriate and sufficient data, and further acknowledged publications such as </w:t>
      </w:r>
      <w:r w:rsidR="0027457B" w:rsidRPr="0080620A">
        <w:t xml:space="preserve">the </w:t>
      </w:r>
      <w:r w:rsidR="00B1107F" w:rsidRPr="0080620A">
        <w:t>global mercury assessments</w:t>
      </w:r>
      <w:r w:rsidR="003C1126" w:rsidRPr="0080620A">
        <w:t xml:space="preserve"> </w:t>
      </w:r>
      <w:r w:rsidR="0027457B" w:rsidRPr="0080620A">
        <w:t xml:space="preserve">prepared by the United Nations Environment Programme (UNEP) </w:t>
      </w:r>
      <w:r w:rsidR="003C1126" w:rsidRPr="0080620A">
        <w:t>and</w:t>
      </w:r>
      <w:r w:rsidR="00B1107F" w:rsidRPr="0080620A">
        <w:t xml:space="preserve"> </w:t>
      </w:r>
      <w:r w:rsidR="00D61D0C" w:rsidRPr="0080620A">
        <w:t xml:space="preserve">the </w:t>
      </w:r>
      <w:r w:rsidR="00B1107F" w:rsidRPr="0080620A">
        <w:t xml:space="preserve">Minamata </w:t>
      </w:r>
      <w:r w:rsidR="00D61D0C" w:rsidRPr="0080620A">
        <w:t xml:space="preserve">Convention </w:t>
      </w:r>
      <w:r w:rsidR="0027457B" w:rsidRPr="0080620A">
        <w:t>i</w:t>
      </w:r>
      <w:r w:rsidR="00B1107F" w:rsidRPr="0080620A">
        <w:t xml:space="preserve">nitial </w:t>
      </w:r>
      <w:r w:rsidR="0027457B" w:rsidRPr="0080620A">
        <w:t>a</w:t>
      </w:r>
      <w:r w:rsidR="00B1107F" w:rsidRPr="0080620A">
        <w:t>ssessments</w:t>
      </w:r>
      <w:r w:rsidR="004D22A0">
        <w:t>,</w:t>
      </w:r>
      <w:r w:rsidR="003C1126" w:rsidRPr="0080620A">
        <w:t xml:space="preserve"> funded by the Global Environment Facility</w:t>
      </w:r>
      <w:r w:rsidR="00B1107F" w:rsidRPr="0080620A">
        <w:t xml:space="preserve">, as important sources of information. </w:t>
      </w:r>
      <w:r w:rsidR="00045118" w:rsidRPr="0080620A">
        <w:t>In the same decision, t</w:t>
      </w:r>
      <w:r w:rsidR="00B1107F" w:rsidRPr="0080620A">
        <w:t>he Conference of the Parties set out a road</w:t>
      </w:r>
      <w:r w:rsidR="00335BBC" w:rsidRPr="0080620A">
        <w:t xml:space="preserve"> </w:t>
      </w:r>
      <w:r w:rsidR="00B1107F" w:rsidRPr="0080620A">
        <w:t xml:space="preserve">map </w:t>
      </w:r>
      <w:r w:rsidR="00045118" w:rsidRPr="0080620A">
        <w:t>for</w:t>
      </w:r>
      <w:r w:rsidR="00B1107F" w:rsidRPr="0080620A">
        <w:t xml:space="preserve"> </w:t>
      </w:r>
      <w:r w:rsidR="00045118" w:rsidRPr="0080620A">
        <w:t xml:space="preserve">an </w:t>
      </w:r>
      <w:r w:rsidR="00B1107F" w:rsidRPr="0080620A">
        <w:t xml:space="preserve">ad hoc group of experts </w:t>
      </w:r>
      <w:r w:rsidR="00045118" w:rsidRPr="0080620A">
        <w:t>to develop</w:t>
      </w:r>
      <w:r w:rsidR="00B1107F" w:rsidRPr="0080620A">
        <w:t xml:space="preserve"> arrangement</w:t>
      </w:r>
      <w:r w:rsidR="00D773FC" w:rsidRPr="0080620A">
        <w:t>s</w:t>
      </w:r>
      <w:r w:rsidR="00B1107F" w:rsidRPr="0080620A">
        <w:t xml:space="preserve"> for providing the Conference of the Parties with comparable monitoring data and the elements of an effectiveness evaluation framework</w:t>
      </w:r>
      <w:r w:rsidR="003542E3" w:rsidRPr="0080620A">
        <w:t>, as well as</w:t>
      </w:r>
      <w:r w:rsidR="00045118" w:rsidRPr="0080620A">
        <w:t xml:space="preserve"> the terms of reference for the </w:t>
      </w:r>
      <w:r w:rsidR="007D60FA">
        <w:t>Effectiveness Evaluation Committee</w:t>
      </w:r>
      <w:r w:rsidR="00045118" w:rsidRPr="0080620A">
        <w:t>.</w:t>
      </w:r>
    </w:p>
    <w:p w14:paraId="4EA80497" w14:textId="448CB1AD" w:rsidR="00B1107F" w:rsidRPr="0080620A" w:rsidRDefault="00E36009" w:rsidP="00A00B9F">
      <w:pPr>
        <w:pStyle w:val="Normalnumber"/>
      </w:pPr>
      <w:r w:rsidRPr="0080620A">
        <w:t>T</w:t>
      </w:r>
      <w:r w:rsidR="00B1107F" w:rsidRPr="0080620A">
        <w:t xml:space="preserve">he ad hoc group of experts began its work at </w:t>
      </w:r>
      <w:r w:rsidRPr="0080620A">
        <w:t xml:space="preserve">a </w:t>
      </w:r>
      <w:r w:rsidR="00B1107F" w:rsidRPr="0080620A">
        <w:t xml:space="preserve">first meeting </w:t>
      </w:r>
      <w:r w:rsidRPr="0080620A">
        <w:t xml:space="preserve">held </w:t>
      </w:r>
      <w:r w:rsidR="00B1107F" w:rsidRPr="0080620A">
        <w:t>in Ottawa, Canada (5</w:t>
      </w:r>
      <w:r w:rsidR="003C1126" w:rsidRPr="0080620A">
        <w:sym w:font="Symbol" w:char="F02D"/>
      </w:r>
      <w:r w:rsidR="00B1107F" w:rsidRPr="0080620A">
        <w:t>9</w:t>
      </w:r>
      <w:r w:rsidR="00062378">
        <w:t> </w:t>
      </w:r>
      <w:r w:rsidR="00B1107F" w:rsidRPr="0080620A">
        <w:t xml:space="preserve">March 2018). The outcome of the first round of deliberations, </w:t>
      </w:r>
      <w:r w:rsidRPr="0080620A">
        <w:t xml:space="preserve">including </w:t>
      </w:r>
      <w:r w:rsidR="00B1107F" w:rsidRPr="0080620A">
        <w:t>comments received during the subsequent open</w:t>
      </w:r>
      <w:r w:rsidR="007129E3" w:rsidRPr="0080620A">
        <w:t>-for-</w:t>
      </w:r>
      <w:r w:rsidR="00B1107F" w:rsidRPr="0080620A">
        <w:t>comment</w:t>
      </w:r>
      <w:r w:rsidR="007129E3" w:rsidRPr="0080620A">
        <w:t>s</w:t>
      </w:r>
      <w:r w:rsidR="00B1107F" w:rsidRPr="0080620A">
        <w:t xml:space="preserve"> period, was presented to the Conference of the Parties </w:t>
      </w:r>
      <w:r w:rsidRPr="0080620A">
        <w:t xml:space="preserve">at its second meeting, held </w:t>
      </w:r>
      <w:r w:rsidR="00B1107F" w:rsidRPr="0080620A">
        <w:t xml:space="preserve">in Geneva in November 2018 (see </w:t>
      </w:r>
      <w:r w:rsidR="003C1126" w:rsidRPr="0080620A">
        <w:t xml:space="preserve">documents </w:t>
      </w:r>
      <w:r w:rsidR="00B1107F" w:rsidRPr="0080620A">
        <w:t xml:space="preserve">UNEP/MC/COP.2/13 and UNEP/MC/COP.2/INF/8). </w:t>
      </w:r>
    </w:p>
    <w:p w14:paraId="1EC4EB06" w14:textId="26A1147C" w:rsidR="00B1107F" w:rsidRPr="0080620A" w:rsidRDefault="00C37306" w:rsidP="00A00B9F">
      <w:pPr>
        <w:pStyle w:val="Normalnumber"/>
      </w:pPr>
      <w:r w:rsidRPr="0080620A">
        <w:t>T</w:t>
      </w:r>
      <w:r w:rsidR="00B1107F" w:rsidRPr="0080620A">
        <w:t xml:space="preserve">he Conference of </w:t>
      </w:r>
      <w:r w:rsidR="00DC5C70" w:rsidRPr="0080620A">
        <w:t xml:space="preserve">the </w:t>
      </w:r>
      <w:r w:rsidR="00B1107F" w:rsidRPr="0080620A">
        <w:t xml:space="preserve">Parties deliberated on the outcome of the </w:t>
      </w:r>
      <w:r w:rsidR="00106767" w:rsidRPr="0080620A">
        <w:t xml:space="preserve">work of the </w:t>
      </w:r>
      <w:r w:rsidR="00B1107F" w:rsidRPr="0080620A">
        <w:t xml:space="preserve">ad hoc </w:t>
      </w:r>
      <w:r w:rsidR="008A323F" w:rsidRPr="0080620A">
        <w:t xml:space="preserve">expert </w:t>
      </w:r>
      <w:r w:rsidR="00B1107F" w:rsidRPr="0080620A">
        <w:t>group and</w:t>
      </w:r>
      <w:r w:rsidR="003F3983" w:rsidRPr="0080620A">
        <w:t>, in decision MC-2/10,</w:t>
      </w:r>
      <w:r w:rsidR="00B1107F" w:rsidRPr="0080620A">
        <w:t xml:space="preserve"> </w:t>
      </w:r>
      <w:r w:rsidR="00E36009" w:rsidRPr="0080620A">
        <w:t>extend</w:t>
      </w:r>
      <w:r w:rsidR="008122B1" w:rsidRPr="0080620A">
        <w:t>ed</w:t>
      </w:r>
      <w:r w:rsidR="00E36009" w:rsidRPr="0080620A">
        <w:t xml:space="preserve"> </w:t>
      </w:r>
      <w:r w:rsidR="00B1107F" w:rsidRPr="0080620A">
        <w:t xml:space="preserve">the </w:t>
      </w:r>
      <w:r w:rsidR="008A323F" w:rsidRPr="0080620A">
        <w:t>g</w:t>
      </w:r>
      <w:r w:rsidR="00B1107F" w:rsidRPr="0080620A">
        <w:t xml:space="preserve">roup’s mandate and </w:t>
      </w:r>
      <w:r w:rsidR="00415A75" w:rsidRPr="0080620A">
        <w:t>amend</w:t>
      </w:r>
      <w:r w:rsidR="008122B1" w:rsidRPr="0080620A">
        <w:t>ed</w:t>
      </w:r>
      <w:r w:rsidR="00415A75" w:rsidRPr="0080620A">
        <w:t xml:space="preserve"> </w:t>
      </w:r>
      <w:r w:rsidR="003F3983" w:rsidRPr="0080620A">
        <w:t xml:space="preserve">its membership </w:t>
      </w:r>
      <w:r w:rsidR="00415A75" w:rsidRPr="0080620A">
        <w:t xml:space="preserve">and qualifications </w:t>
      </w:r>
      <w:r w:rsidR="003F3983" w:rsidRPr="0080620A">
        <w:t>to include</w:t>
      </w:r>
      <w:r w:rsidR="00B1107F" w:rsidRPr="0080620A">
        <w:t xml:space="preserve"> </w:t>
      </w:r>
      <w:r w:rsidR="008A323F" w:rsidRPr="0080620A">
        <w:t xml:space="preserve">the </w:t>
      </w:r>
      <w:r w:rsidR="00B1107F" w:rsidRPr="0080620A">
        <w:t>additional expertise needed to enable it to complete its work for presentation to the third meeting of the Conference of the Parties</w:t>
      </w:r>
      <w:r w:rsidR="00BE259F" w:rsidRPr="0080620A">
        <w:t>,</w:t>
      </w:r>
      <w:r w:rsidR="00B1107F" w:rsidRPr="0080620A">
        <w:t xml:space="preserve"> in November 2019. </w:t>
      </w:r>
      <w:r w:rsidR="00EC4A12" w:rsidRPr="0080620A">
        <w:t>With respect to the effectiveness evaluation framework, t</w:t>
      </w:r>
      <w:r w:rsidR="00B1107F" w:rsidRPr="0080620A">
        <w:t xml:space="preserve">he Conference of the Parties in its decision 2/10 also requested the ad hoc expert group to undertake the following tasks: </w:t>
      </w:r>
    </w:p>
    <w:p w14:paraId="03791AAD" w14:textId="491123D5" w:rsidR="00B1107F" w:rsidRPr="0080620A" w:rsidRDefault="00B1107F" w:rsidP="008A323F">
      <w:pPr>
        <w:pStyle w:val="Normalnumber"/>
        <w:numPr>
          <w:ilvl w:val="1"/>
          <w:numId w:val="3"/>
        </w:numPr>
      </w:pPr>
      <w:r w:rsidRPr="0080620A">
        <w:t xml:space="preserve">Using the objective of the Minamata Convention, review and assess the detailed article-by-article process and outcome indicators in </w:t>
      </w:r>
      <w:r w:rsidR="003F3983" w:rsidRPr="0080620A">
        <w:t xml:space="preserve">document </w:t>
      </w:r>
      <w:r w:rsidRPr="0080620A">
        <w:t xml:space="preserve">UNEP/MC/COP.2/INF/8 and elaborate on the sources of information and baselines for those indicators, considering cost-effectiveness, practicality, feasibility and sustainability, and, on that basis, provide detailed rationales for the recommended indicators; </w:t>
      </w:r>
    </w:p>
    <w:p w14:paraId="58011BFD" w14:textId="4E1B463E" w:rsidR="00B1107F" w:rsidRPr="0080620A" w:rsidRDefault="00B1107F" w:rsidP="008A323F">
      <w:pPr>
        <w:pStyle w:val="Normalnumber"/>
        <w:numPr>
          <w:ilvl w:val="1"/>
          <w:numId w:val="3"/>
        </w:numPr>
      </w:pPr>
      <w:r w:rsidRPr="0080620A">
        <w:lastRenderedPageBreak/>
        <w:t>Identify which recommended indicators require monitoring data, in particular in relation to the control measures and objectives set out in the articles of the Convention;</w:t>
      </w:r>
    </w:p>
    <w:p w14:paraId="3D9B9B24" w14:textId="2234F55B" w:rsidR="00B1107F" w:rsidRPr="0080620A" w:rsidRDefault="00B1107F" w:rsidP="008A323F">
      <w:pPr>
        <w:pStyle w:val="Normalnumber"/>
        <w:numPr>
          <w:ilvl w:val="1"/>
          <w:numId w:val="3"/>
        </w:numPr>
      </w:pPr>
      <w:r w:rsidRPr="0080620A">
        <w:t xml:space="preserve">Develop a methodology for integrating the recommended indicators with a view to providing an integrative picture of the general effectiveness of the Convention, (e.g., by use of </w:t>
      </w:r>
      <w:r w:rsidR="00740F92">
        <w:t>cross</w:t>
      </w:r>
      <w:r w:rsidR="00740F92">
        <w:noBreakHyphen/>
        <w:t>cutting</w:t>
      </w:r>
      <w:r w:rsidRPr="0080620A">
        <w:t xml:space="preserve"> indicators); </w:t>
      </w:r>
    </w:p>
    <w:p w14:paraId="159B92F1" w14:textId="4E8383C0" w:rsidR="00B1107F" w:rsidRPr="0080620A" w:rsidRDefault="00B1107F" w:rsidP="008A323F">
      <w:pPr>
        <w:pStyle w:val="Normalnumber"/>
        <w:numPr>
          <w:ilvl w:val="1"/>
          <w:numId w:val="3"/>
        </w:numPr>
      </w:pPr>
      <w:r w:rsidRPr="0080620A">
        <w:t xml:space="preserve">Amend the recommended draft terms of reference of the </w:t>
      </w:r>
      <w:r w:rsidR="00D61AA7" w:rsidRPr="0080620A">
        <w:t>E</w:t>
      </w:r>
      <w:r w:rsidRPr="0080620A">
        <w:t xml:space="preserve">ffectiveness </w:t>
      </w:r>
      <w:r w:rsidR="00D61AA7" w:rsidRPr="0080620A">
        <w:t>E</w:t>
      </w:r>
      <w:r w:rsidRPr="0080620A">
        <w:t xml:space="preserve">valuation </w:t>
      </w:r>
      <w:r w:rsidR="00D61AA7" w:rsidRPr="0080620A">
        <w:t>C</w:t>
      </w:r>
      <w:r w:rsidRPr="0080620A">
        <w:t>ommittee and the schedule for the first effectiveness evaluation, if needed, on the basis of the outcome of the above.</w:t>
      </w:r>
    </w:p>
    <w:p w14:paraId="0C60D962" w14:textId="2E217DFD" w:rsidR="00B1107F" w:rsidRPr="0080620A" w:rsidRDefault="003F3983" w:rsidP="00A00B9F">
      <w:pPr>
        <w:pStyle w:val="Normalnumber"/>
      </w:pPr>
      <w:r w:rsidRPr="0080620A">
        <w:t>T</w:t>
      </w:r>
      <w:r w:rsidR="00B1107F" w:rsidRPr="0080620A">
        <w:t xml:space="preserve">he ad hoc </w:t>
      </w:r>
      <w:r w:rsidR="008C197A" w:rsidRPr="0080620A">
        <w:t>expert</w:t>
      </w:r>
      <w:r w:rsidR="00B1107F" w:rsidRPr="0080620A">
        <w:t xml:space="preserve"> group met in Geneva in April 2019 to deliberate specifically on the report </w:t>
      </w:r>
      <w:r w:rsidR="00415A75" w:rsidRPr="0080620A">
        <w:t xml:space="preserve">that it was </w:t>
      </w:r>
      <w:r w:rsidR="00B1107F" w:rsidRPr="0080620A">
        <w:t>to present to the third meeting of the Conference of the Parties. The present report is the outcome of the work begun at that meeting</w:t>
      </w:r>
      <w:r w:rsidR="00B1107F" w:rsidRPr="0080620A">
        <w:rPr>
          <w:rStyle w:val="FootnoteReference"/>
          <w:rFonts w:asciiTheme="majorBidi" w:hAnsiTheme="majorBidi"/>
          <w:szCs w:val="20"/>
        </w:rPr>
        <w:footnoteReference w:id="13"/>
      </w:r>
      <w:r w:rsidR="00B1107F" w:rsidRPr="0080620A">
        <w:t xml:space="preserve"> and completed </w:t>
      </w:r>
      <w:r w:rsidR="00E739F6" w:rsidRPr="0080620A">
        <w:t>over</w:t>
      </w:r>
      <w:r w:rsidR="00B1107F" w:rsidRPr="0080620A">
        <w:t xml:space="preserve"> the subsequent months</w:t>
      </w:r>
      <w:r w:rsidR="008A323F" w:rsidRPr="0080620A">
        <w:t xml:space="preserve"> (</w:t>
      </w:r>
      <w:r w:rsidR="00B1107F" w:rsidRPr="0080620A">
        <w:t>includ</w:t>
      </w:r>
      <w:r w:rsidR="008A323F" w:rsidRPr="0080620A">
        <w:t>ing</w:t>
      </w:r>
      <w:r w:rsidR="00B1107F" w:rsidRPr="0080620A">
        <w:t xml:space="preserve"> an open</w:t>
      </w:r>
      <w:r w:rsidR="008A323F" w:rsidRPr="0080620A">
        <w:t>-for-</w:t>
      </w:r>
      <w:r w:rsidR="00B1107F" w:rsidRPr="0080620A">
        <w:t>comment</w:t>
      </w:r>
      <w:r w:rsidR="008A323F" w:rsidRPr="0080620A">
        <w:t>s</w:t>
      </w:r>
      <w:r w:rsidR="00B1107F" w:rsidRPr="0080620A">
        <w:t xml:space="preserve"> period from 1</w:t>
      </w:r>
      <w:r w:rsidR="00242C63" w:rsidRPr="0080620A">
        <w:t xml:space="preserve"> </w:t>
      </w:r>
      <w:r w:rsidR="00B1107F" w:rsidRPr="0080620A">
        <w:t>August to 5 September 2019</w:t>
      </w:r>
      <w:r w:rsidR="008A323F" w:rsidRPr="0080620A">
        <w:t>)</w:t>
      </w:r>
      <w:r w:rsidR="00B1107F" w:rsidRPr="0080620A">
        <w:t xml:space="preserve">. </w:t>
      </w:r>
    </w:p>
    <w:p w14:paraId="22C096C7" w14:textId="0DF9F04A" w:rsidR="00B1107F" w:rsidRPr="0080620A" w:rsidRDefault="00E739F6" w:rsidP="00A00B9F">
      <w:pPr>
        <w:pStyle w:val="Normalnumber"/>
      </w:pPr>
      <w:r w:rsidRPr="0080620A">
        <w:t xml:space="preserve">In line with </w:t>
      </w:r>
      <w:r w:rsidR="00B1107F" w:rsidRPr="0080620A">
        <w:t xml:space="preserve">the guidance </w:t>
      </w:r>
      <w:r w:rsidRPr="0080620A">
        <w:t xml:space="preserve">provided in decision </w:t>
      </w:r>
      <w:r w:rsidR="00B1107F" w:rsidRPr="0080620A">
        <w:t>MC-2/10, th</w:t>
      </w:r>
      <w:r w:rsidR="008A323F" w:rsidRPr="0080620A">
        <w:t>e present</w:t>
      </w:r>
      <w:r w:rsidR="00B1107F" w:rsidRPr="0080620A">
        <w:t xml:space="preserve"> report </w:t>
      </w:r>
      <w:r w:rsidR="000C7164" w:rsidRPr="0080620A">
        <w:t xml:space="preserve">consists of an executive summary and </w:t>
      </w:r>
      <w:r w:rsidR="00B1107F" w:rsidRPr="0080620A">
        <w:t xml:space="preserve">four sections: </w:t>
      </w:r>
      <w:r w:rsidR="000C7164" w:rsidRPr="0080620A">
        <w:t>s</w:t>
      </w:r>
      <w:r w:rsidR="00B1107F" w:rsidRPr="0080620A">
        <w:t xml:space="preserve">ection I </w:t>
      </w:r>
      <w:r w:rsidRPr="0080620A">
        <w:t xml:space="preserve">is </w:t>
      </w:r>
      <w:r w:rsidR="00B1107F" w:rsidRPr="0080620A">
        <w:t xml:space="preserve">an introduction </w:t>
      </w:r>
      <w:r w:rsidR="00B60397" w:rsidRPr="0080620A">
        <w:t xml:space="preserve">to </w:t>
      </w:r>
      <w:r w:rsidR="00B1107F" w:rsidRPr="0080620A">
        <w:t xml:space="preserve">the mandate of the ad hoc technical expert group and </w:t>
      </w:r>
      <w:r w:rsidR="00B60397" w:rsidRPr="0080620A">
        <w:t xml:space="preserve">its </w:t>
      </w:r>
      <w:r w:rsidR="00B1107F" w:rsidRPr="0080620A">
        <w:t xml:space="preserve">report on the </w:t>
      </w:r>
      <w:r w:rsidR="00B60397" w:rsidRPr="0080620A">
        <w:t xml:space="preserve">proposed </w:t>
      </w:r>
      <w:r w:rsidR="00B1107F" w:rsidRPr="0080620A">
        <w:t xml:space="preserve">arrangements </w:t>
      </w:r>
      <w:r w:rsidR="00B60397" w:rsidRPr="0080620A">
        <w:t>to</w:t>
      </w:r>
      <w:r w:rsidR="00B1107F" w:rsidRPr="0080620A">
        <w:t xml:space="preserve"> be put in place to provide the Conference of the Parties with the information </w:t>
      </w:r>
      <w:r w:rsidR="00A969E5" w:rsidRPr="0080620A">
        <w:t xml:space="preserve">required </w:t>
      </w:r>
      <w:r w:rsidR="00B1107F" w:rsidRPr="0080620A">
        <w:t>to conduct an effectiveness evaluation of the Convention</w:t>
      </w:r>
      <w:r w:rsidR="000C7164" w:rsidRPr="0080620A">
        <w:t>;</w:t>
      </w:r>
      <w:r w:rsidR="00B1107F" w:rsidRPr="0080620A">
        <w:t xml:space="preserve"> </w:t>
      </w:r>
      <w:r w:rsidR="000C7164" w:rsidRPr="0080620A">
        <w:t>s</w:t>
      </w:r>
      <w:r w:rsidR="00B1107F" w:rsidRPr="0080620A">
        <w:t>ection II provides an overview of the proposed effectiveness evaluation framework</w:t>
      </w:r>
      <w:r w:rsidR="00CA364E" w:rsidRPr="0080620A">
        <w:t>,</w:t>
      </w:r>
      <w:r w:rsidR="00B1107F" w:rsidRPr="0080620A">
        <w:t xml:space="preserve"> including laying out four policy question</w:t>
      </w:r>
      <w:r w:rsidR="00EE6117" w:rsidRPr="0080620A">
        <w:t>s</w:t>
      </w:r>
      <w:r w:rsidR="00B1107F" w:rsidRPr="0080620A">
        <w:t xml:space="preserve"> identified </w:t>
      </w:r>
      <w:r w:rsidR="00A969E5" w:rsidRPr="0080620A">
        <w:t>as key</w:t>
      </w:r>
      <w:r w:rsidR="00B1107F" w:rsidRPr="0080620A">
        <w:t xml:space="preserve"> to evaluat</w:t>
      </w:r>
      <w:r w:rsidR="00061AD2" w:rsidRPr="0080620A">
        <w:t>ing</w:t>
      </w:r>
      <w:r w:rsidR="00B1107F" w:rsidRPr="0080620A">
        <w:t xml:space="preserve"> the effective</w:t>
      </w:r>
      <w:r w:rsidR="00A969E5" w:rsidRPr="0080620A">
        <w:t>ne</w:t>
      </w:r>
      <w:r w:rsidR="00B1107F" w:rsidRPr="0080620A">
        <w:t>s</w:t>
      </w:r>
      <w:r w:rsidR="00A969E5" w:rsidRPr="0080620A">
        <w:t>s</w:t>
      </w:r>
      <w:r w:rsidR="00B1107F" w:rsidRPr="0080620A">
        <w:t xml:space="preserve"> of the Convention</w:t>
      </w:r>
      <w:r w:rsidR="000C7164" w:rsidRPr="0080620A">
        <w:t>;</w:t>
      </w:r>
      <w:r w:rsidR="00B1107F" w:rsidRPr="0080620A">
        <w:t xml:space="preserve"> </w:t>
      </w:r>
      <w:r w:rsidR="000C7164" w:rsidRPr="0080620A">
        <w:t>s</w:t>
      </w:r>
      <w:r w:rsidR="00B1107F" w:rsidRPr="0080620A">
        <w:t>ection III lays out the constituent elements of the framework in detail</w:t>
      </w:r>
      <w:r w:rsidR="00061AD2" w:rsidRPr="0080620A">
        <w:t>,</w:t>
      </w:r>
      <w:r w:rsidR="00B1107F" w:rsidRPr="0080620A">
        <w:t xml:space="preserve"> describing the proposed methodology </w:t>
      </w:r>
      <w:r w:rsidR="00B60397" w:rsidRPr="0080620A">
        <w:t>and schedule for</w:t>
      </w:r>
      <w:r w:rsidR="00B1107F" w:rsidRPr="0080620A">
        <w:t xml:space="preserve"> the effectiveness evaluation</w:t>
      </w:r>
      <w:r w:rsidR="000C7164" w:rsidRPr="0080620A">
        <w:t>; and</w:t>
      </w:r>
      <w:r w:rsidR="00B1107F" w:rsidRPr="0080620A">
        <w:t xml:space="preserve"> </w:t>
      </w:r>
      <w:r w:rsidR="000C7164" w:rsidRPr="0080620A">
        <w:t>s</w:t>
      </w:r>
      <w:r w:rsidR="00B1107F" w:rsidRPr="0080620A">
        <w:t>ection IV outlines further issues for the consideration by the Conference of the Parties.</w:t>
      </w:r>
      <w:r w:rsidR="000C7164" w:rsidRPr="0080620A">
        <w:t xml:space="preserve"> </w:t>
      </w:r>
      <w:r w:rsidR="00B1107F" w:rsidRPr="0080620A">
        <w:t xml:space="preserve">The report </w:t>
      </w:r>
      <w:r w:rsidR="00BE259F" w:rsidRPr="0080620A">
        <w:t>also</w:t>
      </w:r>
      <w:r w:rsidR="00B1107F" w:rsidRPr="0080620A">
        <w:t xml:space="preserve"> contains four appendi</w:t>
      </w:r>
      <w:r w:rsidR="00555D09" w:rsidRPr="0080620A">
        <w:t>c</w:t>
      </w:r>
      <w:r w:rsidR="00B1107F" w:rsidRPr="0080620A">
        <w:t>es</w:t>
      </w:r>
      <w:r w:rsidR="00555D09" w:rsidRPr="0080620A">
        <w:t>:</w:t>
      </w:r>
      <w:r w:rsidR="00B1107F" w:rsidRPr="0080620A">
        <w:t xml:space="preserve"> appendix </w:t>
      </w:r>
      <w:r w:rsidR="00555D09" w:rsidRPr="0080620A">
        <w:t>I</w:t>
      </w:r>
      <w:r w:rsidR="000C7164" w:rsidRPr="0080620A">
        <w:t>, contained in document UNEP/MC/COP.3/14</w:t>
      </w:r>
      <w:r w:rsidR="002D1263" w:rsidRPr="0080620A">
        <w:t>/</w:t>
      </w:r>
      <w:r w:rsidR="000C7164" w:rsidRPr="0080620A">
        <w:t>Add.1,</w:t>
      </w:r>
      <w:r w:rsidR="00555D09" w:rsidRPr="0080620A">
        <w:t xml:space="preserve"> </w:t>
      </w:r>
      <w:r w:rsidR="00B1107F" w:rsidRPr="0080620A">
        <w:t>outlines technical information related to monitoring</w:t>
      </w:r>
      <w:r w:rsidR="000C7164" w:rsidRPr="0080620A">
        <w:t>;</w:t>
      </w:r>
      <w:r w:rsidR="00B1107F" w:rsidRPr="0080620A">
        <w:t xml:space="preserve"> appendix </w:t>
      </w:r>
      <w:r w:rsidR="00555D09" w:rsidRPr="0080620A">
        <w:t xml:space="preserve">II </w:t>
      </w:r>
      <w:r w:rsidR="00B1107F" w:rsidRPr="0080620A">
        <w:t xml:space="preserve">presents the </w:t>
      </w:r>
      <w:r w:rsidR="007A6DEC" w:rsidRPr="0080620A">
        <w:t xml:space="preserve">draft </w:t>
      </w:r>
      <w:r w:rsidR="00B1107F" w:rsidRPr="0080620A">
        <w:t>terms of reference of the Effectiveness Evaluation Committee</w:t>
      </w:r>
      <w:r w:rsidR="000C7164" w:rsidRPr="0080620A">
        <w:t>;</w:t>
      </w:r>
      <w:r w:rsidR="00B1107F" w:rsidRPr="0080620A">
        <w:t xml:space="preserve"> appendix </w:t>
      </w:r>
      <w:r w:rsidR="00555D09" w:rsidRPr="0080620A">
        <w:t xml:space="preserve">III </w:t>
      </w:r>
      <w:r w:rsidR="00B1107F" w:rsidRPr="0080620A">
        <w:t xml:space="preserve">outlines the proposed global monitoring arrangements and draft terms of reference for the </w:t>
      </w:r>
      <w:r w:rsidR="000C7164" w:rsidRPr="0080620A">
        <w:t>m</w:t>
      </w:r>
      <w:r w:rsidR="00B1107F" w:rsidRPr="0080620A">
        <w:t xml:space="preserve">onitoring </w:t>
      </w:r>
      <w:r w:rsidR="000C7164" w:rsidRPr="0080620A">
        <w:t>g</w:t>
      </w:r>
      <w:r w:rsidR="00B1107F" w:rsidRPr="0080620A">
        <w:t>roup</w:t>
      </w:r>
      <w:r w:rsidR="00061AD2" w:rsidRPr="0080620A">
        <w:t>;</w:t>
      </w:r>
      <w:r w:rsidR="00555D09" w:rsidRPr="0080620A">
        <w:t xml:space="preserve"> and</w:t>
      </w:r>
      <w:r w:rsidR="00B1107F" w:rsidRPr="0080620A">
        <w:t xml:space="preserve"> appendix </w:t>
      </w:r>
      <w:r w:rsidR="00555D09" w:rsidRPr="0080620A">
        <w:t>IV describes</w:t>
      </w:r>
      <w:r w:rsidR="00B1107F" w:rsidRPr="0080620A">
        <w:t xml:space="preserve"> the reports to be pr</w:t>
      </w:r>
      <w:r w:rsidR="00061AD2" w:rsidRPr="0080620A">
        <w:t>oduc</w:t>
      </w:r>
      <w:r w:rsidR="00B1107F" w:rsidRPr="0080620A">
        <w:t>ed for the Committee.</w:t>
      </w:r>
    </w:p>
    <w:p w14:paraId="0A804300" w14:textId="61EA9BF1" w:rsidR="00F578B0" w:rsidRPr="0080620A" w:rsidRDefault="00E0696A" w:rsidP="00A00B9F">
      <w:pPr>
        <w:pStyle w:val="Normalnumber"/>
      </w:pPr>
      <w:r w:rsidRPr="0080620A">
        <w:t>T</w:t>
      </w:r>
      <w:r w:rsidR="00F578B0" w:rsidRPr="0080620A">
        <w:t>he ad hoc group developed a document UNEP/MC/COP.3</w:t>
      </w:r>
      <w:r w:rsidR="002D1263" w:rsidRPr="0080620A">
        <w:t>/</w:t>
      </w:r>
      <w:r w:rsidR="00F578B0" w:rsidRPr="0080620A">
        <w:t>INF</w:t>
      </w:r>
      <w:r w:rsidR="002D1263" w:rsidRPr="0080620A">
        <w:t>/</w:t>
      </w:r>
      <w:r w:rsidR="00F578B0" w:rsidRPr="0080620A">
        <w:t>15</w:t>
      </w:r>
      <w:r w:rsidRPr="0080620A">
        <w:t xml:space="preserve"> as a supplement to the present report and the addendum thereto</w:t>
      </w:r>
      <w:r w:rsidR="00F578B0" w:rsidRPr="0080620A">
        <w:t xml:space="preserve">. Part </w:t>
      </w:r>
      <w:r w:rsidR="00BE259F" w:rsidRPr="0080620A">
        <w:t>I</w:t>
      </w:r>
      <w:r w:rsidR="00F578B0" w:rsidRPr="0080620A">
        <w:t xml:space="preserve"> of that document provides a more detailed review of available monitoring data and background on the proposal for monitoring activities</w:t>
      </w:r>
      <w:r w:rsidR="00061AD2" w:rsidRPr="0080620A">
        <w:t>,</w:t>
      </w:r>
      <w:r w:rsidR="00F578B0" w:rsidRPr="0080620A">
        <w:t xml:space="preserve"> with further scientific and technical details. Part </w:t>
      </w:r>
      <w:r w:rsidRPr="0080620A">
        <w:t>II</w:t>
      </w:r>
      <w:r w:rsidR="00F578B0" w:rsidRPr="0080620A">
        <w:t xml:space="preserve"> contains a proposal for elements of </w:t>
      </w:r>
      <w:r w:rsidR="00075CA5" w:rsidRPr="0080620A">
        <w:t>a</w:t>
      </w:r>
      <w:r w:rsidR="00F578B0" w:rsidRPr="0080620A">
        <w:t xml:space="preserve"> </w:t>
      </w:r>
      <w:r w:rsidR="00075CA5" w:rsidRPr="0080620A">
        <w:t xml:space="preserve">mercury monitoring </w:t>
      </w:r>
      <w:r w:rsidR="00F578B0" w:rsidRPr="0080620A">
        <w:t>guidance document to be developed under the global monitoring arrangements to be established by the Conference of the Parties.</w:t>
      </w:r>
    </w:p>
    <w:p w14:paraId="5165165A" w14:textId="6D4CD16B" w:rsidR="00B1107F" w:rsidRPr="0080620A" w:rsidRDefault="00B1107F" w:rsidP="00A00B9F">
      <w:pPr>
        <w:pStyle w:val="Normalnumber"/>
      </w:pPr>
      <w:r w:rsidRPr="0080620A">
        <w:t>The ad hoc technical expert group proposes that the Conference of the Parties adopt the framework</w:t>
      </w:r>
      <w:r w:rsidR="00EE6117" w:rsidRPr="0080620A">
        <w:t xml:space="preserve"> and monitoring arrangements</w:t>
      </w:r>
      <w:r w:rsidR="00E739F6" w:rsidRPr="0080620A">
        <w:t xml:space="preserve"> and</w:t>
      </w:r>
      <w:r w:rsidRPr="0080620A">
        <w:t xml:space="preserve"> the proposed timeline for the first cycle of the effectiveness evaluation</w:t>
      </w:r>
      <w:r w:rsidR="00E739F6" w:rsidRPr="0080620A">
        <w:t xml:space="preserve"> at its third meeting</w:t>
      </w:r>
      <w:r w:rsidRPr="0080620A">
        <w:t xml:space="preserve"> and establish the Effectiveness Evaluation Committee</w:t>
      </w:r>
      <w:r w:rsidR="00E739F6" w:rsidRPr="0080620A">
        <w:t xml:space="preserve"> at its fourth meeting</w:t>
      </w:r>
      <w:r w:rsidR="008A323F" w:rsidRPr="0080620A">
        <w:t xml:space="preserve">, </w:t>
      </w:r>
      <w:r w:rsidR="00075CA5" w:rsidRPr="0080620A">
        <w:t>as</w:t>
      </w:r>
      <w:r w:rsidRPr="0080620A">
        <w:t xml:space="preserve"> </w:t>
      </w:r>
      <w:r w:rsidR="00075CA5" w:rsidRPr="0080620A">
        <w:t>t</w:t>
      </w:r>
      <w:r w:rsidRPr="0080620A">
        <w:t>his will enable the Conference of the Parties to consider the findings of the Committee</w:t>
      </w:r>
      <w:r w:rsidR="00E739F6" w:rsidRPr="0080620A">
        <w:t xml:space="preserve"> at its fifth meeting</w:t>
      </w:r>
      <w:r w:rsidRPr="0080620A">
        <w:t xml:space="preserve">. </w:t>
      </w:r>
    </w:p>
    <w:p w14:paraId="4F1E886F" w14:textId="04D351E7"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sidR="00092851" w:rsidRPr="00E52267">
        <w:rPr>
          <w:rFonts w:ascii="Times New Roman" w:hAnsi="Times New Roman" w:cs="Times New Roman"/>
        </w:rPr>
        <w:t>I</w:t>
      </w:r>
      <w:r w:rsidR="00992554" w:rsidRPr="00E52267">
        <w:rPr>
          <w:rFonts w:ascii="Times New Roman" w:hAnsi="Times New Roman" w:cs="Times New Roman"/>
        </w:rPr>
        <w:t>I</w:t>
      </w:r>
      <w:r w:rsidR="00092851" w:rsidRPr="00E52267">
        <w:rPr>
          <w:rFonts w:ascii="Times New Roman" w:hAnsi="Times New Roman" w:cs="Times New Roman"/>
        </w:rPr>
        <w:t>.</w:t>
      </w:r>
      <w:r w:rsidR="00092851" w:rsidRPr="00E52267">
        <w:rPr>
          <w:rFonts w:ascii="Times New Roman" w:hAnsi="Times New Roman" w:cs="Times New Roman"/>
        </w:rPr>
        <w:tab/>
      </w:r>
      <w:r w:rsidR="00B1107F" w:rsidRPr="00E52267">
        <w:rPr>
          <w:rFonts w:ascii="Times New Roman" w:hAnsi="Times New Roman" w:cs="Times New Roman"/>
        </w:rPr>
        <w:t>Overview of the effectiveness evaluation framework</w:t>
      </w:r>
    </w:p>
    <w:p w14:paraId="1E9BEF2F" w14:textId="415AF19B" w:rsidR="00B1107F" w:rsidRPr="0080620A" w:rsidRDefault="00B1107F" w:rsidP="00A00B9F">
      <w:pPr>
        <w:pStyle w:val="Normalnumber"/>
      </w:pPr>
      <w:r w:rsidRPr="0080620A">
        <w:t xml:space="preserve">The objective of the Minamata Convention, per </w:t>
      </w:r>
      <w:r w:rsidR="00435932" w:rsidRPr="0080620A">
        <w:t>a</w:t>
      </w:r>
      <w:r w:rsidRPr="0080620A">
        <w:t>rticle 1, is “to protect human health and the environment from anthropogenic emissions and releases of mercury and mercury compounds</w:t>
      </w:r>
      <w:r w:rsidR="00735C03" w:rsidRPr="0080620A">
        <w:t>”</w:t>
      </w:r>
      <w:r w:rsidRPr="0080620A">
        <w:t>.</w:t>
      </w:r>
      <w:r w:rsidR="008E0AF0" w:rsidRPr="0080620A">
        <w:rPr>
          <w:color w:val="211D1E"/>
        </w:rPr>
        <w:t xml:space="preserve"> </w:t>
      </w:r>
      <w:r w:rsidRPr="0080620A">
        <w:rPr>
          <w:color w:val="211D1E"/>
        </w:rPr>
        <w:t xml:space="preserve">The goal of an effectiveness evaluation is to consider the extent to which the </w:t>
      </w:r>
      <w:r w:rsidRPr="0080620A">
        <w:t>Convention</w:t>
      </w:r>
      <w:r w:rsidRPr="0080620A">
        <w:rPr>
          <w:color w:val="211D1E"/>
        </w:rPr>
        <w:t xml:space="preserve"> is achieving th</w:t>
      </w:r>
      <w:r w:rsidR="00134632" w:rsidRPr="0080620A">
        <w:rPr>
          <w:color w:val="211D1E"/>
        </w:rPr>
        <w:t>at</w:t>
      </w:r>
      <w:r w:rsidRPr="0080620A">
        <w:rPr>
          <w:color w:val="211D1E"/>
        </w:rPr>
        <w:t xml:space="preserve"> objective. </w:t>
      </w:r>
      <w:r w:rsidR="008639DA" w:rsidRPr="0080620A">
        <w:t>This means</w:t>
      </w:r>
      <w:r w:rsidRPr="0080620A">
        <w:t xml:space="preserve"> consider</w:t>
      </w:r>
      <w:r w:rsidR="008639DA" w:rsidRPr="0080620A">
        <w:t>ing</w:t>
      </w:r>
      <w:r w:rsidRPr="0080620A">
        <w:t xml:space="preserve"> whether measures taken by </w:t>
      </w:r>
      <w:r w:rsidR="00EA5C32" w:rsidRPr="0080620A">
        <w:t>p</w:t>
      </w:r>
      <w:r w:rsidRPr="0080620A">
        <w:t xml:space="preserve">arties in response to the Convention have resulted in reductions in supply, use, emissions and releases that have, in turn, led to lower risks to human health and the environment (compared with what would have occurred </w:t>
      </w:r>
      <w:r w:rsidR="00EA5A14" w:rsidRPr="0080620A">
        <w:t>had</w:t>
      </w:r>
      <w:r w:rsidRPr="0080620A">
        <w:t xml:space="preserve"> the Convention </w:t>
      </w:r>
      <w:r w:rsidR="00EA5A14" w:rsidRPr="0080620A">
        <w:t>not</w:t>
      </w:r>
      <w:r w:rsidRPr="0080620A">
        <w:t xml:space="preserve"> been implemented). </w:t>
      </w:r>
    </w:p>
    <w:p w14:paraId="5A188C3C" w14:textId="36E50DF9" w:rsidR="00B1107F" w:rsidRPr="0080620A" w:rsidRDefault="00B1107F" w:rsidP="00A00B9F">
      <w:pPr>
        <w:pStyle w:val="Normalnumber"/>
      </w:pPr>
      <w:r w:rsidRPr="0080620A">
        <w:t>The framework for evaluati</w:t>
      </w:r>
      <w:r w:rsidR="00134632" w:rsidRPr="0080620A">
        <w:t>ng</w:t>
      </w:r>
      <w:r w:rsidRPr="0080620A">
        <w:t xml:space="preserve"> the </w:t>
      </w:r>
      <w:r w:rsidR="00EA5A14" w:rsidRPr="0080620A">
        <w:t xml:space="preserve">effectiveness of the </w:t>
      </w:r>
      <w:r w:rsidRPr="0080620A">
        <w:t>Minamata Convention, as proposed by the ad hoc technical expert group, relies on evaluating evidence along the causal pathways linking actions to implement the Convention</w:t>
      </w:r>
      <w:r w:rsidR="00840E72" w:rsidRPr="0080620A">
        <w:t xml:space="preserve"> with</w:t>
      </w:r>
      <w:r w:rsidRPr="0080620A">
        <w:t xml:space="preserve"> </w:t>
      </w:r>
      <w:r w:rsidR="00EA5A14" w:rsidRPr="0080620A">
        <w:t xml:space="preserve">the </w:t>
      </w:r>
      <w:r w:rsidRPr="0080620A">
        <w:t xml:space="preserve">associated changes in </w:t>
      </w:r>
      <w:r w:rsidR="00840E72" w:rsidRPr="0080620A">
        <w:t xml:space="preserve">mercury supply, use, </w:t>
      </w:r>
      <w:r w:rsidRPr="0080620A">
        <w:t xml:space="preserve">emissions and releases, and </w:t>
      </w:r>
      <w:r w:rsidR="00EA5A14" w:rsidRPr="0080620A">
        <w:t xml:space="preserve">the </w:t>
      </w:r>
      <w:r w:rsidRPr="0080620A">
        <w:t xml:space="preserve">resulting changes in </w:t>
      </w:r>
      <w:r w:rsidR="00840E72" w:rsidRPr="0080620A">
        <w:t xml:space="preserve">mercury </w:t>
      </w:r>
      <w:r w:rsidRPr="0080620A">
        <w:t xml:space="preserve">levels and trends </w:t>
      </w:r>
      <w:r w:rsidR="00840E72" w:rsidRPr="0080620A">
        <w:t xml:space="preserve">in those levels </w:t>
      </w:r>
      <w:r w:rsidRPr="0080620A">
        <w:t xml:space="preserve">in the global environment, </w:t>
      </w:r>
      <w:r w:rsidR="00402E91" w:rsidRPr="0080620A">
        <w:t>biotic media and vulnerable populations</w:t>
      </w:r>
      <w:r w:rsidRPr="0080620A">
        <w:t xml:space="preserve">. </w:t>
      </w:r>
      <w:r w:rsidR="008639DA" w:rsidRPr="0080620A">
        <w:t>C</w:t>
      </w:r>
      <w:r w:rsidR="00065AE4" w:rsidRPr="0080620A">
        <w:t xml:space="preserve">hanges in </w:t>
      </w:r>
      <w:r w:rsidRPr="0080620A">
        <w:t xml:space="preserve">mercury levels attributable to the </w:t>
      </w:r>
      <w:r w:rsidRPr="0080620A">
        <w:lastRenderedPageBreak/>
        <w:t xml:space="preserve">Convention </w:t>
      </w:r>
      <w:r w:rsidR="00065AE4" w:rsidRPr="0080620A">
        <w:t>will be assessed</w:t>
      </w:r>
      <w:r w:rsidR="00134632" w:rsidRPr="0080620A">
        <w:t>,</w:t>
      </w:r>
      <w:r w:rsidR="008639DA" w:rsidRPr="0080620A">
        <w:t xml:space="preserve"> using </w:t>
      </w:r>
      <w:r w:rsidR="00934E23" w:rsidRPr="0080620A">
        <w:t xml:space="preserve">the information </w:t>
      </w:r>
      <w:r w:rsidR="008639DA" w:rsidRPr="0080620A">
        <w:t xml:space="preserve">collated and </w:t>
      </w:r>
      <w:r w:rsidR="00134632" w:rsidRPr="0080620A">
        <w:t xml:space="preserve">the </w:t>
      </w:r>
      <w:r w:rsidR="008639DA" w:rsidRPr="0080620A">
        <w:t>proposed process, outcome and monitoring indicators</w:t>
      </w:r>
      <w:r w:rsidR="00134632" w:rsidRPr="0080620A">
        <w:t>,</w:t>
      </w:r>
      <w:r w:rsidR="008639DA" w:rsidRPr="0080620A">
        <w:t xml:space="preserve"> </w:t>
      </w:r>
      <w:r w:rsidR="00535FC9" w:rsidRPr="0080620A">
        <w:t xml:space="preserve">with a view </w:t>
      </w:r>
      <w:r w:rsidR="008639DA" w:rsidRPr="0080620A">
        <w:t>to answer</w:t>
      </w:r>
      <w:r w:rsidR="00535FC9" w:rsidRPr="0080620A">
        <w:t>ing</w:t>
      </w:r>
      <w:r w:rsidR="008639DA" w:rsidRPr="0080620A">
        <w:t xml:space="preserve"> </w:t>
      </w:r>
      <w:r w:rsidRPr="0080620A">
        <w:t xml:space="preserve">four policy questions. </w:t>
      </w:r>
    </w:p>
    <w:p w14:paraId="046BDA2E" w14:textId="0C55E399" w:rsidR="00B1107F" w:rsidRPr="0080620A" w:rsidRDefault="00B66A03" w:rsidP="00B66A03">
      <w:pPr>
        <w:pStyle w:val="CH2"/>
      </w:pPr>
      <w:r w:rsidRPr="0080620A">
        <w:tab/>
        <w:t>A.</w:t>
      </w:r>
      <w:r w:rsidRPr="0080620A">
        <w:tab/>
      </w:r>
      <w:r w:rsidR="00B1107F" w:rsidRPr="0080620A">
        <w:t xml:space="preserve">Policy </w:t>
      </w:r>
      <w:r w:rsidR="00EA5C32" w:rsidRPr="0080620A">
        <w:t>q</w:t>
      </w:r>
      <w:r w:rsidR="00B1107F" w:rsidRPr="0080620A">
        <w:t>uestions</w:t>
      </w:r>
    </w:p>
    <w:p w14:paraId="1384ECE1" w14:textId="11F546A9" w:rsidR="005D6D69" w:rsidRPr="0080620A" w:rsidRDefault="008639DA" w:rsidP="00A00B9F">
      <w:pPr>
        <w:pStyle w:val="Normalnumber"/>
        <w:rPr>
          <w:bCs/>
        </w:rPr>
      </w:pPr>
      <w:r w:rsidRPr="0080620A">
        <w:t xml:space="preserve">Four policy questions have been defined to serve as a basis for the effectiveness evaluation. </w:t>
      </w:r>
      <w:r w:rsidR="005D6D69" w:rsidRPr="0080620A">
        <w:t>The</w:t>
      </w:r>
      <w:r w:rsidRPr="0080620A">
        <w:t>se</w:t>
      </w:r>
      <w:r w:rsidR="005D6D69" w:rsidRPr="0080620A">
        <w:t xml:space="preserve"> questions are expected to provide </w:t>
      </w:r>
      <w:r w:rsidRPr="0080620A">
        <w:t xml:space="preserve">the </w:t>
      </w:r>
      <w:r w:rsidR="005D6D69" w:rsidRPr="0080620A">
        <w:t xml:space="preserve">answers needed by the Conference of the Parties </w:t>
      </w:r>
      <w:r w:rsidRPr="0080620A">
        <w:t>in its</w:t>
      </w:r>
      <w:r w:rsidR="005D6D69" w:rsidRPr="0080620A">
        <w:t xml:space="preserve"> consider</w:t>
      </w:r>
      <w:r w:rsidRPr="0080620A">
        <w:t>ation of</w:t>
      </w:r>
      <w:r w:rsidR="005D6D69" w:rsidRPr="0080620A">
        <w:t xml:space="preserve"> whether the Minamata Convention measures are adequate to address the challenges of anthropogenic mercury emissions and releases.</w:t>
      </w:r>
    </w:p>
    <w:p w14:paraId="389DBDE6" w14:textId="77954BB9" w:rsidR="00B1107F" w:rsidRPr="0080620A" w:rsidRDefault="00CA364E" w:rsidP="00A00B9F">
      <w:pPr>
        <w:pStyle w:val="Normalnumber"/>
        <w:rPr>
          <w:bCs/>
        </w:rPr>
      </w:pPr>
      <w:r w:rsidRPr="0080620A">
        <w:rPr>
          <w:bCs/>
        </w:rPr>
        <w:t>The f</w:t>
      </w:r>
      <w:r w:rsidR="00B1107F" w:rsidRPr="0080620A">
        <w:rPr>
          <w:bCs/>
        </w:rPr>
        <w:t xml:space="preserve">irst </w:t>
      </w:r>
      <w:r w:rsidR="00EA5C32" w:rsidRPr="0080620A">
        <w:rPr>
          <w:bCs/>
        </w:rPr>
        <w:t>p</w:t>
      </w:r>
      <w:r w:rsidR="00B1107F" w:rsidRPr="0080620A">
        <w:rPr>
          <w:bCs/>
        </w:rPr>
        <w:t xml:space="preserve">olicy </w:t>
      </w:r>
      <w:r w:rsidR="00EA5C32" w:rsidRPr="0080620A">
        <w:rPr>
          <w:bCs/>
        </w:rPr>
        <w:t>q</w:t>
      </w:r>
      <w:r w:rsidR="00B1107F" w:rsidRPr="0080620A">
        <w:rPr>
          <w:bCs/>
        </w:rPr>
        <w:t>uestion</w:t>
      </w:r>
      <w:r w:rsidRPr="0080620A">
        <w:rPr>
          <w:bCs/>
        </w:rPr>
        <w:t xml:space="preserve"> is</w:t>
      </w:r>
      <w:r w:rsidR="00B1107F" w:rsidRPr="0080620A">
        <w:rPr>
          <w:bCs/>
        </w:rPr>
        <w:t xml:space="preserve">: Have the </w:t>
      </w:r>
      <w:r w:rsidR="00EA5C32" w:rsidRPr="0080620A">
        <w:rPr>
          <w:bCs/>
        </w:rPr>
        <w:t>p</w:t>
      </w:r>
      <w:r w:rsidR="00B1107F" w:rsidRPr="0080620A">
        <w:rPr>
          <w:bCs/>
        </w:rPr>
        <w:t>arties taken actions to implement the Minamata Convention? T</w:t>
      </w:r>
      <w:r w:rsidR="007865CB" w:rsidRPr="0080620A">
        <w:rPr>
          <w:bCs/>
        </w:rPr>
        <w:t xml:space="preserve">o </w:t>
      </w:r>
      <w:r w:rsidR="00A614F6" w:rsidRPr="0080620A">
        <w:rPr>
          <w:bCs/>
        </w:rPr>
        <w:t>answer</w:t>
      </w:r>
      <w:r w:rsidR="007865CB" w:rsidRPr="0080620A">
        <w:rPr>
          <w:bCs/>
        </w:rPr>
        <w:t xml:space="preserve"> this question, t</w:t>
      </w:r>
      <w:r w:rsidR="00B1107F" w:rsidRPr="0080620A">
        <w:rPr>
          <w:bCs/>
        </w:rPr>
        <w:t xml:space="preserve">he framework contains a succinct set of “process” indicators intended to reflect the level of implementation of the Convention by </w:t>
      </w:r>
      <w:r w:rsidR="00772D69" w:rsidRPr="0080620A">
        <w:rPr>
          <w:bCs/>
        </w:rPr>
        <w:t>p</w:t>
      </w:r>
      <w:r w:rsidR="00B1107F" w:rsidRPr="0080620A">
        <w:rPr>
          <w:bCs/>
        </w:rPr>
        <w:t xml:space="preserve">arties. These indicators can be used to evaluate whether </w:t>
      </w:r>
      <w:r w:rsidRPr="0080620A">
        <w:rPr>
          <w:bCs/>
        </w:rPr>
        <w:t xml:space="preserve">the </w:t>
      </w:r>
      <w:r w:rsidR="00B1107F" w:rsidRPr="0080620A">
        <w:rPr>
          <w:bCs/>
        </w:rPr>
        <w:t xml:space="preserve">implementation of </w:t>
      </w:r>
      <w:r w:rsidRPr="0080620A">
        <w:rPr>
          <w:bCs/>
        </w:rPr>
        <w:t xml:space="preserve">measures under the </w:t>
      </w:r>
      <w:r w:rsidR="00B1107F" w:rsidRPr="0080620A">
        <w:rPr>
          <w:bCs/>
        </w:rPr>
        <w:t xml:space="preserve">Convention can be credibly linked to changes in emissions and releases. They can also be used to identify common challenges in implementation </w:t>
      </w:r>
      <w:r w:rsidR="00B1107F" w:rsidRPr="00A00B9F">
        <w:t>that</w:t>
      </w:r>
      <w:r w:rsidR="00B1107F" w:rsidRPr="0080620A">
        <w:rPr>
          <w:bCs/>
        </w:rPr>
        <w:t xml:space="preserve"> may undermine the Convention</w:t>
      </w:r>
      <w:r w:rsidRPr="0080620A">
        <w:rPr>
          <w:bCs/>
        </w:rPr>
        <w:t>’s</w:t>
      </w:r>
      <w:r w:rsidR="00B1107F" w:rsidRPr="0080620A">
        <w:rPr>
          <w:bCs/>
        </w:rPr>
        <w:t xml:space="preserve"> effectiveness. </w:t>
      </w:r>
      <w:bookmarkStart w:id="7" w:name="_Hlk7429757"/>
      <w:r w:rsidR="00B1107F" w:rsidRPr="0080620A">
        <w:rPr>
          <w:bCs/>
        </w:rPr>
        <w:t>The process indicators are based primarily on reporting mandated by the Convention, supplemented by other available scientific, environmental, technical, financial and economic information</w:t>
      </w:r>
      <w:r w:rsidR="00A614F6" w:rsidRPr="0080620A">
        <w:rPr>
          <w:bCs/>
        </w:rPr>
        <w:t>,</w:t>
      </w:r>
      <w:r w:rsidR="00B1107F" w:rsidRPr="0080620A">
        <w:rPr>
          <w:bCs/>
        </w:rPr>
        <w:t xml:space="preserve"> as per </w:t>
      </w:r>
      <w:r w:rsidR="00EA5C32" w:rsidRPr="0080620A">
        <w:rPr>
          <w:bCs/>
        </w:rPr>
        <w:t>a</w:t>
      </w:r>
      <w:r w:rsidR="00B1107F" w:rsidRPr="0080620A">
        <w:rPr>
          <w:bCs/>
        </w:rPr>
        <w:t xml:space="preserve">rticle 22, paragraph 3. </w:t>
      </w:r>
    </w:p>
    <w:bookmarkEnd w:id="7"/>
    <w:p w14:paraId="6CB1E67D" w14:textId="3031EF78" w:rsidR="00B1107F" w:rsidRPr="0080620A" w:rsidRDefault="00CA364E" w:rsidP="00A00B9F">
      <w:pPr>
        <w:pStyle w:val="Normalnumber"/>
      </w:pPr>
      <w:r w:rsidRPr="0080620A">
        <w:t>The s</w:t>
      </w:r>
      <w:r w:rsidR="00B1107F" w:rsidRPr="0080620A">
        <w:t xml:space="preserve">econd </w:t>
      </w:r>
      <w:r w:rsidR="00EA5C32" w:rsidRPr="0080620A">
        <w:t>p</w:t>
      </w:r>
      <w:r w:rsidR="00B1107F" w:rsidRPr="0080620A">
        <w:t xml:space="preserve">olicy </w:t>
      </w:r>
      <w:r w:rsidR="00EA5C32" w:rsidRPr="0080620A">
        <w:t>q</w:t>
      </w:r>
      <w:r w:rsidR="00B1107F" w:rsidRPr="0080620A">
        <w:t>uestion</w:t>
      </w:r>
      <w:r w:rsidRPr="0080620A">
        <w:t xml:space="preserve"> is</w:t>
      </w:r>
      <w:r w:rsidR="00B1107F" w:rsidRPr="0080620A">
        <w:t xml:space="preserve">: Have these actions resulted in changes in supply, use, emissions and releases of mercury </w:t>
      </w:r>
      <w:r w:rsidR="00535FC9" w:rsidRPr="0080620A">
        <w:t>in</w:t>
      </w:r>
      <w:r w:rsidR="00B1107F" w:rsidRPr="0080620A">
        <w:t>to the environment? T</w:t>
      </w:r>
      <w:r w:rsidR="000F6B31" w:rsidRPr="0080620A">
        <w:t>o answer this question, t</w:t>
      </w:r>
      <w:r w:rsidR="00B1107F" w:rsidRPr="0080620A">
        <w:t xml:space="preserve">he framework contains a set of “outcome” indicators that reflect estimated changes in </w:t>
      </w:r>
      <w:r w:rsidR="00B1107F" w:rsidRPr="000F29C6">
        <w:t xml:space="preserve">supply, demand, emissions and releases of </w:t>
      </w:r>
      <w:bookmarkStart w:id="8" w:name="_Hlk7431114"/>
      <w:r w:rsidR="00B1107F" w:rsidRPr="000F29C6">
        <w:t>mercury</w:t>
      </w:r>
      <w:r w:rsidR="00B1107F" w:rsidRPr="0080620A">
        <w:t xml:space="preserve"> </w:t>
      </w:r>
      <w:r w:rsidR="00535FC9" w:rsidRPr="0080620A">
        <w:t>owing</w:t>
      </w:r>
      <w:r w:rsidR="00B1107F" w:rsidRPr="0080620A">
        <w:t xml:space="preserve"> to Convention measures, as reported by </w:t>
      </w:r>
      <w:r w:rsidR="00EA5C32" w:rsidRPr="0080620A">
        <w:t>p</w:t>
      </w:r>
      <w:r w:rsidR="00B1107F" w:rsidRPr="0080620A">
        <w:t xml:space="preserve">arties under the Convention. </w:t>
      </w:r>
      <w:r w:rsidR="0079131D" w:rsidRPr="0080620A">
        <w:t>It is suggested that</w:t>
      </w:r>
      <w:r w:rsidR="00B1107F" w:rsidRPr="0080620A">
        <w:t xml:space="preserve"> these data </w:t>
      </w:r>
      <w:r w:rsidR="0079131D" w:rsidRPr="0080620A">
        <w:t xml:space="preserve">be supplemented </w:t>
      </w:r>
      <w:r w:rsidR="00B1107F" w:rsidRPr="0080620A">
        <w:t xml:space="preserve">with context provided by comprehensive estimates of global mercury supply, demand, emissions and releases.  </w:t>
      </w:r>
    </w:p>
    <w:p w14:paraId="7475B75E" w14:textId="66E1D9CB" w:rsidR="00B1107F" w:rsidRPr="0080620A" w:rsidRDefault="00B1107F" w:rsidP="00A00B9F">
      <w:pPr>
        <w:pStyle w:val="Normalnumber"/>
      </w:pPr>
      <w:r w:rsidRPr="0080620A">
        <w:t>T</w:t>
      </w:r>
      <w:r w:rsidR="000F6B31" w:rsidRPr="0080620A">
        <w:t>he t</w:t>
      </w:r>
      <w:r w:rsidRPr="0080620A">
        <w:t xml:space="preserve">hird </w:t>
      </w:r>
      <w:r w:rsidR="00EA5C32" w:rsidRPr="0080620A">
        <w:t>p</w:t>
      </w:r>
      <w:r w:rsidRPr="0080620A">
        <w:t xml:space="preserve">olicy </w:t>
      </w:r>
      <w:r w:rsidR="00EA5C32" w:rsidRPr="0080620A">
        <w:t>q</w:t>
      </w:r>
      <w:r w:rsidRPr="0080620A">
        <w:t>uestion</w:t>
      </w:r>
      <w:r w:rsidR="000F6B31" w:rsidRPr="0080620A">
        <w:t xml:space="preserve"> is</w:t>
      </w:r>
      <w:r w:rsidRPr="0080620A">
        <w:t xml:space="preserve">: Have these changes resulted in changes in levels of mercury in the environment, </w:t>
      </w:r>
      <w:r w:rsidR="00472C6F" w:rsidRPr="0080620A">
        <w:t>biotic media and vulnerable populations</w:t>
      </w:r>
      <w:r w:rsidRPr="0080620A">
        <w:t xml:space="preserve"> </w:t>
      </w:r>
      <w:r w:rsidR="00C42482" w:rsidRPr="0080620A">
        <w:t xml:space="preserve">that can be </w:t>
      </w:r>
      <w:r w:rsidRPr="0080620A">
        <w:t>attribut</w:t>
      </w:r>
      <w:r w:rsidR="00C42482" w:rsidRPr="0080620A">
        <w:t>ed</w:t>
      </w:r>
      <w:r w:rsidRPr="0080620A">
        <w:t xml:space="preserve"> to the </w:t>
      </w:r>
      <w:r w:rsidR="006A10B9" w:rsidRPr="0080620A">
        <w:t xml:space="preserve">Minamata </w:t>
      </w:r>
      <w:r w:rsidRPr="0080620A">
        <w:t xml:space="preserve">Convention? Article 22 of the Convention </w:t>
      </w:r>
      <w:r w:rsidR="000F6B31" w:rsidRPr="0080620A">
        <w:t xml:space="preserve">indicates </w:t>
      </w:r>
      <w:r w:rsidRPr="0080620A">
        <w:t xml:space="preserve">that monitoring data on “the presence and movement of mercury and mercury compounds in the environment as well as trends in levels of mercury and mercury compounds observed in biotic media and vulnerable populations” should be used in the effectiveness evaluation. Attributing changes in human and environmental levels of mercury to Convention measures is challenging, but possible. Past and present emissions from human activities combine with natural sources and other factors affecting mercury cycling, such as atmospheric and ecosystem characteristics, which </w:t>
      </w:r>
      <w:r w:rsidR="0079131D" w:rsidRPr="0080620A">
        <w:t xml:space="preserve">can </w:t>
      </w:r>
      <w:r w:rsidRPr="0080620A">
        <w:t>evolve</w:t>
      </w:r>
      <w:r w:rsidR="0079131D" w:rsidRPr="0080620A">
        <w:t xml:space="preserve"> (e.g.,</w:t>
      </w:r>
      <w:r w:rsidRPr="0080620A">
        <w:t xml:space="preserve"> </w:t>
      </w:r>
      <w:r w:rsidR="0079131D" w:rsidRPr="0080620A">
        <w:t>through</w:t>
      </w:r>
      <w:r w:rsidRPr="0080620A">
        <w:t xml:space="preserve"> climate change</w:t>
      </w:r>
      <w:r w:rsidR="0079131D" w:rsidRPr="0080620A">
        <w:t>)</w:t>
      </w:r>
      <w:r w:rsidRPr="0080620A">
        <w:t xml:space="preserve">. The framework outlines how global mercury measurements can be used to assist in the assessment of how successful </w:t>
      </w:r>
      <w:r w:rsidR="00460F09" w:rsidRPr="0080620A">
        <w:t xml:space="preserve">actions to </w:t>
      </w:r>
      <w:r w:rsidRPr="0080620A">
        <w:t>implement the Convention have been.</w:t>
      </w:r>
    </w:p>
    <w:p w14:paraId="592A8D8C" w14:textId="1C01797E" w:rsidR="00B1107F" w:rsidRPr="0080620A" w:rsidRDefault="00B1107F" w:rsidP="00A00B9F">
      <w:pPr>
        <w:pStyle w:val="Normalnumber"/>
      </w:pPr>
      <w:r w:rsidRPr="0080620A">
        <w:t>Th</w:t>
      </w:r>
      <w:r w:rsidR="00D315B8" w:rsidRPr="0080620A">
        <w:t>e</w:t>
      </w:r>
      <w:r w:rsidRPr="0080620A">
        <w:t xml:space="preserve"> complex system </w:t>
      </w:r>
      <w:r w:rsidR="00D315B8" w:rsidRPr="0080620A">
        <w:t xml:space="preserve">of global mercury measurements generates </w:t>
      </w:r>
      <w:r w:rsidRPr="0080620A">
        <w:t xml:space="preserve">observed levels of mercury in the environment, </w:t>
      </w:r>
      <w:r w:rsidR="001728D4" w:rsidRPr="0080620A">
        <w:t>biotic media and vulnerable populations</w:t>
      </w:r>
      <w:r w:rsidRPr="0080620A">
        <w:t xml:space="preserve">. </w:t>
      </w:r>
      <w:r w:rsidR="00D315B8" w:rsidRPr="0080620A">
        <w:t>T</w:t>
      </w:r>
      <w:r w:rsidR="0060377A" w:rsidRPr="0080620A">
        <w:t xml:space="preserve">he </w:t>
      </w:r>
      <w:r w:rsidRPr="0080620A">
        <w:t xml:space="preserve">scientific knowledge </w:t>
      </w:r>
      <w:r w:rsidR="0060377A" w:rsidRPr="0080620A">
        <w:t xml:space="preserve">required </w:t>
      </w:r>
      <w:r w:rsidRPr="0080620A">
        <w:t>to directly link</w:t>
      </w:r>
      <w:r w:rsidR="00D315B8" w:rsidRPr="0080620A">
        <w:t xml:space="preserve"> the observed levels of mercury to the</w:t>
      </w:r>
      <w:r w:rsidR="00C42482" w:rsidRPr="0080620A">
        <w:t>ir</w:t>
      </w:r>
      <w:r w:rsidR="00D315B8" w:rsidRPr="0080620A">
        <w:t xml:space="preserve"> </w:t>
      </w:r>
      <w:r w:rsidRPr="0080620A">
        <w:t xml:space="preserve">sources </w:t>
      </w:r>
      <w:r w:rsidR="0060377A" w:rsidRPr="0080620A">
        <w:t>is still developing</w:t>
      </w:r>
      <w:r w:rsidR="007D60FA">
        <w:t>. I</w:t>
      </w:r>
      <w:r w:rsidRPr="0080620A">
        <w:t>ntegrated model</w:t>
      </w:r>
      <w:r w:rsidR="0060377A" w:rsidRPr="0080620A">
        <w:t>s</w:t>
      </w:r>
      <w:r w:rsidRPr="0080620A">
        <w:t xml:space="preserve"> are </w:t>
      </w:r>
      <w:r w:rsidR="00D315B8" w:rsidRPr="0080620A">
        <w:t xml:space="preserve">therefore </w:t>
      </w:r>
      <w:r w:rsidRPr="0080620A">
        <w:t xml:space="preserve">needed to estimate how changes </w:t>
      </w:r>
      <w:r w:rsidR="0060377A" w:rsidRPr="0080620A">
        <w:t xml:space="preserve">in </w:t>
      </w:r>
      <w:r w:rsidRPr="0080620A">
        <w:t xml:space="preserve">emissions and releases from </w:t>
      </w:r>
      <w:r w:rsidR="00D315B8" w:rsidRPr="0080620A">
        <w:t xml:space="preserve">the </w:t>
      </w:r>
      <w:r w:rsidRPr="0080620A">
        <w:t xml:space="preserve">sources covered by the Convention contribute to changes in </w:t>
      </w:r>
      <w:r w:rsidR="00D315B8" w:rsidRPr="0080620A">
        <w:t>the levels observed in these receptors</w:t>
      </w:r>
      <w:r w:rsidRPr="0080620A">
        <w:t xml:space="preserve">. The ongoing development and validation of such models </w:t>
      </w:r>
      <w:r w:rsidR="0079131D" w:rsidRPr="0080620A">
        <w:t>requires</w:t>
      </w:r>
      <w:r w:rsidRPr="0080620A">
        <w:t xml:space="preserve"> </w:t>
      </w:r>
      <w:r w:rsidR="0079131D" w:rsidRPr="0080620A">
        <w:t xml:space="preserve">both </w:t>
      </w:r>
      <w:r w:rsidRPr="0080620A">
        <w:t xml:space="preserve">monitoring data </w:t>
      </w:r>
      <w:r w:rsidR="0079131D" w:rsidRPr="0080620A">
        <w:t>and</w:t>
      </w:r>
      <w:r w:rsidRPr="0080620A">
        <w:t xml:space="preserve"> scientific knowledge of environmental processes</w:t>
      </w:r>
      <w:r w:rsidR="00F16344">
        <w:t xml:space="preserve"> and</w:t>
      </w:r>
      <w:r w:rsidRPr="0080620A">
        <w:t xml:space="preserve"> will assist in attributing changes in </w:t>
      </w:r>
      <w:r w:rsidR="00E82E21" w:rsidRPr="0080620A">
        <w:t xml:space="preserve">mercury levels in </w:t>
      </w:r>
      <w:r w:rsidRPr="0080620A">
        <w:t>the environment to change in mercury emissions and releases.</w:t>
      </w:r>
    </w:p>
    <w:bookmarkEnd w:id="8"/>
    <w:p w14:paraId="1C9EEFDD" w14:textId="6A110DB2" w:rsidR="00B1107F" w:rsidRPr="0080620A" w:rsidRDefault="00587B40" w:rsidP="00A00B9F">
      <w:pPr>
        <w:pStyle w:val="Normalnumber"/>
      </w:pPr>
      <w:r w:rsidRPr="0080620A">
        <w:t>The f</w:t>
      </w:r>
      <w:r w:rsidR="00B1107F" w:rsidRPr="0080620A">
        <w:t xml:space="preserve">ourth </w:t>
      </w:r>
      <w:r w:rsidR="006A10B9" w:rsidRPr="0080620A">
        <w:t>p</w:t>
      </w:r>
      <w:r w:rsidR="00B1107F" w:rsidRPr="0080620A">
        <w:t xml:space="preserve">olicy </w:t>
      </w:r>
      <w:r w:rsidR="006A10B9" w:rsidRPr="0080620A">
        <w:t>q</w:t>
      </w:r>
      <w:r w:rsidR="00B1107F" w:rsidRPr="0080620A">
        <w:t>uestion</w:t>
      </w:r>
      <w:r w:rsidRPr="0080620A">
        <w:t xml:space="preserve"> is</w:t>
      </w:r>
      <w:r w:rsidR="00B1107F" w:rsidRPr="0080620A">
        <w:t xml:space="preserve">: To what extent are existing measures under the Minamata Convention meeting its objective of protecting human health and the environment from mercury? The response to the third policy question will </w:t>
      </w:r>
      <w:r w:rsidRPr="0080620A">
        <w:t>indicate</w:t>
      </w:r>
      <w:r w:rsidR="00B1107F" w:rsidRPr="0080620A">
        <w:t xml:space="preserve"> </w:t>
      </w:r>
      <w:r w:rsidRPr="0080620A">
        <w:t>the</w:t>
      </w:r>
      <w:r w:rsidR="00B1107F" w:rsidRPr="0080620A">
        <w:t xml:space="preserve"> extent </w:t>
      </w:r>
      <w:r w:rsidRPr="0080620A">
        <w:t xml:space="preserve">to which </w:t>
      </w:r>
      <w:r w:rsidR="00B1107F" w:rsidRPr="0080620A">
        <w:t xml:space="preserve">the Convention is affecting levels </w:t>
      </w:r>
      <w:r w:rsidR="00E82E21" w:rsidRPr="0080620A">
        <w:t xml:space="preserve">of </w:t>
      </w:r>
      <w:r w:rsidR="00B1107F" w:rsidRPr="0080620A">
        <w:t xml:space="preserve">and trends </w:t>
      </w:r>
      <w:r w:rsidR="00E82E21" w:rsidRPr="0080620A">
        <w:t>in</w:t>
      </w:r>
      <w:r w:rsidR="00B1107F" w:rsidRPr="0080620A">
        <w:t xml:space="preserve"> mercury in the environment, </w:t>
      </w:r>
      <w:r w:rsidR="001728D4" w:rsidRPr="0080620A">
        <w:t>biotic media and vulnerable populations</w:t>
      </w:r>
      <w:r w:rsidR="00B1107F" w:rsidRPr="0080620A">
        <w:t xml:space="preserve">. The fourth policy question </w:t>
      </w:r>
      <w:r w:rsidR="0079131D" w:rsidRPr="0080620A">
        <w:t>considers</w:t>
      </w:r>
      <w:r w:rsidR="00B1107F" w:rsidRPr="0080620A">
        <w:t xml:space="preserve"> the extent to which the measures under the Convention are meeting </w:t>
      </w:r>
      <w:r w:rsidRPr="0080620A">
        <w:t xml:space="preserve">the </w:t>
      </w:r>
      <w:r w:rsidR="00B1107F" w:rsidRPr="0080620A">
        <w:t xml:space="preserve">objective </w:t>
      </w:r>
      <w:r w:rsidRPr="0080620A">
        <w:t xml:space="preserve">of </w:t>
      </w:r>
      <w:r w:rsidR="00B1107F" w:rsidRPr="0080620A">
        <w:t>protect</w:t>
      </w:r>
      <w:r w:rsidRPr="0080620A">
        <w:t>ing</w:t>
      </w:r>
      <w:r w:rsidR="00B1107F" w:rsidRPr="0080620A">
        <w:t xml:space="preserve"> human health and the environment from mercury. Is the Convention delivering</w:t>
      </w:r>
      <w:r w:rsidR="00B53186" w:rsidRPr="0080620A">
        <w:t xml:space="preserve"> on its full potential to</w:t>
      </w:r>
      <w:r w:rsidR="00B1107F" w:rsidRPr="0080620A">
        <w:t xml:space="preserve"> reduce </w:t>
      </w:r>
      <w:r w:rsidR="0079131D" w:rsidRPr="0080620A">
        <w:t xml:space="preserve">mercury </w:t>
      </w:r>
      <w:r w:rsidR="00B1107F" w:rsidRPr="0080620A">
        <w:t>supply, use, emissions and releases? If not, why</w:t>
      </w:r>
      <w:r w:rsidR="0079131D" w:rsidRPr="0080620A">
        <w:t xml:space="preserve"> not</w:t>
      </w:r>
      <w:r w:rsidR="00B1107F" w:rsidRPr="0080620A">
        <w:t>? Would delivering at full potential prevent the majority of anthropogenic emissions and releases of mercury</w:t>
      </w:r>
      <w:r w:rsidR="00B53186" w:rsidRPr="0080620A">
        <w:t>, or only a small portion</w:t>
      </w:r>
      <w:r w:rsidR="00B1107F" w:rsidRPr="0080620A">
        <w:t xml:space="preserve">? Furthermore, are there measures </w:t>
      </w:r>
      <w:r w:rsidR="0079131D" w:rsidRPr="0080620A">
        <w:t xml:space="preserve">in place </w:t>
      </w:r>
      <w:r w:rsidR="00F85D64" w:rsidRPr="0080620A">
        <w:t>to manage the</w:t>
      </w:r>
      <w:r w:rsidR="00B1107F" w:rsidRPr="0080620A">
        <w:t xml:space="preserve"> residual risk in addressing the exposure of people to mercury? </w:t>
      </w:r>
    </w:p>
    <w:p w14:paraId="6AE8DDCA" w14:textId="08089E38" w:rsidR="00B1107F" w:rsidRPr="0080620A" w:rsidRDefault="00B66A03" w:rsidP="00B66A03">
      <w:pPr>
        <w:pStyle w:val="CH2"/>
      </w:pPr>
      <w:r w:rsidRPr="0080620A">
        <w:tab/>
        <w:t>B.</w:t>
      </w:r>
      <w:r w:rsidRPr="0080620A">
        <w:tab/>
      </w:r>
      <w:r w:rsidR="00B1107F" w:rsidRPr="0080620A">
        <w:t>Expert-led synthesis for consideration by the Effectiveness Evaluation Committee</w:t>
      </w:r>
    </w:p>
    <w:p w14:paraId="02918752" w14:textId="2064E1CE" w:rsidR="00B1107F" w:rsidRPr="0080620A" w:rsidRDefault="00B1107F" w:rsidP="00A00B9F">
      <w:pPr>
        <w:pStyle w:val="Normalnumber"/>
      </w:pPr>
      <w:r w:rsidRPr="0080620A">
        <w:t>The proposed framework envisions the synthesis of information and knowledge in synthesis reports that provide a scientific and technical perspective on the first three policy questions articulated above</w:t>
      </w:r>
      <w:r w:rsidR="00557273" w:rsidRPr="0080620A">
        <w:t>,</w:t>
      </w:r>
      <w:r w:rsidRPr="0080620A">
        <w:t xml:space="preserve"> for consideration by the Effectiveness Evaluation Committee. As models and tools for attribution become available, an attribution report that provides a scientific and technical perspective on the four policy questions would also be produced. </w:t>
      </w:r>
      <w:r w:rsidR="008070CC" w:rsidRPr="0080620A">
        <w:t>The</w:t>
      </w:r>
      <w:r w:rsidRPr="0080620A">
        <w:t xml:space="preserve"> attribution report </w:t>
      </w:r>
      <w:r w:rsidR="008070CC" w:rsidRPr="0080620A">
        <w:t xml:space="preserve">would </w:t>
      </w:r>
      <w:r w:rsidRPr="0080620A">
        <w:t xml:space="preserve">interpret the </w:t>
      </w:r>
      <w:r w:rsidRPr="0080620A">
        <w:lastRenderedPageBreak/>
        <w:t xml:space="preserve">linkages between policy actions, emissions reductions and resulting mercury levels, using available data sources, modelling techniques, analytical tools drawn from natural and social sciences and other relevant knowledge. </w:t>
      </w:r>
    </w:p>
    <w:p w14:paraId="57A3DEFF" w14:textId="492BC490" w:rsidR="00B1107F" w:rsidRPr="0080620A" w:rsidRDefault="00557273" w:rsidP="00A00B9F">
      <w:pPr>
        <w:pStyle w:val="Normalnumber"/>
      </w:pPr>
      <w:r w:rsidRPr="0080620A">
        <w:t>S</w:t>
      </w:r>
      <w:r w:rsidR="00B1107F" w:rsidRPr="0080620A">
        <w:t xml:space="preserve">cience has not yet developed reliable </w:t>
      </w:r>
      <w:r w:rsidR="001728D4" w:rsidRPr="0080620A">
        <w:t xml:space="preserve">integrated </w:t>
      </w:r>
      <w:r w:rsidR="00B1107F" w:rsidRPr="0080620A">
        <w:t xml:space="preserve">models for forecasting long-term changes in mercury levels resulting from emissions reductions that </w:t>
      </w:r>
      <w:r w:rsidR="00556C20" w:rsidRPr="0080620A">
        <w:t xml:space="preserve">fully </w:t>
      </w:r>
      <w:r w:rsidR="00B1107F" w:rsidRPr="0080620A">
        <w:t xml:space="preserve">take into account the complexities of mercury in the environment. Pending the availability of suitable confirmed multi-media models, the </w:t>
      </w:r>
      <w:r w:rsidR="006A10B9" w:rsidRPr="0080620A">
        <w:t>a</w:t>
      </w:r>
      <w:r w:rsidR="00B1107F" w:rsidRPr="0080620A">
        <w:t xml:space="preserve">ttribution </w:t>
      </w:r>
      <w:r w:rsidR="006A10B9" w:rsidRPr="0080620A">
        <w:t>r</w:t>
      </w:r>
      <w:r w:rsidR="00B1107F" w:rsidRPr="0080620A">
        <w:t>eport may not be ready for the first effectiveness evaluation but</w:t>
      </w:r>
      <w:r w:rsidR="001728D4" w:rsidRPr="0080620A">
        <w:t xml:space="preserve"> </w:t>
      </w:r>
      <w:r w:rsidR="00B1107F" w:rsidRPr="0080620A">
        <w:t xml:space="preserve">will be for subsequent ones. Therefore, </w:t>
      </w:r>
      <w:r w:rsidR="006A10B9" w:rsidRPr="0080620A">
        <w:t xml:space="preserve">it should be </w:t>
      </w:r>
      <w:r w:rsidR="00B1107F" w:rsidRPr="0080620A">
        <w:t>note</w:t>
      </w:r>
      <w:r w:rsidR="006A10B9" w:rsidRPr="0080620A">
        <w:t>d</w:t>
      </w:r>
      <w:r w:rsidR="00B1107F" w:rsidRPr="0080620A">
        <w:t xml:space="preserve"> that earlier evaluations o</w:t>
      </w:r>
      <w:r w:rsidR="00D76C29" w:rsidRPr="0080620A">
        <w:t>f</w:t>
      </w:r>
      <w:r w:rsidR="00B1107F" w:rsidRPr="0080620A">
        <w:t xml:space="preserve"> the effectiveness of the Minamata Convention may have greater uncertainty than </w:t>
      </w:r>
      <w:r w:rsidR="00D76C29" w:rsidRPr="0080620A">
        <w:t>those performed once</w:t>
      </w:r>
      <w:r w:rsidR="00B1107F" w:rsidRPr="0080620A">
        <w:t xml:space="preserve"> improvements </w:t>
      </w:r>
      <w:r w:rsidR="001C4163" w:rsidRPr="0080620A">
        <w:t>have been</w:t>
      </w:r>
      <w:r w:rsidR="00D76C29" w:rsidRPr="0080620A">
        <w:t xml:space="preserve"> made </w:t>
      </w:r>
      <w:r w:rsidR="00B1107F" w:rsidRPr="0080620A">
        <w:t>to such forecasting models.</w:t>
      </w:r>
    </w:p>
    <w:p w14:paraId="44AEBBA5" w14:textId="2F20A992" w:rsidR="00B1107F" w:rsidRPr="0080620A" w:rsidRDefault="00B1107F" w:rsidP="00A00B9F">
      <w:pPr>
        <w:pStyle w:val="Normalnumber"/>
      </w:pPr>
      <w:r w:rsidRPr="0080620A">
        <w:t>The Effectiveness Evaluation Committee will utili</w:t>
      </w:r>
      <w:r w:rsidR="006A10B9" w:rsidRPr="0080620A">
        <w:t>z</w:t>
      </w:r>
      <w:r w:rsidRPr="0080620A">
        <w:t>e the synthesis reports (and</w:t>
      </w:r>
      <w:r w:rsidR="001C4163" w:rsidRPr="0080620A">
        <w:t>,</w:t>
      </w:r>
      <w:r w:rsidRPr="0080620A">
        <w:t xml:space="preserve"> when available</w:t>
      </w:r>
      <w:r w:rsidR="001C4163" w:rsidRPr="0080620A">
        <w:t>,</w:t>
      </w:r>
      <w:r w:rsidRPr="0080620A">
        <w:t xml:space="preserve"> the </w:t>
      </w:r>
      <w:r w:rsidR="001728D4" w:rsidRPr="0080620A">
        <w:t>a</w:t>
      </w:r>
      <w:r w:rsidRPr="0080620A">
        <w:t xml:space="preserve">ttribution </w:t>
      </w:r>
      <w:r w:rsidR="001728D4" w:rsidRPr="0080620A">
        <w:t>r</w:t>
      </w:r>
      <w:r w:rsidRPr="0080620A">
        <w:t xml:space="preserve">eport) to respond to the four policy questions and </w:t>
      </w:r>
      <w:r w:rsidR="001C4163" w:rsidRPr="0080620A">
        <w:t xml:space="preserve">will </w:t>
      </w:r>
      <w:r w:rsidRPr="0080620A">
        <w:t xml:space="preserve">use an integrative approach to prepare its findings on the effectiveness of the Convention for presentation to the Conference of the Parties. </w:t>
      </w:r>
    </w:p>
    <w:p w14:paraId="7E618F11" w14:textId="0EB4110E" w:rsidR="00B1107F" w:rsidRPr="0080620A" w:rsidRDefault="00B1107F" w:rsidP="00A00B9F">
      <w:pPr>
        <w:pStyle w:val="Normalnumber"/>
      </w:pPr>
      <w:r w:rsidRPr="0080620A">
        <w:t>Table 1 gives an overview of the effectiveness evaluation framework</w:t>
      </w:r>
      <w:r w:rsidR="001C4163" w:rsidRPr="0080620A">
        <w:t>,</w:t>
      </w:r>
      <w:r w:rsidRPr="0080620A">
        <w:t xml:space="preserve"> from the </w:t>
      </w:r>
      <w:r w:rsidR="00062378">
        <w:t>above</w:t>
      </w:r>
      <w:r w:rsidR="00062378">
        <w:noBreakHyphen/>
        <w:t>mentioned</w:t>
      </w:r>
      <w:r w:rsidRPr="0080620A">
        <w:t xml:space="preserve"> four policy questions to </w:t>
      </w:r>
      <w:r w:rsidR="00BC560C" w:rsidRPr="0080620A">
        <w:t xml:space="preserve">the </w:t>
      </w:r>
      <w:r w:rsidRPr="0080620A">
        <w:t>indicators proposed for evaluation</w:t>
      </w:r>
      <w:r w:rsidR="001C4163" w:rsidRPr="0080620A">
        <w:t>,</w:t>
      </w:r>
      <w:r w:rsidRPr="0080620A">
        <w:t xml:space="preserve"> the required reports and the attribution report that will be prepared for the </w:t>
      </w:r>
      <w:r w:rsidR="001C4163" w:rsidRPr="0080620A">
        <w:t xml:space="preserve">consideration of the </w:t>
      </w:r>
      <w:r w:rsidRPr="0080620A">
        <w:t xml:space="preserve">Effectiveness Evaluation Committee and </w:t>
      </w:r>
      <w:r w:rsidR="001C4163" w:rsidRPr="0080620A">
        <w:t xml:space="preserve">its </w:t>
      </w:r>
      <w:r w:rsidRPr="0080620A">
        <w:t xml:space="preserve">report to the Conference of the Parties. The constituent elements of the framework are explained in detail in </w:t>
      </w:r>
      <w:r w:rsidR="006A10B9" w:rsidRPr="0080620A">
        <w:t>s</w:t>
      </w:r>
      <w:r w:rsidRPr="0080620A">
        <w:t xml:space="preserve">ection II.  </w:t>
      </w:r>
    </w:p>
    <w:p w14:paraId="501BE9DF" w14:textId="50000B02" w:rsidR="00952BA1" w:rsidRPr="0080620A" w:rsidRDefault="00952BA1" w:rsidP="00952BA1">
      <w:pPr>
        <w:pStyle w:val="Normalnumber"/>
        <w:numPr>
          <w:ilvl w:val="0"/>
          <w:numId w:val="0"/>
        </w:numPr>
        <w:ind w:left="1247"/>
      </w:pPr>
    </w:p>
    <w:p w14:paraId="38F61903" w14:textId="77777777" w:rsidR="00952BA1" w:rsidRPr="0080620A" w:rsidRDefault="00952BA1" w:rsidP="00952BA1">
      <w:pPr>
        <w:pStyle w:val="Normalnumber"/>
        <w:numPr>
          <w:ilvl w:val="0"/>
          <w:numId w:val="0"/>
        </w:numPr>
        <w:ind w:left="1247"/>
        <w:sectPr w:rsidR="00952BA1" w:rsidRPr="0080620A" w:rsidSect="000B0C89">
          <w:headerReference w:type="first" r:id="rId16"/>
          <w:footerReference w:type="first" r:id="rId17"/>
          <w:pgSz w:w="11907" w:h="16840" w:code="9"/>
          <w:pgMar w:top="907" w:right="992" w:bottom="1418" w:left="1418" w:header="539" w:footer="975" w:gutter="0"/>
          <w:cols w:space="708"/>
          <w:titlePg/>
          <w:docGrid w:linePitch="360"/>
        </w:sectPr>
      </w:pPr>
    </w:p>
    <w:p w14:paraId="2CB32E1C" w14:textId="4E4B5C74" w:rsidR="00952BA1" w:rsidRPr="0080620A" w:rsidRDefault="00952BA1" w:rsidP="001B0AA1">
      <w:pPr>
        <w:pStyle w:val="Titletable"/>
        <w:ind w:left="0"/>
      </w:pPr>
      <w:r w:rsidRPr="001B0AA1">
        <w:rPr>
          <w:b w:val="0"/>
        </w:rPr>
        <w:lastRenderedPageBreak/>
        <w:t xml:space="preserve">Table </w:t>
      </w:r>
      <w:r w:rsidRPr="001B0AA1">
        <w:rPr>
          <w:b w:val="0"/>
        </w:rPr>
        <w:fldChar w:fldCharType="begin"/>
      </w:r>
      <w:r w:rsidRPr="001B0AA1">
        <w:rPr>
          <w:b w:val="0"/>
        </w:rPr>
        <w:instrText xml:space="preserve"> SEQ Table \* ARABIC </w:instrText>
      </w:r>
      <w:r w:rsidRPr="001B0AA1">
        <w:rPr>
          <w:b w:val="0"/>
        </w:rPr>
        <w:fldChar w:fldCharType="separate"/>
      </w:r>
      <w:r w:rsidR="00A929BE">
        <w:rPr>
          <w:b w:val="0"/>
          <w:noProof/>
        </w:rPr>
        <w:t>1</w:t>
      </w:r>
      <w:r w:rsidRPr="001B0AA1">
        <w:rPr>
          <w:b w:val="0"/>
        </w:rPr>
        <w:fldChar w:fldCharType="end"/>
      </w:r>
      <w:r w:rsidRPr="001B0AA1">
        <w:rPr>
          <w:b w:val="0"/>
        </w:rPr>
        <w:t xml:space="preserve"> </w:t>
      </w:r>
      <w:r w:rsidR="001B0AA1" w:rsidRPr="001B0AA1">
        <w:rPr>
          <w:b w:val="0"/>
        </w:rPr>
        <w:br/>
      </w:r>
      <w:r w:rsidR="00556C20" w:rsidRPr="0080620A">
        <w:t>E</w:t>
      </w:r>
      <w:r w:rsidRPr="0080620A">
        <w:t xml:space="preserve">ffectiveness evaluation framework, from </w:t>
      </w:r>
      <w:r w:rsidR="00BC560C" w:rsidRPr="0080620A">
        <w:t xml:space="preserve">the </w:t>
      </w:r>
      <w:r w:rsidRPr="0080620A">
        <w:t xml:space="preserve">policy questions </w:t>
      </w:r>
      <w:r w:rsidR="00BC560C" w:rsidRPr="0080620A">
        <w:t>and</w:t>
      </w:r>
      <w:r w:rsidRPr="0080620A">
        <w:t xml:space="preserve"> indicators </w:t>
      </w:r>
      <w:r w:rsidR="00BC560C" w:rsidRPr="0080620A">
        <w:t>to the</w:t>
      </w:r>
      <w:r w:rsidRPr="0080620A">
        <w:t xml:space="preserve"> required reports for the </w:t>
      </w:r>
      <w:r w:rsidR="00092A5D">
        <w:t>E</w:t>
      </w:r>
      <w:r w:rsidRPr="0080620A">
        <w:t xml:space="preserve">ffectiveness </w:t>
      </w:r>
      <w:r w:rsidR="00092A5D">
        <w:t>E</w:t>
      </w:r>
      <w:r w:rsidRPr="0080620A">
        <w:t xml:space="preserve">valuation </w:t>
      </w:r>
      <w:r w:rsidR="00092A5D">
        <w:t>C</w:t>
      </w:r>
      <w:r w:rsidRPr="0080620A">
        <w:t>ommittee</w:t>
      </w:r>
    </w:p>
    <w:tbl>
      <w:tblPr>
        <w:tblStyle w:val="TableGrid"/>
        <w:tblW w:w="5000" w:type="pct"/>
        <w:jc w:val="right"/>
        <w:tblLayout w:type="fixed"/>
        <w:tblLook w:val="04A0" w:firstRow="1" w:lastRow="0" w:firstColumn="1" w:lastColumn="0" w:noHBand="0" w:noVBand="1"/>
      </w:tblPr>
      <w:tblGrid>
        <w:gridCol w:w="1456"/>
        <w:gridCol w:w="876"/>
        <w:gridCol w:w="2041"/>
        <w:gridCol w:w="2918"/>
        <w:gridCol w:w="731"/>
        <w:gridCol w:w="2189"/>
        <w:gridCol w:w="3209"/>
      </w:tblGrid>
      <w:tr w:rsidR="00B1107F" w:rsidRPr="00C23075" w14:paraId="687CF93D" w14:textId="77777777" w:rsidTr="001B5022">
        <w:trPr>
          <w:trHeight w:val="57"/>
          <w:jc w:val="right"/>
        </w:trPr>
        <w:tc>
          <w:tcPr>
            <w:tcW w:w="1405" w:type="dxa"/>
            <w:shd w:val="clear" w:color="auto" w:fill="B8CCE4" w:themeFill="accent1" w:themeFillTint="66"/>
          </w:tcPr>
          <w:p w14:paraId="795C660C" w14:textId="15C4EE11" w:rsidR="00B1107F" w:rsidRPr="00C23075" w:rsidRDefault="00B1107F" w:rsidP="00EE7D24">
            <w:pPr>
              <w:rPr>
                <w:b/>
                <w:sz w:val="18"/>
                <w:szCs w:val="18"/>
              </w:rPr>
            </w:pPr>
            <w:r w:rsidRPr="00C23075">
              <w:rPr>
                <w:b/>
                <w:sz w:val="18"/>
                <w:szCs w:val="18"/>
              </w:rPr>
              <w:t xml:space="preserve">Policy </w:t>
            </w:r>
            <w:r w:rsidR="00250709" w:rsidRPr="00C23075">
              <w:rPr>
                <w:b/>
                <w:sz w:val="18"/>
                <w:szCs w:val="18"/>
              </w:rPr>
              <w:t>q</w:t>
            </w:r>
            <w:r w:rsidRPr="00C23075">
              <w:rPr>
                <w:b/>
                <w:sz w:val="18"/>
                <w:szCs w:val="18"/>
              </w:rPr>
              <w:t>uestions</w:t>
            </w:r>
          </w:p>
        </w:tc>
        <w:tc>
          <w:tcPr>
            <w:tcW w:w="2815" w:type="dxa"/>
            <w:gridSpan w:val="2"/>
            <w:shd w:val="clear" w:color="auto" w:fill="FFFFFF" w:themeFill="background1"/>
          </w:tcPr>
          <w:p w14:paraId="68C3C461" w14:textId="4ECB7561" w:rsidR="00B1107F" w:rsidRPr="00C23075" w:rsidRDefault="00D44B4A" w:rsidP="00EE7D24">
            <w:pPr>
              <w:rPr>
                <w:bCs/>
                <w:sz w:val="18"/>
                <w:szCs w:val="18"/>
              </w:rPr>
            </w:pPr>
            <w:r w:rsidRPr="00C23075">
              <w:rPr>
                <w:bCs/>
                <w:sz w:val="18"/>
                <w:szCs w:val="18"/>
              </w:rPr>
              <w:t xml:space="preserve">1. </w:t>
            </w:r>
            <w:r w:rsidR="00B1107F" w:rsidRPr="00C23075">
              <w:rPr>
                <w:bCs/>
                <w:sz w:val="18"/>
                <w:szCs w:val="18"/>
              </w:rPr>
              <w:t xml:space="preserve">Have the </w:t>
            </w:r>
            <w:r w:rsidR="006A10B9" w:rsidRPr="00C23075">
              <w:rPr>
                <w:bCs/>
                <w:sz w:val="18"/>
                <w:szCs w:val="18"/>
              </w:rPr>
              <w:t>p</w:t>
            </w:r>
            <w:r w:rsidR="00B1107F" w:rsidRPr="00C23075">
              <w:rPr>
                <w:bCs/>
                <w:sz w:val="18"/>
                <w:szCs w:val="18"/>
              </w:rPr>
              <w:t>arties taken actions to implement the Minamata Convention?</w:t>
            </w:r>
          </w:p>
        </w:tc>
        <w:tc>
          <w:tcPr>
            <w:tcW w:w="2816" w:type="dxa"/>
            <w:tcBorders>
              <w:right w:val="single" w:sz="4" w:space="0" w:color="auto"/>
            </w:tcBorders>
            <w:shd w:val="clear" w:color="auto" w:fill="FFFFFF" w:themeFill="background1"/>
          </w:tcPr>
          <w:p w14:paraId="3951BE57" w14:textId="22F1C7D1" w:rsidR="00B1107F" w:rsidRPr="00C23075" w:rsidRDefault="00D44B4A" w:rsidP="00EE7D24">
            <w:pPr>
              <w:rPr>
                <w:bCs/>
                <w:sz w:val="18"/>
                <w:szCs w:val="18"/>
              </w:rPr>
            </w:pPr>
            <w:r w:rsidRPr="00C23075">
              <w:rPr>
                <w:bCs/>
                <w:sz w:val="18"/>
                <w:szCs w:val="18"/>
              </w:rPr>
              <w:t xml:space="preserve">2. </w:t>
            </w:r>
            <w:r w:rsidR="00B1107F" w:rsidRPr="00C23075">
              <w:rPr>
                <w:bCs/>
                <w:sz w:val="18"/>
                <w:szCs w:val="18"/>
              </w:rPr>
              <w:t xml:space="preserve">Have these actions resulted in changes in supply, use, emissions and releases of mercury </w:t>
            </w:r>
            <w:r w:rsidR="00556C20" w:rsidRPr="00C23075">
              <w:rPr>
                <w:bCs/>
                <w:sz w:val="18"/>
                <w:szCs w:val="18"/>
              </w:rPr>
              <w:t>in</w:t>
            </w:r>
            <w:r w:rsidR="00B1107F" w:rsidRPr="00C23075">
              <w:rPr>
                <w:bCs/>
                <w:sz w:val="18"/>
                <w:szCs w:val="18"/>
              </w:rPr>
              <w:t>to the environment?</w:t>
            </w:r>
          </w:p>
        </w:tc>
        <w:tc>
          <w:tcPr>
            <w:tcW w:w="2817" w:type="dxa"/>
            <w:gridSpan w:val="2"/>
            <w:tcBorders>
              <w:left w:val="single" w:sz="4" w:space="0" w:color="auto"/>
            </w:tcBorders>
            <w:shd w:val="clear" w:color="auto" w:fill="FFFFFF" w:themeFill="background1"/>
          </w:tcPr>
          <w:p w14:paraId="0FFFE82D" w14:textId="2D0CEBF5" w:rsidR="00B1107F" w:rsidRPr="00C23075" w:rsidRDefault="00D44B4A" w:rsidP="00EE7D24">
            <w:pPr>
              <w:rPr>
                <w:bCs/>
                <w:sz w:val="18"/>
                <w:szCs w:val="18"/>
              </w:rPr>
            </w:pPr>
            <w:r w:rsidRPr="00C23075">
              <w:rPr>
                <w:bCs/>
                <w:sz w:val="18"/>
                <w:szCs w:val="18"/>
              </w:rPr>
              <w:t xml:space="preserve">3. </w:t>
            </w:r>
            <w:r w:rsidR="00B1107F" w:rsidRPr="00C23075">
              <w:rPr>
                <w:bCs/>
                <w:sz w:val="18"/>
                <w:szCs w:val="18"/>
              </w:rPr>
              <w:t>Have these changes resulted in changes in levels of mercury in the environment, biot</w:t>
            </w:r>
            <w:r w:rsidR="003C4FEC" w:rsidRPr="00C23075">
              <w:rPr>
                <w:bCs/>
                <w:sz w:val="18"/>
                <w:szCs w:val="18"/>
              </w:rPr>
              <w:t>ic media</w:t>
            </w:r>
            <w:r w:rsidR="00B1107F" w:rsidRPr="00C23075">
              <w:rPr>
                <w:bCs/>
                <w:sz w:val="18"/>
                <w:szCs w:val="18"/>
              </w:rPr>
              <w:t xml:space="preserve"> and </w:t>
            </w:r>
            <w:r w:rsidR="003C4FEC" w:rsidRPr="00C23075">
              <w:rPr>
                <w:bCs/>
                <w:sz w:val="18"/>
                <w:szCs w:val="18"/>
              </w:rPr>
              <w:t xml:space="preserve">vulnerable populations </w:t>
            </w:r>
            <w:r w:rsidR="00556C20" w:rsidRPr="00C23075">
              <w:rPr>
                <w:bCs/>
                <w:sz w:val="18"/>
                <w:szCs w:val="18"/>
              </w:rPr>
              <w:t xml:space="preserve">that can be </w:t>
            </w:r>
            <w:r w:rsidR="00B1107F" w:rsidRPr="00C23075">
              <w:rPr>
                <w:bCs/>
                <w:sz w:val="18"/>
                <w:szCs w:val="18"/>
              </w:rPr>
              <w:t>attribut</w:t>
            </w:r>
            <w:r w:rsidR="00556C20" w:rsidRPr="00C23075">
              <w:rPr>
                <w:bCs/>
                <w:sz w:val="18"/>
                <w:szCs w:val="18"/>
              </w:rPr>
              <w:t>ed</w:t>
            </w:r>
            <w:r w:rsidR="00B1107F" w:rsidRPr="00C23075">
              <w:rPr>
                <w:bCs/>
                <w:sz w:val="18"/>
                <w:szCs w:val="18"/>
              </w:rPr>
              <w:t xml:space="preserve"> to the </w:t>
            </w:r>
            <w:r w:rsidR="006A10B9" w:rsidRPr="00C23075">
              <w:rPr>
                <w:bCs/>
                <w:sz w:val="18"/>
                <w:szCs w:val="18"/>
              </w:rPr>
              <w:t xml:space="preserve">Minamata </w:t>
            </w:r>
            <w:r w:rsidR="00B1107F" w:rsidRPr="00C23075">
              <w:rPr>
                <w:bCs/>
                <w:sz w:val="18"/>
                <w:szCs w:val="18"/>
              </w:rPr>
              <w:t xml:space="preserve">Convention? </w:t>
            </w:r>
          </w:p>
        </w:tc>
        <w:tc>
          <w:tcPr>
            <w:tcW w:w="3097" w:type="dxa"/>
            <w:shd w:val="clear" w:color="auto" w:fill="auto"/>
          </w:tcPr>
          <w:p w14:paraId="677AAE48" w14:textId="331FA358" w:rsidR="00B1107F" w:rsidRPr="00C23075" w:rsidRDefault="00D44B4A" w:rsidP="00EE7D24">
            <w:pPr>
              <w:rPr>
                <w:bCs/>
                <w:sz w:val="18"/>
                <w:szCs w:val="18"/>
              </w:rPr>
            </w:pPr>
            <w:r w:rsidRPr="00C23075">
              <w:rPr>
                <w:bCs/>
                <w:sz w:val="18"/>
                <w:szCs w:val="18"/>
              </w:rPr>
              <w:t xml:space="preserve">4. </w:t>
            </w:r>
            <w:bookmarkStart w:id="9" w:name="_Hlk20927428"/>
            <w:r w:rsidR="00B1107F" w:rsidRPr="00C23075">
              <w:rPr>
                <w:bCs/>
                <w:sz w:val="18"/>
                <w:szCs w:val="18"/>
              </w:rPr>
              <w:t>To what extent are existing measures under the Minamata Convention meeting its objective of protecting human health and the environment from mercury?</w:t>
            </w:r>
            <w:bookmarkEnd w:id="9"/>
          </w:p>
        </w:tc>
      </w:tr>
      <w:tr w:rsidR="00B1107F" w:rsidRPr="00C23075" w14:paraId="41DC4C34" w14:textId="77777777" w:rsidTr="001B5022">
        <w:trPr>
          <w:trHeight w:val="57"/>
          <w:jc w:val="right"/>
        </w:trPr>
        <w:tc>
          <w:tcPr>
            <w:tcW w:w="1405" w:type="dxa"/>
            <w:shd w:val="clear" w:color="auto" w:fill="B8CCE4" w:themeFill="accent1" w:themeFillTint="66"/>
          </w:tcPr>
          <w:p w14:paraId="4DC0757F" w14:textId="62B1A2F9" w:rsidR="00B1107F" w:rsidRPr="00C23075" w:rsidRDefault="00B1107F" w:rsidP="00740F92">
            <w:pPr>
              <w:rPr>
                <w:i/>
                <w:iCs/>
                <w:sz w:val="18"/>
                <w:szCs w:val="18"/>
              </w:rPr>
            </w:pPr>
            <w:r w:rsidRPr="00C23075">
              <w:rPr>
                <w:b/>
                <w:bCs/>
                <w:sz w:val="18"/>
                <w:szCs w:val="18"/>
              </w:rPr>
              <w:t>Indicators</w:t>
            </w:r>
          </w:p>
        </w:tc>
        <w:tc>
          <w:tcPr>
            <w:tcW w:w="2815" w:type="dxa"/>
            <w:gridSpan w:val="2"/>
            <w:shd w:val="clear" w:color="auto" w:fill="FFFFFF" w:themeFill="background1"/>
          </w:tcPr>
          <w:p w14:paraId="6B685A22" w14:textId="77777777" w:rsidR="00B1107F" w:rsidRPr="00C23075" w:rsidRDefault="00B1107F" w:rsidP="00EE7D24">
            <w:pPr>
              <w:rPr>
                <w:sz w:val="18"/>
                <w:szCs w:val="18"/>
              </w:rPr>
            </w:pPr>
            <w:r w:rsidRPr="00C23075">
              <w:rPr>
                <w:sz w:val="18"/>
                <w:szCs w:val="18"/>
              </w:rPr>
              <w:t>Process indicators</w:t>
            </w:r>
          </w:p>
        </w:tc>
        <w:tc>
          <w:tcPr>
            <w:tcW w:w="2816" w:type="dxa"/>
            <w:shd w:val="clear" w:color="auto" w:fill="FFFFFF" w:themeFill="background1"/>
          </w:tcPr>
          <w:p w14:paraId="1D56B1C1" w14:textId="77777777" w:rsidR="00B1107F" w:rsidRPr="00C23075" w:rsidRDefault="00B1107F" w:rsidP="00EE7D24">
            <w:pPr>
              <w:rPr>
                <w:sz w:val="18"/>
                <w:szCs w:val="18"/>
              </w:rPr>
            </w:pPr>
            <w:r w:rsidRPr="00C23075">
              <w:rPr>
                <w:sz w:val="18"/>
                <w:szCs w:val="18"/>
              </w:rPr>
              <w:t>Outcome indicators</w:t>
            </w:r>
          </w:p>
          <w:p w14:paraId="21EE0611" w14:textId="77777777" w:rsidR="00B1107F" w:rsidRPr="00C23075" w:rsidRDefault="00B1107F" w:rsidP="00EE7D24">
            <w:pPr>
              <w:rPr>
                <w:sz w:val="18"/>
                <w:szCs w:val="18"/>
              </w:rPr>
            </w:pPr>
            <w:r w:rsidRPr="00C23075">
              <w:rPr>
                <w:sz w:val="18"/>
                <w:szCs w:val="18"/>
              </w:rPr>
              <w:t>Monitoring indicators</w:t>
            </w:r>
          </w:p>
        </w:tc>
        <w:tc>
          <w:tcPr>
            <w:tcW w:w="2817" w:type="dxa"/>
            <w:gridSpan w:val="2"/>
            <w:shd w:val="clear" w:color="auto" w:fill="FFFFFF" w:themeFill="background1"/>
          </w:tcPr>
          <w:p w14:paraId="436B828E" w14:textId="77777777" w:rsidR="00B1107F" w:rsidRPr="00C23075" w:rsidRDefault="00B1107F" w:rsidP="00EE7D24">
            <w:pPr>
              <w:rPr>
                <w:sz w:val="18"/>
                <w:szCs w:val="18"/>
              </w:rPr>
            </w:pPr>
            <w:r w:rsidRPr="00C23075">
              <w:rPr>
                <w:sz w:val="18"/>
                <w:szCs w:val="18"/>
              </w:rPr>
              <w:t>Monitoring indicators</w:t>
            </w:r>
          </w:p>
        </w:tc>
        <w:tc>
          <w:tcPr>
            <w:tcW w:w="3097" w:type="dxa"/>
            <w:vMerge w:val="restart"/>
            <w:shd w:val="clear" w:color="auto" w:fill="auto"/>
          </w:tcPr>
          <w:p w14:paraId="5678577D" w14:textId="37561E1C" w:rsidR="00B1107F" w:rsidRPr="00C23075" w:rsidRDefault="00B1107F" w:rsidP="00EE7D24">
            <w:pPr>
              <w:rPr>
                <w:sz w:val="18"/>
                <w:szCs w:val="18"/>
                <w:u w:color="4F81BD"/>
              </w:rPr>
            </w:pPr>
            <w:r w:rsidRPr="00C23075">
              <w:rPr>
                <w:sz w:val="18"/>
                <w:szCs w:val="18"/>
              </w:rPr>
              <w:t>Level 5</w:t>
            </w:r>
          </w:p>
          <w:p w14:paraId="61C1406F" w14:textId="6019619E" w:rsidR="00B1107F" w:rsidRPr="00C23075" w:rsidRDefault="00B1107F" w:rsidP="00EE7D24">
            <w:pPr>
              <w:rPr>
                <w:sz w:val="18"/>
                <w:szCs w:val="18"/>
              </w:rPr>
            </w:pPr>
            <w:r w:rsidRPr="00C23075">
              <w:rPr>
                <w:sz w:val="18"/>
                <w:szCs w:val="18"/>
              </w:rPr>
              <w:t xml:space="preserve">The Effectiveness Evaluation Committee will respond to these policy questions and use an integrative approach to prepare its findings based on the following synthesis reports: </w:t>
            </w:r>
          </w:p>
          <w:p w14:paraId="024C0783" w14:textId="5CA9481E" w:rsidR="00B1107F" w:rsidRPr="00C23075" w:rsidRDefault="00B1107F" w:rsidP="00A50785">
            <w:pPr>
              <w:spacing w:before="120"/>
              <w:rPr>
                <w:sz w:val="18"/>
                <w:szCs w:val="18"/>
              </w:rPr>
            </w:pPr>
            <w:r w:rsidRPr="00C23075">
              <w:rPr>
                <w:sz w:val="18"/>
                <w:szCs w:val="18"/>
              </w:rPr>
              <w:t xml:space="preserve">1. Article 21 </w:t>
            </w:r>
            <w:r w:rsidR="006A10B9" w:rsidRPr="00C23075">
              <w:rPr>
                <w:sz w:val="18"/>
                <w:szCs w:val="18"/>
              </w:rPr>
              <w:t>s</w:t>
            </w:r>
            <w:r w:rsidRPr="00C23075">
              <w:rPr>
                <w:sz w:val="18"/>
                <w:szCs w:val="18"/>
              </w:rPr>
              <w:t xml:space="preserve">ynthesis </w:t>
            </w:r>
            <w:r w:rsidR="006A10B9" w:rsidRPr="00C23075">
              <w:rPr>
                <w:sz w:val="18"/>
                <w:szCs w:val="18"/>
              </w:rPr>
              <w:t>r</w:t>
            </w:r>
            <w:r w:rsidRPr="00C23075">
              <w:rPr>
                <w:sz w:val="18"/>
                <w:szCs w:val="18"/>
              </w:rPr>
              <w:t>eport</w:t>
            </w:r>
          </w:p>
          <w:p w14:paraId="39C8D8A6" w14:textId="79A58127" w:rsidR="00B1107F" w:rsidRPr="00C23075" w:rsidRDefault="00B1107F" w:rsidP="00EE7D24">
            <w:pPr>
              <w:rPr>
                <w:sz w:val="18"/>
                <w:szCs w:val="18"/>
              </w:rPr>
            </w:pPr>
            <w:r w:rsidRPr="00C23075">
              <w:rPr>
                <w:sz w:val="18"/>
                <w:szCs w:val="18"/>
              </w:rPr>
              <w:t xml:space="preserve">2. Emissions and </w:t>
            </w:r>
            <w:r w:rsidR="006A10B9" w:rsidRPr="00C23075">
              <w:rPr>
                <w:sz w:val="18"/>
                <w:szCs w:val="18"/>
              </w:rPr>
              <w:t>r</w:t>
            </w:r>
            <w:r w:rsidRPr="00C23075">
              <w:rPr>
                <w:sz w:val="18"/>
                <w:szCs w:val="18"/>
              </w:rPr>
              <w:t xml:space="preserve">eleases </w:t>
            </w:r>
            <w:r w:rsidR="006A10B9" w:rsidRPr="00C23075">
              <w:rPr>
                <w:sz w:val="18"/>
                <w:szCs w:val="18"/>
              </w:rPr>
              <w:t>r</w:t>
            </w:r>
            <w:r w:rsidRPr="00C23075">
              <w:rPr>
                <w:sz w:val="18"/>
                <w:szCs w:val="18"/>
              </w:rPr>
              <w:t>eport</w:t>
            </w:r>
          </w:p>
          <w:p w14:paraId="692C2AA7" w14:textId="2DDF9E85" w:rsidR="00B1107F" w:rsidRPr="00C23075" w:rsidRDefault="00B1107F" w:rsidP="00EE7D24">
            <w:pPr>
              <w:rPr>
                <w:sz w:val="18"/>
                <w:szCs w:val="18"/>
              </w:rPr>
            </w:pPr>
            <w:r w:rsidRPr="00C23075">
              <w:rPr>
                <w:sz w:val="18"/>
                <w:szCs w:val="18"/>
              </w:rPr>
              <w:t xml:space="preserve">3. Trade, </w:t>
            </w:r>
            <w:r w:rsidR="006A10B9" w:rsidRPr="00C23075">
              <w:rPr>
                <w:sz w:val="18"/>
                <w:szCs w:val="18"/>
              </w:rPr>
              <w:t>s</w:t>
            </w:r>
            <w:r w:rsidRPr="00C23075">
              <w:rPr>
                <w:sz w:val="18"/>
                <w:szCs w:val="18"/>
              </w:rPr>
              <w:t xml:space="preserve">upply and </w:t>
            </w:r>
            <w:r w:rsidR="006A10B9" w:rsidRPr="00C23075">
              <w:rPr>
                <w:sz w:val="18"/>
                <w:szCs w:val="18"/>
              </w:rPr>
              <w:t>d</w:t>
            </w:r>
            <w:r w:rsidRPr="00C23075">
              <w:rPr>
                <w:sz w:val="18"/>
                <w:szCs w:val="18"/>
              </w:rPr>
              <w:t xml:space="preserve">emand </w:t>
            </w:r>
            <w:r w:rsidR="00A50785" w:rsidRPr="00C23075">
              <w:rPr>
                <w:sz w:val="18"/>
                <w:szCs w:val="18"/>
              </w:rPr>
              <w:t>report</w:t>
            </w:r>
          </w:p>
          <w:p w14:paraId="5E6D2B0C" w14:textId="5101706B" w:rsidR="00B1107F" w:rsidRPr="00C23075" w:rsidRDefault="00B1107F" w:rsidP="00EE7D24">
            <w:pPr>
              <w:rPr>
                <w:sz w:val="18"/>
                <w:szCs w:val="18"/>
              </w:rPr>
            </w:pPr>
            <w:r w:rsidRPr="000B0C89">
              <w:rPr>
                <w:sz w:val="18"/>
                <w:szCs w:val="18"/>
                <w:highlight w:val="lightGray"/>
              </w:rPr>
              <w:t xml:space="preserve">4. Waste </w:t>
            </w:r>
            <w:r w:rsidR="006A10B9" w:rsidRPr="000B0C89">
              <w:rPr>
                <w:sz w:val="18"/>
                <w:szCs w:val="18"/>
                <w:highlight w:val="lightGray"/>
              </w:rPr>
              <w:t>r</w:t>
            </w:r>
            <w:r w:rsidRPr="000B0C89">
              <w:rPr>
                <w:sz w:val="18"/>
                <w:szCs w:val="18"/>
                <w:highlight w:val="lightGray"/>
              </w:rPr>
              <w:t>eport</w:t>
            </w:r>
          </w:p>
          <w:p w14:paraId="1D195828" w14:textId="3F42A4FE" w:rsidR="00B1107F" w:rsidRPr="00C23075" w:rsidRDefault="00B1107F" w:rsidP="00EE7D24">
            <w:pPr>
              <w:rPr>
                <w:sz w:val="18"/>
                <w:szCs w:val="18"/>
              </w:rPr>
            </w:pPr>
            <w:r w:rsidRPr="00C23075">
              <w:rPr>
                <w:sz w:val="18"/>
                <w:szCs w:val="18"/>
              </w:rPr>
              <w:t xml:space="preserve">5. Monitoring </w:t>
            </w:r>
            <w:r w:rsidR="006A10B9" w:rsidRPr="00C23075">
              <w:rPr>
                <w:sz w:val="18"/>
                <w:szCs w:val="18"/>
              </w:rPr>
              <w:t>r</w:t>
            </w:r>
            <w:r w:rsidRPr="00C23075">
              <w:rPr>
                <w:sz w:val="18"/>
                <w:szCs w:val="18"/>
              </w:rPr>
              <w:t>eport</w:t>
            </w:r>
          </w:p>
          <w:p w14:paraId="72662F40" w14:textId="21C57531" w:rsidR="00B1107F" w:rsidRPr="00C23075" w:rsidRDefault="00B1107F" w:rsidP="00A50785">
            <w:pPr>
              <w:spacing w:before="120"/>
              <w:rPr>
                <w:sz w:val="18"/>
                <w:szCs w:val="18"/>
              </w:rPr>
            </w:pPr>
            <w:r w:rsidRPr="00C23075">
              <w:rPr>
                <w:sz w:val="18"/>
                <w:szCs w:val="18"/>
              </w:rPr>
              <w:t xml:space="preserve">The above information will be supplemented by the </w:t>
            </w:r>
            <w:r w:rsidR="006A10B9" w:rsidRPr="00C23075">
              <w:rPr>
                <w:sz w:val="18"/>
                <w:szCs w:val="18"/>
              </w:rPr>
              <w:t>a</w:t>
            </w:r>
            <w:r w:rsidRPr="00C23075">
              <w:rPr>
                <w:sz w:val="18"/>
                <w:szCs w:val="18"/>
              </w:rPr>
              <w:t xml:space="preserve">ttribution </w:t>
            </w:r>
            <w:r w:rsidR="006A10B9" w:rsidRPr="00C23075">
              <w:rPr>
                <w:sz w:val="18"/>
                <w:szCs w:val="18"/>
              </w:rPr>
              <w:t>r</w:t>
            </w:r>
            <w:r w:rsidRPr="00C23075">
              <w:rPr>
                <w:sz w:val="18"/>
                <w:szCs w:val="18"/>
              </w:rPr>
              <w:t>eport when available.</w:t>
            </w:r>
          </w:p>
          <w:p w14:paraId="21A7EA82" w14:textId="6EE9E276" w:rsidR="00B1107F" w:rsidRPr="00C23075" w:rsidRDefault="00203354" w:rsidP="00A50785">
            <w:pPr>
              <w:spacing w:before="120"/>
              <w:rPr>
                <w:sz w:val="18"/>
                <w:szCs w:val="18"/>
              </w:rPr>
            </w:pPr>
            <w:r w:rsidRPr="00C23075">
              <w:rPr>
                <w:noProof/>
                <w:sz w:val="18"/>
                <w:szCs w:val="18"/>
                <w:lang w:eastAsia="en-GB"/>
              </w:rPr>
              <mc:AlternateContent>
                <mc:Choice Requires="wps">
                  <w:drawing>
                    <wp:anchor distT="0" distB="0" distL="114300" distR="114300" simplePos="0" relativeHeight="251659264" behindDoc="0" locked="0" layoutInCell="1" allowOverlap="1" wp14:anchorId="22C4CACB" wp14:editId="6A00D0A2">
                      <wp:simplePos x="0" y="0"/>
                      <wp:positionH relativeFrom="column">
                        <wp:posOffset>450215</wp:posOffset>
                      </wp:positionH>
                      <wp:positionV relativeFrom="paragraph">
                        <wp:posOffset>724866</wp:posOffset>
                      </wp:positionV>
                      <wp:extent cx="638175" cy="523875"/>
                      <wp:effectExtent l="0" t="0" r="9525" b="9525"/>
                      <wp:wrapNone/>
                      <wp:docPr id="3" name="Arrow: Down 3"/>
                      <wp:cNvGraphicFramePr/>
                      <a:graphic xmlns:a="http://schemas.openxmlformats.org/drawingml/2006/main">
                        <a:graphicData uri="http://schemas.microsoft.com/office/word/2010/wordprocessingShape">
                          <wps:wsp>
                            <wps:cNvSpPr/>
                            <wps:spPr>
                              <a:xfrm>
                                <a:off x="0" y="0"/>
                                <a:ext cx="638175" cy="523875"/>
                              </a:xfrm>
                              <a:prstGeom prst="downArrow">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78AB5E1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35.45pt;margin-top:57.1pt;width:50.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" adj="10800" fillcolor="#b8cce4 [1300]" stroked="f" strokeweight="2pt"/>
                  </w:pict>
                </mc:Fallback>
              </mc:AlternateContent>
            </w:r>
            <w:r w:rsidR="00B1107F" w:rsidRPr="00C23075">
              <w:rPr>
                <w:sz w:val="18"/>
                <w:szCs w:val="18"/>
              </w:rPr>
              <w:t xml:space="preserve">In formulating its findings, the </w:t>
            </w:r>
            <w:r w:rsidR="00D61AA7" w:rsidRPr="00C23075">
              <w:rPr>
                <w:sz w:val="18"/>
                <w:szCs w:val="18"/>
              </w:rPr>
              <w:t>E</w:t>
            </w:r>
            <w:r w:rsidR="00A50785" w:rsidRPr="00C23075">
              <w:rPr>
                <w:sz w:val="18"/>
                <w:szCs w:val="18"/>
              </w:rPr>
              <w:t xml:space="preserve">ffectiveness </w:t>
            </w:r>
            <w:r w:rsidR="00D61AA7" w:rsidRPr="00C23075">
              <w:rPr>
                <w:sz w:val="18"/>
                <w:szCs w:val="18"/>
              </w:rPr>
              <w:t>E</w:t>
            </w:r>
            <w:r w:rsidR="00A50785" w:rsidRPr="00C23075">
              <w:rPr>
                <w:sz w:val="18"/>
                <w:szCs w:val="18"/>
              </w:rPr>
              <w:t xml:space="preserve">valuation </w:t>
            </w:r>
            <w:r w:rsidR="00B1107F" w:rsidRPr="00C23075">
              <w:rPr>
                <w:sz w:val="18"/>
                <w:szCs w:val="18"/>
              </w:rPr>
              <w:t xml:space="preserve">Committee may also </w:t>
            </w:r>
            <w:r w:rsidR="00BC560C" w:rsidRPr="00C23075">
              <w:rPr>
                <w:sz w:val="18"/>
                <w:szCs w:val="18"/>
              </w:rPr>
              <w:t xml:space="preserve">draw </w:t>
            </w:r>
            <w:r w:rsidR="00B1107F" w:rsidRPr="00C23075">
              <w:rPr>
                <w:sz w:val="18"/>
                <w:szCs w:val="18"/>
              </w:rPr>
              <w:t xml:space="preserve">on additional information as required. </w:t>
            </w:r>
          </w:p>
        </w:tc>
      </w:tr>
      <w:tr w:rsidR="00B1107F" w:rsidRPr="00C23075" w14:paraId="7211BF65" w14:textId="77777777" w:rsidTr="001B5022">
        <w:trPr>
          <w:trHeight w:val="57"/>
          <w:jc w:val="right"/>
        </w:trPr>
        <w:tc>
          <w:tcPr>
            <w:tcW w:w="1405" w:type="dxa"/>
            <w:shd w:val="clear" w:color="auto" w:fill="B8CCE4" w:themeFill="accent1" w:themeFillTint="66"/>
          </w:tcPr>
          <w:p w14:paraId="3B642B9A" w14:textId="1DA1ABB3" w:rsidR="00B1107F" w:rsidRPr="00C23075" w:rsidRDefault="00B1107F" w:rsidP="00EE7D24">
            <w:pPr>
              <w:rPr>
                <w:b/>
                <w:bCs/>
                <w:sz w:val="18"/>
                <w:szCs w:val="18"/>
              </w:rPr>
            </w:pPr>
            <w:r w:rsidRPr="00C23075">
              <w:rPr>
                <w:b/>
                <w:bCs/>
                <w:sz w:val="18"/>
                <w:szCs w:val="18"/>
              </w:rPr>
              <w:t xml:space="preserve">Indicator </w:t>
            </w:r>
            <w:r w:rsidR="006A10B9" w:rsidRPr="00C23075">
              <w:rPr>
                <w:b/>
                <w:bCs/>
                <w:sz w:val="18"/>
                <w:szCs w:val="18"/>
              </w:rPr>
              <w:t>c</w:t>
            </w:r>
            <w:r w:rsidRPr="00C23075">
              <w:rPr>
                <w:b/>
                <w:bCs/>
                <w:sz w:val="18"/>
                <w:szCs w:val="18"/>
              </w:rPr>
              <w:t>lusters</w:t>
            </w:r>
          </w:p>
        </w:tc>
        <w:tc>
          <w:tcPr>
            <w:tcW w:w="2815" w:type="dxa"/>
            <w:gridSpan w:val="2"/>
            <w:shd w:val="clear" w:color="auto" w:fill="FFFFFF" w:themeFill="background1"/>
          </w:tcPr>
          <w:p w14:paraId="0CE97C14" w14:textId="5E44BBFB" w:rsidR="00B1107F" w:rsidRPr="00C23075" w:rsidRDefault="00B1107F" w:rsidP="00EE7D24">
            <w:pPr>
              <w:rPr>
                <w:sz w:val="18"/>
                <w:szCs w:val="18"/>
              </w:rPr>
            </w:pPr>
            <w:r w:rsidRPr="00C23075">
              <w:rPr>
                <w:sz w:val="18"/>
                <w:szCs w:val="18"/>
              </w:rPr>
              <w:t xml:space="preserve">1. Supply </w:t>
            </w:r>
            <w:r w:rsidR="006A10B9" w:rsidRPr="00C23075">
              <w:rPr>
                <w:sz w:val="18"/>
                <w:szCs w:val="18"/>
              </w:rPr>
              <w:t>c</w:t>
            </w:r>
            <w:r w:rsidRPr="00C23075">
              <w:rPr>
                <w:sz w:val="18"/>
                <w:szCs w:val="18"/>
              </w:rPr>
              <w:t>luster</w:t>
            </w:r>
            <w:r w:rsidR="00184271" w:rsidRPr="00C23075">
              <w:rPr>
                <w:sz w:val="18"/>
                <w:szCs w:val="18"/>
              </w:rPr>
              <w:t xml:space="preserve"> (B)</w:t>
            </w:r>
          </w:p>
          <w:p w14:paraId="7449C987" w14:textId="0DEC70BE" w:rsidR="00B1107F" w:rsidRPr="00C23075" w:rsidRDefault="00B1107F" w:rsidP="00EE7D24">
            <w:pPr>
              <w:rPr>
                <w:sz w:val="18"/>
                <w:szCs w:val="18"/>
              </w:rPr>
            </w:pPr>
            <w:r w:rsidRPr="00C23075">
              <w:rPr>
                <w:sz w:val="18"/>
                <w:szCs w:val="18"/>
              </w:rPr>
              <w:t xml:space="preserve">2. Demand </w:t>
            </w:r>
            <w:r w:rsidR="006A10B9" w:rsidRPr="00C23075">
              <w:rPr>
                <w:sz w:val="18"/>
                <w:szCs w:val="18"/>
              </w:rPr>
              <w:t>c</w:t>
            </w:r>
            <w:r w:rsidRPr="00C23075">
              <w:rPr>
                <w:sz w:val="18"/>
                <w:szCs w:val="18"/>
              </w:rPr>
              <w:t>luster</w:t>
            </w:r>
            <w:r w:rsidR="00184271" w:rsidRPr="00C23075">
              <w:rPr>
                <w:sz w:val="18"/>
                <w:szCs w:val="18"/>
              </w:rPr>
              <w:t xml:space="preserve"> (C)</w:t>
            </w:r>
          </w:p>
          <w:p w14:paraId="4DC53E12" w14:textId="42ADD35C" w:rsidR="00B1107F" w:rsidRPr="00C23075" w:rsidRDefault="00B1107F" w:rsidP="00EE7D24">
            <w:pPr>
              <w:rPr>
                <w:sz w:val="18"/>
                <w:szCs w:val="18"/>
              </w:rPr>
            </w:pPr>
            <w:r w:rsidRPr="00C23075">
              <w:rPr>
                <w:sz w:val="18"/>
                <w:szCs w:val="18"/>
              </w:rPr>
              <w:t xml:space="preserve">3. Pressure </w:t>
            </w:r>
            <w:r w:rsidR="006A10B9" w:rsidRPr="00C23075">
              <w:rPr>
                <w:sz w:val="18"/>
                <w:szCs w:val="18"/>
              </w:rPr>
              <w:t>c</w:t>
            </w:r>
            <w:r w:rsidRPr="00C23075">
              <w:rPr>
                <w:sz w:val="18"/>
                <w:szCs w:val="18"/>
              </w:rPr>
              <w:t>luster</w:t>
            </w:r>
            <w:r w:rsidR="003304C0" w:rsidRPr="00C23075">
              <w:rPr>
                <w:sz w:val="18"/>
                <w:szCs w:val="18"/>
              </w:rPr>
              <w:t xml:space="preserve"> (D)</w:t>
            </w:r>
          </w:p>
          <w:p w14:paraId="22EB2676" w14:textId="77777777" w:rsidR="00B1107F" w:rsidRPr="00C23075" w:rsidRDefault="00B1107F" w:rsidP="00EE7D24">
            <w:pPr>
              <w:rPr>
                <w:sz w:val="18"/>
                <w:szCs w:val="18"/>
              </w:rPr>
            </w:pPr>
            <w:r w:rsidRPr="00C23075">
              <w:rPr>
                <w:sz w:val="18"/>
                <w:szCs w:val="18"/>
              </w:rPr>
              <w:t>----</w:t>
            </w:r>
          </w:p>
          <w:p w14:paraId="322F4241" w14:textId="21923BF4" w:rsidR="00B1107F" w:rsidRPr="00C23075" w:rsidRDefault="00B1107F" w:rsidP="00EE7D24">
            <w:pPr>
              <w:rPr>
                <w:sz w:val="18"/>
                <w:szCs w:val="18"/>
              </w:rPr>
            </w:pPr>
            <w:r w:rsidRPr="00C23075">
              <w:rPr>
                <w:sz w:val="18"/>
                <w:szCs w:val="18"/>
              </w:rPr>
              <w:t xml:space="preserve">4. Support </w:t>
            </w:r>
            <w:r w:rsidR="006A10B9" w:rsidRPr="00C23075">
              <w:rPr>
                <w:sz w:val="18"/>
                <w:szCs w:val="18"/>
              </w:rPr>
              <w:t>c</w:t>
            </w:r>
            <w:r w:rsidRPr="00C23075">
              <w:rPr>
                <w:sz w:val="18"/>
                <w:szCs w:val="18"/>
              </w:rPr>
              <w:t>luster</w:t>
            </w:r>
            <w:r w:rsidR="003304C0" w:rsidRPr="00C23075">
              <w:rPr>
                <w:sz w:val="18"/>
                <w:szCs w:val="18"/>
              </w:rPr>
              <w:t xml:space="preserve"> (E)</w:t>
            </w:r>
          </w:p>
          <w:p w14:paraId="5A0D72BB" w14:textId="22F8515D" w:rsidR="00B1107F" w:rsidRPr="00C23075" w:rsidRDefault="00B1107F" w:rsidP="00EE7D24">
            <w:pPr>
              <w:rPr>
                <w:sz w:val="18"/>
                <w:szCs w:val="18"/>
              </w:rPr>
            </w:pPr>
            <w:r w:rsidRPr="00C23075">
              <w:rPr>
                <w:sz w:val="18"/>
                <w:szCs w:val="18"/>
              </w:rPr>
              <w:t>5. Info</w:t>
            </w:r>
            <w:r w:rsidR="006A10B9" w:rsidRPr="00C23075">
              <w:rPr>
                <w:sz w:val="18"/>
                <w:szCs w:val="18"/>
              </w:rPr>
              <w:t>rmation</w:t>
            </w:r>
            <w:r w:rsidRPr="00C23075">
              <w:rPr>
                <w:sz w:val="18"/>
                <w:szCs w:val="18"/>
              </w:rPr>
              <w:t xml:space="preserve"> and </w:t>
            </w:r>
            <w:r w:rsidR="006A10B9" w:rsidRPr="00C23075">
              <w:rPr>
                <w:sz w:val="18"/>
                <w:szCs w:val="18"/>
              </w:rPr>
              <w:t>r</w:t>
            </w:r>
            <w:r w:rsidRPr="00C23075">
              <w:rPr>
                <w:sz w:val="18"/>
                <w:szCs w:val="18"/>
              </w:rPr>
              <w:t xml:space="preserve">esearch </w:t>
            </w:r>
            <w:r w:rsidR="006A10B9" w:rsidRPr="00C23075">
              <w:rPr>
                <w:sz w:val="18"/>
                <w:szCs w:val="18"/>
              </w:rPr>
              <w:t>c</w:t>
            </w:r>
            <w:r w:rsidRPr="00C23075">
              <w:rPr>
                <w:sz w:val="18"/>
                <w:szCs w:val="18"/>
              </w:rPr>
              <w:t>luster</w:t>
            </w:r>
            <w:r w:rsidR="003304C0" w:rsidRPr="00C23075">
              <w:rPr>
                <w:sz w:val="18"/>
                <w:szCs w:val="18"/>
              </w:rPr>
              <w:t xml:space="preserve"> (H)</w:t>
            </w:r>
          </w:p>
        </w:tc>
        <w:tc>
          <w:tcPr>
            <w:tcW w:w="2816" w:type="dxa"/>
            <w:shd w:val="clear" w:color="auto" w:fill="FFFFFF" w:themeFill="background1"/>
          </w:tcPr>
          <w:p w14:paraId="50F755D6" w14:textId="2B56302F" w:rsidR="00B1107F" w:rsidRPr="00C23075" w:rsidRDefault="00B1107F" w:rsidP="00EE7D24">
            <w:pPr>
              <w:rPr>
                <w:sz w:val="18"/>
                <w:szCs w:val="18"/>
              </w:rPr>
            </w:pPr>
            <w:r w:rsidRPr="00C23075">
              <w:rPr>
                <w:sz w:val="18"/>
                <w:szCs w:val="18"/>
              </w:rPr>
              <w:t xml:space="preserve">1. Supply </w:t>
            </w:r>
            <w:r w:rsidR="006A10B9" w:rsidRPr="00C23075">
              <w:rPr>
                <w:sz w:val="18"/>
                <w:szCs w:val="18"/>
              </w:rPr>
              <w:t>c</w:t>
            </w:r>
            <w:r w:rsidRPr="00C23075">
              <w:rPr>
                <w:sz w:val="18"/>
                <w:szCs w:val="18"/>
              </w:rPr>
              <w:t>luster</w:t>
            </w:r>
            <w:r w:rsidR="003304C0" w:rsidRPr="00C23075">
              <w:rPr>
                <w:sz w:val="18"/>
                <w:szCs w:val="18"/>
              </w:rPr>
              <w:t xml:space="preserve"> (B)</w:t>
            </w:r>
          </w:p>
          <w:p w14:paraId="3BA4CDC8" w14:textId="24834BED" w:rsidR="00B1107F" w:rsidRPr="00C23075" w:rsidRDefault="00B1107F" w:rsidP="00EE7D24">
            <w:pPr>
              <w:rPr>
                <w:sz w:val="18"/>
                <w:szCs w:val="18"/>
              </w:rPr>
            </w:pPr>
            <w:r w:rsidRPr="00C23075">
              <w:rPr>
                <w:sz w:val="18"/>
                <w:szCs w:val="18"/>
              </w:rPr>
              <w:t xml:space="preserve">2. Demand </w:t>
            </w:r>
            <w:r w:rsidR="006A10B9" w:rsidRPr="00C23075">
              <w:rPr>
                <w:sz w:val="18"/>
                <w:szCs w:val="18"/>
              </w:rPr>
              <w:t>c</w:t>
            </w:r>
            <w:r w:rsidRPr="00C23075">
              <w:rPr>
                <w:sz w:val="18"/>
                <w:szCs w:val="18"/>
              </w:rPr>
              <w:t>luster</w:t>
            </w:r>
            <w:r w:rsidR="003304C0" w:rsidRPr="00C23075">
              <w:rPr>
                <w:sz w:val="18"/>
                <w:szCs w:val="18"/>
              </w:rPr>
              <w:t xml:space="preserve"> (C)</w:t>
            </w:r>
          </w:p>
          <w:p w14:paraId="3C773FBB" w14:textId="5C047633" w:rsidR="00B1107F" w:rsidRPr="00C23075" w:rsidRDefault="00B1107F" w:rsidP="00EE7D24">
            <w:pPr>
              <w:rPr>
                <w:sz w:val="18"/>
                <w:szCs w:val="18"/>
              </w:rPr>
            </w:pPr>
            <w:r w:rsidRPr="00C23075">
              <w:rPr>
                <w:sz w:val="18"/>
                <w:szCs w:val="18"/>
              </w:rPr>
              <w:t xml:space="preserve">3. Pressure </w:t>
            </w:r>
            <w:r w:rsidR="006A10B9" w:rsidRPr="00C23075">
              <w:rPr>
                <w:sz w:val="18"/>
                <w:szCs w:val="18"/>
              </w:rPr>
              <w:t>c</w:t>
            </w:r>
            <w:r w:rsidRPr="00C23075">
              <w:rPr>
                <w:sz w:val="18"/>
                <w:szCs w:val="18"/>
              </w:rPr>
              <w:t>luster</w:t>
            </w:r>
            <w:r w:rsidR="003304C0" w:rsidRPr="00C23075">
              <w:rPr>
                <w:sz w:val="18"/>
                <w:szCs w:val="18"/>
              </w:rPr>
              <w:t xml:space="preserve"> (D)</w:t>
            </w:r>
          </w:p>
          <w:p w14:paraId="45D4CD1D" w14:textId="77777777" w:rsidR="00B1107F" w:rsidRPr="00C23075" w:rsidRDefault="00B1107F" w:rsidP="00EE7D24">
            <w:pPr>
              <w:rPr>
                <w:sz w:val="18"/>
                <w:szCs w:val="18"/>
              </w:rPr>
            </w:pPr>
            <w:r w:rsidRPr="00C23075">
              <w:rPr>
                <w:sz w:val="18"/>
                <w:szCs w:val="18"/>
              </w:rPr>
              <w:t>----</w:t>
            </w:r>
          </w:p>
          <w:p w14:paraId="0FCDA5C2" w14:textId="323757B9" w:rsidR="00B1107F" w:rsidRPr="00C23075" w:rsidRDefault="00B1107F" w:rsidP="00EE7D24">
            <w:pPr>
              <w:rPr>
                <w:sz w:val="18"/>
                <w:szCs w:val="18"/>
              </w:rPr>
            </w:pPr>
            <w:r w:rsidRPr="00C23075">
              <w:rPr>
                <w:sz w:val="18"/>
                <w:szCs w:val="18"/>
              </w:rPr>
              <w:t xml:space="preserve">4. Support </w:t>
            </w:r>
            <w:r w:rsidR="006A10B9" w:rsidRPr="00C23075">
              <w:rPr>
                <w:sz w:val="18"/>
                <w:szCs w:val="18"/>
              </w:rPr>
              <w:t>c</w:t>
            </w:r>
            <w:r w:rsidRPr="00C23075">
              <w:rPr>
                <w:sz w:val="18"/>
                <w:szCs w:val="18"/>
              </w:rPr>
              <w:t>luster</w:t>
            </w:r>
            <w:r w:rsidR="003304C0" w:rsidRPr="00C23075">
              <w:rPr>
                <w:sz w:val="18"/>
                <w:szCs w:val="18"/>
              </w:rPr>
              <w:t xml:space="preserve"> (E)</w:t>
            </w:r>
          </w:p>
          <w:p w14:paraId="5F5CBD3F" w14:textId="2D91D375" w:rsidR="00B1107F" w:rsidRPr="00C23075" w:rsidRDefault="00B1107F" w:rsidP="00EE7D24">
            <w:pPr>
              <w:rPr>
                <w:sz w:val="18"/>
                <w:szCs w:val="18"/>
              </w:rPr>
            </w:pPr>
            <w:r w:rsidRPr="00C23075">
              <w:rPr>
                <w:sz w:val="18"/>
                <w:szCs w:val="18"/>
              </w:rPr>
              <w:t>5. Info</w:t>
            </w:r>
            <w:r w:rsidR="006A10B9" w:rsidRPr="00C23075">
              <w:rPr>
                <w:sz w:val="18"/>
                <w:szCs w:val="18"/>
              </w:rPr>
              <w:t>rmation</w:t>
            </w:r>
            <w:r w:rsidRPr="00C23075">
              <w:rPr>
                <w:sz w:val="18"/>
                <w:szCs w:val="18"/>
              </w:rPr>
              <w:t xml:space="preserve"> and </w:t>
            </w:r>
            <w:r w:rsidR="006A10B9" w:rsidRPr="00C23075">
              <w:rPr>
                <w:sz w:val="18"/>
                <w:szCs w:val="18"/>
              </w:rPr>
              <w:t>r</w:t>
            </w:r>
            <w:r w:rsidRPr="00C23075">
              <w:rPr>
                <w:sz w:val="18"/>
                <w:szCs w:val="18"/>
              </w:rPr>
              <w:t xml:space="preserve">esearch </w:t>
            </w:r>
            <w:r w:rsidR="006A10B9" w:rsidRPr="00C23075">
              <w:rPr>
                <w:sz w:val="18"/>
                <w:szCs w:val="18"/>
              </w:rPr>
              <w:t>c</w:t>
            </w:r>
            <w:r w:rsidRPr="00C23075">
              <w:rPr>
                <w:sz w:val="18"/>
                <w:szCs w:val="18"/>
              </w:rPr>
              <w:t>luster</w:t>
            </w:r>
            <w:r w:rsidR="003304C0" w:rsidRPr="00C23075">
              <w:rPr>
                <w:sz w:val="18"/>
                <w:szCs w:val="18"/>
              </w:rPr>
              <w:t xml:space="preserve"> (H)</w:t>
            </w:r>
          </w:p>
        </w:tc>
        <w:tc>
          <w:tcPr>
            <w:tcW w:w="2817" w:type="dxa"/>
            <w:gridSpan w:val="2"/>
            <w:shd w:val="clear" w:color="auto" w:fill="FFFFFF" w:themeFill="background1"/>
          </w:tcPr>
          <w:p w14:paraId="03D4F574" w14:textId="4E6A0CDD" w:rsidR="00B1107F" w:rsidRPr="00C23075" w:rsidRDefault="00B1107F" w:rsidP="00EE7D24">
            <w:pPr>
              <w:rPr>
                <w:sz w:val="18"/>
                <w:szCs w:val="18"/>
              </w:rPr>
            </w:pPr>
            <w:r w:rsidRPr="00C23075">
              <w:rPr>
                <w:sz w:val="18"/>
                <w:szCs w:val="18"/>
              </w:rPr>
              <w:t xml:space="preserve">1. Pressure </w:t>
            </w:r>
            <w:r w:rsidR="006A10B9" w:rsidRPr="00C23075">
              <w:rPr>
                <w:sz w:val="18"/>
                <w:szCs w:val="18"/>
              </w:rPr>
              <w:t>c</w:t>
            </w:r>
            <w:r w:rsidRPr="00C23075">
              <w:rPr>
                <w:sz w:val="18"/>
                <w:szCs w:val="18"/>
              </w:rPr>
              <w:t>luster</w:t>
            </w:r>
            <w:r w:rsidR="00817D1C" w:rsidRPr="00C23075">
              <w:rPr>
                <w:sz w:val="18"/>
                <w:szCs w:val="18"/>
              </w:rPr>
              <w:t xml:space="preserve"> (D)</w:t>
            </w:r>
          </w:p>
        </w:tc>
        <w:tc>
          <w:tcPr>
            <w:tcW w:w="3097" w:type="dxa"/>
            <w:vMerge/>
            <w:shd w:val="clear" w:color="auto" w:fill="auto"/>
          </w:tcPr>
          <w:p w14:paraId="1BD91545" w14:textId="77777777" w:rsidR="00B1107F" w:rsidRPr="00C23075" w:rsidRDefault="00B1107F" w:rsidP="00EE7D24">
            <w:pPr>
              <w:rPr>
                <w:sz w:val="18"/>
                <w:szCs w:val="18"/>
              </w:rPr>
            </w:pPr>
          </w:p>
        </w:tc>
      </w:tr>
      <w:tr w:rsidR="00B1107F" w:rsidRPr="00C23075" w14:paraId="426EB632" w14:textId="77777777" w:rsidTr="001B5022">
        <w:trPr>
          <w:trHeight w:val="57"/>
          <w:jc w:val="right"/>
        </w:trPr>
        <w:tc>
          <w:tcPr>
            <w:tcW w:w="1405" w:type="dxa"/>
            <w:shd w:val="clear" w:color="auto" w:fill="B8CCE4" w:themeFill="accent1" w:themeFillTint="66"/>
          </w:tcPr>
          <w:p w14:paraId="2DE882E6" w14:textId="557C6090" w:rsidR="00B1107F" w:rsidRPr="00C23075" w:rsidRDefault="00B1107F" w:rsidP="00EE7D24">
            <w:pPr>
              <w:rPr>
                <w:b/>
                <w:bCs/>
                <w:sz w:val="18"/>
                <w:szCs w:val="18"/>
              </w:rPr>
            </w:pPr>
            <w:r w:rsidRPr="00C23075">
              <w:rPr>
                <w:b/>
                <w:bCs/>
                <w:sz w:val="18"/>
                <w:szCs w:val="18"/>
              </w:rPr>
              <w:t xml:space="preserve">Information </w:t>
            </w:r>
            <w:r w:rsidR="006A10B9" w:rsidRPr="00C23075">
              <w:rPr>
                <w:b/>
                <w:bCs/>
                <w:sz w:val="18"/>
                <w:szCs w:val="18"/>
              </w:rPr>
              <w:t>s</w:t>
            </w:r>
            <w:r w:rsidRPr="00C23075">
              <w:rPr>
                <w:b/>
                <w:bCs/>
                <w:sz w:val="18"/>
                <w:szCs w:val="18"/>
              </w:rPr>
              <w:t>ources</w:t>
            </w:r>
          </w:p>
        </w:tc>
        <w:tc>
          <w:tcPr>
            <w:tcW w:w="2815" w:type="dxa"/>
            <w:gridSpan w:val="2"/>
            <w:shd w:val="clear" w:color="auto" w:fill="FFFFFF" w:themeFill="background1"/>
          </w:tcPr>
          <w:p w14:paraId="4BF2791C" w14:textId="77777777" w:rsidR="00B1107F" w:rsidRPr="00C23075" w:rsidRDefault="00B1107F" w:rsidP="00EE7D24">
            <w:pPr>
              <w:rPr>
                <w:i/>
                <w:iCs/>
                <w:sz w:val="18"/>
                <w:szCs w:val="18"/>
                <w:lang w:val="fr-CA"/>
              </w:rPr>
            </w:pPr>
            <w:r w:rsidRPr="00C23075">
              <w:rPr>
                <w:sz w:val="18"/>
                <w:szCs w:val="18"/>
                <w:lang w:val="fr-CA"/>
              </w:rPr>
              <w:t>Parties: Article 21 reports</w:t>
            </w:r>
            <w:r w:rsidRPr="00C23075">
              <w:rPr>
                <w:i/>
                <w:iCs/>
                <w:sz w:val="18"/>
                <w:szCs w:val="18"/>
                <w:lang w:val="fr-CA"/>
              </w:rPr>
              <w:t xml:space="preserve"> </w:t>
            </w:r>
          </w:p>
          <w:p w14:paraId="301D12EC" w14:textId="77777777" w:rsidR="00B1107F" w:rsidRPr="00C23075" w:rsidRDefault="00B1107F" w:rsidP="00EE7D24">
            <w:pPr>
              <w:rPr>
                <w:sz w:val="18"/>
                <w:szCs w:val="18"/>
                <w:lang w:val="fr-CA"/>
              </w:rPr>
            </w:pPr>
            <w:r w:rsidRPr="00C23075">
              <w:rPr>
                <w:sz w:val="18"/>
                <w:szCs w:val="18"/>
                <w:lang w:val="fr-CA"/>
              </w:rPr>
              <w:t>(main source)</w:t>
            </w:r>
          </w:p>
        </w:tc>
        <w:tc>
          <w:tcPr>
            <w:tcW w:w="2816" w:type="dxa"/>
            <w:shd w:val="clear" w:color="auto" w:fill="FFFFFF" w:themeFill="background1"/>
          </w:tcPr>
          <w:p w14:paraId="666BA2DA" w14:textId="1F914BD5" w:rsidR="00B1107F" w:rsidRPr="00C23075" w:rsidRDefault="00B1107F" w:rsidP="00EE7D24">
            <w:pPr>
              <w:rPr>
                <w:i/>
                <w:iCs/>
                <w:sz w:val="18"/>
                <w:szCs w:val="18"/>
                <w:lang w:val="fr-CA"/>
              </w:rPr>
            </w:pPr>
            <w:r w:rsidRPr="00C23075">
              <w:rPr>
                <w:sz w:val="18"/>
                <w:szCs w:val="18"/>
                <w:lang w:val="fr-CA"/>
              </w:rPr>
              <w:t xml:space="preserve">Parties: </w:t>
            </w:r>
            <w:r w:rsidR="003570F7" w:rsidRPr="00C23075">
              <w:rPr>
                <w:sz w:val="18"/>
                <w:szCs w:val="18"/>
                <w:lang w:val="fr-CA"/>
              </w:rPr>
              <w:t>a</w:t>
            </w:r>
            <w:r w:rsidRPr="00C23075">
              <w:rPr>
                <w:sz w:val="18"/>
                <w:szCs w:val="18"/>
                <w:lang w:val="fr-CA"/>
              </w:rPr>
              <w:t>rticle 21 reports</w:t>
            </w:r>
            <w:r w:rsidRPr="00C23075">
              <w:rPr>
                <w:i/>
                <w:iCs/>
                <w:sz w:val="18"/>
                <w:szCs w:val="18"/>
                <w:lang w:val="fr-CA"/>
              </w:rPr>
              <w:t xml:space="preserve"> </w:t>
            </w:r>
          </w:p>
          <w:p w14:paraId="4A536B19" w14:textId="77777777" w:rsidR="00B1107F" w:rsidRPr="00C23075" w:rsidRDefault="00B1107F" w:rsidP="00EE7D24">
            <w:pPr>
              <w:rPr>
                <w:sz w:val="18"/>
                <w:szCs w:val="18"/>
                <w:lang w:val="fr-CA"/>
              </w:rPr>
            </w:pPr>
            <w:r w:rsidRPr="00C23075">
              <w:rPr>
                <w:sz w:val="18"/>
                <w:szCs w:val="18"/>
                <w:lang w:val="fr-CA"/>
              </w:rPr>
              <w:t>(main source)</w:t>
            </w:r>
          </w:p>
        </w:tc>
        <w:tc>
          <w:tcPr>
            <w:tcW w:w="2817" w:type="dxa"/>
            <w:gridSpan w:val="2"/>
            <w:shd w:val="clear" w:color="auto" w:fill="FFFFFF" w:themeFill="background1"/>
          </w:tcPr>
          <w:p w14:paraId="7D40791E" w14:textId="2416E3DA" w:rsidR="00B1107F" w:rsidRPr="00C23075" w:rsidRDefault="00B1107F" w:rsidP="00EE7D24">
            <w:pPr>
              <w:rPr>
                <w:sz w:val="18"/>
                <w:szCs w:val="18"/>
              </w:rPr>
            </w:pPr>
            <w:r w:rsidRPr="00C23075">
              <w:rPr>
                <w:sz w:val="18"/>
                <w:szCs w:val="18"/>
              </w:rPr>
              <w:t xml:space="preserve">Parties: </w:t>
            </w:r>
            <w:r w:rsidR="003570F7" w:rsidRPr="00C23075">
              <w:rPr>
                <w:sz w:val="18"/>
                <w:szCs w:val="18"/>
              </w:rPr>
              <w:t>a</w:t>
            </w:r>
            <w:r w:rsidRPr="00C23075">
              <w:rPr>
                <w:sz w:val="18"/>
                <w:szCs w:val="18"/>
              </w:rPr>
              <w:t>rticle 21 reports</w:t>
            </w:r>
          </w:p>
          <w:p w14:paraId="2D736857" w14:textId="77777777" w:rsidR="00B1107F" w:rsidRPr="00C23075" w:rsidRDefault="00B1107F" w:rsidP="00EE7D24">
            <w:pPr>
              <w:rPr>
                <w:sz w:val="18"/>
                <w:szCs w:val="18"/>
              </w:rPr>
            </w:pPr>
            <w:r w:rsidRPr="00C23075">
              <w:rPr>
                <w:sz w:val="18"/>
                <w:szCs w:val="18"/>
              </w:rPr>
              <w:t>Monitoring networks</w:t>
            </w:r>
          </w:p>
        </w:tc>
        <w:tc>
          <w:tcPr>
            <w:tcW w:w="3097" w:type="dxa"/>
            <w:vMerge/>
            <w:shd w:val="clear" w:color="auto" w:fill="auto"/>
          </w:tcPr>
          <w:p w14:paraId="3F768F92" w14:textId="77777777" w:rsidR="00B1107F" w:rsidRPr="00C23075" w:rsidRDefault="00B1107F" w:rsidP="00EE7D24">
            <w:pPr>
              <w:rPr>
                <w:sz w:val="18"/>
                <w:szCs w:val="18"/>
              </w:rPr>
            </w:pPr>
          </w:p>
        </w:tc>
      </w:tr>
      <w:tr w:rsidR="00B1107F" w:rsidRPr="00C23075" w14:paraId="3EF6868C" w14:textId="77777777" w:rsidTr="001B5022">
        <w:trPr>
          <w:trHeight w:val="57"/>
          <w:jc w:val="right"/>
        </w:trPr>
        <w:tc>
          <w:tcPr>
            <w:tcW w:w="1405" w:type="dxa"/>
            <w:shd w:val="clear" w:color="auto" w:fill="B8CCE4" w:themeFill="accent1" w:themeFillTint="66"/>
          </w:tcPr>
          <w:p w14:paraId="2C50740E" w14:textId="0D65D904" w:rsidR="00B1107F" w:rsidRPr="00C23075" w:rsidRDefault="00B1107F" w:rsidP="00EE7D24">
            <w:pPr>
              <w:rPr>
                <w:b/>
                <w:bCs/>
                <w:sz w:val="18"/>
                <w:szCs w:val="18"/>
              </w:rPr>
            </w:pPr>
            <w:r w:rsidRPr="00C23075">
              <w:rPr>
                <w:b/>
                <w:bCs/>
                <w:sz w:val="18"/>
                <w:szCs w:val="18"/>
              </w:rPr>
              <w:t xml:space="preserve">Secretariat documents </w:t>
            </w:r>
            <w:r w:rsidR="00BC560C" w:rsidRPr="00C23075">
              <w:rPr>
                <w:b/>
                <w:bCs/>
                <w:sz w:val="18"/>
                <w:szCs w:val="18"/>
              </w:rPr>
              <w:t>for</w:t>
            </w:r>
            <w:r w:rsidRPr="00C23075">
              <w:rPr>
                <w:b/>
                <w:bCs/>
                <w:sz w:val="18"/>
                <w:szCs w:val="18"/>
              </w:rPr>
              <w:t xml:space="preserve"> </w:t>
            </w:r>
            <w:r w:rsidR="00250709" w:rsidRPr="00C23075">
              <w:rPr>
                <w:b/>
                <w:bCs/>
                <w:sz w:val="18"/>
                <w:szCs w:val="18"/>
              </w:rPr>
              <w:t>the Conference of the Parties</w:t>
            </w:r>
            <w:r w:rsidRPr="00C23075">
              <w:rPr>
                <w:b/>
                <w:bCs/>
                <w:sz w:val="18"/>
                <w:szCs w:val="18"/>
              </w:rPr>
              <w:t xml:space="preserve">, </w:t>
            </w:r>
            <w:r w:rsidR="00F52C62" w:rsidRPr="00C23075">
              <w:rPr>
                <w:b/>
                <w:bCs/>
                <w:sz w:val="18"/>
                <w:szCs w:val="18"/>
              </w:rPr>
              <w:t xml:space="preserve">in </w:t>
            </w:r>
            <w:r w:rsidRPr="00C23075">
              <w:rPr>
                <w:b/>
                <w:bCs/>
                <w:sz w:val="18"/>
                <w:szCs w:val="18"/>
              </w:rPr>
              <w:t>accord</w:t>
            </w:r>
            <w:r w:rsidR="00F52C62" w:rsidRPr="00C23075">
              <w:rPr>
                <w:b/>
                <w:bCs/>
                <w:sz w:val="18"/>
                <w:szCs w:val="18"/>
              </w:rPr>
              <w:t>ance with</w:t>
            </w:r>
            <w:r w:rsidRPr="00C23075">
              <w:rPr>
                <w:b/>
                <w:bCs/>
                <w:sz w:val="18"/>
                <w:szCs w:val="18"/>
              </w:rPr>
              <w:t xml:space="preserve"> </w:t>
            </w:r>
            <w:r w:rsidR="006A10B9" w:rsidRPr="00C23075">
              <w:rPr>
                <w:b/>
                <w:bCs/>
                <w:sz w:val="18"/>
                <w:szCs w:val="18"/>
              </w:rPr>
              <w:t>a</w:t>
            </w:r>
            <w:r w:rsidRPr="00C23075">
              <w:rPr>
                <w:b/>
                <w:bCs/>
                <w:sz w:val="18"/>
                <w:szCs w:val="18"/>
              </w:rPr>
              <w:t>rticle 22</w:t>
            </w:r>
          </w:p>
        </w:tc>
        <w:tc>
          <w:tcPr>
            <w:tcW w:w="2815" w:type="dxa"/>
            <w:gridSpan w:val="2"/>
            <w:shd w:val="clear" w:color="auto" w:fill="FFFFFF" w:themeFill="background1"/>
          </w:tcPr>
          <w:p w14:paraId="25811966" w14:textId="17431545" w:rsidR="00B1107F" w:rsidRPr="00C23075" w:rsidRDefault="00B1107F" w:rsidP="00EE7D24">
            <w:pPr>
              <w:rPr>
                <w:sz w:val="18"/>
                <w:szCs w:val="18"/>
              </w:rPr>
            </w:pPr>
            <w:r w:rsidRPr="00C23075">
              <w:rPr>
                <w:sz w:val="18"/>
                <w:szCs w:val="18"/>
              </w:rPr>
              <w:t xml:space="preserve">- Report on </w:t>
            </w:r>
            <w:r w:rsidR="006A10B9" w:rsidRPr="00C23075">
              <w:rPr>
                <w:sz w:val="18"/>
                <w:szCs w:val="18"/>
              </w:rPr>
              <w:t>a</w:t>
            </w:r>
            <w:r w:rsidRPr="00C23075">
              <w:rPr>
                <w:sz w:val="18"/>
                <w:szCs w:val="18"/>
              </w:rPr>
              <w:t>rticle 21 reports</w:t>
            </w:r>
          </w:p>
          <w:p w14:paraId="64B82F80" w14:textId="0393AEFE" w:rsidR="00B1107F" w:rsidRPr="00C23075" w:rsidRDefault="00B1107F" w:rsidP="00EE7D24">
            <w:pPr>
              <w:rPr>
                <w:sz w:val="18"/>
                <w:szCs w:val="18"/>
              </w:rPr>
            </w:pPr>
            <w:r w:rsidRPr="00C23075">
              <w:rPr>
                <w:sz w:val="18"/>
                <w:szCs w:val="18"/>
              </w:rPr>
              <w:t xml:space="preserve">- Report of the </w:t>
            </w:r>
            <w:r w:rsidR="00A50785" w:rsidRPr="00C23075">
              <w:rPr>
                <w:sz w:val="18"/>
                <w:szCs w:val="18"/>
              </w:rPr>
              <w:t>Implementation and Compliance Committee</w:t>
            </w:r>
          </w:p>
          <w:p w14:paraId="09032C5A" w14:textId="65AEFB26" w:rsidR="00B1107F" w:rsidRPr="00C23075" w:rsidRDefault="00B1107F" w:rsidP="00EE7D24">
            <w:pPr>
              <w:rPr>
                <w:sz w:val="18"/>
                <w:szCs w:val="18"/>
              </w:rPr>
            </w:pPr>
            <w:r w:rsidRPr="00C23075">
              <w:rPr>
                <w:sz w:val="18"/>
                <w:szCs w:val="18"/>
              </w:rPr>
              <w:t xml:space="preserve">- Reports on the </w:t>
            </w:r>
            <w:r w:rsidR="006A10B9" w:rsidRPr="00C23075">
              <w:rPr>
                <w:sz w:val="18"/>
                <w:szCs w:val="18"/>
              </w:rPr>
              <w:t>f</w:t>
            </w:r>
            <w:r w:rsidRPr="00C23075">
              <w:rPr>
                <w:sz w:val="18"/>
                <w:szCs w:val="18"/>
              </w:rPr>
              <w:t xml:space="preserve">inancial </w:t>
            </w:r>
            <w:r w:rsidR="006A10B9" w:rsidRPr="00C23075">
              <w:rPr>
                <w:sz w:val="18"/>
                <w:szCs w:val="18"/>
              </w:rPr>
              <w:t>m</w:t>
            </w:r>
            <w:r w:rsidRPr="00C23075">
              <w:rPr>
                <w:sz w:val="18"/>
                <w:szCs w:val="18"/>
              </w:rPr>
              <w:t>echanism (</w:t>
            </w:r>
            <w:r w:rsidR="006A10B9" w:rsidRPr="00C23075">
              <w:rPr>
                <w:sz w:val="18"/>
                <w:szCs w:val="18"/>
              </w:rPr>
              <w:t>a</w:t>
            </w:r>
            <w:r w:rsidRPr="00C23075">
              <w:rPr>
                <w:sz w:val="18"/>
                <w:szCs w:val="18"/>
              </w:rPr>
              <w:t>rt</w:t>
            </w:r>
            <w:r w:rsidR="006A10B9" w:rsidRPr="00C23075">
              <w:rPr>
                <w:sz w:val="18"/>
                <w:szCs w:val="18"/>
              </w:rPr>
              <w:t>icle</w:t>
            </w:r>
            <w:r w:rsidRPr="00C23075">
              <w:rPr>
                <w:sz w:val="18"/>
                <w:szCs w:val="18"/>
              </w:rPr>
              <w:t xml:space="preserve"> 13)</w:t>
            </w:r>
          </w:p>
          <w:p w14:paraId="59C92CEB" w14:textId="3C4E3745" w:rsidR="00B1107F" w:rsidRPr="00C23075" w:rsidRDefault="00B1107F" w:rsidP="00EE7D24">
            <w:pPr>
              <w:rPr>
                <w:sz w:val="18"/>
                <w:szCs w:val="18"/>
              </w:rPr>
            </w:pPr>
            <w:r w:rsidRPr="00C23075">
              <w:rPr>
                <w:sz w:val="18"/>
                <w:szCs w:val="18"/>
              </w:rPr>
              <w:t xml:space="preserve">- Reports on </w:t>
            </w:r>
            <w:r w:rsidR="006A10B9" w:rsidRPr="00C23075">
              <w:rPr>
                <w:sz w:val="18"/>
                <w:szCs w:val="18"/>
              </w:rPr>
              <w:t>c</w:t>
            </w:r>
            <w:r w:rsidRPr="00C23075">
              <w:rPr>
                <w:sz w:val="18"/>
                <w:szCs w:val="18"/>
              </w:rPr>
              <w:t>apacity-building, technical assistance and technology transfer (</w:t>
            </w:r>
            <w:r w:rsidR="006A10B9" w:rsidRPr="00C23075">
              <w:rPr>
                <w:sz w:val="18"/>
                <w:szCs w:val="18"/>
              </w:rPr>
              <w:t>a</w:t>
            </w:r>
            <w:r w:rsidRPr="00C23075">
              <w:rPr>
                <w:sz w:val="18"/>
                <w:szCs w:val="18"/>
              </w:rPr>
              <w:t>rt</w:t>
            </w:r>
            <w:r w:rsidR="006A10B9" w:rsidRPr="00C23075">
              <w:rPr>
                <w:sz w:val="18"/>
                <w:szCs w:val="18"/>
              </w:rPr>
              <w:t>icle</w:t>
            </w:r>
            <w:r w:rsidRPr="00C23075">
              <w:rPr>
                <w:sz w:val="18"/>
                <w:szCs w:val="18"/>
              </w:rPr>
              <w:t xml:space="preserve"> 14)</w:t>
            </w:r>
          </w:p>
        </w:tc>
        <w:tc>
          <w:tcPr>
            <w:tcW w:w="2816" w:type="dxa"/>
            <w:shd w:val="clear" w:color="auto" w:fill="FFFFFF" w:themeFill="background1"/>
          </w:tcPr>
          <w:p w14:paraId="15CD245E" w14:textId="1FAB398C" w:rsidR="00B1107F" w:rsidRPr="00C23075" w:rsidRDefault="00B1107F" w:rsidP="00EE7D24">
            <w:pPr>
              <w:rPr>
                <w:sz w:val="18"/>
                <w:szCs w:val="18"/>
              </w:rPr>
            </w:pPr>
            <w:r w:rsidRPr="00C23075">
              <w:rPr>
                <w:sz w:val="18"/>
                <w:szCs w:val="18"/>
              </w:rPr>
              <w:t xml:space="preserve">- Report on </w:t>
            </w:r>
            <w:r w:rsidR="00A50785" w:rsidRPr="00C23075">
              <w:rPr>
                <w:sz w:val="18"/>
                <w:szCs w:val="18"/>
              </w:rPr>
              <w:t>a</w:t>
            </w:r>
            <w:r w:rsidRPr="00C23075">
              <w:rPr>
                <w:sz w:val="18"/>
                <w:szCs w:val="18"/>
              </w:rPr>
              <w:t>rticle 21 reports</w:t>
            </w:r>
          </w:p>
          <w:p w14:paraId="79F8DA53" w14:textId="77777777" w:rsidR="00B1107F" w:rsidRPr="00C23075" w:rsidRDefault="00B1107F" w:rsidP="00EE7D24">
            <w:pPr>
              <w:rPr>
                <w:sz w:val="18"/>
                <w:szCs w:val="18"/>
              </w:rPr>
            </w:pPr>
          </w:p>
        </w:tc>
        <w:tc>
          <w:tcPr>
            <w:tcW w:w="2817" w:type="dxa"/>
            <w:gridSpan w:val="2"/>
            <w:shd w:val="clear" w:color="auto" w:fill="FFFFFF" w:themeFill="background1"/>
          </w:tcPr>
          <w:p w14:paraId="5ADC9A7C" w14:textId="06CB68E2" w:rsidR="00B1107F" w:rsidRPr="00C23075" w:rsidRDefault="003570F7" w:rsidP="00EE7D24">
            <w:pPr>
              <w:rPr>
                <w:sz w:val="18"/>
                <w:szCs w:val="18"/>
              </w:rPr>
            </w:pPr>
            <w:r w:rsidRPr="00C23075">
              <w:rPr>
                <w:sz w:val="18"/>
                <w:szCs w:val="18"/>
              </w:rPr>
              <w:t>Not applicable</w:t>
            </w:r>
          </w:p>
        </w:tc>
        <w:tc>
          <w:tcPr>
            <w:tcW w:w="3097" w:type="dxa"/>
            <w:vMerge/>
            <w:shd w:val="clear" w:color="auto" w:fill="auto"/>
          </w:tcPr>
          <w:p w14:paraId="5C1F7C75" w14:textId="77777777" w:rsidR="00B1107F" w:rsidRPr="00C23075" w:rsidRDefault="00B1107F" w:rsidP="00EE7D24">
            <w:pPr>
              <w:rPr>
                <w:sz w:val="18"/>
                <w:szCs w:val="18"/>
              </w:rPr>
            </w:pPr>
          </w:p>
        </w:tc>
      </w:tr>
      <w:tr w:rsidR="00B1107F" w:rsidRPr="00C23075" w14:paraId="1FEC93CA" w14:textId="77777777" w:rsidTr="001B5022">
        <w:trPr>
          <w:cantSplit/>
          <w:trHeight w:val="57"/>
          <w:jc w:val="right"/>
        </w:trPr>
        <w:tc>
          <w:tcPr>
            <w:tcW w:w="1405" w:type="dxa"/>
            <w:vMerge w:val="restart"/>
            <w:tcBorders>
              <w:bottom w:val="single" w:sz="4" w:space="0" w:color="auto"/>
            </w:tcBorders>
            <w:shd w:val="clear" w:color="auto" w:fill="B8CCE4" w:themeFill="accent1" w:themeFillTint="66"/>
          </w:tcPr>
          <w:p w14:paraId="12946DDF" w14:textId="7FF9E291" w:rsidR="00B1107F" w:rsidRPr="00C23075" w:rsidRDefault="00B1107F" w:rsidP="00EE7D24">
            <w:pPr>
              <w:rPr>
                <w:b/>
                <w:bCs/>
                <w:sz w:val="18"/>
                <w:szCs w:val="18"/>
              </w:rPr>
            </w:pPr>
            <w:r w:rsidRPr="00C23075">
              <w:rPr>
                <w:b/>
                <w:bCs/>
                <w:sz w:val="18"/>
                <w:szCs w:val="18"/>
              </w:rPr>
              <w:t>Reports to be prepared for the Effectiveness Evaluation Committee</w:t>
            </w:r>
          </w:p>
        </w:tc>
        <w:tc>
          <w:tcPr>
            <w:tcW w:w="845" w:type="dxa"/>
            <w:vMerge w:val="restart"/>
            <w:tcBorders>
              <w:bottom w:val="single" w:sz="4" w:space="0" w:color="auto"/>
              <w:right w:val="single" w:sz="4" w:space="0" w:color="auto"/>
            </w:tcBorders>
            <w:shd w:val="clear" w:color="auto" w:fill="FFFFFF" w:themeFill="background1"/>
            <w:textDirection w:val="btLr"/>
          </w:tcPr>
          <w:p w14:paraId="6347C2A6" w14:textId="7F60A54E" w:rsidR="00B1107F" w:rsidRPr="00C23075" w:rsidRDefault="00B1107F" w:rsidP="00EE7D24">
            <w:pPr>
              <w:ind w:left="113" w:right="113"/>
              <w:jc w:val="center"/>
              <w:rPr>
                <w:sz w:val="18"/>
                <w:szCs w:val="18"/>
              </w:rPr>
            </w:pPr>
            <w:r w:rsidRPr="00C23075">
              <w:rPr>
                <w:sz w:val="18"/>
                <w:szCs w:val="18"/>
              </w:rPr>
              <w:t>Levels 1–3</w:t>
            </w:r>
          </w:p>
          <w:p w14:paraId="530354D0" w14:textId="77777777" w:rsidR="00B1107F" w:rsidRPr="00C23075" w:rsidRDefault="00B1107F" w:rsidP="00EE7D24">
            <w:pPr>
              <w:ind w:left="113" w:right="113"/>
              <w:rPr>
                <w:sz w:val="18"/>
                <w:szCs w:val="18"/>
              </w:rPr>
            </w:pPr>
          </w:p>
        </w:tc>
        <w:tc>
          <w:tcPr>
            <w:tcW w:w="4786" w:type="dxa"/>
            <w:gridSpan w:val="2"/>
            <w:vMerge w:val="restart"/>
            <w:tcBorders>
              <w:top w:val="single" w:sz="4" w:space="0" w:color="auto"/>
              <w:left w:val="single" w:sz="4" w:space="0" w:color="auto"/>
              <w:bottom w:val="nil"/>
              <w:right w:val="single" w:sz="4" w:space="0" w:color="auto"/>
            </w:tcBorders>
            <w:shd w:val="clear" w:color="auto" w:fill="auto"/>
          </w:tcPr>
          <w:p w14:paraId="41D988BA" w14:textId="4D7DE514" w:rsidR="00B1107F" w:rsidRPr="00C23075" w:rsidRDefault="00B1107F" w:rsidP="00E3751C">
            <w:pPr>
              <w:rPr>
                <w:i/>
                <w:iCs/>
                <w:sz w:val="18"/>
                <w:szCs w:val="18"/>
              </w:rPr>
            </w:pPr>
            <w:r w:rsidRPr="00C23075">
              <w:rPr>
                <w:sz w:val="18"/>
                <w:szCs w:val="18"/>
              </w:rPr>
              <w:t xml:space="preserve">1. Article 21 </w:t>
            </w:r>
            <w:r w:rsidR="006A10B9" w:rsidRPr="00C23075">
              <w:rPr>
                <w:sz w:val="18"/>
                <w:szCs w:val="18"/>
              </w:rPr>
              <w:t>s</w:t>
            </w:r>
            <w:r w:rsidRPr="00C23075">
              <w:rPr>
                <w:sz w:val="18"/>
                <w:szCs w:val="18"/>
              </w:rPr>
              <w:t xml:space="preserve">ynthesis </w:t>
            </w:r>
            <w:r w:rsidR="006A10B9" w:rsidRPr="00C23075">
              <w:rPr>
                <w:sz w:val="18"/>
                <w:szCs w:val="18"/>
              </w:rPr>
              <w:t>r</w:t>
            </w:r>
            <w:r w:rsidRPr="00C23075">
              <w:rPr>
                <w:sz w:val="18"/>
                <w:szCs w:val="18"/>
              </w:rPr>
              <w:t xml:space="preserve">eport </w:t>
            </w:r>
            <w:r w:rsidR="00E3751C" w:rsidRPr="00C23075">
              <w:rPr>
                <w:sz w:val="18"/>
                <w:szCs w:val="18"/>
              </w:rPr>
              <w:t>on progress made by p</w:t>
            </w:r>
            <w:r w:rsidRPr="00C23075">
              <w:rPr>
                <w:sz w:val="18"/>
                <w:szCs w:val="18"/>
              </w:rPr>
              <w:t xml:space="preserve">arties </w:t>
            </w:r>
            <w:r w:rsidR="00E3751C" w:rsidRPr="00C23075">
              <w:rPr>
                <w:sz w:val="18"/>
                <w:szCs w:val="18"/>
              </w:rPr>
              <w:t>in fulfilling</w:t>
            </w:r>
            <w:r w:rsidRPr="00C23075">
              <w:rPr>
                <w:sz w:val="18"/>
                <w:szCs w:val="18"/>
              </w:rPr>
              <w:t xml:space="preserve"> their </w:t>
            </w:r>
            <w:r w:rsidR="00E3751C" w:rsidRPr="00C23075">
              <w:rPr>
                <w:sz w:val="18"/>
                <w:szCs w:val="18"/>
              </w:rPr>
              <w:t xml:space="preserve">obligations under the </w:t>
            </w:r>
            <w:r w:rsidRPr="00C23075">
              <w:rPr>
                <w:sz w:val="18"/>
                <w:szCs w:val="18"/>
              </w:rPr>
              <w:t>Minamata Convention</w:t>
            </w:r>
            <w:r w:rsidR="00E3751C" w:rsidRPr="00C23075">
              <w:rPr>
                <w:sz w:val="18"/>
                <w:szCs w:val="18"/>
              </w:rPr>
              <w:t xml:space="preserve"> (corresponding indicators in article 21 reports)</w:t>
            </w:r>
          </w:p>
          <w:p w14:paraId="515F2741" w14:textId="203022F1" w:rsidR="00B1107F" w:rsidRPr="00C23075" w:rsidRDefault="00B1107F" w:rsidP="00EE7D24">
            <w:pPr>
              <w:rPr>
                <w:sz w:val="18"/>
                <w:szCs w:val="18"/>
              </w:rPr>
            </w:pPr>
            <w:r w:rsidRPr="00C23075">
              <w:rPr>
                <w:sz w:val="18"/>
                <w:szCs w:val="18"/>
              </w:rPr>
              <w:t xml:space="preserve">2. </w:t>
            </w:r>
            <w:r w:rsidR="00E3751C" w:rsidRPr="00C23075">
              <w:rPr>
                <w:sz w:val="18"/>
                <w:szCs w:val="18"/>
              </w:rPr>
              <w:t>Report on e</w:t>
            </w:r>
            <w:r w:rsidRPr="00C23075">
              <w:rPr>
                <w:sz w:val="18"/>
                <w:szCs w:val="18"/>
              </w:rPr>
              <w:t xml:space="preserve">missions and </w:t>
            </w:r>
            <w:r w:rsidR="006A10B9" w:rsidRPr="00C23075">
              <w:rPr>
                <w:sz w:val="18"/>
                <w:szCs w:val="18"/>
              </w:rPr>
              <w:t>r</w:t>
            </w:r>
            <w:r w:rsidRPr="00C23075">
              <w:rPr>
                <w:sz w:val="18"/>
                <w:szCs w:val="18"/>
              </w:rPr>
              <w:t xml:space="preserve">eleases  </w:t>
            </w:r>
            <w:r w:rsidR="00E3751C" w:rsidRPr="00C23075">
              <w:rPr>
                <w:sz w:val="18"/>
                <w:szCs w:val="18"/>
              </w:rPr>
              <w:t>of m</w:t>
            </w:r>
            <w:r w:rsidRPr="00C23075">
              <w:rPr>
                <w:sz w:val="18"/>
                <w:szCs w:val="18"/>
              </w:rPr>
              <w:t xml:space="preserve">ercury </w:t>
            </w:r>
            <w:r w:rsidR="00E3751C" w:rsidRPr="00C23075">
              <w:rPr>
                <w:sz w:val="18"/>
                <w:szCs w:val="18"/>
              </w:rPr>
              <w:t>in</w:t>
            </w:r>
            <w:r w:rsidRPr="00C23075">
              <w:rPr>
                <w:sz w:val="18"/>
                <w:szCs w:val="18"/>
              </w:rPr>
              <w:t>to the environment</w:t>
            </w:r>
            <w:r w:rsidR="003570F7" w:rsidRPr="00C23075">
              <w:rPr>
                <w:sz w:val="18"/>
                <w:szCs w:val="18"/>
              </w:rPr>
              <w:t xml:space="preserve"> (pressure cluster)</w:t>
            </w:r>
          </w:p>
          <w:p w14:paraId="4A71C0BB" w14:textId="74197AA5" w:rsidR="00B1107F" w:rsidRPr="00C23075" w:rsidRDefault="00B1107F" w:rsidP="00EE7D24">
            <w:pPr>
              <w:rPr>
                <w:i/>
                <w:iCs/>
                <w:sz w:val="18"/>
                <w:szCs w:val="18"/>
              </w:rPr>
            </w:pPr>
            <w:r w:rsidRPr="00C23075">
              <w:rPr>
                <w:sz w:val="18"/>
                <w:szCs w:val="18"/>
              </w:rPr>
              <w:t xml:space="preserve">3. </w:t>
            </w:r>
            <w:r w:rsidR="003570F7" w:rsidRPr="00C23075">
              <w:rPr>
                <w:sz w:val="18"/>
                <w:szCs w:val="18"/>
              </w:rPr>
              <w:t>Report on t</w:t>
            </w:r>
            <w:r w:rsidRPr="00C23075">
              <w:rPr>
                <w:sz w:val="18"/>
                <w:szCs w:val="18"/>
              </w:rPr>
              <w:t>rade</w:t>
            </w:r>
            <w:r w:rsidR="003570F7" w:rsidRPr="00C23075">
              <w:rPr>
                <w:sz w:val="18"/>
                <w:szCs w:val="18"/>
              </w:rPr>
              <w:t xml:space="preserve"> in</w:t>
            </w:r>
            <w:r w:rsidRPr="00C23075">
              <w:rPr>
                <w:sz w:val="18"/>
                <w:szCs w:val="18"/>
              </w:rPr>
              <w:t xml:space="preserve">, </w:t>
            </w:r>
            <w:r w:rsidR="003570F7" w:rsidRPr="00C23075">
              <w:rPr>
                <w:sz w:val="18"/>
                <w:szCs w:val="18"/>
              </w:rPr>
              <w:t xml:space="preserve">the </w:t>
            </w:r>
            <w:r w:rsidR="006A10B9" w:rsidRPr="00C23075">
              <w:rPr>
                <w:sz w:val="18"/>
                <w:szCs w:val="18"/>
              </w:rPr>
              <w:t>s</w:t>
            </w:r>
            <w:r w:rsidRPr="00C23075">
              <w:rPr>
                <w:sz w:val="18"/>
                <w:szCs w:val="18"/>
              </w:rPr>
              <w:t xml:space="preserve">upply </w:t>
            </w:r>
            <w:r w:rsidR="003570F7" w:rsidRPr="00C23075">
              <w:rPr>
                <w:sz w:val="18"/>
                <w:szCs w:val="18"/>
              </w:rPr>
              <w:t xml:space="preserve">of </w:t>
            </w:r>
            <w:r w:rsidRPr="00C23075">
              <w:rPr>
                <w:sz w:val="18"/>
                <w:szCs w:val="18"/>
              </w:rPr>
              <w:t xml:space="preserve">and </w:t>
            </w:r>
            <w:r w:rsidR="006A10B9" w:rsidRPr="00C23075">
              <w:rPr>
                <w:sz w:val="18"/>
                <w:szCs w:val="18"/>
              </w:rPr>
              <w:t>d</w:t>
            </w:r>
            <w:r w:rsidRPr="00C23075">
              <w:rPr>
                <w:sz w:val="18"/>
                <w:szCs w:val="18"/>
              </w:rPr>
              <w:t xml:space="preserve">emand </w:t>
            </w:r>
            <w:r w:rsidR="003570F7" w:rsidRPr="00C23075">
              <w:rPr>
                <w:sz w:val="18"/>
                <w:szCs w:val="18"/>
              </w:rPr>
              <w:t>for mercury in the economy</w:t>
            </w:r>
            <w:r w:rsidRPr="00C23075">
              <w:rPr>
                <w:sz w:val="18"/>
                <w:szCs w:val="18"/>
              </w:rPr>
              <w:t xml:space="preserve"> (</w:t>
            </w:r>
            <w:r w:rsidR="00250709" w:rsidRPr="00C23075">
              <w:rPr>
                <w:sz w:val="18"/>
                <w:szCs w:val="18"/>
              </w:rPr>
              <w:t>s</w:t>
            </w:r>
            <w:r w:rsidRPr="00C23075">
              <w:rPr>
                <w:sz w:val="18"/>
                <w:szCs w:val="18"/>
              </w:rPr>
              <w:t xml:space="preserve">upply and </w:t>
            </w:r>
            <w:r w:rsidR="006A10B9" w:rsidRPr="00C23075">
              <w:rPr>
                <w:sz w:val="18"/>
                <w:szCs w:val="18"/>
              </w:rPr>
              <w:t>d</w:t>
            </w:r>
            <w:r w:rsidRPr="00C23075">
              <w:rPr>
                <w:sz w:val="18"/>
                <w:szCs w:val="18"/>
              </w:rPr>
              <w:t xml:space="preserve">emand </w:t>
            </w:r>
            <w:r w:rsidR="006A10B9" w:rsidRPr="00C23075">
              <w:rPr>
                <w:sz w:val="18"/>
                <w:szCs w:val="18"/>
              </w:rPr>
              <w:t>c</w:t>
            </w:r>
            <w:r w:rsidRPr="00C23075">
              <w:rPr>
                <w:sz w:val="18"/>
                <w:szCs w:val="18"/>
              </w:rPr>
              <w:t>luster)</w:t>
            </w:r>
            <w:r w:rsidRPr="00C23075">
              <w:rPr>
                <w:i/>
                <w:iCs/>
                <w:sz w:val="18"/>
                <w:szCs w:val="18"/>
              </w:rPr>
              <w:t xml:space="preserve"> </w:t>
            </w:r>
            <w:r w:rsidRPr="00C23075">
              <w:rPr>
                <w:sz w:val="18"/>
                <w:szCs w:val="18"/>
              </w:rPr>
              <w:t>“Economic movement of mercury”</w:t>
            </w:r>
          </w:p>
        </w:tc>
        <w:tc>
          <w:tcPr>
            <w:tcW w:w="705" w:type="dxa"/>
            <w:tcBorders>
              <w:left w:val="single" w:sz="4" w:space="0" w:color="auto"/>
              <w:bottom w:val="single" w:sz="4" w:space="0" w:color="auto"/>
            </w:tcBorders>
            <w:shd w:val="clear" w:color="auto" w:fill="FFFFFF" w:themeFill="background1"/>
            <w:textDirection w:val="btLr"/>
          </w:tcPr>
          <w:p w14:paraId="08FB90CA" w14:textId="77777777" w:rsidR="00B1107F" w:rsidRPr="00C23075" w:rsidRDefault="00B1107F" w:rsidP="00EE7D24">
            <w:pPr>
              <w:ind w:left="113" w:right="113"/>
              <w:jc w:val="center"/>
              <w:rPr>
                <w:sz w:val="18"/>
                <w:szCs w:val="18"/>
              </w:rPr>
            </w:pPr>
            <w:r w:rsidRPr="00C23075">
              <w:rPr>
                <w:sz w:val="18"/>
                <w:szCs w:val="18"/>
              </w:rPr>
              <w:t>Level 3</w:t>
            </w:r>
          </w:p>
        </w:tc>
        <w:tc>
          <w:tcPr>
            <w:tcW w:w="2112" w:type="dxa"/>
            <w:tcBorders>
              <w:bottom w:val="single" w:sz="4" w:space="0" w:color="auto"/>
            </w:tcBorders>
            <w:shd w:val="clear" w:color="auto" w:fill="FFFFFF" w:themeFill="background1"/>
          </w:tcPr>
          <w:p w14:paraId="35EE5A78" w14:textId="77777777" w:rsidR="00B1107F" w:rsidRPr="00C23075" w:rsidRDefault="00B1107F" w:rsidP="00EE7D24">
            <w:pPr>
              <w:rPr>
                <w:sz w:val="18"/>
                <w:szCs w:val="18"/>
              </w:rPr>
            </w:pPr>
          </w:p>
          <w:p w14:paraId="14117335" w14:textId="1082FE83" w:rsidR="00B1107F" w:rsidRPr="00C23075" w:rsidRDefault="00B1107F" w:rsidP="00EE7D24">
            <w:pPr>
              <w:rPr>
                <w:sz w:val="18"/>
                <w:szCs w:val="18"/>
              </w:rPr>
            </w:pPr>
            <w:r w:rsidRPr="00C23075">
              <w:rPr>
                <w:sz w:val="18"/>
                <w:szCs w:val="18"/>
              </w:rPr>
              <w:t xml:space="preserve">5. Monitoring </w:t>
            </w:r>
            <w:r w:rsidR="006A10B9" w:rsidRPr="00C23075">
              <w:rPr>
                <w:sz w:val="18"/>
                <w:szCs w:val="18"/>
              </w:rPr>
              <w:t>r</w:t>
            </w:r>
            <w:r w:rsidRPr="00C23075">
              <w:rPr>
                <w:sz w:val="18"/>
                <w:szCs w:val="18"/>
              </w:rPr>
              <w:t>eport</w:t>
            </w:r>
          </w:p>
          <w:p w14:paraId="7C7D61E9" w14:textId="77777777" w:rsidR="00B1107F" w:rsidRPr="00C23075" w:rsidRDefault="00B1107F" w:rsidP="00EE7D24">
            <w:pPr>
              <w:rPr>
                <w:sz w:val="18"/>
                <w:szCs w:val="18"/>
              </w:rPr>
            </w:pPr>
          </w:p>
          <w:p w14:paraId="7122278B" w14:textId="77777777" w:rsidR="00B1107F" w:rsidRPr="00C23075" w:rsidRDefault="00B1107F" w:rsidP="00EE7D24">
            <w:pPr>
              <w:rPr>
                <w:sz w:val="18"/>
                <w:szCs w:val="18"/>
              </w:rPr>
            </w:pPr>
          </w:p>
          <w:p w14:paraId="46540219" w14:textId="77777777" w:rsidR="00B1107F" w:rsidRPr="00C23075" w:rsidRDefault="00B1107F" w:rsidP="00EE7D24">
            <w:pPr>
              <w:rPr>
                <w:sz w:val="18"/>
                <w:szCs w:val="18"/>
              </w:rPr>
            </w:pPr>
          </w:p>
        </w:tc>
        <w:tc>
          <w:tcPr>
            <w:tcW w:w="3097" w:type="dxa"/>
            <w:vMerge/>
            <w:tcBorders>
              <w:bottom w:val="single" w:sz="4" w:space="0" w:color="auto"/>
            </w:tcBorders>
            <w:shd w:val="clear" w:color="auto" w:fill="auto"/>
            <w:textDirection w:val="btLr"/>
          </w:tcPr>
          <w:p w14:paraId="1FE143A3" w14:textId="77777777" w:rsidR="00B1107F" w:rsidRPr="00C23075" w:rsidRDefault="00B1107F" w:rsidP="00EE7D24">
            <w:pPr>
              <w:rPr>
                <w:sz w:val="18"/>
                <w:szCs w:val="18"/>
              </w:rPr>
            </w:pPr>
          </w:p>
        </w:tc>
      </w:tr>
      <w:tr w:rsidR="00B1107F" w:rsidRPr="00C23075" w14:paraId="60746596" w14:textId="77777777" w:rsidTr="001B5022">
        <w:trPr>
          <w:cantSplit/>
          <w:trHeight w:val="207"/>
          <w:jc w:val="right"/>
        </w:trPr>
        <w:tc>
          <w:tcPr>
            <w:tcW w:w="1405" w:type="dxa"/>
            <w:vMerge/>
            <w:shd w:val="clear" w:color="auto" w:fill="B8CCE4" w:themeFill="accent1" w:themeFillTint="66"/>
          </w:tcPr>
          <w:p w14:paraId="51EE827A" w14:textId="77777777" w:rsidR="00B1107F" w:rsidRPr="00C23075" w:rsidRDefault="00B1107F" w:rsidP="00EE7D24">
            <w:pPr>
              <w:rPr>
                <w:b/>
                <w:bCs/>
                <w:sz w:val="18"/>
                <w:szCs w:val="18"/>
              </w:rPr>
            </w:pPr>
          </w:p>
        </w:tc>
        <w:tc>
          <w:tcPr>
            <w:tcW w:w="845" w:type="dxa"/>
            <w:vMerge/>
            <w:tcBorders>
              <w:right w:val="single" w:sz="4" w:space="0" w:color="auto"/>
            </w:tcBorders>
            <w:shd w:val="clear" w:color="auto" w:fill="FFFFFF" w:themeFill="background1"/>
            <w:textDirection w:val="btLr"/>
          </w:tcPr>
          <w:p w14:paraId="461050D8" w14:textId="77777777" w:rsidR="00B1107F" w:rsidRPr="00C23075" w:rsidRDefault="00B1107F" w:rsidP="00EE7D24">
            <w:pPr>
              <w:ind w:left="113" w:right="113"/>
              <w:jc w:val="center"/>
              <w:rPr>
                <w:sz w:val="18"/>
                <w:szCs w:val="18"/>
              </w:rPr>
            </w:pPr>
          </w:p>
        </w:tc>
        <w:tc>
          <w:tcPr>
            <w:tcW w:w="4786" w:type="dxa"/>
            <w:gridSpan w:val="2"/>
            <w:vMerge/>
            <w:tcBorders>
              <w:top w:val="nil"/>
              <w:left w:val="single" w:sz="4" w:space="0" w:color="auto"/>
              <w:bottom w:val="nil"/>
              <w:right w:val="single" w:sz="4" w:space="0" w:color="auto"/>
            </w:tcBorders>
            <w:shd w:val="clear" w:color="auto" w:fill="auto"/>
          </w:tcPr>
          <w:p w14:paraId="7AFA5617" w14:textId="77777777" w:rsidR="00B1107F" w:rsidRPr="00C23075" w:rsidRDefault="00B1107F" w:rsidP="00EE7D24">
            <w:pPr>
              <w:rPr>
                <w:i/>
                <w:iCs/>
                <w:sz w:val="18"/>
                <w:szCs w:val="18"/>
              </w:rPr>
            </w:pPr>
          </w:p>
        </w:tc>
        <w:tc>
          <w:tcPr>
            <w:tcW w:w="705" w:type="dxa"/>
            <w:vMerge w:val="restart"/>
            <w:tcBorders>
              <w:left w:val="single" w:sz="4" w:space="0" w:color="auto"/>
            </w:tcBorders>
            <w:shd w:val="clear" w:color="auto" w:fill="auto"/>
            <w:textDirection w:val="btLr"/>
          </w:tcPr>
          <w:p w14:paraId="6C46C1EE" w14:textId="5EBDC54F" w:rsidR="00B1107F" w:rsidRPr="00C23075" w:rsidRDefault="00B1107F" w:rsidP="00EE7D24">
            <w:pPr>
              <w:ind w:left="113" w:right="113"/>
              <w:jc w:val="center"/>
              <w:rPr>
                <w:sz w:val="18"/>
                <w:szCs w:val="18"/>
                <w:vertAlign w:val="superscript"/>
              </w:rPr>
            </w:pPr>
            <w:r w:rsidRPr="00C23075">
              <w:rPr>
                <w:sz w:val="18"/>
                <w:szCs w:val="18"/>
              </w:rPr>
              <w:t>Level 4</w:t>
            </w:r>
            <w:r w:rsidR="00A50785" w:rsidRPr="00C23075">
              <w:rPr>
                <w:sz w:val="18"/>
                <w:szCs w:val="18"/>
                <w:vertAlign w:val="superscript"/>
              </w:rPr>
              <w:t> </w:t>
            </w:r>
          </w:p>
          <w:p w14:paraId="718AC244" w14:textId="77777777" w:rsidR="00B1107F" w:rsidRPr="00C23075" w:rsidRDefault="00B1107F" w:rsidP="00EE7D24">
            <w:pPr>
              <w:ind w:left="113" w:right="113"/>
              <w:jc w:val="center"/>
              <w:rPr>
                <w:sz w:val="18"/>
                <w:szCs w:val="18"/>
              </w:rPr>
            </w:pPr>
          </w:p>
        </w:tc>
        <w:tc>
          <w:tcPr>
            <w:tcW w:w="2112" w:type="dxa"/>
            <w:vMerge w:val="restart"/>
            <w:shd w:val="clear" w:color="auto" w:fill="auto"/>
          </w:tcPr>
          <w:p w14:paraId="734B9FD0" w14:textId="77777777" w:rsidR="00B1107F" w:rsidRPr="000B0C89" w:rsidRDefault="00B1107F" w:rsidP="00EE7D24">
            <w:pPr>
              <w:rPr>
                <w:sz w:val="18"/>
                <w:szCs w:val="18"/>
                <w:highlight w:val="lightGray"/>
              </w:rPr>
            </w:pPr>
          </w:p>
          <w:p w14:paraId="373EEB2B" w14:textId="462BB7CB" w:rsidR="00B1107F" w:rsidRPr="000B0C89" w:rsidRDefault="00B1107F" w:rsidP="00EE7D24">
            <w:pPr>
              <w:rPr>
                <w:sz w:val="18"/>
                <w:szCs w:val="18"/>
                <w:highlight w:val="lightGray"/>
              </w:rPr>
            </w:pPr>
            <w:r w:rsidRPr="000B0C89">
              <w:rPr>
                <w:sz w:val="18"/>
                <w:szCs w:val="18"/>
                <w:highlight w:val="lightGray"/>
              </w:rPr>
              <w:t xml:space="preserve">6. Attribution </w:t>
            </w:r>
            <w:r w:rsidR="006A10B9" w:rsidRPr="000B0C89">
              <w:rPr>
                <w:sz w:val="18"/>
                <w:szCs w:val="18"/>
                <w:highlight w:val="lightGray"/>
              </w:rPr>
              <w:t>r</w:t>
            </w:r>
            <w:r w:rsidRPr="000B0C89">
              <w:rPr>
                <w:sz w:val="18"/>
                <w:szCs w:val="18"/>
                <w:highlight w:val="lightGray"/>
              </w:rPr>
              <w:t>eport</w:t>
            </w:r>
            <w:r w:rsidR="006E7D41" w:rsidRPr="000B0C89">
              <w:rPr>
                <w:sz w:val="18"/>
                <w:szCs w:val="18"/>
                <w:highlight w:val="lightGray"/>
              </w:rPr>
              <w:t xml:space="preserve"> </w:t>
            </w:r>
          </w:p>
          <w:p w14:paraId="03D0AD29" w14:textId="77777777" w:rsidR="00B1107F" w:rsidRPr="000B0C89" w:rsidRDefault="00B1107F" w:rsidP="00EE7D24">
            <w:pPr>
              <w:rPr>
                <w:sz w:val="18"/>
                <w:szCs w:val="18"/>
                <w:highlight w:val="lightGray"/>
              </w:rPr>
            </w:pPr>
          </w:p>
        </w:tc>
        <w:tc>
          <w:tcPr>
            <w:tcW w:w="3097" w:type="dxa"/>
            <w:vMerge/>
            <w:shd w:val="clear" w:color="auto" w:fill="auto"/>
            <w:textDirection w:val="btLr"/>
          </w:tcPr>
          <w:p w14:paraId="778FBDE1" w14:textId="77777777" w:rsidR="00B1107F" w:rsidRPr="00C23075" w:rsidRDefault="00B1107F" w:rsidP="00EE7D24">
            <w:pPr>
              <w:rPr>
                <w:sz w:val="18"/>
                <w:szCs w:val="18"/>
              </w:rPr>
            </w:pPr>
          </w:p>
        </w:tc>
      </w:tr>
      <w:tr w:rsidR="00B1107F" w:rsidRPr="00C23075" w14:paraId="67CA016E" w14:textId="77777777" w:rsidTr="001B5022">
        <w:trPr>
          <w:cantSplit/>
          <w:trHeight w:val="57"/>
          <w:jc w:val="right"/>
        </w:trPr>
        <w:tc>
          <w:tcPr>
            <w:tcW w:w="1405" w:type="dxa"/>
            <w:vMerge/>
            <w:shd w:val="clear" w:color="auto" w:fill="B8CCE4" w:themeFill="accent1" w:themeFillTint="66"/>
          </w:tcPr>
          <w:p w14:paraId="6C6A0747" w14:textId="77777777" w:rsidR="00B1107F" w:rsidRPr="00C23075" w:rsidRDefault="00B1107F" w:rsidP="00EE7D24">
            <w:pPr>
              <w:rPr>
                <w:b/>
                <w:bCs/>
                <w:sz w:val="18"/>
                <w:szCs w:val="18"/>
              </w:rPr>
            </w:pPr>
          </w:p>
        </w:tc>
        <w:tc>
          <w:tcPr>
            <w:tcW w:w="845" w:type="dxa"/>
            <w:vMerge/>
            <w:tcBorders>
              <w:right w:val="single" w:sz="4" w:space="0" w:color="auto"/>
            </w:tcBorders>
            <w:shd w:val="clear" w:color="auto" w:fill="FFFFFF" w:themeFill="background1"/>
            <w:textDirection w:val="btLr"/>
          </w:tcPr>
          <w:p w14:paraId="3AA61C30" w14:textId="77777777" w:rsidR="00B1107F" w:rsidRPr="00C23075" w:rsidRDefault="00B1107F" w:rsidP="00EE7D24">
            <w:pPr>
              <w:ind w:left="113" w:right="113"/>
              <w:jc w:val="center"/>
              <w:rPr>
                <w:b/>
                <w:bCs/>
                <w:sz w:val="18"/>
                <w:szCs w:val="18"/>
              </w:rPr>
            </w:pPr>
          </w:p>
        </w:tc>
        <w:tc>
          <w:tcPr>
            <w:tcW w:w="4786" w:type="dxa"/>
            <w:gridSpan w:val="2"/>
            <w:tcBorders>
              <w:top w:val="nil"/>
              <w:left w:val="single" w:sz="4" w:space="0" w:color="auto"/>
              <w:bottom w:val="single" w:sz="4" w:space="0" w:color="auto"/>
              <w:right w:val="single" w:sz="4" w:space="0" w:color="auto"/>
            </w:tcBorders>
            <w:shd w:val="clear" w:color="auto" w:fill="auto"/>
          </w:tcPr>
          <w:p w14:paraId="11943EC6" w14:textId="0B739750" w:rsidR="00B1107F" w:rsidRPr="00C23075" w:rsidRDefault="00B1107F" w:rsidP="00EE7D24">
            <w:pPr>
              <w:rPr>
                <w:i/>
                <w:iCs/>
                <w:sz w:val="18"/>
                <w:szCs w:val="18"/>
              </w:rPr>
            </w:pPr>
            <w:r w:rsidRPr="000B0C89">
              <w:rPr>
                <w:sz w:val="18"/>
                <w:szCs w:val="18"/>
                <w:highlight w:val="lightGray"/>
              </w:rPr>
              <w:t xml:space="preserve">4. Waste </w:t>
            </w:r>
            <w:r w:rsidR="006A10B9" w:rsidRPr="000B0C89">
              <w:rPr>
                <w:sz w:val="18"/>
                <w:szCs w:val="18"/>
                <w:highlight w:val="lightGray"/>
              </w:rPr>
              <w:t>r</w:t>
            </w:r>
            <w:r w:rsidRPr="000B0C89">
              <w:rPr>
                <w:sz w:val="18"/>
                <w:szCs w:val="18"/>
                <w:highlight w:val="lightGray"/>
              </w:rPr>
              <w:t>eport (</w:t>
            </w:r>
            <w:r w:rsidR="00250709" w:rsidRPr="000B0C89">
              <w:rPr>
                <w:sz w:val="18"/>
                <w:szCs w:val="18"/>
                <w:highlight w:val="lightGray"/>
              </w:rPr>
              <w:t>s</w:t>
            </w:r>
            <w:r w:rsidRPr="000B0C89">
              <w:rPr>
                <w:sz w:val="18"/>
                <w:szCs w:val="18"/>
                <w:highlight w:val="lightGray"/>
              </w:rPr>
              <w:t xml:space="preserve">upply </w:t>
            </w:r>
            <w:r w:rsidR="003570F7" w:rsidRPr="000B0C89">
              <w:rPr>
                <w:sz w:val="18"/>
                <w:szCs w:val="18"/>
                <w:highlight w:val="lightGray"/>
              </w:rPr>
              <w:t xml:space="preserve">and </w:t>
            </w:r>
            <w:r w:rsidR="006A10B9" w:rsidRPr="000B0C89">
              <w:rPr>
                <w:sz w:val="18"/>
                <w:szCs w:val="18"/>
                <w:highlight w:val="lightGray"/>
              </w:rPr>
              <w:t>d</w:t>
            </w:r>
            <w:r w:rsidRPr="000B0C89">
              <w:rPr>
                <w:sz w:val="18"/>
                <w:szCs w:val="18"/>
                <w:highlight w:val="lightGray"/>
              </w:rPr>
              <w:t xml:space="preserve">emand </w:t>
            </w:r>
            <w:r w:rsidR="003570F7" w:rsidRPr="000B0C89">
              <w:rPr>
                <w:sz w:val="18"/>
                <w:szCs w:val="18"/>
                <w:highlight w:val="lightGray"/>
              </w:rPr>
              <w:t>cluster,</w:t>
            </w:r>
            <w:r w:rsidRPr="000B0C89">
              <w:rPr>
                <w:sz w:val="18"/>
                <w:szCs w:val="18"/>
                <w:highlight w:val="lightGray"/>
              </w:rPr>
              <w:t xml:space="preserve"> </w:t>
            </w:r>
            <w:r w:rsidR="006A10B9" w:rsidRPr="000B0C89">
              <w:rPr>
                <w:sz w:val="18"/>
                <w:szCs w:val="18"/>
                <w:highlight w:val="lightGray"/>
              </w:rPr>
              <w:t>p</w:t>
            </w:r>
            <w:r w:rsidRPr="000B0C89">
              <w:rPr>
                <w:sz w:val="18"/>
                <w:szCs w:val="18"/>
                <w:highlight w:val="lightGray"/>
              </w:rPr>
              <w:t xml:space="preserve">ressure </w:t>
            </w:r>
            <w:r w:rsidR="006A10B9" w:rsidRPr="000B0C89">
              <w:rPr>
                <w:sz w:val="18"/>
                <w:szCs w:val="18"/>
                <w:highlight w:val="lightGray"/>
              </w:rPr>
              <w:t>c</w:t>
            </w:r>
            <w:r w:rsidRPr="000B0C89">
              <w:rPr>
                <w:sz w:val="18"/>
                <w:szCs w:val="18"/>
                <w:highlight w:val="lightGray"/>
              </w:rPr>
              <w:t>lusters) “Mercury remaining in the economy”</w:t>
            </w:r>
            <w:r w:rsidR="006E7D41" w:rsidRPr="00C23075">
              <w:rPr>
                <w:sz w:val="18"/>
                <w:szCs w:val="18"/>
                <w:vertAlign w:val="superscript"/>
              </w:rPr>
              <w:t xml:space="preserve"> </w:t>
            </w:r>
          </w:p>
        </w:tc>
        <w:tc>
          <w:tcPr>
            <w:tcW w:w="705" w:type="dxa"/>
            <w:vMerge/>
            <w:tcBorders>
              <w:left w:val="single" w:sz="4" w:space="0" w:color="auto"/>
            </w:tcBorders>
            <w:shd w:val="clear" w:color="auto" w:fill="auto"/>
            <w:textDirection w:val="btLr"/>
          </w:tcPr>
          <w:p w14:paraId="7F38E387" w14:textId="77777777" w:rsidR="00B1107F" w:rsidRPr="00C23075" w:rsidRDefault="00B1107F" w:rsidP="00EE7D24">
            <w:pPr>
              <w:ind w:left="113" w:right="113"/>
              <w:jc w:val="center"/>
              <w:rPr>
                <w:b/>
                <w:bCs/>
                <w:sz w:val="18"/>
                <w:szCs w:val="18"/>
              </w:rPr>
            </w:pPr>
          </w:p>
        </w:tc>
        <w:tc>
          <w:tcPr>
            <w:tcW w:w="2112" w:type="dxa"/>
            <w:vMerge/>
            <w:shd w:val="clear" w:color="auto" w:fill="auto"/>
          </w:tcPr>
          <w:p w14:paraId="447DBBB0" w14:textId="77777777" w:rsidR="00B1107F" w:rsidRPr="00C23075" w:rsidRDefault="00B1107F" w:rsidP="00EE7D24">
            <w:pPr>
              <w:rPr>
                <w:b/>
                <w:bCs/>
                <w:sz w:val="18"/>
                <w:szCs w:val="18"/>
              </w:rPr>
            </w:pPr>
          </w:p>
        </w:tc>
        <w:tc>
          <w:tcPr>
            <w:tcW w:w="3097" w:type="dxa"/>
            <w:vMerge/>
            <w:shd w:val="clear" w:color="auto" w:fill="auto"/>
            <w:textDirection w:val="btLr"/>
          </w:tcPr>
          <w:p w14:paraId="26961C57" w14:textId="77777777" w:rsidR="00B1107F" w:rsidRPr="00C23075" w:rsidRDefault="00B1107F" w:rsidP="00EE7D24">
            <w:pPr>
              <w:rPr>
                <w:sz w:val="18"/>
                <w:szCs w:val="18"/>
              </w:rPr>
            </w:pPr>
          </w:p>
        </w:tc>
      </w:tr>
      <w:tr w:rsidR="00B1107F" w:rsidRPr="00C23075" w14:paraId="712CCD7E" w14:textId="77777777" w:rsidTr="001B5022">
        <w:trPr>
          <w:cantSplit/>
          <w:trHeight w:val="57"/>
          <w:jc w:val="right"/>
        </w:trPr>
        <w:tc>
          <w:tcPr>
            <w:tcW w:w="1405" w:type="dxa"/>
            <w:shd w:val="clear" w:color="auto" w:fill="B8CCE4" w:themeFill="accent1" w:themeFillTint="66"/>
          </w:tcPr>
          <w:p w14:paraId="4BA5D245" w14:textId="77777777" w:rsidR="00B1107F" w:rsidRPr="00C23075" w:rsidRDefault="00B1107F" w:rsidP="00A50785">
            <w:pPr>
              <w:rPr>
                <w:b/>
                <w:bCs/>
                <w:sz w:val="18"/>
                <w:szCs w:val="18"/>
              </w:rPr>
            </w:pPr>
            <w:r w:rsidRPr="00C23075">
              <w:rPr>
                <w:b/>
                <w:bCs/>
                <w:sz w:val="18"/>
                <w:szCs w:val="18"/>
              </w:rPr>
              <w:t>Outcome</w:t>
            </w:r>
          </w:p>
        </w:tc>
        <w:tc>
          <w:tcPr>
            <w:tcW w:w="11545" w:type="dxa"/>
            <w:gridSpan w:val="6"/>
            <w:shd w:val="clear" w:color="auto" w:fill="auto"/>
          </w:tcPr>
          <w:p w14:paraId="33807DD4" w14:textId="77777777" w:rsidR="00B1107F" w:rsidRPr="00C23075" w:rsidRDefault="00B1107F" w:rsidP="00A50785">
            <w:pPr>
              <w:jc w:val="right"/>
              <w:rPr>
                <w:sz w:val="18"/>
                <w:szCs w:val="18"/>
              </w:rPr>
            </w:pPr>
            <w:r w:rsidRPr="00C23075">
              <w:rPr>
                <w:sz w:val="18"/>
                <w:szCs w:val="18"/>
              </w:rPr>
              <w:t>Level 6</w:t>
            </w:r>
          </w:p>
          <w:p w14:paraId="658D1A0A" w14:textId="1DCD170C" w:rsidR="00B1107F" w:rsidRPr="00C23075" w:rsidRDefault="00B1107F" w:rsidP="00A50785">
            <w:pPr>
              <w:spacing w:after="60"/>
              <w:rPr>
                <w:sz w:val="18"/>
                <w:szCs w:val="18"/>
              </w:rPr>
            </w:pPr>
            <w:r w:rsidRPr="00C23075">
              <w:rPr>
                <w:sz w:val="18"/>
                <w:szCs w:val="18"/>
              </w:rPr>
              <w:t>The Conference of the Parties will consider the findings of the Effectiveness Evaluation Committee on the four policy questions.</w:t>
            </w:r>
          </w:p>
        </w:tc>
      </w:tr>
    </w:tbl>
    <w:p w14:paraId="49AEDDFA" w14:textId="77777777" w:rsidR="006E7D41" w:rsidRPr="0080620A" w:rsidRDefault="006E7D41" w:rsidP="00B1107F">
      <w:pPr>
        <w:rPr>
          <w:rFonts w:asciiTheme="majorBidi" w:eastAsia="Arial Unicode MS" w:hAnsiTheme="majorBidi" w:cstheme="majorBidi"/>
          <w:color w:val="000000"/>
          <w:sz w:val="24"/>
          <w:szCs w:val="24"/>
          <w:u w:color="000000"/>
          <w:bdr w:val="nil"/>
        </w:rPr>
      </w:pPr>
    </w:p>
    <w:p w14:paraId="5ED44F23" w14:textId="7E457538" w:rsidR="006E7D41" w:rsidRPr="0080620A" w:rsidRDefault="006E7D41" w:rsidP="00B1107F">
      <w:pPr>
        <w:rPr>
          <w:rFonts w:asciiTheme="majorBidi" w:eastAsia="Arial Unicode MS" w:hAnsiTheme="majorBidi" w:cstheme="majorBidi"/>
          <w:color w:val="000000"/>
          <w:sz w:val="24"/>
          <w:szCs w:val="24"/>
          <w:u w:color="000000"/>
          <w:bdr w:val="nil"/>
        </w:rPr>
        <w:sectPr w:rsidR="006E7D41" w:rsidRPr="0080620A" w:rsidSect="001B0AA1">
          <w:pgSz w:w="15840" w:h="12240" w:orient="landscape" w:code="1"/>
          <w:pgMar w:top="907" w:right="992" w:bottom="1418" w:left="1418" w:header="539" w:footer="975" w:gutter="0"/>
          <w:cols w:space="708"/>
          <w:docGrid w:linePitch="360"/>
        </w:sectPr>
      </w:pPr>
    </w:p>
    <w:p w14:paraId="11ECCF01" w14:textId="104C81AF"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lastRenderedPageBreak/>
        <w:tab/>
      </w:r>
      <w:r w:rsidR="00483B21" w:rsidRPr="00E52267">
        <w:rPr>
          <w:rFonts w:ascii="Times New Roman" w:hAnsi="Times New Roman" w:cs="Times New Roman"/>
        </w:rPr>
        <w:t>II</w:t>
      </w:r>
      <w:r w:rsidR="00992554" w:rsidRPr="00E52267">
        <w:rPr>
          <w:rFonts w:ascii="Times New Roman" w:hAnsi="Times New Roman" w:cs="Times New Roman"/>
        </w:rPr>
        <w:t>I</w:t>
      </w:r>
      <w:r w:rsidR="00483B21" w:rsidRPr="00E52267">
        <w:rPr>
          <w:rFonts w:ascii="Times New Roman" w:hAnsi="Times New Roman" w:cs="Times New Roman"/>
        </w:rPr>
        <w:t>.</w:t>
      </w:r>
      <w:r w:rsidR="00483B21" w:rsidRPr="00E52267">
        <w:rPr>
          <w:rFonts w:ascii="Times New Roman" w:hAnsi="Times New Roman" w:cs="Times New Roman"/>
        </w:rPr>
        <w:tab/>
      </w:r>
      <w:r w:rsidR="00B1107F" w:rsidRPr="00E52267">
        <w:rPr>
          <w:rFonts w:ascii="Times New Roman" w:hAnsi="Times New Roman" w:cs="Times New Roman"/>
        </w:rPr>
        <w:t xml:space="preserve">Proposed methodology and schedule for the </w:t>
      </w:r>
      <w:r w:rsidR="0097631A" w:rsidRPr="00E52267">
        <w:rPr>
          <w:rFonts w:ascii="Times New Roman" w:hAnsi="Times New Roman" w:cs="Times New Roman"/>
        </w:rPr>
        <w:t xml:space="preserve">effectiveness </w:t>
      </w:r>
      <w:r w:rsidR="00B1107F" w:rsidRPr="00E52267">
        <w:rPr>
          <w:rFonts w:ascii="Times New Roman" w:hAnsi="Times New Roman" w:cs="Times New Roman"/>
        </w:rPr>
        <w:t>evaluation</w:t>
      </w:r>
    </w:p>
    <w:p w14:paraId="30A13C56" w14:textId="210ACE64" w:rsidR="00B1107F" w:rsidRPr="0080620A" w:rsidRDefault="00B66A03" w:rsidP="00B66A03">
      <w:pPr>
        <w:pStyle w:val="CH2"/>
      </w:pPr>
      <w:r w:rsidRPr="0080620A">
        <w:tab/>
        <w:t>A</w:t>
      </w:r>
      <w:r w:rsidR="00B1107F" w:rsidRPr="0080620A">
        <w:t>.</w:t>
      </w:r>
      <w:r w:rsidRPr="0080620A">
        <w:tab/>
      </w:r>
      <w:r w:rsidR="00B1107F" w:rsidRPr="0080620A">
        <w:t>Information and analysis flow for the proposed effectiveness evaluation</w:t>
      </w:r>
    </w:p>
    <w:p w14:paraId="45F4B529" w14:textId="6D0C4CF9" w:rsidR="00B1107F" w:rsidRPr="0080620A" w:rsidRDefault="00B1107F" w:rsidP="009E249F">
      <w:pPr>
        <w:pStyle w:val="Normalnumber"/>
      </w:pPr>
      <w:r w:rsidRPr="0080620A">
        <w:t>The effectiveness evaluation will be carried out through a series of sequential steps of data identification and collection, compilation of information, assessment, analysis, synthesis, attribution (if possible) and integration. The framework presents the flow of information, beginning with identifying and collecting information, to compiling information, to synthesi</w:t>
      </w:r>
      <w:r w:rsidR="002677DD">
        <w:t>zing</w:t>
      </w:r>
      <w:r w:rsidRPr="0080620A">
        <w:t xml:space="preserve"> information (levels 1 to 3). The framework then foresees an attribution function (level 4) before reaching the Effectiveness Evaluation Committee (level 5)</w:t>
      </w:r>
      <w:r w:rsidR="000704ED" w:rsidRPr="0080620A">
        <w:t>,</w:t>
      </w:r>
      <w:r w:rsidRPr="0080620A">
        <w:t xml:space="preserve"> where information will be integrated to allow the Committee to formulate its findings for the consideration of the Conference of the Parties (level 6). The </w:t>
      </w:r>
      <w:r w:rsidR="00B3712E">
        <w:t xml:space="preserve">flow of information and analysis along the </w:t>
      </w:r>
      <w:r w:rsidR="000D0C86" w:rsidRPr="0080620A">
        <w:t xml:space="preserve">various levels </w:t>
      </w:r>
      <w:r w:rsidR="00B3712E">
        <w:t>is</w:t>
      </w:r>
      <w:r w:rsidRPr="0080620A">
        <w:t xml:space="preserve"> </w:t>
      </w:r>
      <w:r w:rsidR="003B7AB6" w:rsidRPr="0080620A">
        <w:t xml:space="preserve">depicted </w:t>
      </w:r>
      <w:r w:rsidRPr="0080620A">
        <w:t xml:space="preserve">in </w:t>
      </w:r>
      <w:r w:rsidR="00E537C4" w:rsidRPr="0080620A">
        <w:t>figure</w:t>
      </w:r>
      <w:r w:rsidRPr="0080620A">
        <w:t xml:space="preserve"> 1</w:t>
      </w:r>
      <w:r w:rsidR="003974EB" w:rsidRPr="0080620A">
        <w:t>, below,</w:t>
      </w:r>
      <w:r w:rsidRPr="0080620A">
        <w:t xml:space="preserve"> and explained in more detail thereafter</w:t>
      </w:r>
      <w:r w:rsidR="000C7164" w:rsidRPr="0080620A">
        <w:t>.</w:t>
      </w:r>
    </w:p>
    <w:p w14:paraId="67F49E43" w14:textId="1DA3A6D3" w:rsidR="00E537C4" w:rsidRPr="0080620A" w:rsidRDefault="00E537C4" w:rsidP="001B0AA1">
      <w:pPr>
        <w:pStyle w:val="Titlefigure"/>
        <w:rPr>
          <w:bCs/>
        </w:rPr>
      </w:pPr>
      <w:r w:rsidRPr="001B0AA1">
        <w:rPr>
          <w:b w:val="0"/>
        </w:rPr>
        <w:t xml:space="preserve">Figure </w:t>
      </w:r>
      <w:r w:rsidRPr="001B0AA1">
        <w:rPr>
          <w:b w:val="0"/>
        </w:rPr>
        <w:fldChar w:fldCharType="begin"/>
      </w:r>
      <w:r w:rsidRPr="001B0AA1">
        <w:rPr>
          <w:b w:val="0"/>
        </w:rPr>
        <w:instrText xml:space="preserve"> SEQ Figure \* ARABIC </w:instrText>
      </w:r>
      <w:r w:rsidRPr="001B0AA1">
        <w:rPr>
          <w:b w:val="0"/>
        </w:rPr>
        <w:fldChar w:fldCharType="separate"/>
      </w:r>
      <w:r w:rsidR="00A929BE">
        <w:rPr>
          <w:b w:val="0"/>
          <w:noProof/>
        </w:rPr>
        <w:t>1</w:t>
      </w:r>
      <w:r w:rsidRPr="001B0AA1">
        <w:rPr>
          <w:b w:val="0"/>
        </w:rPr>
        <w:fldChar w:fldCharType="end"/>
      </w:r>
      <w:r w:rsidR="001B0AA1">
        <w:t xml:space="preserve"> </w:t>
      </w:r>
      <w:r w:rsidR="001B0AA1">
        <w:br/>
      </w:r>
      <w:r w:rsidRPr="0080620A">
        <w:rPr>
          <w:bCs/>
        </w:rPr>
        <w:t>Information and analysis flow</w:t>
      </w:r>
    </w:p>
    <w:p w14:paraId="3B1FD014" w14:textId="0BF1E29F" w:rsidR="00D800F1" w:rsidRPr="0080620A" w:rsidRDefault="00D800F1" w:rsidP="001B5022">
      <w:pPr>
        <w:rPr>
          <w:sz w:val="24"/>
          <w:szCs w:val="24"/>
        </w:rPr>
      </w:pPr>
      <w:r>
        <w:rPr>
          <w:noProof/>
          <w:lang w:eastAsia="en-GB"/>
        </w:rPr>
        <w:drawing>
          <wp:inline distT="0" distB="0" distL="0" distR="0" wp14:anchorId="711B1769" wp14:editId="75E9B436">
            <wp:extent cx="6030595" cy="3842385"/>
            <wp:effectExtent l="0" t="0" r="825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30595" cy="3842385"/>
                    </a:xfrm>
                    <a:prstGeom prst="rect">
                      <a:avLst/>
                    </a:prstGeom>
                  </pic:spPr>
                </pic:pic>
              </a:graphicData>
            </a:graphic>
          </wp:inline>
        </w:drawing>
      </w:r>
    </w:p>
    <w:p w14:paraId="3D94B7B8" w14:textId="1A750CBA" w:rsidR="00E537C4" w:rsidRPr="001B0AA1" w:rsidRDefault="00E537C4" w:rsidP="001B0AA1">
      <w:pPr>
        <w:pStyle w:val="Titlefigure"/>
        <w:rPr>
          <w:b w:val="0"/>
          <w:sz w:val="17"/>
          <w:szCs w:val="17"/>
        </w:rPr>
      </w:pPr>
      <w:r w:rsidRPr="001B0AA1">
        <w:rPr>
          <w:b w:val="0"/>
          <w:i/>
          <w:iCs/>
          <w:sz w:val="17"/>
          <w:szCs w:val="17"/>
        </w:rPr>
        <w:t>Abbreviations</w:t>
      </w:r>
      <w:r w:rsidRPr="001B0AA1">
        <w:rPr>
          <w:b w:val="0"/>
          <w:sz w:val="17"/>
          <w:szCs w:val="17"/>
        </w:rPr>
        <w:t>: COP, Conference of the Parties.</w:t>
      </w:r>
    </w:p>
    <w:p w14:paraId="00B2C6E3" w14:textId="4F65C16A" w:rsidR="00B1107F" w:rsidRPr="0080620A" w:rsidRDefault="00B1107F" w:rsidP="00740F92">
      <w:pPr>
        <w:pStyle w:val="Normalnumber"/>
        <w:numPr>
          <w:ilvl w:val="0"/>
          <w:numId w:val="40"/>
        </w:numPr>
        <w:tabs>
          <w:tab w:val="left" w:pos="624"/>
        </w:tabs>
        <w:ind w:firstLine="624"/>
      </w:pPr>
      <w:r w:rsidRPr="0080620A">
        <w:t xml:space="preserve">Level 1 – </w:t>
      </w:r>
      <w:r w:rsidR="00D05805" w:rsidRPr="0080620A">
        <w:t>identification</w:t>
      </w:r>
      <w:r w:rsidRPr="0080620A">
        <w:t xml:space="preserve">: As a first step, information resources available to support the effectiveness evaluation will be identified and gathered. This will include </w:t>
      </w:r>
      <w:r w:rsidR="003974EB" w:rsidRPr="0080620A">
        <w:t>the</w:t>
      </w:r>
      <w:r w:rsidRPr="0080620A">
        <w:t xml:space="preserve"> </w:t>
      </w:r>
      <w:r w:rsidR="00833217" w:rsidRPr="0080620A">
        <w:t xml:space="preserve">following </w:t>
      </w:r>
      <w:r w:rsidRPr="0080620A">
        <w:t xml:space="preserve">reports mandated by the Convention: reports </w:t>
      </w:r>
      <w:r w:rsidR="003974EB" w:rsidRPr="0080620A">
        <w:t xml:space="preserve">from parties </w:t>
      </w:r>
      <w:r w:rsidR="00833217" w:rsidRPr="0080620A">
        <w:t>(</w:t>
      </w:r>
      <w:r w:rsidRPr="0080620A">
        <w:t xml:space="preserve">per </w:t>
      </w:r>
      <w:r w:rsidR="008B13C9" w:rsidRPr="0080620A">
        <w:t>a</w:t>
      </w:r>
      <w:r w:rsidRPr="0080620A">
        <w:t>rticle 21</w:t>
      </w:r>
      <w:r w:rsidR="00833217" w:rsidRPr="0080620A">
        <w:t>)</w:t>
      </w:r>
      <w:r w:rsidRPr="0080620A">
        <w:t xml:space="preserve">; reports of the Implementation and Compliance Committee </w:t>
      </w:r>
      <w:r w:rsidR="00833217" w:rsidRPr="0080620A">
        <w:t>(</w:t>
      </w:r>
      <w:r w:rsidRPr="0080620A">
        <w:t xml:space="preserve">per </w:t>
      </w:r>
      <w:r w:rsidR="008B13C9" w:rsidRPr="0080620A">
        <w:t>a</w:t>
      </w:r>
      <w:r w:rsidRPr="0080620A">
        <w:t>rticle 15</w:t>
      </w:r>
      <w:r w:rsidR="00833217" w:rsidRPr="0080620A">
        <w:t>)</w:t>
      </w:r>
      <w:r w:rsidRPr="0080620A">
        <w:t xml:space="preserve">; reports on the financial mechanism </w:t>
      </w:r>
      <w:r w:rsidR="00833217" w:rsidRPr="0080620A">
        <w:t>(</w:t>
      </w:r>
      <w:r w:rsidRPr="0080620A">
        <w:t xml:space="preserve">per </w:t>
      </w:r>
      <w:r w:rsidR="008B13C9" w:rsidRPr="0080620A">
        <w:t>a</w:t>
      </w:r>
      <w:r w:rsidRPr="0080620A">
        <w:t>rticle 13</w:t>
      </w:r>
      <w:r w:rsidR="00833217" w:rsidRPr="0080620A">
        <w:t>)</w:t>
      </w:r>
      <w:r w:rsidRPr="0080620A">
        <w:t xml:space="preserve">; reports on capacity-building, technical assistance and technology transfer </w:t>
      </w:r>
      <w:r w:rsidR="00833217" w:rsidRPr="0080620A">
        <w:t>(</w:t>
      </w:r>
      <w:r w:rsidRPr="0080620A">
        <w:t xml:space="preserve">per </w:t>
      </w:r>
      <w:r w:rsidR="008B13C9" w:rsidRPr="0080620A">
        <w:t>a</w:t>
      </w:r>
      <w:r w:rsidRPr="0080620A">
        <w:t>rticle 14</w:t>
      </w:r>
      <w:r w:rsidR="00833217" w:rsidRPr="0080620A">
        <w:t>)</w:t>
      </w:r>
      <w:r w:rsidRPr="0080620A">
        <w:t xml:space="preserve">; emission inventories </w:t>
      </w:r>
      <w:r w:rsidR="00833217" w:rsidRPr="0080620A">
        <w:t>(</w:t>
      </w:r>
      <w:r w:rsidR="003974EB" w:rsidRPr="0080620A">
        <w:t xml:space="preserve">per </w:t>
      </w:r>
      <w:r w:rsidR="00883B5B" w:rsidRPr="0080620A">
        <w:t>a</w:t>
      </w:r>
      <w:r w:rsidRPr="0080620A">
        <w:t>rticle 8</w:t>
      </w:r>
      <w:r w:rsidR="00833217" w:rsidRPr="0080620A">
        <w:t>)</w:t>
      </w:r>
      <w:r w:rsidR="008E1B97" w:rsidRPr="0080620A">
        <w:t>;</w:t>
      </w:r>
      <w:r w:rsidRPr="0080620A">
        <w:t xml:space="preserve"> release inventories </w:t>
      </w:r>
      <w:r w:rsidR="008E1B97" w:rsidRPr="0080620A">
        <w:t>(</w:t>
      </w:r>
      <w:r w:rsidR="003974EB" w:rsidRPr="0080620A">
        <w:t xml:space="preserve">per </w:t>
      </w:r>
      <w:r w:rsidR="00883B5B" w:rsidRPr="0080620A">
        <w:t>a</w:t>
      </w:r>
      <w:r w:rsidRPr="0080620A">
        <w:t>rticle 9</w:t>
      </w:r>
      <w:r w:rsidR="008E1B97" w:rsidRPr="0080620A">
        <w:t>)</w:t>
      </w:r>
      <w:r w:rsidRPr="0080620A">
        <w:t xml:space="preserve">; and </w:t>
      </w:r>
      <w:r w:rsidR="008E1B97" w:rsidRPr="0080620A">
        <w:t xml:space="preserve">reports on progress in implementing national action plans on </w:t>
      </w:r>
      <w:r w:rsidR="00883B5B" w:rsidRPr="0080620A">
        <w:t xml:space="preserve">artisanal and small-scale gold mining </w:t>
      </w:r>
      <w:r w:rsidR="008E1B97" w:rsidRPr="0080620A">
        <w:t>(</w:t>
      </w:r>
      <w:r w:rsidR="003974EB" w:rsidRPr="0080620A">
        <w:t xml:space="preserve">per </w:t>
      </w:r>
      <w:r w:rsidR="00883B5B" w:rsidRPr="0080620A">
        <w:t>a</w:t>
      </w:r>
      <w:r w:rsidRPr="0080620A">
        <w:t>rticle 7</w:t>
      </w:r>
      <w:r w:rsidR="008E1B97" w:rsidRPr="0080620A">
        <w:t>)</w:t>
      </w:r>
      <w:r w:rsidRPr="0080620A">
        <w:t xml:space="preserve">. It may also include other relevant submissions. </w:t>
      </w:r>
    </w:p>
    <w:p w14:paraId="6584905C" w14:textId="5AE40D7C" w:rsidR="00B1107F" w:rsidRPr="0080620A" w:rsidRDefault="00FF564D" w:rsidP="00740F92">
      <w:pPr>
        <w:pStyle w:val="Normalnumber"/>
        <w:numPr>
          <w:ilvl w:val="0"/>
          <w:numId w:val="0"/>
        </w:numPr>
        <w:tabs>
          <w:tab w:val="left" w:pos="624"/>
        </w:tabs>
        <w:ind w:left="1247"/>
      </w:pPr>
      <w:r w:rsidRPr="0080620A">
        <w:t xml:space="preserve">As </w:t>
      </w:r>
      <w:r w:rsidR="00B1107F" w:rsidRPr="0080620A">
        <w:t>reporting may be incomplete, these reports will be supplemented by other available scientific, environmental, technical, financial and economic information</w:t>
      </w:r>
      <w:r w:rsidR="00CB5673" w:rsidRPr="0080620A">
        <w:t>,</w:t>
      </w:r>
      <w:r w:rsidR="00B1107F" w:rsidRPr="0080620A">
        <w:t xml:space="preserve"> per </w:t>
      </w:r>
      <w:r w:rsidR="00883B5B" w:rsidRPr="0080620A">
        <w:t>a</w:t>
      </w:r>
      <w:r w:rsidR="00B1107F" w:rsidRPr="0080620A">
        <w:t>rticle 22</w:t>
      </w:r>
      <w:r w:rsidR="00883B5B" w:rsidRPr="0080620A">
        <w:t>,</w:t>
      </w:r>
      <w:r w:rsidR="00B1107F" w:rsidRPr="0080620A">
        <w:t xml:space="preserve"> paragraph 3</w:t>
      </w:r>
      <w:r w:rsidR="00883B5B" w:rsidRPr="0080620A">
        <w:t>,</w:t>
      </w:r>
      <w:r w:rsidR="00B1107F" w:rsidRPr="0080620A">
        <w:rPr>
          <w:lang w:eastAsia="ja-JP"/>
        </w:rPr>
        <w:t xml:space="preserve"> and </w:t>
      </w:r>
      <w:r w:rsidR="00883B5B" w:rsidRPr="0080620A">
        <w:rPr>
          <w:lang w:eastAsia="ja-JP"/>
        </w:rPr>
        <w:t>a</w:t>
      </w:r>
      <w:r w:rsidR="00B1107F" w:rsidRPr="0080620A">
        <w:rPr>
          <w:lang w:eastAsia="ja-JP"/>
        </w:rPr>
        <w:t>rticle 19.</w:t>
      </w:r>
    </w:p>
    <w:p w14:paraId="29A30579" w14:textId="1D271ADA" w:rsidR="00B1107F" w:rsidRPr="0080620A" w:rsidRDefault="00B1107F" w:rsidP="00740F92">
      <w:pPr>
        <w:pStyle w:val="Normalnumber"/>
        <w:numPr>
          <w:ilvl w:val="0"/>
          <w:numId w:val="0"/>
        </w:numPr>
        <w:tabs>
          <w:tab w:val="left" w:pos="624"/>
        </w:tabs>
        <w:ind w:left="1247"/>
      </w:pPr>
      <w:r w:rsidRPr="0080620A">
        <w:t>Clear criteria for th</w:t>
      </w:r>
      <w:r w:rsidR="00FF564D" w:rsidRPr="0080620A">
        <w:t>e information identified at this level</w:t>
      </w:r>
      <w:r w:rsidRPr="0080620A">
        <w:t xml:space="preserve"> should be maintained (e.g.</w:t>
      </w:r>
      <w:r w:rsidR="00883B5B" w:rsidRPr="0080620A">
        <w:t>,</w:t>
      </w:r>
      <w:r w:rsidRPr="0080620A">
        <w:t xml:space="preserve"> including peer-reviewed research articles and official publications such as national reports). The global monitoring arrangements</w:t>
      </w:r>
      <w:r w:rsidR="007A6DEC" w:rsidRPr="0080620A">
        <w:t>, which</w:t>
      </w:r>
      <w:r w:rsidRPr="0080620A">
        <w:t xml:space="preserve"> are specified in </w:t>
      </w:r>
      <w:r w:rsidR="00883B5B" w:rsidRPr="0080620A">
        <w:t>a</w:t>
      </w:r>
      <w:r w:rsidRPr="0080620A">
        <w:t xml:space="preserve">ppendix </w:t>
      </w:r>
      <w:r w:rsidR="00883B5B" w:rsidRPr="0080620A">
        <w:t>III</w:t>
      </w:r>
      <w:r w:rsidR="007A6DEC" w:rsidRPr="0080620A">
        <w:t>,</w:t>
      </w:r>
      <w:r w:rsidRPr="0080620A">
        <w:t xml:space="preserve"> will determine which monitoring information will be included in the effectiveness evaluation. </w:t>
      </w:r>
    </w:p>
    <w:p w14:paraId="6E15AF0C" w14:textId="64C687ED" w:rsidR="00B1107F" w:rsidRPr="0080620A" w:rsidRDefault="00B1107F" w:rsidP="00740F92">
      <w:pPr>
        <w:pStyle w:val="Normalnumber"/>
        <w:numPr>
          <w:ilvl w:val="0"/>
          <w:numId w:val="40"/>
        </w:numPr>
        <w:tabs>
          <w:tab w:val="left" w:pos="624"/>
        </w:tabs>
        <w:ind w:firstLine="624"/>
      </w:pPr>
      <w:r w:rsidRPr="0080620A">
        <w:t xml:space="preserve">Level 2 – </w:t>
      </w:r>
      <w:r w:rsidR="000C7164" w:rsidRPr="0080620A">
        <w:t>c</w:t>
      </w:r>
      <w:r w:rsidRPr="0080620A">
        <w:t xml:space="preserve">ompilation: </w:t>
      </w:r>
      <w:r w:rsidR="00FF564D" w:rsidRPr="0080620A">
        <w:t xml:space="preserve">The </w:t>
      </w:r>
      <w:r w:rsidRPr="0080620A">
        <w:t xml:space="preserve">data </w:t>
      </w:r>
      <w:r w:rsidR="00FF564D" w:rsidRPr="0080620A">
        <w:t xml:space="preserve">relevant to </w:t>
      </w:r>
      <w:r w:rsidRPr="0080620A">
        <w:t xml:space="preserve">the effectiveness evaluation will be extracted from the selected resources and compiled into a format that will enable their use in the </w:t>
      </w:r>
      <w:r w:rsidRPr="0080620A">
        <w:lastRenderedPageBreak/>
        <w:t xml:space="preserve">subsequent </w:t>
      </w:r>
      <w:r w:rsidR="004573B3" w:rsidRPr="0080620A">
        <w:t>attribution</w:t>
      </w:r>
      <w:r w:rsidRPr="0080620A">
        <w:t xml:space="preserve"> and </w:t>
      </w:r>
      <w:r w:rsidR="004573B3" w:rsidRPr="0080620A">
        <w:t>integration</w:t>
      </w:r>
      <w:r w:rsidRPr="0080620A">
        <w:t xml:space="preserve"> stages. Quality control of data should be conducted at this stage. For monitoring data, this may include the compilation of monitoring data into a global/central database with a consistent format, common quality control/quality assurance procedures, </w:t>
      </w:r>
      <w:r w:rsidR="00CB5673" w:rsidRPr="0080620A">
        <w:t xml:space="preserve">an </w:t>
      </w:r>
      <w:r w:rsidRPr="0080620A">
        <w:t>assessment of confidence and other relevant elements.</w:t>
      </w:r>
    </w:p>
    <w:p w14:paraId="2226BE88" w14:textId="53AEEE0B" w:rsidR="00B1107F" w:rsidRPr="0080620A" w:rsidRDefault="00B1107F" w:rsidP="00740F92">
      <w:pPr>
        <w:pStyle w:val="Normalnumber"/>
        <w:numPr>
          <w:ilvl w:val="0"/>
          <w:numId w:val="40"/>
        </w:numPr>
        <w:tabs>
          <w:tab w:val="left" w:pos="624"/>
        </w:tabs>
        <w:ind w:firstLine="624"/>
      </w:pPr>
      <w:r w:rsidRPr="0080620A">
        <w:t xml:space="preserve">Level 3 – </w:t>
      </w:r>
      <w:r w:rsidR="005738B8" w:rsidRPr="0080620A">
        <w:t>s</w:t>
      </w:r>
      <w:r w:rsidRPr="0080620A">
        <w:t>ynthesis: The compiled data will be used to create a set of reports that synthesize the information</w:t>
      </w:r>
      <w:r w:rsidR="000D0C86" w:rsidRPr="0080620A">
        <w:t xml:space="preserve"> </w:t>
      </w:r>
      <w:r w:rsidR="00B84CC5" w:rsidRPr="0080620A">
        <w:t>collected and</w:t>
      </w:r>
      <w:r w:rsidRPr="0080620A">
        <w:t xml:space="preserve"> inform the </w:t>
      </w:r>
      <w:r w:rsidR="00B84CC5" w:rsidRPr="0080620A">
        <w:t xml:space="preserve">answers to the </w:t>
      </w:r>
      <w:r w:rsidRPr="0080620A">
        <w:t xml:space="preserve">four policy questions. </w:t>
      </w:r>
      <w:r w:rsidR="006302E4" w:rsidRPr="0080620A">
        <w:t>In the light of</w:t>
      </w:r>
      <w:r w:rsidRPr="0080620A">
        <w:t xml:space="preserve"> </w:t>
      </w:r>
      <w:r w:rsidR="00CB5673" w:rsidRPr="0080620A">
        <w:t xml:space="preserve">the desire of </w:t>
      </w:r>
      <w:r w:rsidRPr="0080620A">
        <w:t xml:space="preserve">the Conference of the Parties that the evaluation  provide an integrative picture of the general effectiveness of the Convention, </w:t>
      </w:r>
      <w:r w:rsidR="006302E4" w:rsidRPr="0080620A">
        <w:t xml:space="preserve">as expressed in the </w:t>
      </w:r>
      <w:r w:rsidR="00DE6966" w:rsidRPr="0080620A">
        <w:t xml:space="preserve">amended mandate of </w:t>
      </w:r>
      <w:r w:rsidRPr="0080620A">
        <w:t xml:space="preserve">the ad hoc technical expert group </w:t>
      </w:r>
      <w:r w:rsidR="00DE6966" w:rsidRPr="0080620A">
        <w:t xml:space="preserve">in decision MC-2/10, the group </w:t>
      </w:r>
      <w:r w:rsidR="00CB5673" w:rsidRPr="0080620A">
        <w:t>anticipates</w:t>
      </w:r>
      <w:r w:rsidRPr="0080620A">
        <w:t xml:space="preserve"> that the following synthesis reports will be required (see </w:t>
      </w:r>
      <w:r w:rsidR="005738B8" w:rsidRPr="0080620A">
        <w:t>a</w:t>
      </w:r>
      <w:r w:rsidRPr="0080620A">
        <w:t xml:space="preserve">ppendix </w:t>
      </w:r>
      <w:r w:rsidR="00883B5B" w:rsidRPr="0080620A">
        <w:t>IV</w:t>
      </w:r>
      <w:r w:rsidRPr="0080620A">
        <w:t xml:space="preserve"> for descriptions of all reports to be prepared for the Effectiveness Evaluation Committee): </w:t>
      </w:r>
    </w:p>
    <w:p w14:paraId="43681AF5" w14:textId="060F1752" w:rsidR="00B1107F" w:rsidRPr="0080620A" w:rsidRDefault="00B1107F" w:rsidP="00740F92">
      <w:pPr>
        <w:pStyle w:val="Normalnumber"/>
        <w:numPr>
          <w:ilvl w:val="0"/>
          <w:numId w:val="41"/>
        </w:numPr>
        <w:ind w:left="3119" w:hanging="624"/>
      </w:pPr>
      <w:r w:rsidRPr="0080620A">
        <w:t xml:space="preserve">The </w:t>
      </w:r>
      <w:r w:rsidR="00250709" w:rsidRPr="0080620A">
        <w:t>a</w:t>
      </w:r>
      <w:r w:rsidRPr="0080620A">
        <w:t xml:space="preserve">rticle 21 </w:t>
      </w:r>
      <w:r w:rsidR="00250709" w:rsidRPr="0080620A">
        <w:t>s</w:t>
      </w:r>
      <w:r w:rsidRPr="0080620A">
        <w:t xml:space="preserve">ynthesis </w:t>
      </w:r>
      <w:r w:rsidR="00250709" w:rsidRPr="0080620A">
        <w:t>r</w:t>
      </w:r>
      <w:r w:rsidRPr="0080620A">
        <w:t>eport</w:t>
      </w:r>
      <w:r w:rsidR="00250709" w:rsidRPr="0080620A">
        <w:t>,</w:t>
      </w:r>
      <w:r w:rsidRPr="0080620A">
        <w:t xml:space="preserve"> based on information provided by </w:t>
      </w:r>
      <w:r w:rsidR="00250709" w:rsidRPr="0080620A">
        <w:t>p</w:t>
      </w:r>
      <w:r w:rsidRPr="0080620A">
        <w:t xml:space="preserve">arties under </w:t>
      </w:r>
      <w:r w:rsidR="00250709" w:rsidRPr="0080620A">
        <w:t>a</w:t>
      </w:r>
      <w:r w:rsidRPr="0080620A">
        <w:t>rticle 21 on reporting</w:t>
      </w:r>
      <w:r w:rsidR="000F747D" w:rsidRPr="0080620A">
        <w:t>;</w:t>
      </w:r>
    </w:p>
    <w:p w14:paraId="0BDF01A6" w14:textId="7F5D23EA" w:rsidR="00B1107F" w:rsidRPr="001B5022" w:rsidRDefault="00B1107F" w:rsidP="00740F92">
      <w:pPr>
        <w:pStyle w:val="Normalnumber"/>
        <w:numPr>
          <w:ilvl w:val="0"/>
          <w:numId w:val="41"/>
        </w:numPr>
        <w:ind w:left="3119" w:hanging="624"/>
      </w:pPr>
      <w:r w:rsidRPr="0080620A">
        <w:t xml:space="preserve">The </w:t>
      </w:r>
      <w:r w:rsidR="00250709" w:rsidRPr="001B5022">
        <w:t>e</w:t>
      </w:r>
      <w:r w:rsidRPr="001B5022">
        <w:t xml:space="preserve">missions and </w:t>
      </w:r>
      <w:r w:rsidR="00250709" w:rsidRPr="001B5022">
        <w:t>r</w:t>
      </w:r>
      <w:r w:rsidRPr="001B5022">
        <w:t xml:space="preserve">eleases </w:t>
      </w:r>
      <w:r w:rsidR="00250709" w:rsidRPr="001B5022">
        <w:t>r</w:t>
      </w:r>
      <w:r w:rsidRPr="001B5022">
        <w:t>eport</w:t>
      </w:r>
      <w:r w:rsidR="00250709" w:rsidRPr="001B5022">
        <w:t>,</w:t>
      </w:r>
      <w:r w:rsidRPr="001B5022">
        <w:t xml:space="preserve"> modelled </w:t>
      </w:r>
      <w:r w:rsidR="00DE6966" w:rsidRPr="001B5022">
        <w:t xml:space="preserve">on </w:t>
      </w:r>
      <w:r w:rsidRPr="001B5022">
        <w:t xml:space="preserve">the </w:t>
      </w:r>
      <w:r w:rsidR="00CB5673" w:rsidRPr="001B5022">
        <w:t xml:space="preserve">report </w:t>
      </w:r>
      <w:r w:rsidRPr="001B5022">
        <w:rPr>
          <w:i/>
          <w:iCs/>
        </w:rPr>
        <w:t>Global Mercury Assessment 2018</w:t>
      </w:r>
      <w:r w:rsidR="00DE6966" w:rsidRPr="001B5022">
        <w:t>;</w:t>
      </w:r>
      <w:r w:rsidR="002D189F" w:rsidRPr="001B5022">
        <w:fldChar w:fldCharType="begin"/>
      </w:r>
      <w:r w:rsidR="002D189F" w:rsidRPr="001B5022">
        <w:instrText xml:space="preserve"> NOTEREF _Ref23323081 \f \h </w:instrText>
      </w:r>
      <w:r w:rsidR="001B5022">
        <w:instrText xml:space="preserve"> \* MERGEFORMAT </w:instrText>
      </w:r>
      <w:r w:rsidR="002D189F" w:rsidRPr="001B5022">
        <w:fldChar w:fldCharType="separate"/>
      </w:r>
      <w:r w:rsidR="00A929BE" w:rsidRPr="00A929BE">
        <w:rPr>
          <w:rStyle w:val="FootnoteReference"/>
        </w:rPr>
        <w:t>6</w:t>
      </w:r>
      <w:r w:rsidR="002D189F" w:rsidRPr="001B5022">
        <w:fldChar w:fldCharType="end"/>
      </w:r>
    </w:p>
    <w:p w14:paraId="054EEC37" w14:textId="7F3383E9" w:rsidR="00B1107F" w:rsidRPr="001B5022" w:rsidRDefault="00B1107F" w:rsidP="00740F92">
      <w:pPr>
        <w:pStyle w:val="Normalnumber"/>
        <w:numPr>
          <w:ilvl w:val="0"/>
          <w:numId w:val="41"/>
        </w:numPr>
        <w:ind w:left="3119" w:hanging="624"/>
      </w:pPr>
      <w:r w:rsidRPr="001B5022">
        <w:t xml:space="preserve">The </w:t>
      </w:r>
      <w:r w:rsidR="00250709" w:rsidRPr="001B5022">
        <w:t>t</w:t>
      </w:r>
      <w:r w:rsidRPr="001B5022">
        <w:t xml:space="preserve">rade, </w:t>
      </w:r>
      <w:r w:rsidR="00250709" w:rsidRPr="001B5022">
        <w:t>s</w:t>
      </w:r>
      <w:r w:rsidRPr="001B5022">
        <w:t xml:space="preserve">upply and </w:t>
      </w:r>
      <w:r w:rsidR="00250709" w:rsidRPr="001B5022">
        <w:t>d</w:t>
      </w:r>
      <w:r w:rsidRPr="001B5022">
        <w:t xml:space="preserve">emand </w:t>
      </w:r>
      <w:r w:rsidR="00250709" w:rsidRPr="001B5022">
        <w:t>r</w:t>
      </w:r>
      <w:r w:rsidRPr="001B5022">
        <w:t>eport</w:t>
      </w:r>
      <w:r w:rsidR="00250709" w:rsidRPr="001B5022">
        <w:t>,</w:t>
      </w:r>
      <w:r w:rsidRPr="001B5022">
        <w:t xml:space="preserve"> modelled </w:t>
      </w:r>
      <w:r w:rsidR="00DE6966" w:rsidRPr="001B5022">
        <w:t xml:space="preserve">on </w:t>
      </w:r>
      <w:r w:rsidRPr="001B5022">
        <w:t xml:space="preserve">the </w:t>
      </w:r>
      <w:r w:rsidR="006C0253" w:rsidRPr="001B5022">
        <w:t xml:space="preserve">2017 </w:t>
      </w:r>
      <w:r w:rsidRPr="001B5022">
        <w:t xml:space="preserve">report </w:t>
      </w:r>
      <w:r w:rsidRPr="001B5022">
        <w:rPr>
          <w:i/>
        </w:rPr>
        <w:t>Global Mercury: Supply, Trade and Demand</w:t>
      </w:r>
      <w:r w:rsidR="00DE6966" w:rsidRPr="001B5022">
        <w:t>;</w:t>
      </w:r>
      <w:r w:rsidR="002D189F" w:rsidRPr="001B5022">
        <w:fldChar w:fldCharType="begin"/>
      </w:r>
      <w:r w:rsidR="002D189F" w:rsidRPr="001B5022">
        <w:instrText xml:space="preserve"> NOTEREF _Ref23323106 \f \h </w:instrText>
      </w:r>
      <w:r w:rsidR="001B5022">
        <w:instrText xml:space="preserve"> \* MERGEFORMAT </w:instrText>
      </w:r>
      <w:r w:rsidR="002D189F" w:rsidRPr="001B5022">
        <w:fldChar w:fldCharType="separate"/>
      </w:r>
      <w:r w:rsidR="00A929BE" w:rsidRPr="00A929BE">
        <w:rPr>
          <w:rStyle w:val="FootnoteReference"/>
        </w:rPr>
        <w:t>7</w:t>
      </w:r>
      <w:r w:rsidR="002D189F" w:rsidRPr="001B5022">
        <w:fldChar w:fldCharType="end"/>
      </w:r>
    </w:p>
    <w:p w14:paraId="3FC8A238" w14:textId="3C7753C9" w:rsidR="00B1107F" w:rsidRPr="00814E71" w:rsidRDefault="00B1107F" w:rsidP="00740F92">
      <w:pPr>
        <w:pStyle w:val="Normalnumber"/>
        <w:numPr>
          <w:ilvl w:val="0"/>
          <w:numId w:val="41"/>
        </w:numPr>
        <w:ind w:left="3119" w:hanging="624"/>
        <w:rPr>
          <w:highlight w:val="lightGray"/>
        </w:rPr>
      </w:pPr>
      <w:r w:rsidRPr="00814E71">
        <w:rPr>
          <w:highlight w:val="lightGray"/>
        </w:rPr>
        <w:t xml:space="preserve">The </w:t>
      </w:r>
      <w:r w:rsidR="00250709" w:rsidRPr="00814E71">
        <w:rPr>
          <w:highlight w:val="lightGray"/>
        </w:rPr>
        <w:t>w</w:t>
      </w:r>
      <w:r w:rsidRPr="00814E71">
        <w:rPr>
          <w:highlight w:val="lightGray"/>
        </w:rPr>
        <w:t xml:space="preserve">aste </w:t>
      </w:r>
      <w:r w:rsidR="00250709" w:rsidRPr="00814E71">
        <w:rPr>
          <w:highlight w:val="lightGray"/>
        </w:rPr>
        <w:t>r</w:t>
      </w:r>
      <w:r w:rsidRPr="00814E71">
        <w:rPr>
          <w:highlight w:val="lightGray"/>
        </w:rPr>
        <w:t>eport</w:t>
      </w:r>
      <w:r w:rsidR="00250709" w:rsidRPr="00814E71">
        <w:rPr>
          <w:highlight w:val="lightGray"/>
        </w:rPr>
        <w:t>,</w:t>
      </w:r>
      <w:r w:rsidRPr="00814E71">
        <w:rPr>
          <w:highlight w:val="lightGray"/>
        </w:rPr>
        <w:t xml:space="preserve"> building on the</w:t>
      </w:r>
      <w:r w:rsidR="00CB5673" w:rsidRPr="00814E71">
        <w:rPr>
          <w:highlight w:val="lightGray"/>
        </w:rPr>
        <w:t xml:space="preserve"> </w:t>
      </w:r>
      <w:r w:rsidR="00B536D2" w:rsidRPr="00814E71">
        <w:rPr>
          <w:highlight w:val="lightGray"/>
        </w:rPr>
        <w:t xml:space="preserve">2018 </w:t>
      </w:r>
      <w:r w:rsidR="00CB5673" w:rsidRPr="00814E71">
        <w:rPr>
          <w:highlight w:val="lightGray"/>
        </w:rPr>
        <w:t>report</w:t>
      </w:r>
      <w:r w:rsidRPr="00814E71">
        <w:rPr>
          <w:highlight w:val="lightGray"/>
        </w:rPr>
        <w:t xml:space="preserve"> </w:t>
      </w:r>
      <w:r w:rsidRPr="00814E71">
        <w:rPr>
          <w:i/>
          <w:iCs/>
          <w:highlight w:val="lightGray"/>
        </w:rPr>
        <w:t>Global Mercury Waste Assessment</w:t>
      </w:r>
      <w:r w:rsidR="00B536D2" w:rsidRPr="00814E71">
        <w:rPr>
          <w:i/>
          <w:iCs/>
          <w:highlight w:val="lightGray"/>
          <w:lang w:val="en-CA"/>
        </w:rPr>
        <w:t>: Review of Current National Measures</w:t>
      </w:r>
      <w:r w:rsidR="000F747D" w:rsidRPr="00814E71">
        <w:rPr>
          <w:highlight w:val="lightGray"/>
        </w:rPr>
        <w:t>;</w:t>
      </w:r>
      <w:r w:rsidR="002D189F" w:rsidRPr="00814E71">
        <w:rPr>
          <w:highlight w:val="lightGray"/>
        </w:rPr>
        <w:fldChar w:fldCharType="begin"/>
      </w:r>
      <w:r w:rsidR="002D189F" w:rsidRPr="00814E71">
        <w:rPr>
          <w:highlight w:val="lightGray"/>
        </w:rPr>
        <w:instrText xml:space="preserve"> NOTEREF _Ref23323134 \f \h </w:instrText>
      </w:r>
      <w:r w:rsidR="001B5022" w:rsidRPr="00814E71">
        <w:rPr>
          <w:highlight w:val="lightGray"/>
        </w:rPr>
        <w:instrText xml:space="preserve"> \* MERGEFORMAT </w:instrText>
      </w:r>
      <w:r w:rsidR="002D189F" w:rsidRPr="00814E71">
        <w:rPr>
          <w:highlight w:val="lightGray"/>
        </w:rPr>
      </w:r>
      <w:r w:rsidR="002D189F" w:rsidRPr="00814E71">
        <w:rPr>
          <w:highlight w:val="lightGray"/>
        </w:rPr>
        <w:fldChar w:fldCharType="separate"/>
      </w:r>
      <w:r w:rsidR="00A929BE" w:rsidRPr="00A929BE">
        <w:rPr>
          <w:rStyle w:val="FootnoteReference"/>
          <w:highlight w:val="lightGray"/>
        </w:rPr>
        <w:t>8</w:t>
      </w:r>
      <w:r w:rsidR="002D189F" w:rsidRPr="00814E71">
        <w:rPr>
          <w:highlight w:val="lightGray"/>
        </w:rPr>
        <w:fldChar w:fldCharType="end"/>
      </w:r>
    </w:p>
    <w:p w14:paraId="0F040694" w14:textId="63602321" w:rsidR="00B1107F" w:rsidRPr="001B5022" w:rsidRDefault="00B1107F" w:rsidP="00740F92">
      <w:pPr>
        <w:pStyle w:val="Normalnumber"/>
        <w:numPr>
          <w:ilvl w:val="0"/>
          <w:numId w:val="41"/>
        </w:numPr>
        <w:ind w:left="3119" w:hanging="624"/>
      </w:pPr>
      <w:r w:rsidRPr="001B5022">
        <w:t xml:space="preserve">The </w:t>
      </w:r>
      <w:r w:rsidR="00250709" w:rsidRPr="001B5022">
        <w:t>m</w:t>
      </w:r>
      <w:r w:rsidRPr="001B5022">
        <w:t xml:space="preserve">onitoring </w:t>
      </w:r>
      <w:r w:rsidR="00250709" w:rsidRPr="001B5022">
        <w:t>r</w:t>
      </w:r>
      <w:r w:rsidRPr="001B5022">
        <w:t>eport</w:t>
      </w:r>
      <w:r w:rsidR="00250709" w:rsidRPr="001B5022">
        <w:t>,</w:t>
      </w:r>
      <w:r w:rsidRPr="001B5022">
        <w:t xml:space="preserve"> presenting the state of global mercury levels in the environment, </w:t>
      </w:r>
      <w:r w:rsidR="004573B3" w:rsidRPr="001B5022">
        <w:t>biotic media and vulnerable populations</w:t>
      </w:r>
      <w:r w:rsidRPr="001B5022">
        <w:t xml:space="preserve">, as well as trends over time, produced by the </w:t>
      </w:r>
      <w:r w:rsidR="00DE6966" w:rsidRPr="001B5022">
        <w:t>m</w:t>
      </w:r>
      <w:r w:rsidRPr="001B5022">
        <w:t xml:space="preserve">onitoring </w:t>
      </w:r>
      <w:r w:rsidR="00DE6966" w:rsidRPr="001B5022">
        <w:t>g</w:t>
      </w:r>
      <w:r w:rsidRPr="001B5022">
        <w:t>roup.</w:t>
      </w:r>
    </w:p>
    <w:p w14:paraId="61540878" w14:textId="5A7BFF74" w:rsidR="00B1107F" w:rsidRPr="0080620A" w:rsidRDefault="00B1107F" w:rsidP="00740F92">
      <w:pPr>
        <w:pStyle w:val="Normalnumber"/>
        <w:numPr>
          <w:ilvl w:val="0"/>
          <w:numId w:val="0"/>
        </w:numPr>
        <w:ind w:left="1247" w:firstLine="624"/>
      </w:pPr>
      <w:r w:rsidRPr="001B5022">
        <w:t>The</w:t>
      </w:r>
      <w:r w:rsidR="00DE6966" w:rsidRPr="001B5022">
        <w:t>se</w:t>
      </w:r>
      <w:r w:rsidRPr="001B5022">
        <w:t xml:space="preserve"> reports will </w:t>
      </w:r>
      <w:r w:rsidR="009658FC" w:rsidRPr="001B5022">
        <w:t xml:space="preserve">present the </w:t>
      </w:r>
      <w:r w:rsidRPr="001B5022">
        <w:t>inform</w:t>
      </w:r>
      <w:r w:rsidR="009658FC" w:rsidRPr="001B5022">
        <w:t>ation</w:t>
      </w:r>
      <w:r w:rsidRPr="001B5022">
        <w:t xml:space="preserve"> on the process, outcome and monitoring indicators to facilitate the </w:t>
      </w:r>
      <w:r w:rsidR="00CB5673" w:rsidRPr="001B5022">
        <w:t xml:space="preserve">consideration by the </w:t>
      </w:r>
      <w:r w:rsidRPr="001B5022">
        <w:t>Effectiveness Evaluation Committee of the four policy questions. The</w:t>
      </w:r>
      <w:r w:rsidR="009658FC" w:rsidRPr="001B5022">
        <w:t>y</w:t>
      </w:r>
      <w:r w:rsidRPr="001B5022">
        <w:t xml:space="preserve"> will include</w:t>
      </w:r>
      <w:r w:rsidRPr="0080620A">
        <w:t xml:space="preserve"> scientific and technical background</w:t>
      </w:r>
      <w:r w:rsidR="009658FC" w:rsidRPr="0080620A">
        <w:t xml:space="preserve"> and</w:t>
      </w:r>
      <w:r w:rsidRPr="0080620A">
        <w:t xml:space="preserve"> accessible visual presentations.</w:t>
      </w:r>
    </w:p>
    <w:p w14:paraId="6FD5CCDE" w14:textId="000420AA" w:rsidR="00B1107F" w:rsidRPr="0080620A" w:rsidRDefault="00B1107F" w:rsidP="00740F92">
      <w:pPr>
        <w:pStyle w:val="Normalnumber"/>
        <w:numPr>
          <w:ilvl w:val="0"/>
          <w:numId w:val="42"/>
        </w:numPr>
        <w:tabs>
          <w:tab w:val="left" w:pos="624"/>
        </w:tabs>
        <w:ind w:firstLine="624"/>
      </w:pPr>
      <w:r w:rsidRPr="0080620A">
        <w:t xml:space="preserve">Level 4 – </w:t>
      </w:r>
      <w:r w:rsidR="005738B8" w:rsidRPr="0080620A">
        <w:t>a</w:t>
      </w:r>
      <w:r w:rsidRPr="0080620A">
        <w:t>ttribution: The synthesis reports (and, where needed, the underlying and/or additional data) on Convention actions, emissions</w:t>
      </w:r>
      <w:r w:rsidR="008B13C9" w:rsidRPr="0080620A">
        <w:t>,</w:t>
      </w:r>
      <w:r w:rsidRPr="0080620A">
        <w:t xml:space="preserve"> releases and monitoring data may be used for the sixth</w:t>
      </w:r>
      <w:r w:rsidR="008B13C9" w:rsidRPr="0080620A">
        <w:t xml:space="preserve"> report</w:t>
      </w:r>
      <w:r w:rsidRPr="0080620A">
        <w:t xml:space="preserve">, </w:t>
      </w:r>
      <w:r w:rsidR="00FF564D" w:rsidRPr="0080620A">
        <w:t xml:space="preserve">namely </w:t>
      </w:r>
      <w:r w:rsidRPr="0080620A">
        <w:t xml:space="preserve">the </w:t>
      </w:r>
      <w:r w:rsidR="005738B8" w:rsidRPr="0080620A">
        <w:t>a</w:t>
      </w:r>
      <w:r w:rsidRPr="0080620A">
        <w:t xml:space="preserve">ttribution </w:t>
      </w:r>
      <w:r w:rsidR="005738B8" w:rsidRPr="0080620A">
        <w:t>r</w:t>
      </w:r>
      <w:r w:rsidRPr="0080620A">
        <w:t>eport, when the tools for its production are available. Th</w:t>
      </w:r>
      <w:r w:rsidR="008B13C9" w:rsidRPr="0080620A">
        <w:t>e</w:t>
      </w:r>
      <w:r w:rsidRPr="0080620A">
        <w:t xml:space="preserve"> attribution report would distinguish between the process, outcome and monitoring indicators to facilitate the </w:t>
      </w:r>
      <w:r w:rsidR="00797100" w:rsidRPr="0080620A">
        <w:t xml:space="preserve">efforts of the </w:t>
      </w:r>
      <w:r w:rsidRPr="0080620A">
        <w:t xml:space="preserve">Effectiveness Evaluation Committee to address the four policy questions. </w:t>
      </w:r>
      <w:r w:rsidR="008B13C9" w:rsidRPr="0080620A">
        <w:t>It</w:t>
      </w:r>
      <w:r w:rsidRPr="0080620A">
        <w:t xml:space="preserve"> would take into account other information (such as socioeconomic information, technology innovation, climate data</w:t>
      </w:r>
      <w:r w:rsidR="008B13C9" w:rsidRPr="0080620A">
        <w:t xml:space="preserve"> and</w:t>
      </w:r>
      <w:r w:rsidRPr="0080620A">
        <w:t xml:space="preserve"> key global policies) as necessary. The </w:t>
      </w:r>
      <w:r w:rsidR="003C4FEC" w:rsidRPr="0080620A">
        <w:t>a</w:t>
      </w:r>
      <w:r w:rsidRPr="0080620A">
        <w:t xml:space="preserve">ttribution </w:t>
      </w:r>
      <w:r w:rsidR="003C4FEC" w:rsidRPr="0080620A">
        <w:t>r</w:t>
      </w:r>
      <w:r w:rsidRPr="0080620A">
        <w:t xml:space="preserve">eport would be produced by a </w:t>
      </w:r>
      <w:r w:rsidR="003C4FEC" w:rsidRPr="0080620A">
        <w:t>m</w:t>
      </w:r>
      <w:r w:rsidRPr="0080620A">
        <w:t xml:space="preserve">odelling </w:t>
      </w:r>
      <w:r w:rsidR="003C4FEC" w:rsidRPr="0080620A">
        <w:t>s</w:t>
      </w:r>
      <w:r w:rsidRPr="0080620A">
        <w:t>ub</w:t>
      </w:r>
      <w:r w:rsidR="003C4FEC" w:rsidRPr="0080620A">
        <w:t>g</w:t>
      </w:r>
      <w:r w:rsidRPr="0080620A">
        <w:t>roup (</w:t>
      </w:r>
      <w:r w:rsidR="008B13C9" w:rsidRPr="0080620A">
        <w:t>s</w:t>
      </w:r>
      <w:r w:rsidRPr="0080620A">
        <w:t xml:space="preserve">ee </w:t>
      </w:r>
      <w:r w:rsidR="005738B8" w:rsidRPr="0080620A">
        <w:t>a</w:t>
      </w:r>
      <w:r w:rsidRPr="0080620A">
        <w:t xml:space="preserve">ppendix </w:t>
      </w:r>
      <w:r w:rsidR="00E55583" w:rsidRPr="0080620A">
        <w:t>IV</w:t>
      </w:r>
      <w:r w:rsidRPr="0080620A">
        <w:t xml:space="preserve"> for a </w:t>
      </w:r>
      <w:r w:rsidR="00BD257E" w:rsidRPr="0080620A">
        <w:t>detailed</w:t>
      </w:r>
      <w:r w:rsidRPr="0080620A">
        <w:t xml:space="preserve"> description of the </w:t>
      </w:r>
      <w:r w:rsidR="005738B8" w:rsidRPr="0080620A">
        <w:t>a</w:t>
      </w:r>
      <w:r w:rsidRPr="0080620A">
        <w:t xml:space="preserve">ttribution </w:t>
      </w:r>
      <w:r w:rsidR="005738B8" w:rsidRPr="0080620A">
        <w:t>r</w:t>
      </w:r>
      <w:r w:rsidRPr="0080620A">
        <w:t>eport).</w:t>
      </w:r>
    </w:p>
    <w:p w14:paraId="7F3E309C" w14:textId="59B6A74D" w:rsidR="00B1107F" w:rsidRPr="0080620A" w:rsidRDefault="00B1107F" w:rsidP="00740F92">
      <w:pPr>
        <w:pStyle w:val="Normalnumber"/>
        <w:numPr>
          <w:ilvl w:val="0"/>
          <w:numId w:val="0"/>
        </w:numPr>
        <w:tabs>
          <w:tab w:val="left" w:pos="624"/>
        </w:tabs>
        <w:ind w:left="1247"/>
      </w:pPr>
      <w:r w:rsidRPr="0080620A">
        <w:t xml:space="preserve">The </w:t>
      </w:r>
      <w:r w:rsidR="00FF564D" w:rsidRPr="0080620A">
        <w:t xml:space="preserve">level 4 </w:t>
      </w:r>
      <w:r w:rsidRPr="0080620A">
        <w:t xml:space="preserve">analyses </w:t>
      </w:r>
      <w:r w:rsidR="008B13C9" w:rsidRPr="0080620A">
        <w:t xml:space="preserve">would </w:t>
      </w:r>
      <w:r w:rsidRPr="0080620A">
        <w:t xml:space="preserve">likely include modelling to estimate how changes in emissions and releases </w:t>
      </w:r>
      <w:r w:rsidR="00FF564D" w:rsidRPr="0080620A">
        <w:t>resulting from the</w:t>
      </w:r>
      <w:r w:rsidRPr="0080620A">
        <w:t xml:space="preserve"> Convention measures have contributed to changes in mercury levels in the environment, </w:t>
      </w:r>
      <w:r w:rsidR="005544D9" w:rsidRPr="0080620A">
        <w:t>biotic media and vulnerable populations</w:t>
      </w:r>
      <w:r w:rsidRPr="0080620A">
        <w:t xml:space="preserve">. The attribution assessment </w:t>
      </w:r>
      <w:r w:rsidR="008B13C9" w:rsidRPr="0080620A">
        <w:t xml:space="preserve">would </w:t>
      </w:r>
      <w:r w:rsidRPr="0080620A">
        <w:t xml:space="preserve">also seek to evaluate long-term trends </w:t>
      </w:r>
      <w:r w:rsidR="008B13C9" w:rsidRPr="0080620A">
        <w:t xml:space="preserve">so as </w:t>
      </w:r>
      <w:r w:rsidRPr="0080620A">
        <w:t xml:space="preserve">to interpret the relevance of social, technical and economic data in the context of </w:t>
      </w:r>
      <w:r w:rsidR="008B13C9" w:rsidRPr="0080620A">
        <w:t xml:space="preserve">the </w:t>
      </w:r>
      <w:r w:rsidRPr="0080620A">
        <w:t xml:space="preserve">effectiveness </w:t>
      </w:r>
      <w:r w:rsidR="008B13C9" w:rsidRPr="0080620A">
        <w:t xml:space="preserve">of </w:t>
      </w:r>
      <w:r w:rsidRPr="0080620A">
        <w:t xml:space="preserve">the Convention vis-à-vis its objective. While the </w:t>
      </w:r>
      <w:r w:rsidR="003C4FEC" w:rsidRPr="0080620A">
        <w:t>a</w:t>
      </w:r>
      <w:r w:rsidRPr="0080620A">
        <w:t xml:space="preserve">ttribution </w:t>
      </w:r>
      <w:r w:rsidR="003C4FEC" w:rsidRPr="0080620A">
        <w:t>r</w:t>
      </w:r>
      <w:r w:rsidRPr="0080620A">
        <w:t xml:space="preserve">eport </w:t>
      </w:r>
      <w:r w:rsidR="008B13C9" w:rsidRPr="0080620A">
        <w:t>would</w:t>
      </w:r>
      <w:r w:rsidRPr="0080620A">
        <w:t xml:space="preserve"> be an evidence-based scien</w:t>
      </w:r>
      <w:r w:rsidR="00E55583" w:rsidRPr="0080620A">
        <w:t>tific</w:t>
      </w:r>
      <w:r w:rsidRPr="0080620A">
        <w:t xml:space="preserve"> and technical report, it </w:t>
      </w:r>
      <w:r w:rsidR="008B13C9" w:rsidRPr="0080620A">
        <w:t xml:space="preserve">would </w:t>
      </w:r>
      <w:r w:rsidRPr="0080620A">
        <w:t xml:space="preserve">also be accessible to non-technical readers and include visual representations. </w:t>
      </w:r>
    </w:p>
    <w:p w14:paraId="0FDBCD35" w14:textId="6A8E0F5A" w:rsidR="00B1107F" w:rsidRPr="0080620A" w:rsidRDefault="00B1107F" w:rsidP="00740F92">
      <w:pPr>
        <w:pStyle w:val="Normalnumber"/>
        <w:numPr>
          <w:ilvl w:val="0"/>
          <w:numId w:val="42"/>
        </w:numPr>
        <w:tabs>
          <w:tab w:val="left" w:pos="624"/>
        </w:tabs>
        <w:ind w:firstLine="624"/>
        <w:rPr>
          <w:rFonts w:eastAsiaTheme="minorHAnsi"/>
        </w:rPr>
      </w:pPr>
      <w:r w:rsidRPr="0080620A">
        <w:t>Level 5</w:t>
      </w:r>
      <w:bookmarkStart w:id="10" w:name="_Hlk10383875"/>
      <w:r w:rsidRPr="0080620A">
        <w:t xml:space="preserve"> – </w:t>
      </w:r>
      <w:bookmarkEnd w:id="10"/>
      <w:r w:rsidR="00631F1F" w:rsidRPr="0080620A">
        <w:t>integration</w:t>
      </w:r>
      <w:r w:rsidRPr="0080620A">
        <w:t xml:space="preserve">: The five synthesis reports, supplemented by the </w:t>
      </w:r>
      <w:r w:rsidR="003C4FEC" w:rsidRPr="0080620A">
        <w:t>a</w:t>
      </w:r>
      <w:r w:rsidRPr="0080620A">
        <w:t xml:space="preserve">ttribution </w:t>
      </w:r>
      <w:r w:rsidR="003C4FEC" w:rsidRPr="0080620A">
        <w:t>r</w:t>
      </w:r>
      <w:r w:rsidRPr="0080620A">
        <w:t>eport, when available, will be produced for the Effectiveness Evaluation Committee</w:t>
      </w:r>
      <w:r w:rsidR="00631F1F" w:rsidRPr="0080620A">
        <w:t>, which</w:t>
      </w:r>
      <w:r w:rsidRPr="0080620A">
        <w:t xml:space="preserve"> will use th</w:t>
      </w:r>
      <w:r w:rsidR="00BD257E" w:rsidRPr="0080620A">
        <w:t>at</w:t>
      </w:r>
      <w:r w:rsidRPr="0080620A">
        <w:t xml:space="preserve"> information in an integrative approach to consider the four policy questions and formulate findings for presentation to the Conference of the Parties. The Committee may include in its report suggestions for improving future cycles of effectiveness evaluation.</w:t>
      </w:r>
    </w:p>
    <w:p w14:paraId="7E5C1988" w14:textId="4DC563F0" w:rsidR="00B1107F" w:rsidRPr="0080620A" w:rsidRDefault="00B1107F" w:rsidP="00740F92">
      <w:pPr>
        <w:pStyle w:val="Normalnumber"/>
        <w:numPr>
          <w:ilvl w:val="0"/>
          <w:numId w:val="42"/>
        </w:numPr>
        <w:tabs>
          <w:tab w:val="left" w:pos="624"/>
        </w:tabs>
        <w:ind w:firstLine="624"/>
        <w:rPr>
          <w:rFonts w:eastAsiaTheme="minorHAnsi"/>
        </w:rPr>
      </w:pPr>
      <w:r w:rsidRPr="0080620A">
        <w:t xml:space="preserve">Level 6 – Conference of the Parties: </w:t>
      </w:r>
      <w:r w:rsidR="003F66EC" w:rsidRPr="0080620A">
        <w:t>At this final level, t</w:t>
      </w:r>
      <w:r w:rsidRPr="0080620A">
        <w:t>he Conference of the Parties receives and reviews the findings of the Effectiveness Evaluation Committee</w:t>
      </w:r>
      <w:r w:rsidR="003C4FEC" w:rsidRPr="0080620A">
        <w:t xml:space="preserve"> and</w:t>
      </w:r>
      <w:r w:rsidRPr="0080620A">
        <w:t xml:space="preserve"> makes its determinations regarding the effectiveness of the Convention. </w:t>
      </w:r>
    </w:p>
    <w:p w14:paraId="4438C9F9" w14:textId="1535449A" w:rsidR="00B1107F" w:rsidRPr="0080620A" w:rsidRDefault="00B66A03" w:rsidP="00B66A03">
      <w:pPr>
        <w:pStyle w:val="CH2"/>
      </w:pPr>
      <w:r w:rsidRPr="0080620A">
        <w:tab/>
        <w:t>B</w:t>
      </w:r>
      <w:r w:rsidR="00B1107F" w:rsidRPr="0080620A">
        <w:t>.</w:t>
      </w:r>
      <w:r w:rsidRPr="0080620A">
        <w:tab/>
      </w:r>
      <w:r w:rsidR="00B1107F" w:rsidRPr="0080620A">
        <w:t>Development of indicators</w:t>
      </w:r>
    </w:p>
    <w:p w14:paraId="5FBC887B" w14:textId="3F8FC6AB" w:rsidR="00B1107F" w:rsidRPr="0080620A" w:rsidRDefault="00B1107F" w:rsidP="009E249F">
      <w:pPr>
        <w:pStyle w:val="Normalnumber"/>
      </w:pPr>
      <w:r w:rsidRPr="0080620A">
        <w:t xml:space="preserve">The Minamata Convention includes a number of measures that seek to control, reduce or eliminate the major sources and uses of mercury, as well as a set of further stipulations that oblige </w:t>
      </w:r>
      <w:r w:rsidR="00E777BB" w:rsidRPr="0080620A">
        <w:t>p</w:t>
      </w:r>
      <w:r w:rsidRPr="0080620A">
        <w:t>arties to work together to support each other in the overall endeavour to protect people and the environment from the adverse effects of mercury. To provide a</w:t>
      </w:r>
      <w:r w:rsidR="002E7A5A" w:rsidRPr="0080620A">
        <w:t xml:space="preserve"> holistic </w:t>
      </w:r>
      <w:r w:rsidRPr="0080620A">
        <w:t xml:space="preserve">picture of the effectiveness of the measures and provisions of the Convention, the ad hoc technical expert group used an integrative approach to identify possible indicators. </w:t>
      </w:r>
    </w:p>
    <w:p w14:paraId="5ECCCCC5" w14:textId="7696CAFF" w:rsidR="00B1107F" w:rsidRPr="0080620A" w:rsidRDefault="00B1107F" w:rsidP="009E249F">
      <w:pPr>
        <w:pStyle w:val="Normalnumber"/>
      </w:pPr>
      <w:r w:rsidRPr="0080620A">
        <w:lastRenderedPageBreak/>
        <w:t>Three types of indicators are proposed –</w:t>
      </w:r>
      <w:r w:rsidR="002E7A5A" w:rsidRPr="0080620A">
        <w:t xml:space="preserve"> </w:t>
      </w:r>
      <w:r w:rsidRPr="0080620A">
        <w:t xml:space="preserve">process, outcome and monitoring – to inform the </w:t>
      </w:r>
      <w:r w:rsidR="003F66EC" w:rsidRPr="0080620A">
        <w:t xml:space="preserve">consideration of the </w:t>
      </w:r>
      <w:r w:rsidRPr="0080620A">
        <w:t xml:space="preserve">four policy questions guiding the effectiveness evaluation. The proposed indicators draw on previous work on elements </w:t>
      </w:r>
      <w:r w:rsidR="00E55583" w:rsidRPr="0080620A">
        <w:t xml:space="preserve">of </w:t>
      </w:r>
      <w:r w:rsidRPr="0080620A">
        <w:t xml:space="preserve">the effectiveness evaluation framework and monitoring capacities and abilities. </w:t>
      </w:r>
    </w:p>
    <w:p w14:paraId="71D88598" w14:textId="7CF1D108" w:rsidR="00B1107F" w:rsidRPr="0080620A" w:rsidRDefault="00B1107F" w:rsidP="009E249F">
      <w:pPr>
        <w:pStyle w:val="Normalnumber"/>
      </w:pPr>
      <w:r w:rsidRPr="0080620A">
        <w:t xml:space="preserve">Following an article-by-article review, </w:t>
      </w:r>
      <w:r w:rsidR="0063660C" w:rsidRPr="0080620A">
        <w:t xml:space="preserve">the </w:t>
      </w:r>
      <w:r w:rsidRPr="0080620A">
        <w:t xml:space="preserve">proposed indicators </w:t>
      </w:r>
      <w:r w:rsidR="0063660C" w:rsidRPr="0080620A">
        <w:t>we</w:t>
      </w:r>
      <w:r w:rsidRPr="0080620A">
        <w:t xml:space="preserve">re clustered </w:t>
      </w:r>
      <w:r w:rsidR="0063660C" w:rsidRPr="0080620A">
        <w:t xml:space="preserve">as follows </w:t>
      </w:r>
      <w:r w:rsidRPr="0080620A">
        <w:t>to enable synthesi</w:t>
      </w:r>
      <w:r w:rsidR="007129E3" w:rsidRPr="0080620A">
        <w:t>z</w:t>
      </w:r>
      <w:r w:rsidRPr="0080620A">
        <w:t xml:space="preserve">ed analysis in the proposed reports: </w:t>
      </w:r>
    </w:p>
    <w:p w14:paraId="1A8A04DE" w14:textId="62AD725E" w:rsidR="00B1107F" w:rsidRPr="0080620A" w:rsidRDefault="00B1107F" w:rsidP="00A00B9F">
      <w:pPr>
        <w:pStyle w:val="Normalnumber"/>
        <w:numPr>
          <w:ilvl w:val="0"/>
          <w:numId w:val="29"/>
        </w:numPr>
        <w:spacing w:after="80"/>
        <w:ind w:left="1247" w:firstLine="624"/>
      </w:pPr>
      <w:r w:rsidRPr="0080620A">
        <w:t>Supply cluster (B): supply, storage and waste (</w:t>
      </w:r>
      <w:r w:rsidR="00AA7A89" w:rsidRPr="0080620A">
        <w:t>a</w:t>
      </w:r>
      <w:r w:rsidRPr="0080620A">
        <w:t>rt</w:t>
      </w:r>
      <w:r w:rsidR="00AA7A89" w:rsidRPr="0080620A">
        <w:t>icles</w:t>
      </w:r>
      <w:r w:rsidRPr="0080620A">
        <w:t xml:space="preserve"> 3, 10</w:t>
      </w:r>
      <w:r w:rsidR="00AA7A89" w:rsidRPr="0080620A">
        <w:t xml:space="preserve"> and</w:t>
      </w:r>
      <w:r w:rsidRPr="0080620A">
        <w:t xml:space="preserve"> 11);</w:t>
      </w:r>
    </w:p>
    <w:p w14:paraId="3BE97AD0" w14:textId="42909D8B" w:rsidR="00B1107F" w:rsidRPr="0080620A" w:rsidRDefault="00B1107F" w:rsidP="00A00B9F">
      <w:pPr>
        <w:pStyle w:val="Normalnumber"/>
        <w:numPr>
          <w:ilvl w:val="0"/>
          <w:numId w:val="29"/>
        </w:numPr>
        <w:spacing w:after="80"/>
        <w:ind w:left="1247" w:firstLine="624"/>
      </w:pPr>
      <w:r w:rsidRPr="0080620A">
        <w:t xml:space="preserve">Demand cluster (C): products, processes and </w:t>
      </w:r>
      <w:r w:rsidR="00AA7A89" w:rsidRPr="0080620A">
        <w:t>artisanal and small-scale gold mining</w:t>
      </w:r>
      <w:r w:rsidRPr="0080620A">
        <w:t xml:space="preserve"> (</w:t>
      </w:r>
      <w:r w:rsidR="00AA7A89" w:rsidRPr="0080620A">
        <w:t>a</w:t>
      </w:r>
      <w:r w:rsidRPr="0080620A">
        <w:t>rt</w:t>
      </w:r>
      <w:r w:rsidR="00AA7A89" w:rsidRPr="0080620A">
        <w:t>icles</w:t>
      </w:r>
      <w:r w:rsidRPr="0080620A">
        <w:t xml:space="preserve"> 4,</w:t>
      </w:r>
      <w:r w:rsidR="00AA7A89" w:rsidRPr="0080620A">
        <w:t xml:space="preserve"> </w:t>
      </w:r>
      <w:r w:rsidRPr="0080620A">
        <w:t>5</w:t>
      </w:r>
      <w:r w:rsidR="00AA7A89" w:rsidRPr="0080620A">
        <w:t xml:space="preserve"> and </w:t>
      </w:r>
      <w:r w:rsidRPr="0080620A">
        <w:t>7);</w:t>
      </w:r>
    </w:p>
    <w:p w14:paraId="07193FF4" w14:textId="308CCACA" w:rsidR="00B1107F" w:rsidRPr="0080620A" w:rsidRDefault="00B1107F" w:rsidP="00A00B9F">
      <w:pPr>
        <w:pStyle w:val="Normalnumber"/>
        <w:numPr>
          <w:ilvl w:val="0"/>
          <w:numId w:val="29"/>
        </w:numPr>
        <w:spacing w:after="80"/>
        <w:ind w:left="1247" w:firstLine="624"/>
      </w:pPr>
      <w:r w:rsidRPr="0080620A">
        <w:t>Pressure cluster (D): emissions, releases and contaminated sites (</w:t>
      </w:r>
      <w:r w:rsidR="00AA7A89" w:rsidRPr="0080620A">
        <w:t>a</w:t>
      </w:r>
      <w:r w:rsidRPr="0080620A">
        <w:t>rt</w:t>
      </w:r>
      <w:r w:rsidR="00AA7A89" w:rsidRPr="0080620A">
        <w:t>icles</w:t>
      </w:r>
      <w:r w:rsidRPr="0080620A">
        <w:t xml:space="preserve"> 8, 9 and 12)</w:t>
      </w:r>
      <w:r w:rsidR="000F747D" w:rsidRPr="0080620A">
        <w:t>;</w:t>
      </w:r>
    </w:p>
    <w:p w14:paraId="6EB72491" w14:textId="6A293F45" w:rsidR="00B1107F" w:rsidRPr="0080620A" w:rsidRDefault="00B1107F" w:rsidP="00A00B9F">
      <w:pPr>
        <w:pStyle w:val="Normalnumber"/>
        <w:numPr>
          <w:ilvl w:val="0"/>
          <w:numId w:val="29"/>
        </w:numPr>
        <w:spacing w:after="80"/>
        <w:ind w:left="1247" w:firstLine="624"/>
      </w:pPr>
      <w:r w:rsidRPr="0080620A">
        <w:t>Support cluster (E): financial and technical assistance (</w:t>
      </w:r>
      <w:r w:rsidR="00AA7A89" w:rsidRPr="0080620A">
        <w:t>a</w:t>
      </w:r>
      <w:r w:rsidRPr="0080620A">
        <w:t>rt</w:t>
      </w:r>
      <w:r w:rsidR="00AA7A89" w:rsidRPr="0080620A">
        <w:t>icles</w:t>
      </w:r>
      <w:r w:rsidRPr="0080620A">
        <w:t xml:space="preserve"> 13 and 14)</w:t>
      </w:r>
      <w:r w:rsidR="000F747D" w:rsidRPr="0080620A">
        <w:t>;</w:t>
      </w:r>
      <w:r w:rsidRPr="0080620A">
        <w:t xml:space="preserve"> </w:t>
      </w:r>
    </w:p>
    <w:p w14:paraId="0302BFF9" w14:textId="429A3F46" w:rsidR="00B1107F" w:rsidRPr="0080620A" w:rsidRDefault="00B1107F" w:rsidP="00A00B9F">
      <w:pPr>
        <w:pStyle w:val="Normalnumber"/>
        <w:numPr>
          <w:ilvl w:val="0"/>
          <w:numId w:val="29"/>
        </w:numPr>
        <w:ind w:left="1247" w:firstLine="624"/>
      </w:pPr>
      <w:r w:rsidRPr="0080620A">
        <w:t>Information and research cluster (H): information exchange, public information</w:t>
      </w:r>
      <w:r w:rsidR="0063660C" w:rsidRPr="0080620A">
        <w:t xml:space="preserve"> and</w:t>
      </w:r>
      <w:r w:rsidRPr="0080620A">
        <w:t xml:space="preserve"> research (</w:t>
      </w:r>
      <w:r w:rsidR="00AA7A89" w:rsidRPr="0080620A">
        <w:t>a</w:t>
      </w:r>
      <w:r w:rsidRPr="0080620A">
        <w:t>rt</w:t>
      </w:r>
      <w:r w:rsidR="00AA7A89" w:rsidRPr="0080620A">
        <w:t>icles</w:t>
      </w:r>
      <w:r w:rsidRPr="0080620A">
        <w:t xml:space="preserve"> 17, 18 and 19). </w:t>
      </w:r>
    </w:p>
    <w:p w14:paraId="1B8B5926" w14:textId="27527964" w:rsidR="00B1107F" w:rsidRPr="0080620A" w:rsidRDefault="00B1107F" w:rsidP="009E249F">
      <w:pPr>
        <w:pStyle w:val="Normalnumber"/>
      </w:pPr>
      <w:r w:rsidRPr="0080620A">
        <w:t>Recogni</w:t>
      </w:r>
      <w:r w:rsidR="006A10B9" w:rsidRPr="0080620A">
        <w:t>z</w:t>
      </w:r>
      <w:r w:rsidRPr="0080620A">
        <w:t xml:space="preserve">ing the central nature of </w:t>
      </w:r>
      <w:r w:rsidR="006A10B9" w:rsidRPr="0080620A">
        <w:t>a</w:t>
      </w:r>
      <w:r w:rsidRPr="0080620A">
        <w:t xml:space="preserve">rticle 1 (setting out the objective of the Convention) and the </w:t>
      </w:r>
      <w:r w:rsidR="00740F92">
        <w:t>cross</w:t>
      </w:r>
      <w:r w:rsidR="00740F92">
        <w:noBreakHyphen/>
        <w:t>cutting</w:t>
      </w:r>
      <w:r w:rsidRPr="0080620A">
        <w:t xml:space="preserve"> nature </w:t>
      </w:r>
      <w:r w:rsidR="006A10B9" w:rsidRPr="0080620A">
        <w:t>of a</w:t>
      </w:r>
      <w:r w:rsidRPr="0080620A">
        <w:t>rticle 16 (on the health aspects), th</w:t>
      </w:r>
      <w:r w:rsidR="006A10B9" w:rsidRPr="0080620A">
        <w:t>o</w:t>
      </w:r>
      <w:r w:rsidRPr="0080620A">
        <w:t xml:space="preserve">se articles were kept separate for the purposes of identifying indicators. </w:t>
      </w:r>
    </w:p>
    <w:p w14:paraId="7E1A7146" w14:textId="0DF9DE25" w:rsidR="002E7A5A" w:rsidRPr="0080620A" w:rsidRDefault="00B1107F" w:rsidP="009E249F">
      <w:pPr>
        <w:pStyle w:val="Normalnumber"/>
      </w:pPr>
      <w:r w:rsidRPr="0080620A">
        <w:t xml:space="preserve">The rationale underlying the proposed indicator </w:t>
      </w:r>
      <w:r w:rsidR="00D3028B" w:rsidRPr="0080620A">
        <w:t xml:space="preserve">types </w:t>
      </w:r>
      <w:r w:rsidRPr="0080620A">
        <w:t xml:space="preserve">is as follows: </w:t>
      </w:r>
    </w:p>
    <w:p w14:paraId="602B08AD" w14:textId="79C06B51" w:rsidR="002E7A5A" w:rsidRPr="0080620A" w:rsidRDefault="00B1107F" w:rsidP="00A00B9F">
      <w:pPr>
        <w:pStyle w:val="Normalnumber"/>
        <w:numPr>
          <w:ilvl w:val="0"/>
          <w:numId w:val="37"/>
        </w:numPr>
        <w:spacing w:after="80"/>
        <w:ind w:left="1247" w:firstLine="624"/>
      </w:pPr>
      <w:r w:rsidRPr="0080620A">
        <w:t xml:space="preserve">Process indicators are required to </w:t>
      </w:r>
      <w:r w:rsidR="00FA1942" w:rsidRPr="0080620A">
        <w:t xml:space="preserve">determine whether </w:t>
      </w:r>
      <w:r w:rsidRPr="0080620A">
        <w:t xml:space="preserve">the </w:t>
      </w:r>
      <w:r w:rsidR="006A10B9" w:rsidRPr="0080620A">
        <w:t>p</w:t>
      </w:r>
      <w:r w:rsidRPr="0080620A">
        <w:t>arties taken actions to implement the Minamata Convention</w:t>
      </w:r>
      <w:r w:rsidR="000F747D" w:rsidRPr="0080620A">
        <w:t>;</w:t>
      </w:r>
      <w:r w:rsidRPr="0080620A">
        <w:t xml:space="preserve"> </w:t>
      </w:r>
    </w:p>
    <w:p w14:paraId="3C258B1A" w14:textId="31B8E683" w:rsidR="002E7A5A" w:rsidRPr="0080620A" w:rsidRDefault="00B1107F" w:rsidP="00A00B9F">
      <w:pPr>
        <w:pStyle w:val="Normalnumber"/>
        <w:numPr>
          <w:ilvl w:val="0"/>
          <w:numId w:val="37"/>
        </w:numPr>
        <w:spacing w:after="80"/>
        <w:ind w:left="1247" w:firstLine="624"/>
      </w:pPr>
      <w:r w:rsidRPr="0080620A">
        <w:t xml:space="preserve">Outcome indicators are required to </w:t>
      </w:r>
      <w:r w:rsidR="00FA1942" w:rsidRPr="0080620A">
        <w:t xml:space="preserve">determine whether </w:t>
      </w:r>
      <w:r w:rsidRPr="0080620A">
        <w:t xml:space="preserve">the actions </w:t>
      </w:r>
      <w:r w:rsidR="00772D69" w:rsidRPr="0080620A">
        <w:t xml:space="preserve">taken </w:t>
      </w:r>
      <w:r w:rsidRPr="0080620A">
        <w:t xml:space="preserve">resulted in changes in </w:t>
      </w:r>
      <w:r w:rsidR="006A10B9" w:rsidRPr="0080620A">
        <w:t xml:space="preserve">mercury </w:t>
      </w:r>
      <w:r w:rsidRPr="0080620A">
        <w:t>supply, use, emission</w:t>
      </w:r>
      <w:r w:rsidR="00DA36E9" w:rsidRPr="0080620A">
        <w:t>s</w:t>
      </w:r>
      <w:r w:rsidRPr="0080620A">
        <w:t xml:space="preserve"> and releases </w:t>
      </w:r>
      <w:r w:rsidR="00FA1942" w:rsidRPr="0080620A">
        <w:t>in</w:t>
      </w:r>
      <w:r w:rsidRPr="0080620A">
        <w:t>to the environment. For each cluster of articles, the ad hoc expert group identif</w:t>
      </w:r>
      <w:r w:rsidR="00FA1942" w:rsidRPr="0080620A">
        <w:t>ied</w:t>
      </w:r>
      <w:r w:rsidRPr="0080620A">
        <w:t xml:space="preserve">  </w:t>
      </w:r>
      <w:r w:rsidR="00FA1942" w:rsidRPr="0080620A">
        <w:t xml:space="preserve">the </w:t>
      </w:r>
      <w:r w:rsidRPr="0080620A">
        <w:t xml:space="preserve">parties </w:t>
      </w:r>
      <w:r w:rsidR="00FA1942" w:rsidRPr="0080620A">
        <w:t>were</w:t>
      </w:r>
      <w:r w:rsidRPr="0080620A">
        <w:t xml:space="preserve"> taking action</w:t>
      </w:r>
      <w:r w:rsidR="0063660C" w:rsidRPr="0080620A">
        <w:t>s</w:t>
      </w:r>
      <w:r w:rsidRPr="0080620A">
        <w:t xml:space="preserve"> on a key policy measure and the outcome</w:t>
      </w:r>
      <w:r w:rsidR="00FA1942" w:rsidRPr="0080620A">
        <w:t>s</w:t>
      </w:r>
      <w:r w:rsidRPr="0080620A">
        <w:t xml:space="preserve"> of those actions</w:t>
      </w:r>
      <w:r w:rsidR="000F747D" w:rsidRPr="0080620A">
        <w:t>;</w:t>
      </w:r>
      <w:r w:rsidRPr="0080620A">
        <w:t xml:space="preserve"> </w:t>
      </w:r>
    </w:p>
    <w:p w14:paraId="4BE7C84B" w14:textId="2CE42DAB" w:rsidR="00B1107F" w:rsidRPr="0080620A" w:rsidRDefault="00B1107F" w:rsidP="00A00B9F">
      <w:pPr>
        <w:pStyle w:val="Normalnumber"/>
        <w:numPr>
          <w:ilvl w:val="0"/>
          <w:numId w:val="37"/>
        </w:numPr>
        <w:ind w:left="1247" w:firstLine="624"/>
      </w:pPr>
      <w:r w:rsidRPr="0080620A">
        <w:t>Monitoring indicators (which may denote outcomes) are needed to provide validated, scientific information to inform and support policy</w:t>
      </w:r>
      <w:r w:rsidR="00EF7292" w:rsidRPr="0080620A">
        <w:t>making</w:t>
      </w:r>
      <w:r w:rsidRPr="0080620A">
        <w:t xml:space="preserve"> and decision-making on the impact of control measures. </w:t>
      </w:r>
    </w:p>
    <w:p w14:paraId="15FBCCA6" w14:textId="058FD455" w:rsidR="00B1107F" w:rsidRPr="0080620A" w:rsidRDefault="00B1107F" w:rsidP="009E249F">
      <w:pPr>
        <w:pStyle w:val="Normalnumber"/>
      </w:pPr>
      <w:r w:rsidRPr="0080620A">
        <w:t xml:space="preserve">The indicators were largely developed keeping in mind </w:t>
      </w:r>
      <w:r w:rsidR="00EF7292" w:rsidRPr="0080620A">
        <w:t xml:space="preserve">the </w:t>
      </w:r>
      <w:r w:rsidRPr="0080620A">
        <w:t xml:space="preserve">data and reports </w:t>
      </w:r>
      <w:r w:rsidR="002B28FC" w:rsidRPr="0080620A">
        <w:t>mandated</w:t>
      </w:r>
      <w:r w:rsidRPr="0080620A">
        <w:t xml:space="preserve"> by the reporting requirements </w:t>
      </w:r>
      <w:r w:rsidR="00200817" w:rsidRPr="0080620A">
        <w:t xml:space="preserve">of the Convention </w:t>
      </w:r>
      <w:r w:rsidRPr="0080620A">
        <w:t xml:space="preserve">or related bodies (including, for example, reports of the Global Environment Facility). These reports will be supplemented by other available </w:t>
      </w:r>
      <w:r w:rsidR="00200817" w:rsidRPr="0080620A">
        <w:t xml:space="preserve">data </w:t>
      </w:r>
      <w:r w:rsidRPr="0080620A">
        <w:t xml:space="preserve">compiled in the synthesis reports and the </w:t>
      </w:r>
      <w:r w:rsidR="006E7D41" w:rsidRPr="0080620A">
        <w:t>a</w:t>
      </w:r>
      <w:r w:rsidRPr="0080620A">
        <w:t xml:space="preserve">ttribution </w:t>
      </w:r>
      <w:r w:rsidR="006E7D41" w:rsidRPr="0080620A">
        <w:t>r</w:t>
      </w:r>
      <w:r w:rsidRPr="0080620A">
        <w:t xml:space="preserve">eport. </w:t>
      </w:r>
      <w:r w:rsidR="0022791A" w:rsidRPr="0080620A">
        <w:t>T</w:t>
      </w:r>
      <w:r w:rsidRPr="0080620A">
        <w:t xml:space="preserve">he </w:t>
      </w:r>
      <w:r w:rsidR="0022791A" w:rsidRPr="0080620A">
        <w:t xml:space="preserve">use of </w:t>
      </w:r>
      <w:r w:rsidR="002F6CA8" w:rsidRPr="0080620A">
        <w:t xml:space="preserve">already </w:t>
      </w:r>
      <w:r w:rsidR="0022791A" w:rsidRPr="0080620A">
        <w:t xml:space="preserve">available </w:t>
      </w:r>
      <w:r w:rsidRPr="0080620A">
        <w:t xml:space="preserve">data </w:t>
      </w:r>
      <w:r w:rsidR="002B28FC" w:rsidRPr="0080620A">
        <w:t>ensures</w:t>
      </w:r>
      <w:r w:rsidR="0022791A" w:rsidRPr="0080620A">
        <w:t xml:space="preserve"> that</w:t>
      </w:r>
      <w:r w:rsidRPr="0080620A">
        <w:t xml:space="preserve"> the indicators are cost</w:t>
      </w:r>
      <w:r w:rsidR="00200817" w:rsidRPr="0080620A">
        <w:t>-</w:t>
      </w:r>
      <w:r w:rsidRPr="0080620A">
        <w:t xml:space="preserve">effective. Further, the data will be produced on a recurrent basis for the life of the Convention and thus are sustainable. </w:t>
      </w:r>
    </w:p>
    <w:p w14:paraId="77E6C941" w14:textId="572AC29C" w:rsidR="00B1107F" w:rsidRPr="0080620A" w:rsidRDefault="00B1107F" w:rsidP="009E249F">
      <w:pPr>
        <w:pStyle w:val="Normalnumber"/>
      </w:pPr>
      <w:r w:rsidRPr="0080620A">
        <w:t xml:space="preserve">The indicators are formulated </w:t>
      </w:r>
      <w:r w:rsidR="0022791A" w:rsidRPr="0080620A">
        <w:t>so as to</w:t>
      </w:r>
      <w:r w:rsidRPr="0080620A">
        <w:t xml:space="preserve"> be practical and feasible. The</w:t>
      </w:r>
      <w:r w:rsidR="0022791A" w:rsidRPr="0080620A">
        <w:t>y</w:t>
      </w:r>
      <w:r w:rsidRPr="0080620A">
        <w:t xml:space="preserve"> are designed to be easily counted and calculated and easily understood (they do not represent complex functions). If </w:t>
      </w:r>
      <w:r w:rsidR="00C95EA7" w:rsidRPr="0080620A">
        <w:t>a</w:t>
      </w:r>
      <w:r w:rsidRPr="0080620A">
        <w:t xml:space="preserve">rticle 21 reporting data </w:t>
      </w:r>
      <w:r w:rsidR="002B28FC" w:rsidRPr="0080620A">
        <w:t>are</w:t>
      </w:r>
      <w:r w:rsidRPr="0080620A">
        <w:t xml:space="preserve"> submitted electronically to the </w:t>
      </w:r>
      <w:r w:rsidR="00C95EA7" w:rsidRPr="0080620A">
        <w:t>s</w:t>
      </w:r>
      <w:r w:rsidRPr="0080620A">
        <w:t xml:space="preserve">ecretariat, their calculation should be especially straightforward. </w:t>
      </w:r>
    </w:p>
    <w:p w14:paraId="6BC3B15B" w14:textId="35CDD8D5" w:rsidR="00B1107F" w:rsidRPr="0080620A" w:rsidRDefault="00B1107F" w:rsidP="009E249F">
      <w:pPr>
        <w:pStyle w:val="Normalnumber"/>
      </w:pPr>
      <w:r w:rsidRPr="0080620A">
        <w:t xml:space="preserve">Baselines are considered fundamental to an effectiveness evaluation, </w:t>
      </w:r>
      <w:r w:rsidR="0095516A" w:rsidRPr="0080620A">
        <w:t>allowing</w:t>
      </w:r>
      <w:r w:rsidRPr="0080620A">
        <w:t xml:space="preserve"> indicators </w:t>
      </w:r>
      <w:r w:rsidR="0095516A" w:rsidRPr="0080620A">
        <w:t xml:space="preserve">to </w:t>
      </w:r>
      <w:r w:rsidRPr="0080620A">
        <w:t xml:space="preserve">be evaluated over time. There is no formal process under the Convention </w:t>
      </w:r>
      <w:r w:rsidR="00200817" w:rsidRPr="0080620A">
        <w:t>for</w:t>
      </w:r>
      <w:r w:rsidRPr="0080620A">
        <w:t xml:space="preserve"> establish</w:t>
      </w:r>
      <w:r w:rsidR="00200817" w:rsidRPr="0080620A">
        <w:t>ing</w:t>
      </w:r>
      <w:r w:rsidRPr="0080620A">
        <w:t xml:space="preserve"> baselines. There are two </w:t>
      </w:r>
      <w:r w:rsidR="00200817" w:rsidRPr="0080620A">
        <w:t>types of</w:t>
      </w:r>
      <w:r w:rsidRPr="0080620A">
        <w:t xml:space="preserve"> baseline</w:t>
      </w:r>
      <w:r w:rsidR="0095516A" w:rsidRPr="0080620A">
        <w:t>:</w:t>
      </w:r>
      <w:r w:rsidRPr="0080620A">
        <w:t xml:space="preserve"> </w:t>
      </w:r>
      <w:r w:rsidR="009F7AF5" w:rsidRPr="0080620A">
        <w:t>the</w:t>
      </w:r>
      <w:r w:rsidRPr="0080620A">
        <w:t xml:space="preserve"> “before-after” baseline</w:t>
      </w:r>
      <w:r w:rsidR="0095516A" w:rsidRPr="0080620A">
        <w:t xml:space="preserve"> and the</w:t>
      </w:r>
      <w:r w:rsidRPr="0080620A">
        <w:t xml:space="preserve"> “with-without” baseline. The former is suitable for indicators that are relatively stable, </w:t>
      </w:r>
      <w:r w:rsidR="009F7AF5" w:rsidRPr="0080620A">
        <w:t>for which</w:t>
      </w:r>
      <w:r w:rsidRPr="0080620A">
        <w:t xml:space="preserve"> a time value </w:t>
      </w:r>
      <w:r w:rsidR="00D53E1E" w:rsidRPr="0080620A">
        <w:t>prior to</w:t>
      </w:r>
      <w:r w:rsidRPr="0080620A">
        <w:t xml:space="preserve"> the Convention</w:t>
      </w:r>
      <w:r w:rsidR="00D53E1E" w:rsidRPr="0080620A">
        <w:t>’s entry into force</w:t>
      </w:r>
      <w:r w:rsidRPr="0080620A">
        <w:t xml:space="preserve"> can be used throughout the evaluation process. The latter is suitable for indicators that fluctuate over time </w:t>
      </w:r>
      <w:r w:rsidR="0095516A" w:rsidRPr="0080620A">
        <w:t xml:space="preserve">due to </w:t>
      </w:r>
      <w:r w:rsidRPr="0080620A">
        <w:t xml:space="preserve">factors other than the interventions made </w:t>
      </w:r>
      <w:r w:rsidR="0095516A" w:rsidRPr="0080620A">
        <w:t>as a result</w:t>
      </w:r>
      <w:r w:rsidRPr="0080620A">
        <w:t xml:space="preserve"> </w:t>
      </w:r>
      <w:r w:rsidR="0095516A" w:rsidRPr="0080620A">
        <w:t xml:space="preserve">of </w:t>
      </w:r>
      <w:r w:rsidRPr="0080620A">
        <w:t>the provisions of the Convention</w:t>
      </w:r>
      <w:r w:rsidR="00200817" w:rsidRPr="0080620A">
        <w:t>, such as s</w:t>
      </w:r>
      <w:r w:rsidRPr="0080620A">
        <w:t>ocioeconomic and demographic aspects, climate change, ongoing initiatives</w:t>
      </w:r>
      <w:r w:rsidR="0095516A" w:rsidRPr="0080620A">
        <w:t xml:space="preserve"> and</w:t>
      </w:r>
      <w:r w:rsidRPr="0080620A">
        <w:t xml:space="preserve"> shifts in lifestyle</w:t>
      </w:r>
      <w:r w:rsidR="00200817" w:rsidRPr="0080620A">
        <w:t>, which</w:t>
      </w:r>
      <w:r w:rsidRPr="0080620A">
        <w:t xml:space="preserve"> will </w:t>
      </w:r>
      <w:r w:rsidR="00200817" w:rsidRPr="0080620A">
        <w:t xml:space="preserve">all </w:t>
      </w:r>
      <w:r w:rsidR="00DB0FE6" w:rsidRPr="0080620A">
        <w:t xml:space="preserve">have an </w:t>
      </w:r>
      <w:r w:rsidRPr="0080620A">
        <w:t xml:space="preserve">impact </w:t>
      </w:r>
      <w:r w:rsidR="00DB0FE6" w:rsidRPr="0080620A">
        <w:t xml:space="preserve">on the </w:t>
      </w:r>
      <w:r w:rsidRPr="0080620A">
        <w:t xml:space="preserve">baseline value </w:t>
      </w:r>
      <w:r w:rsidR="00DB0FE6" w:rsidRPr="0080620A">
        <w:t xml:space="preserve">over </w:t>
      </w:r>
      <w:r w:rsidRPr="0080620A">
        <w:t>the medium and long term.</w:t>
      </w:r>
    </w:p>
    <w:p w14:paraId="0A3B2F44" w14:textId="54D469C2" w:rsidR="00B1107F" w:rsidRPr="0080620A" w:rsidRDefault="00B1107F" w:rsidP="009E249F">
      <w:pPr>
        <w:pStyle w:val="Normalnumber"/>
      </w:pPr>
      <w:r w:rsidRPr="0080620A">
        <w:t>Table 2 present</w:t>
      </w:r>
      <w:r w:rsidR="00035D43" w:rsidRPr="0080620A">
        <w:t>s</w:t>
      </w:r>
      <w:r w:rsidRPr="0080620A">
        <w:t xml:space="preserve"> the proposed indicators, </w:t>
      </w:r>
      <w:r w:rsidR="00065AE4" w:rsidRPr="0080620A">
        <w:t xml:space="preserve">which </w:t>
      </w:r>
      <w:r w:rsidRPr="0080620A">
        <w:t>are compl</w:t>
      </w:r>
      <w:r w:rsidR="006C5116" w:rsidRPr="0080620A">
        <w:t>e</w:t>
      </w:r>
      <w:r w:rsidRPr="0080620A">
        <w:t>ment</w:t>
      </w:r>
      <w:r w:rsidR="006C5116" w:rsidRPr="0080620A">
        <w:t>ed by</w:t>
      </w:r>
      <w:r w:rsidRPr="0080620A">
        <w:t xml:space="preserve"> the monitoring indicators identified in </w:t>
      </w:r>
      <w:r w:rsidR="00DC5C70" w:rsidRPr="0080620A">
        <w:t>t</w:t>
      </w:r>
      <w:r w:rsidRPr="0080620A">
        <w:t xml:space="preserve">able </w:t>
      </w:r>
      <w:r w:rsidR="00EA5A14" w:rsidRPr="0080620A">
        <w:t>4</w:t>
      </w:r>
      <w:r w:rsidRPr="0080620A">
        <w:t xml:space="preserve">. It is to be noted that </w:t>
      </w:r>
      <w:r w:rsidR="00DC5C70" w:rsidRPr="0080620A">
        <w:t>t</w:t>
      </w:r>
      <w:r w:rsidRPr="0080620A">
        <w:t xml:space="preserve">able 2 contains a sizable number of indicators for the consideration of the Conference of </w:t>
      </w:r>
      <w:r w:rsidR="00DC5C70" w:rsidRPr="0080620A">
        <w:t xml:space="preserve">the </w:t>
      </w:r>
      <w:r w:rsidRPr="0080620A">
        <w:t>Parties</w:t>
      </w:r>
      <w:r w:rsidR="006E7D41" w:rsidRPr="0080620A">
        <w:t>.</w:t>
      </w:r>
      <w:r w:rsidRPr="0080620A">
        <w:t xml:space="preserve"> </w:t>
      </w:r>
      <w:r w:rsidR="00DB0FE6" w:rsidRPr="0080620A">
        <w:t>T</w:t>
      </w:r>
      <w:r w:rsidRPr="0080620A">
        <w:t xml:space="preserve">he ad hoc technical </w:t>
      </w:r>
      <w:r w:rsidR="006E7D41" w:rsidRPr="0080620A">
        <w:t xml:space="preserve">expert </w:t>
      </w:r>
      <w:r w:rsidRPr="0080620A">
        <w:t xml:space="preserve">group </w:t>
      </w:r>
      <w:r w:rsidR="00DB0FE6" w:rsidRPr="0080620A">
        <w:t>developed th</w:t>
      </w:r>
      <w:r w:rsidR="00D53E1E" w:rsidRPr="0080620A">
        <w:t>ose</w:t>
      </w:r>
      <w:r w:rsidR="00DB0FE6" w:rsidRPr="0080620A">
        <w:t xml:space="preserve"> indicators </w:t>
      </w:r>
      <w:r w:rsidRPr="0080620A">
        <w:t>at a time whe</w:t>
      </w:r>
      <w:r w:rsidR="006E7D41" w:rsidRPr="0080620A">
        <w:t>n</w:t>
      </w:r>
      <w:r w:rsidRPr="0080620A">
        <w:t xml:space="preserve"> data and information gathering ha</w:t>
      </w:r>
      <w:r w:rsidR="00DB0FE6" w:rsidRPr="0080620A">
        <w:t>d</w:t>
      </w:r>
      <w:r w:rsidRPr="0080620A">
        <w:t xml:space="preserve"> </w:t>
      </w:r>
      <w:r w:rsidR="006E7D41" w:rsidRPr="0080620A">
        <w:t xml:space="preserve">yet to </w:t>
      </w:r>
      <w:r w:rsidRPr="0080620A">
        <w:t>take place</w:t>
      </w:r>
      <w:r w:rsidR="00200817" w:rsidRPr="0080620A">
        <w:t>, and</w:t>
      </w:r>
      <w:r w:rsidRPr="0080620A">
        <w:t xml:space="preserve"> </w:t>
      </w:r>
      <w:r w:rsidR="00200817" w:rsidRPr="0080620A">
        <w:t>i</w:t>
      </w:r>
      <w:r w:rsidRPr="0080620A">
        <w:t xml:space="preserve">t is thus likely that some </w:t>
      </w:r>
      <w:r w:rsidR="00200817" w:rsidRPr="0080620A">
        <w:t xml:space="preserve">of them </w:t>
      </w:r>
      <w:r w:rsidRPr="0080620A">
        <w:t>will have to be fine</w:t>
      </w:r>
      <w:r w:rsidR="006E7D41" w:rsidRPr="0080620A">
        <w:t>-</w:t>
      </w:r>
      <w:r w:rsidRPr="0080620A">
        <w:t xml:space="preserve">tuned in </w:t>
      </w:r>
      <w:r w:rsidR="00C05B03" w:rsidRPr="0080620A">
        <w:t xml:space="preserve">the </w:t>
      </w:r>
      <w:r w:rsidRPr="0080620A">
        <w:t>light of the amount and quality of data and information available, and that gap</w:t>
      </w:r>
      <w:r w:rsidR="00DB0FE6" w:rsidRPr="0080620A">
        <w:t>-</w:t>
      </w:r>
      <w:r w:rsidRPr="0080620A">
        <w:t xml:space="preserve">filling will be necessary. </w:t>
      </w:r>
      <w:r w:rsidR="00200817" w:rsidRPr="0080620A">
        <w:t>Some of the</w:t>
      </w:r>
      <w:r w:rsidRPr="0080620A">
        <w:t xml:space="preserve"> indicators may </w:t>
      </w:r>
      <w:r w:rsidR="00C05B03" w:rsidRPr="0080620A">
        <w:t xml:space="preserve">even </w:t>
      </w:r>
      <w:r w:rsidRPr="0080620A">
        <w:t xml:space="preserve">prove not to be workable and eventually not be used. </w:t>
      </w:r>
      <w:r w:rsidR="00C05B03" w:rsidRPr="0080620A">
        <w:t xml:space="preserve">The group nevertheless felt </w:t>
      </w:r>
      <w:r w:rsidR="00DB0FE6" w:rsidRPr="0080620A">
        <w:t xml:space="preserve">that </w:t>
      </w:r>
      <w:r w:rsidR="00C05B03" w:rsidRPr="0080620A">
        <w:t xml:space="preserve">it was </w:t>
      </w:r>
      <w:r w:rsidRPr="0080620A">
        <w:t>important to present a longer list for consideration.</w:t>
      </w:r>
    </w:p>
    <w:p w14:paraId="7147FBBF" w14:textId="77777777" w:rsidR="00434AD2" w:rsidRPr="0080620A" w:rsidRDefault="00434AD2" w:rsidP="00434AD2">
      <w:pPr>
        <w:pStyle w:val="Normalnumber"/>
        <w:numPr>
          <w:ilvl w:val="0"/>
          <w:numId w:val="0"/>
        </w:numPr>
        <w:ind w:left="1247"/>
        <w:sectPr w:rsidR="00434AD2" w:rsidRPr="0080620A" w:rsidSect="00A07BAB">
          <w:pgSz w:w="11907" w:h="16840" w:code="9"/>
          <w:pgMar w:top="907" w:right="992" w:bottom="1418" w:left="1418" w:header="539" w:footer="975" w:gutter="0"/>
          <w:cols w:space="708"/>
          <w:docGrid w:linePitch="360"/>
        </w:sectPr>
      </w:pPr>
    </w:p>
    <w:p w14:paraId="5DBBD73E" w14:textId="0F4D42F0" w:rsidR="00434AD2" w:rsidRPr="00C54064" w:rsidRDefault="00434AD2" w:rsidP="00C54064">
      <w:pPr>
        <w:pStyle w:val="Titletable"/>
        <w:ind w:left="0"/>
      </w:pPr>
      <w:r w:rsidRPr="00C54064">
        <w:rPr>
          <w:b w:val="0"/>
        </w:rPr>
        <w:lastRenderedPageBreak/>
        <w:t xml:space="preserve">Table </w:t>
      </w:r>
      <w:r w:rsidRPr="00C54064">
        <w:rPr>
          <w:b w:val="0"/>
        </w:rPr>
        <w:fldChar w:fldCharType="begin"/>
      </w:r>
      <w:r w:rsidRPr="00C54064">
        <w:rPr>
          <w:b w:val="0"/>
        </w:rPr>
        <w:instrText xml:space="preserve"> SEQ Table \* ARABIC </w:instrText>
      </w:r>
      <w:r w:rsidRPr="00C54064">
        <w:rPr>
          <w:b w:val="0"/>
        </w:rPr>
        <w:fldChar w:fldCharType="separate"/>
      </w:r>
      <w:r w:rsidR="00A929BE">
        <w:rPr>
          <w:b w:val="0"/>
          <w:noProof/>
        </w:rPr>
        <w:t>2</w:t>
      </w:r>
      <w:r w:rsidRPr="00C54064">
        <w:rPr>
          <w:b w:val="0"/>
        </w:rPr>
        <w:fldChar w:fldCharType="end"/>
      </w:r>
      <w:r w:rsidRPr="00C54064">
        <w:rPr>
          <w:rFonts w:eastAsia="Roboto"/>
          <w:b w:val="0"/>
        </w:rPr>
        <w:t xml:space="preserve"> </w:t>
      </w:r>
      <w:r w:rsidR="001B0AA1" w:rsidRPr="00C54064">
        <w:rPr>
          <w:rFonts w:eastAsia="Roboto"/>
          <w:b w:val="0"/>
        </w:rPr>
        <w:br/>
      </w:r>
      <w:r w:rsidRPr="00C54064">
        <w:t>Proposed indicators for evaluating the effectiveness of the Minamata Convention, by article</w:t>
      </w:r>
    </w:p>
    <w:tbl>
      <w:tblPr>
        <w:tblStyle w:val="TableGrid"/>
        <w:tblW w:w="5000" w:type="pct"/>
        <w:jc w:val="right"/>
        <w:tblLook w:val="04A0" w:firstRow="1" w:lastRow="0" w:firstColumn="1" w:lastColumn="0" w:noHBand="0" w:noVBand="1"/>
      </w:tblPr>
      <w:tblGrid>
        <w:gridCol w:w="2799"/>
        <w:gridCol w:w="5605"/>
        <w:gridCol w:w="2508"/>
        <w:gridCol w:w="2508"/>
      </w:tblGrid>
      <w:tr w:rsidR="00B1107F" w:rsidRPr="0080620A" w14:paraId="05F9AA20" w14:textId="77777777" w:rsidTr="00F1134F">
        <w:trPr>
          <w:trHeight w:val="454"/>
          <w:jc w:val="right"/>
        </w:trPr>
        <w:tc>
          <w:tcPr>
            <w:tcW w:w="8404" w:type="dxa"/>
            <w:gridSpan w:val="2"/>
            <w:shd w:val="clear" w:color="auto" w:fill="B8CCE4"/>
          </w:tcPr>
          <w:p w14:paraId="15DA352D" w14:textId="68CCD1BB" w:rsidR="00851861" w:rsidRPr="0080620A" w:rsidRDefault="00B1107F" w:rsidP="004D78F9">
            <w:pPr>
              <w:rPr>
                <w:rFonts w:asciiTheme="majorBidi" w:eastAsia="Roboto" w:hAnsiTheme="majorBidi" w:cstheme="majorBidi"/>
                <w:b/>
                <w:sz w:val="18"/>
                <w:szCs w:val="18"/>
              </w:rPr>
            </w:pPr>
            <w:r w:rsidRPr="0080620A">
              <w:rPr>
                <w:rFonts w:asciiTheme="majorBidi" w:eastAsia="Roboto" w:hAnsiTheme="majorBidi" w:cstheme="majorBidi"/>
                <w:b/>
                <w:sz w:val="18"/>
                <w:szCs w:val="18"/>
              </w:rPr>
              <w:t xml:space="preserve">A: </w:t>
            </w:r>
            <w:r w:rsidR="00434AD2" w:rsidRPr="0080620A">
              <w:rPr>
                <w:rFonts w:asciiTheme="majorBidi" w:eastAsia="Roboto" w:hAnsiTheme="majorBidi" w:cstheme="majorBidi"/>
                <w:b/>
                <w:sz w:val="18"/>
                <w:szCs w:val="18"/>
              </w:rPr>
              <w:t>A</w:t>
            </w:r>
            <w:r w:rsidRPr="0080620A">
              <w:rPr>
                <w:rFonts w:asciiTheme="majorBidi" w:eastAsia="Roboto" w:hAnsiTheme="majorBidi" w:cstheme="majorBidi"/>
                <w:b/>
                <w:sz w:val="18"/>
                <w:szCs w:val="18"/>
              </w:rPr>
              <w:t xml:space="preserve">rticle 1 </w:t>
            </w:r>
            <w:r w:rsidR="00D53E1E" w:rsidRPr="0080620A">
              <w:rPr>
                <w:rFonts w:asciiTheme="majorBidi" w:eastAsia="Roboto" w:hAnsiTheme="majorBidi" w:cstheme="majorBidi"/>
                <w:b/>
                <w:sz w:val="18"/>
                <w:szCs w:val="18"/>
              </w:rPr>
              <w:t>(</w:t>
            </w:r>
            <w:r w:rsidR="00434AD2" w:rsidRPr="0080620A">
              <w:rPr>
                <w:rFonts w:asciiTheme="majorBidi" w:eastAsia="Roboto" w:hAnsiTheme="majorBidi" w:cstheme="majorBidi"/>
                <w:b/>
                <w:sz w:val="18"/>
                <w:szCs w:val="18"/>
              </w:rPr>
              <w:t>o</w:t>
            </w:r>
            <w:r w:rsidRPr="0080620A">
              <w:rPr>
                <w:rFonts w:asciiTheme="majorBidi" w:eastAsia="Roboto" w:hAnsiTheme="majorBidi" w:cstheme="majorBidi"/>
                <w:b/>
                <w:sz w:val="18"/>
                <w:szCs w:val="18"/>
              </w:rPr>
              <w:t>bjective</w:t>
            </w:r>
            <w:r w:rsidR="00D53E1E" w:rsidRPr="0080620A">
              <w:rPr>
                <w:rFonts w:asciiTheme="majorBidi" w:eastAsia="Roboto" w:hAnsiTheme="majorBidi" w:cstheme="majorBidi"/>
                <w:b/>
                <w:sz w:val="18"/>
                <w:szCs w:val="18"/>
              </w:rPr>
              <w:t>)</w:t>
            </w:r>
          </w:p>
          <w:p w14:paraId="4ED894F9" w14:textId="7F314FD9" w:rsidR="00B1107F" w:rsidRPr="0080620A" w:rsidRDefault="00B1107F" w:rsidP="00851861">
            <w:pPr>
              <w:ind w:left="698"/>
              <w:rPr>
                <w:rFonts w:asciiTheme="majorBidi" w:hAnsiTheme="majorBidi" w:cstheme="majorBidi"/>
                <w:b/>
                <w:bCs/>
                <w:sz w:val="18"/>
                <w:szCs w:val="18"/>
              </w:rPr>
            </w:pPr>
            <w:r w:rsidRPr="0080620A">
              <w:rPr>
                <w:rFonts w:eastAsia="Roboto"/>
                <w:bCs/>
                <w:sz w:val="18"/>
                <w:szCs w:val="18"/>
              </w:rPr>
              <w:t>(</w:t>
            </w:r>
            <w:r w:rsidRPr="0080620A">
              <w:rPr>
                <w:rFonts w:asciiTheme="majorBidi" w:hAnsiTheme="majorBidi" w:cstheme="majorBidi"/>
                <w:sz w:val="18"/>
                <w:szCs w:val="18"/>
              </w:rPr>
              <w:t xml:space="preserve">The indicator for </w:t>
            </w:r>
            <w:r w:rsidR="00DC5C70" w:rsidRPr="0080620A">
              <w:rPr>
                <w:rFonts w:asciiTheme="majorBidi" w:hAnsiTheme="majorBidi" w:cstheme="majorBidi"/>
                <w:sz w:val="18"/>
                <w:szCs w:val="18"/>
              </w:rPr>
              <w:t>a</w:t>
            </w:r>
            <w:r w:rsidRPr="0080620A">
              <w:rPr>
                <w:rFonts w:asciiTheme="majorBidi" w:hAnsiTheme="majorBidi" w:cstheme="majorBidi"/>
                <w:sz w:val="18"/>
                <w:szCs w:val="18"/>
              </w:rPr>
              <w:t xml:space="preserve">rticle 1 is to be read with the relevant monitoring indicator in </w:t>
            </w:r>
            <w:r w:rsidR="00DC5C70" w:rsidRPr="0080620A">
              <w:rPr>
                <w:rFonts w:asciiTheme="majorBidi" w:hAnsiTheme="majorBidi" w:cstheme="majorBidi"/>
                <w:sz w:val="18"/>
                <w:szCs w:val="18"/>
              </w:rPr>
              <w:t>t</w:t>
            </w:r>
            <w:r w:rsidRPr="0080620A">
              <w:rPr>
                <w:rFonts w:asciiTheme="majorBidi" w:hAnsiTheme="majorBidi" w:cstheme="majorBidi"/>
                <w:sz w:val="18"/>
                <w:szCs w:val="18"/>
              </w:rPr>
              <w:t>able 4.)</w:t>
            </w:r>
          </w:p>
        </w:tc>
        <w:tc>
          <w:tcPr>
            <w:tcW w:w="2508" w:type="dxa"/>
            <w:shd w:val="clear" w:color="auto" w:fill="B8CCE4" w:themeFill="accent1" w:themeFillTint="66"/>
          </w:tcPr>
          <w:p w14:paraId="65D7EA79" w14:textId="41940A86" w:rsidR="00B1107F" w:rsidRPr="0080620A" w:rsidRDefault="00B1107F" w:rsidP="00EE7D24">
            <w:pPr>
              <w:rPr>
                <w:rFonts w:asciiTheme="majorBidi" w:eastAsia="Roboto" w:hAnsiTheme="majorBidi" w:cstheme="majorBidi"/>
                <w:b/>
                <w:bCs/>
                <w:sz w:val="18"/>
                <w:szCs w:val="18"/>
              </w:rPr>
            </w:pPr>
            <w:r w:rsidRPr="0080620A">
              <w:rPr>
                <w:rFonts w:asciiTheme="majorBidi" w:hAnsiTheme="majorBidi" w:cstheme="majorBidi"/>
                <w:b/>
                <w:bCs/>
                <w:sz w:val="18"/>
                <w:szCs w:val="18"/>
              </w:rPr>
              <w:t xml:space="preserve">Source of information on </w:t>
            </w:r>
            <w:r w:rsidR="00F16695" w:rsidRPr="0080620A">
              <w:rPr>
                <w:rFonts w:asciiTheme="majorBidi" w:hAnsiTheme="majorBidi" w:cstheme="majorBidi"/>
                <w:b/>
                <w:bCs/>
                <w:sz w:val="18"/>
                <w:szCs w:val="18"/>
              </w:rPr>
              <w:t xml:space="preserve">the </w:t>
            </w:r>
            <w:r w:rsidRPr="0080620A">
              <w:rPr>
                <w:rFonts w:asciiTheme="majorBidi" w:hAnsiTheme="majorBidi" w:cstheme="majorBidi"/>
                <w:b/>
                <w:bCs/>
                <w:sz w:val="18"/>
                <w:szCs w:val="18"/>
              </w:rPr>
              <w:t>indicator</w:t>
            </w:r>
          </w:p>
        </w:tc>
        <w:tc>
          <w:tcPr>
            <w:tcW w:w="2508" w:type="dxa"/>
            <w:shd w:val="clear" w:color="auto" w:fill="B8CCE4" w:themeFill="accent1" w:themeFillTint="66"/>
          </w:tcPr>
          <w:p w14:paraId="274B11E1" w14:textId="77777777" w:rsidR="00B1107F" w:rsidRPr="0080620A" w:rsidRDefault="00B1107F" w:rsidP="00EE7D24">
            <w:pPr>
              <w:rPr>
                <w:rFonts w:asciiTheme="majorBidi" w:eastAsia="Roboto" w:hAnsiTheme="majorBidi" w:cstheme="majorBidi"/>
                <w:b/>
                <w:bCs/>
                <w:sz w:val="18"/>
                <w:szCs w:val="18"/>
              </w:rPr>
            </w:pPr>
            <w:r w:rsidRPr="0080620A">
              <w:rPr>
                <w:rFonts w:asciiTheme="majorBidi" w:hAnsiTheme="majorBidi" w:cstheme="majorBidi"/>
                <w:b/>
                <w:bCs/>
                <w:sz w:val="18"/>
                <w:szCs w:val="18"/>
              </w:rPr>
              <w:t>Baseline for the indicator</w:t>
            </w:r>
          </w:p>
        </w:tc>
      </w:tr>
      <w:tr w:rsidR="00B1107F" w:rsidRPr="0080620A" w14:paraId="5DD1FA88" w14:textId="77777777" w:rsidTr="00F1134F">
        <w:trPr>
          <w:trHeight w:val="454"/>
          <w:jc w:val="right"/>
        </w:trPr>
        <w:tc>
          <w:tcPr>
            <w:tcW w:w="2799" w:type="dxa"/>
          </w:tcPr>
          <w:p w14:paraId="560048BE" w14:textId="1B023C3C"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 xml:space="preserve">A1. </w:t>
            </w:r>
            <w:r w:rsidR="00740F92">
              <w:rPr>
                <w:rFonts w:asciiTheme="majorBidi" w:hAnsiTheme="majorBidi" w:cstheme="majorBidi"/>
                <w:sz w:val="18"/>
                <w:szCs w:val="18"/>
              </w:rPr>
              <w:t>Cross</w:t>
            </w:r>
            <w:r w:rsidR="00740F92">
              <w:rPr>
                <w:rFonts w:asciiTheme="majorBidi" w:hAnsiTheme="majorBidi" w:cstheme="majorBidi"/>
                <w:sz w:val="18"/>
                <w:szCs w:val="18"/>
              </w:rPr>
              <w:noBreakHyphen/>
              <w:t>cutting</w:t>
            </w:r>
            <w:r w:rsidRPr="0080620A">
              <w:rPr>
                <w:rFonts w:asciiTheme="majorBidi" w:hAnsiTheme="majorBidi" w:cstheme="majorBidi"/>
                <w:sz w:val="18"/>
                <w:szCs w:val="18"/>
              </w:rPr>
              <w:t xml:space="preserve"> monitoring indicator</w:t>
            </w:r>
          </w:p>
        </w:tc>
        <w:tc>
          <w:tcPr>
            <w:tcW w:w="5605" w:type="dxa"/>
          </w:tcPr>
          <w:p w14:paraId="63F386ED"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Levels of mercury in the environment and in humans due to anthropogenic emissions and releases</w:t>
            </w:r>
          </w:p>
        </w:tc>
        <w:tc>
          <w:tcPr>
            <w:tcW w:w="2508" w:type="dxa"/>
          </w:tcPr>
          <w:p w14:paraId="67E0C5CA" w14:textId="045D02AE" w:rsidR="00B1107F" w:rsidRPr="0080620A" w:rsidRDefault="00B1107F" w:rsidP="00BC69B4">
            <w:pPr>
              <w:rPr>
                <w:rFonts w:asciiTheme="majorBidi" w:hAnsiTheme="majorBidi" w:cstheme="majorBidi"/>
                <w:sz w:val="18"/>
                <w:szCs w:val="18"/>
              </w:rPr>
            </w:pPr>
            <w:r w:rsidRPr="0080620A">
              <w:rPr>
                <w:rFonts w:asciiTheme="majorBidi" w:hAnsiTheme="majorBidi" w:cstheme="majorBidi"/>
                <w:sz w:val="18"/>
                <w:szCs w:val="18"/>
              </w:rPr>
              <w:t>Attributive modelling</w:t>
            </w:r>
          </w:p>
        </w:tc>
        <w:tc>
          <w:tcPr>
            <w:tcW w:w="2508" w:type="dxa"/>
          </w:tcPr>
          <w:p w14:paraId="3510BA90" w14:textId="6FC4A104" w:rsidR="00B1107F" w:rsidRPr="0080620A" w:rsidRDefault="00F1134F" w:rsidP="00EE7D24">
            <w:pPr>
              <w:rPr>
                <w:rFonts w:asciiTheme="majorBidi" w:hAnsiTheme="majorBidi" w:cstheme="majorBidi"/>
                <w:sz w:val="18"/>
                <w:szCs w:val="18"/>
              </w:rPr>
            </w:pPr>
            <w:r w:rsidRPr="0080620A">
              <w:rPr>
                <w:rFonts w:asciiTheme="majorBidi" w:hAnsiTheme="majorBidi" w:cstheme="majorBidi"/>
                <w:sz w:val="18"/>
                <w:szCs w:val="18"/>
              </w:rPr>
              <w:t>A</w:t>
            </w:r>
            <w:r w:rsidR="00B1107F" w:rsidRPr="0080620A">
              <w:rPr>
                <w:rFonts w:asciiTheme="majorBidi" w:hAnsiTheme="majorBidi" w:cstheme="majorBidi"/>
                <w:sz w:val="18"/>
                <w:szCs w:val="18"/>
              </w:rPr>
              <w:t>mount in the first evaluation (if models are available)</w:t>
            </w:r>
          </w:p>
        </w:tc>
      </w:tr>
      <w:tr w:rsidR="00B1107F" w:rsidRPr="0080620A" w14:paraId="3C6F2321" w14:textId="77777777" w:rsidTr="00C05B03">
        <w:trPr>
          <w:trHeight w:val="57"/>
          <w:jc w:val="right"/>
        </w:trPr>
        <w:tc>
          <w:tcPr>
            <w:tcW w:w="2799" w:type="dxa"/>
            <w:shd w:val="clear" w:color="auto" w:fill="B8CCE4"/>
          </w:tcPr>
          <w:p w14:paraId="5B85138A" w14:textId="77777777" w:rsidR="00B1107F" w:rsidRPr="0080620A" w:rsidRDefault="00B1107F" w:rsidP="00EE7D24">
            <w:pPr>
              <w:rPr>
                <w:rFonts w:asciiTheme="majorBidi" w:hAnsiTheme="majorBidi" w:cstheme="majorBidi"/>
                <w:b/>
                <w:bCs/>
                <w:sz w:val="18"/>
                <w:szCs w:val="18"/>
              </w:rPr>
            </w:pPr>
            <w:r w:rsidRPr="0080620A">
              <w:rPr>
                <w:rFonts w:asciiTheme="majorBidi" w:hAnsiTheme="majorBidi" w:cstheme="majorBidi"/>
                <w:b/>
                <w:bCs/>
                <w:sz w:val="18"/>
                <w:szCs w:val="18"/>
              </w:rPr>
              <w:t>Notes</w:t>
            </w:r>
          </w:p>
        </w:tc>
        <w:tc>
          <w:tcPr>
            <w:tcW w:w="10621" w:type="dxa"/>
            <w:gridSpan w:val="3"/>
          </w:tcPr>
          <w:p w14:paraId="1B4B70B3" w14:textId="48DD8F62" w:rsidR="00B1107F" w:rsidRPr="0080620A" w:rsidRDefault="00B1107F" w:rsidP="00A00B9F">
            <w:pPr>
              <w:pStyle w:val="ListParagraph"/>
              <w:numPr>
                <w:ilvl w:val="0"/>
                <w:numId w:val="19"/>
              </w:numPr>
              <w:pBdr>
                <w:top w:val="nil"/>
                <w:left w:val="nil"/>
                <w:bottom w:val="nil"/>
                <w:right w:val="nil"/>
                <w:between w:val="nil"/>
                <w:bar w:val="nil"/>
              </w:pBdr>
              <w:ind w:left="202" w:hanging="202"/>
              <w:rPr>
                <w:rFonts w:asciiTheme="majorBidi" w:hAnsiTheme="majorBidi" w:cstheme="majorBidi"/>
                <w:sz w:val="18"/>
                <w:szCs w:val="18"/>
              </w:rPr>
            </w:pPr>
            <w:r w:rsidRPr="0080620A">
              <w:rPr>
                <w:rFonts w:asciiTheme="majorBidi" w:hAnsiTheme="majorBidi" w:cstheme="majorBidi"/>
                <w:sz w:val="18"/>
                <w:szCs w:val="18"/>
              </w:rPr>
              <w:t xml:space="preserve">Attribution </w:t>
            </w:r>
            <w:r w:rsidR="00200817" w:rsidRPr="0080620A">
              <w:rPr>
                <w:rFonts w:asciiTheme="majorBidi" w:hAnsiTheme="majorBidi" w:cstheme="majorBidi"/>
                <w:sz w:val="18"/>
                <w:szCs w:val="18"/>
              </w:rPr>
              <w:t xml:space="preserve">is </w:t>
            </w:r>
            <w:r w:rsidRPr="0080620A">
              <w:rPr>
                <w:rFonts w:asciiTheme="majorBidi" w:hAnsiTheme="majorBidi" w:cstheme="majorBidi"/>
                <w:sz w:val="18"/>
                <w:szCs w:val="18"/>
              </w:rPr>
              <w:t>to be estimated using model</w:t>
            </w:r>
            <w:r w:rsidR="00200817" w:rsidRPr="0080620A">
              <w:rPr>
                <w:rFonts w:asciiTheme="majorBidi" w:hAnsiTheme="majorBidi" w:cstheme="majorBidi"/>
                <w:sz w:val="18"/>
                <w:szCs w:val="18"/>
              </w:rPr>
              <w:t>s yet</w:t>
            </w:r>
            <w:r w:rsidRPr="0080620A">
              <w:rPr>
                <w:rFonts w:asciiTheme="majorBidi" w:hAnsiTheme="majorBidi" w:cstheme="majorBidi"/>
                <w:sz w:val="18"/>
                <w:szCs w:val="18"/>
              </w:rPr>
              <w:t xml:space="preserve"> to be developed</w:t>
            </w:r>
            <w:r w:rsidR="007861A9" w:rsidRPr="0080620A">
              <w:rPr>
                <w:rFonts w:asciiTheme="majorBidi" w:hAnsiTheme="majorBidi" w:cstheme="majorBidi"/>
                <w:sz w:val="18"/>
                <w:szCs w:val="18"/>
              </w:rPr>
              <w:t>;</w:t>
            </w:r>
            <w:r w:rsidRPr="0080620A">
              <w:rPr>
                <w:rFonts w:asciiTheme="majorBidi" w:hAnsiTheme="majorBidi" w:cstheme="majorBidi"/>
                <w:sz w:val="18"/>
                <w:szCs w:val="18"/>
              </w:rPr>
              <w:t xml:space="preserve"> thus</w:t>
            </w:r>
            <w:r w:rsidR="007861A9" w:rsidRPr="0080620A">
              <w:rPr>
                <w:rFonts w:asciiTheme="majorBidi" w:hAnsiTheme="majorBidi" w:cstheme="majorBidi"/>
                <w:sz w:val="18"/>
                <w:szCs w:val="18"/>
              </w:rPr>
              <w:t>,</w:t>
            </w:r>
            <w:r w:rsidRPr="0080620A">
              <w:rPr>
                <w:rFonts w:asciiTheme="majorBidi" w:hAnsiTheme="majorBidi" w:cstheme="majorBidi"/>
                <w:sz w:val="18"/>
                <w:szCs w:val="18"/>
              </w:rPr>
              <w:t xml:space="preserve"> information for this indicator may or may not be available </w:t>
            </w:r>
            <w:r w:rsidR="000F2BA4" w:rsidRPr="0080620A">
              <w:rPr>
                <w:rFonts w:asciiTheme="majorBidi" w:hAnsiTheme="majorBidi" w:cstheme="majorBidi"/>
                <w:sz w:val="18"/>
                <w:szCs w:val="18"/>
              </w:rPr>
              <w:t>for</w:t>
            </w:r>
            <w:r w:rsidRPr="0080620A">
              <w:rPr>
                <w:rFonts w:asciiTheme="majorBidi" w:hAnsiTheme="majorBidi" w:cstheme="majorBidi"/>
                <w:sz w:val="18"/>
                <w:szCs w:val="18"/>
              </w:rPr>
              <w:t xml:space="preserve"> the first effectiveness evaluation cycle.</w:t>
            </w:r>
          </w:p>
          <w:p w14:paraId="382F3528" w14:textId="76D27A57" w:rsidR="00B1107F" w:rsidRPr="0080620A" w:rsidRDefault="00B1107F" w:rsidP="00A00B9F">
            <w:pPr>
              <w:pStyle w:val="ListParagraph"/>
              <w:numPr>
                <w:ilvl w:val="0"/>
                <w:numId w:val="19"/>
              </w:numPr>
              <w:pBdr>
                <w:top w:val="nil"/>
                <w:left w:val="nil"/>
                <w:bottom w:val="nil"/>
                <w:right w:val="nil"/>
                <w:between w:val="nil"/>
                <w:bar w:val="nil"/>
              </w:pBdr>
              <w:ind w:left="202" w:hanging="202"/>
              <w:rPr>
                <w:rFonts w:asciiTheme="majorBidi" w:hAnsiTheme="majorBidi" w:cstheme="majorBidi"/>
                <w:sz w:val="18"/>
                <w:szCs w:val="18"/>
              </w:rPr>
            </w:pPr>
            <w:r w:rsidRPr="0080620A">
              <w:rPr>
                <w:rFonts w:asciiTheme="majorBidi" w:hAnsiTheme="majorBidi" w:cstheme="majorBidi"/>
                <w:sz w:val="18"/>
                <w:szCs w:val="18"/>
              </w:rPr>
              <w:t>Estimat</w:t>
            </w:r>
            <w:r w:rsidR="007861A9" w:rsidRPr="0080620A">
              <w:rPr>
                <w:rFonts w:asciiTheme="majorBidi" w:hAnsiTheme="majorBidi" w:cstheme="majorBidi"/>
                <w:sz w:val="18"/>
                <w:szCs w:val="18"/>
              </w:rPr>
              <w:t>e</w:t>
            </w:r>
            <w:r w:rsidRPr="0080620A">
              <w:rPr>
                <w:rFonts w:asciiTheme="majorBidi" w:hAnsiTheme="majorBidi" w:cstheme="majorBidi"/>
                <w:sz w:val="18"/>
                <w:szCs w:val="18"/>
              </w:rPr>
              <w:t xml:space="preserve">s from modelling </w:t>
            </w:r>
            <w:r w:rsidR="007861A9" w:rsidRPr="0080620A">
              <w:rPr>
                <w:rFonts w:asciiTheme="majorBidi" w:hAnsiTheme="majorBidi" w:cstheme="majorBidi"/>
                <w:sz w:val="18"/>
                <w:szCs w:val="18"/>
              </w:rPr>
              <w:t xml:space="preserve">are </w:t>
            </w:r>
            <w:r w:rsidRPr="0080620A">
              <w:rPr>
                <w:rFonts w:asciiTheme="majorBidi" w:hAnsiTheme="majorBidi" w:cstheme="majorBidi"/>
                <w:sz w:val="18"/>
                <w:szCs w:val="18"/>
              </w:rPr>
              <w:t>to be accompanied by relevant notes on modelling uncertainties.</w:t>
            </w:r>
          </w:p>
          <w:p w14:paraId="061706DE" w14:textId="511DB778" w:rsidR="00B1107F" w:rsidRPr="0080620A" w:rsidRDefault="00B1107F" w:rsidP="00A00B9F">
            <w:pPr>
              <w:pStyle w:val="ListParagraph"/>
              <w:numPr>
                <w:ilvl w:val="0"/>
                <w:numId w:val="19"/>
              </w:numPr>
              <w:pBdr>
                <w:top w:val="nil"/>
                <w:left w:val="nil"/>
                <w:bottom w:val="nil"/>
                <w:right w:val="nil"/>
                <w:between w:val="nil"/>
                <w:bar w:val="nil"/>
              </w:pBdr>
              <w:ind w:left="202" w:hanging="202"/>
              <w:rPr>
                <w:rFonts w:asciiTheme="majorBidi" w:hAnsiTheme="majorBidi" w:cstheme="majorBidi"/>
                <w:sz w:val="18"/>
                <w:szCs w:val="18"/>
              </w:rPr>
            </w:pPr>
            <w:r w:rsidRPr="0080620A">
              <w:rPr>
                <w:rFonts w:asciiTheme="majorBidi" w:hAnsiTheme="majorBidi" w:cstheme="majorBidi"/>
                <w:sz w:val="18"/>
                <w:szCs w:val="18"/>
              </w:rPr>
              <w:t>In case of non-availability of information from models, levels of mercury and trend</w:t>
            </w:r>
            <w:r w:rsidR="007861A9" w:rsidRPr="0080620A">
              <w:rPr>
                <w:rFonts w:asciiTheme="majorBidi" w:hAnsiTheme="majorBidi" w:cstheme="majorBidi"/>
                <w:sz w:val="18"/>
                <w:szCs w:val="18"/>
              </w:rPr>
              <w:t>s</w:t>
            </w:r>
            <w:r w:rsidRPr="0080620A">
              <w:rPr>
                <w:rFonts w:asciiTheme="majorBidi" w:hAnsiTheme="majorBidi" w:cstheme="majorBidi"/>
                <w:sz w:val="18"/>
                <w:szCs w:val="18"/>
              </w:rPr>
              <w:t xml:space="preserve"> in mercury</w:t>
            </w:r>
            <w:r w:rsidR="007861A9" w:rsidRPr="0080620A">
              <w:rPr>
                <w:rFonts w:asciiTheme="majorBidi" w:hAnsiTheme="majorBidi" w:cstheme="majorBidi"/>
                <w:sz w:val="18"/>
                <w:szCs w:val="18"/>
              </w:rPr>
              <w:t xml:space="preserve"> levels</w:t>
            </w:r>
            <w:r w:rsidRPr="0080620A">
              <w:rPr>
                <w:rFonts w:asciiTheme="majorBidi" w:hAnsiTheme="majorBidi" w:cstheme="majorBidi"/>
                <w:sz w:val="18"/>
                <w:szCs w:val="18"/>
              </w:rPr>
              <w:t xml:space="preserve"> (changes over time) could be used for attribution purposes.</w:t>
            </w:r>
          </w:p>
        </w:tc>
      </w:tr>
    </w:tbl>
    <w:p w14:paraId="0EA37079"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799"/>
        <w:gridCol w:w="5605"/>
        <w:gridCol w:w="2508"/>
        <w:gridCol w:w="2508"/>
      </w:tblGrid>
      <w:tr w:rsidR="00B1107F" w:rsidRPr="0080620A" w14:paraId="2A074C60" w14:textId="77777777" w:rsidTr="00BC69B4">
        <w:trPr>
          <w:trHeight w:val="454"/>
          <w:jc w:val="right"/>
        </w:trPr>
        <w:tc>
          <w:tcPr>
            <w:tcW w:w="8404" w:type="dxa"/>
            <w:gridSpan w:val="2"/>
            <w:shd w:val="clear" w:color="auto" w:fill="B8CCE4" w:themeFill="accent1" w:themeFillTint="66"/>
          </w:tcPr>
          <w:p w14:paraId="4760CE23" w14:textId="52D374A4" w:rsidR="00851861" w:rsidRPr="0080620A" w:rsidRDefault="00B1107F" w:rsidP="00780EA2">
            <w:pPr>
              <w:rPr>
                <w:rFonts w:eastAsia="Roboto"/>
                <w:b/>
                <w:sz w:val="18"/>
                <w:szCs w:val="18"/>
              </w:rPr>
            </w:pPr>
            <w:r w:rsidRPr="0080620A">
              <w:rPr>
                <w:rFonts w:eastAsia="Roboto"/>
                <w:b/>
                <w:sz w:val="18"/>
                <w:szCs w:val="18"/>
              </w:rPr>
              <w:t xml:space="preserve">B: Supply </w:t>
            </w:r>
            <w:r w:rsidR="00DC5C70" w:rsidRPr="0080620A">
              <w:rPr>
                <w:rFonts w:eastAsia="Roboto"/>
                <w:b/>
                <w:sz w:val="18"/>
                <w:szCs w:val="18"/>
              </w:rPr>
              <w:t>c</w:t>
            </w:r>
            <w:r w:rsidRPr="0080620A">
              <w:rPr>
                <w:rFonts w:eastAsia="Roboto"/>
                <w:b/>
                <w:sz w:val="18"/>
                <w:szCs w:val="18"/>
              </w:rPr>
              <w:t xml:space="preserve">luster </w:t>
            </w:r>
          </w:p>
          <w:p w14:paraId="2F1E9060" w14:textId="60225057" w:rsidR="00B1107F" w:rsidRPr="0080620A" w:rsidRDefault="00851861" w:rsidP="00851861">
            <w:pPr>
              <w:ind w:left="788"/>
              <w:rPr>
                <w:b/>
                <w:bCs/>
                <w:sz w:val="18"/>
                <w:szCs w:val="18"/>
              </w:rPr>
            </w:pPr>
            <w:r w:rsidRPr="0080620A">
              <w:rPr>
                <w:rFonts w:eastAsia="Roboto"/>
                <w:b/>
                <w:sz w:val="18"/>
                <w:szCs w:val="18"/>
              </w:rPr>
              <w:t>A</w:t>
            </w:r>
            <w:r w:rsidR="00434AD2" w:rsidRPr="0080620A">
              <w:rPr>
                <w:rFonts w:eastAsia="Roboto"/>
                <w:b/>
                <w:sz w:val="18"/>
                <w:szCs w:val="18"/>
              </w:rPr>
              <w:t xml:space="preserve">rticle 3 </w:t>
            </w:r>
            <w:r w:rsidR="00D53E1E" w:rsidRPr="0080620A">
              <w:rPr>
                <w:rFonts w:eastAsia="Roboto"/>
                <w:b/>
                <w:sz w:val="18"/>
                <w:szCs w:val="18"/>
              </w:rPr>
              <w:t>(</w:t>
            </w:r>
            <w:r w:rsidR="00434AD2" w:rsidRPr="0080620A">
              <w:rPr>
                <w:rFonts w:eastAsia="Roboto"/>
                <w:b/>
                <w:sz w:val="18"/>
                <w:szCs w:val="18"/>
              </w:rPr>
              <w:t>m</w:t>
            </w:r>
            <w:r w:rsidR="00B1107F" w:rsidRPr="0080620A">
              <w:rPr>
                <w:rFonts w:eastAsia="Roboto"/>
                <w:b/>
                <w:sz w:val="18"/>
                <w:szCs w:val="18"/>
              </w:rPr>
              <w:t>ercury supply sources and trade</w:t>
            </w:r>
            <w:r w:rsidR="00D53E1E" w:rsidRPr="0080620A">
              <w:rPr>
                <w:rFonts w:eastAsia="Roboto"/>
                <w:b/>
                <w:sz w:val="18"/>
                <w:szCs w:val="18"/>
              </w:rPr>
              <w:t>)</w:t>
            </w:r>
            <w:r w:rsidR="003C1126" w:rsidRPr="0080620A">
              <w:rPr>
                <w:rFonts w:eastAsia="Roboto"/>
                <w:b/>
                <w:sz w:val="18"/>
                <w:szCs w:val="18"/>
              </w:rPr>
              <w:t>;</w:t>
            </w:r>
            <w:r w:rsidR="00B1107F" w:rsidRPr="0080620A">
              <w:rPr>
                <w:rFonts w:eastAsia="Roboto"/>
                <w:b/>
                <w:sz w:val="18"/>
                <w:szCs w:val="18"/>
              </w:rPr>
              <w:t xml:space="preserve"> </w:t>
            </w:r>
            <w:r w:rsidR="00434AD2" w:rsidRPr="0080620A">
              <w:rPr>
                <w:rFonts w:eastAsia="Roboto"/>
                <w:b/>
                <w:sz w:val="18"/>
                <w:szCs w:val="18"/>
              </w:rPr>
              <w:t xml:space="preserve">article 10 </w:t>
            </w:r>
            <w:r w:rsidR="00D53E1E" w:rsidRPr="0080620A">
              <w:rPr>
                <w:rFonts w:eastAsia="Roboto"/>
                <w:b/>
                <w:sz w:val="18"/>
                <w:szCs w:val="18"/>
              </w:rPr>
              <w:t>(</w:t>
            </w:r>
            <w:r w:rsidR="00434AD2" w:rsidRPr="0080620A">
              <w:rPr>
                <w:rFonts w:eastAsia="Roboto"/>
                <w:b/>
                <w:sz w:val="18"/>
                <w:szCs w:val="18"/>
              </w:rPr>
              <w:t>e</w:t>
            </w:r>
            <w:r w:rsidR="00B1107F" w:rsidRPr="0080620A">
              <w:rPr>
                <w:rFonts w:eastAsia="Roboto"/>
                <w:b/>
                <w:sz w:val="18"/>
                <w:szCs w:val="18"/>
              </w:rPr>
              <w:t>nvironmentally sound interim storage</w:t>
            </w:r>
            <w:r w:rsidRPr="0080620A">
              <w:rPr>
                <w:rFonts w:eastAsia="Roboto"/>
                <w:b/>
                <w:sz w:val="18"/>
                <w:szCs w:val="18"/>
              </w:rPr>
              <w:t xml:space="preserve"> </w:t>
            </w:r>
            <w:r w:rsidR="00B1107F" w:rsidRPr="0080620A">
              <w:rPr>
                <w:rFonts w:eastAsia="Roboto"/>
                <w:b/>
                <w:sz w:val="18"/>
                <w:szCs w:val="18"/>
              </w:rPr>
              <w:t>of mercury other than waste mercury</w:t>
            </w:r>
            <w:r w:rsidR="00D53E1E" w:rsidRPr="0080620A">
              <w:rPr>
                <w:rFonts w:eastAsia="Roboto"/>
                <w:b/>
                <w:sz w:val="18"/>
                <w:szCs w:val="18"/>
              </w:rPr>
              <w:t>)</w:t>
            </w:r>
            <w:r w:rsidR="003C1126" w:rsidRPr="0080620A">
              <w:rPr>
                <w:rFonts w:eastAsia="Roboto"/>
                <w:b/>
                <w:sz w:val="18"/>
                <w:szCs w:val="18"/>
              </w:rPr>
              <w:t>;</w:t>
            </w:r>
            <w:r w:rsidR="00B1107F" w:rsidRPr="0080620A">
              <w:rPr>
                <w:rFonts w:eastAsia="Roboto"/>
                <w:b/>
                <w:sz w:val="18"/>
                <w:szCs w:val="18"/>
              </w:rPr>
              <w:t xml:space="preserve"> </w:t>
            </w:r>
            <w:r w:rsidR="00434AD2" w:rsidRPr="0080620A">
              <w:rPr>
                <w:rFonts w:eastAsia="Roboto"/>
                <w:b/>
                <w:sz w:val="18"/>
                <w:szCs w:val="18"/>
              </w:rPr>
              <w:t xml:space="preserve">article 11 </w:t>
            </w:r>
            <w:r w:rsidR="00D53E1E" w:rsidRPr="0080620A">
              <w:rPr>
                <w:rFonts w:eastAsia="Roboto"/>
                <w:b/>
                <w:sz w:val="18"/>
                <w:szCs w:val="18"/>
              </w:rPr>
              <w:t>(</w:t>
            </w:r>
            <w:r w:rsidR="00434AD2" w:rsidRPr="0080620A">
              <w:rPr>
                <w:rFonts w:eastAsia="Roboto"/>
                <w:b/>
                <w:sz w:val="18"/>
                <w:szCs w:val="18"/>
              </w:rPr>
              <w:t>m</w:t>
            </w:r>
            <w:r w:rsidR="00B1107F" w:rsidRPr="0080620A">
              <w:rPr>
                <w:rFonts w:eastAsia="Roboto"/>
                <w:b/>
                <w:sz w:val="18"/>
                <w:szCs w:val="18"/>
              </w:rPr>
              <w:t>ercury waste</w:t>
            </w:r>
            <w:r w:rsidR="00D53E1E" w:rsidRPr="0080620A">
              <w:rPr>
                <w:rFonts w:eastAsia="Roboto"/>
                <w:b/>
                <w:sz w:val="18"/>
                <w:szCs w:val="18"/>
              </w:rPr>
              <w:t>)</w:t>
            </w:r>
            <w:r w:rsidR="00B1107F" w:rsidRPr="0080620A">
              <w:rPr>
                <w:rFonts w:eastAsia="Roboto"/>
                <w:b/>
                <w:sz w:val="18"/>
                <w:szCs w:val="18"/>
              </w:rPr>
              <w:t xml:space="preserve"> </w:t>
            </w:r>
          </w:p>
        </w:tc>
        <w:tc>
          <w:tcPr>
            <w:tcW w:w="2508" w:type="dxa"/>
            <w:shd w:val="clear" w:color="auto" w:fill="B8CCE4" w:themeFill="accent1" w:themeFillTint="66"/>
          </w:tcPr>
          <w:p w14:paraId="4295721D" w14:textId="48DF2F8E" w:rsidR="00B1107F" w:rsidRPr="0080620A" w:rsidRDefault="00B1107F" w:rsidP="00EE7D24">
            <w:pPr>
              <w:rPr>
                <w:b/>
                <w:bCs/>
                <w:sz w:val="18"/>
                <w:szCs w:val="18"/>
              </w:rPr>
            </w:pPr>
            <w:r w:rsidRPr="0080620A">
              <w:rPr>
                <w:b/>
                <w:bCs/>
                <w:sz w:val="18"/>
                <w:szCs w:val="18"/>
              </w:rPr>
              <w:t xml:space="preserve">Source of information on </w:t>
            </w:r>
            <w:r w:rsidR="00F16695" w:rsidRPr="0080620A">
              <w:rPr>
                <w:b/>
                <w:bCs/>
                <w:sz w:val="18"/>
                <w:szCs w:val="18"/>
              </w:rPr>
              <w:t xml:space="preserve">the </w:t>
            </w:r>
            <w:r w:rsidRPr="0080620A">
              <w:rPr>
                <w:b/>
                <w:bCs/>
                <w:sz w:val="18"/>
                <w:szCs w:val="18"/>
              </w:rPr>
              <w:t>indicator</w:t>
            </w:r>
          </w:p>
        </w:tc>
        <w:tc>
          <w:tcPr>
            <w:tcW w:w="2508" w:type="dxa"/>
            <w:shd w:val="clear" w:color="auto" w:fill="B8CCE4" w:themeFill="accent1" w:themeFillTint="66"/>
          </w:tcPr>
          <w:p w14:paraId="7A47A80F" w14:textId="77777777" w:rsidR="00B1107F" w:rsidRPr="0080620A" w:rsidRDefault="00B1107F" w:rsidP="00EE7D24">
            <w:pPr>
              <w:rPr>
                <w:b/>
                <w:bCs/>
                <w:sz w:val="18"/>
                <w:szCs w:val="18"/>
              </w:rPr>
            </w:pPr>
            <w:r w:rsidRPr="0080620A">
              <w:rPr>
                <w:b/>
                <w:bCs/>
                <w:sz w:val="18"/>
                <w:szCs w:val="18"/>
              </w:rPr>
              <w:t>Baseline for the indicator</w:t>
            </w:r>
          </w:p>
        </w:tc>
      </w:tr>
      <w:tr w:rsidR="00B1107F" w:rsidRPr="0080620A" w14:paraId="1A6F3441" w14:textId="77777777" w:rsidTr="00BC69B4">
        <w:trPr>
          <w:trHeight w:val="624"/>
          <w:jc w:val="right"/>
        </w:trPr>
        <w:tc>
          <w:tcPr>
            <w:tcW w:w="2799" w:type="dxa"/>
          </w:tcPr>
          <w:p w14:paraId="7509BB57" w14:textId="1F71002F" w:rsidR="00B1107F" w:rsidRPr="0080620A" w:rsidRDefault="00B1107F" w:rsidP="00EE7D24">
            <w:pPr>
              <w:rPr>
                <w:bCs/>
                <w:sz w:val="18"/>
                <w:szCs w:val="18"/>
              </w:rPr>
            </w:pPr>
            <w:r w:rsidRPr="0080620A">
              <w:rPr>
                <w:bCs/>
                <w:sz w:val="18"/>
                <w:szCs w:val="18"/>
              </w:rPr>
              <w:t xml:space="preserve">B1. </w:t>
            </w:r>
            <w:r w:rsidRPr="0080620A">
              <w:rPr>
                <w:rFonts w:eastAsia="Roboto"/>
                <w:bCs/>
                <w:sz w:val="18"/>
                <w:szCs w:val="18"/>
              </w:rPr>
              <w:t xml:space="preserve">Overall process indicator for </w:t>
            </w:r>
            <w:r w:rsidR="00DC5C70" w:rsidRPr="0080620A">
              <w:rPr>
                <w:rFonts w:eastAsia="Roboto"/>
                <w:bCs/>
                <w:sz w:val="18"/>
                <w:szCs w:val="18"/>
              </w:rPr>
              <w:t>a</w:t>
            </w:r>
            <w:r w:rsidRPr="0080620A">
              <w:rPr>
                <w:rFonts w:eastAsia="Roboto"/>
                <w:bCs/>
                <w:sz w:val="18"/>
                <w:szCs w:val="18"/>
              </w:rPr>
              <w:t>rticles 3, 10 and 11</w:t>
            </w:r>
          </w:p>
        </w:tc>
        <w:tc>
          <w:tcPr>
            <w:tcW w:w="5605" w:type="dxa"/>
          </w:tcPr>
          <w:p w14:paraId="6745AA91" w14:textId="7B8CF17F" w:rsidR="00B1107F" w:rsidRPr="0080620A" w:rsidRDefault="00F16695" w:rsidP="00E777BB">
            <w:pPr>
              <w:pBdr>
                <w:top w:val="nil"/>
                <w:left w:val="nil"/>
                <w:bottom w:val="nil"/>
                <w:right w:val="nil"/>
                <w:between w:val="nil"/>
                <w:bar w:val="nil"/>
              </w:pBdr>
              <w:tabs>
                <w:tab w:val="left" w:pos="1163"/>
              </w:tabs>
              <w:rPr>
                <w:sz w:val="18"/>
                <w:szCs w:val="18"/>
              </w:rPr>
            </w:pPr>
            <w:r w:rsidRPr="0080620A">
              <w:rPr>
                <w:rFonts w:eastAsia="Roboto"/>
                <w:sz w:val="18"/>
                <w:szCs w:val="18"/>
              </w:rPr>
              <w:t>Proportion</w:t>
            </w:r>
            <w:r w:rsidR="00B1107F" w:rsidRPr="0080620A">
              <w:rPr>
                <w:rFonts w:eastAsia="Roboto"/>
                <w:sz w:val="18"/>
                <w:szCs w:val="18"/>
              </w:rPr>
              <w:t xml:space="preserve"> of </w:t>
            </w:r>
            <w:r w:rsidR="00E777BB" w:rsidRPr="0080620A">
              <w:rPr>
                <w:rFonts w:eastAsia="Roboto"/>
                <w:sz w:val="18"/>
                <w:szCs w:val="18"/>
              </w:rPr>
              <w:t>p</w:t>
            </w:r>
            <w:r w:rsidR="00B1107F" w:rsidRPr="0080620A">
              <w:rPr>
                <w:rFonts w:eastAsia="Roboto"/>
                <w:sz w:val="18"/>
                <w:szCs w:val="18"/>
              </w:rPr>
              <w:t xml:space="preserve">arties that have implemented key provisions under this cluster </w:t>
            </w:r>
            <w:r w:rsidR="00B1107F" w:rsidRPr="0080620A">
              <w:rPr>
                <w:sz w:val="18"/>
                <w:szCs w:val="18"/>
              </w:rPr>
              <w:t>(encompassing all process indicators below, i.e.</w:t>
            </w:r>
            <w:r w:rsidR="00DC5C70" w:rsidRPr="0080620A">
              <w:rPr>
                <w:sz w:val="18"/>
                <w:szCs w:val="18"/>
              </w:rPr>
              <w:t>,</w:t>
            </w:r>
            <w:r w:rsidR="00B1107F" w:rsidRPr="0080620A">
              <w:rPr>
                <w:sz w:val="18"/>
                <w:szCs w:val="18"/>
              </w:rPr>
              <w:t xml:space="preserve"> B5, B6, B7, </w:t>
            </w:r>
            <w:r w:rsidR="001702CC" w:rsidRPr="0080620A">
              <w:rPr>
                <w:sz w:val="18"/>
                <w:szCs w:val="18"/>
              </w:rPr>
              <w:t xml:space="preserve">B8, </w:t>
            </w:r>
            <w:r w:rsidR="00B1107F" w:rsidRPr="0080620A">
              <w:rPr>
                <w:sz w:val="18"/>
                <w:szCs w:val="18"/>
              </w:rPr>
              <w:t>B9 and B1</w:t>
            </w:r>
            <w:r w:rsidR="001702CC" w:rsidRPr="0080620A">
              <w:rPr>
                <w:sz w:val="18"/>
                <w:szCs w:val="18"/>
              </w:rPr>
              <w:t>3</w:t>
            </w:r>
            <w:r w:rsidR="00B1107F" w:rsidRPr="0080620A">
              <w:rPr>
                <w:sz w:val="18"/>
                <w:szCs w:val="18"/>
              </w:rPr>
              <w:t>)</w:t>
            </w:r>
          </w:p>
        </w:tc>
        <w:tc>
          <w:tcPr>
            <w:tcW w:w="2508" w:type="dxa"/>
          </w:tcPr>
          <w:p w14:paraId="7432E83B" w14:textId="22946A74" w:rsidR="00B1107F" w:rsidRPr="0080620A" w:rsidRDefault="00B1107F" w:rsidP="00BC69B4">
            <w:pPr>
              <w:pBdr>
                <w:top w:val="nil"/>
                <w:left w:val="nil"/>
                <w:bottom w:val="nil"/>
                <w:right w:val="nil"/>
                <w:between w:val="nil"/>
                <w:bar w:val="nil"/>
              </w:pBdr>
              <w:tabs>
                <w:tab w:val="left" w:pos="1163"/>
              </w:tabs>
              <w:ind w:right="-1192"/>
              <w:rPr>
                <w:rFonts w:eastAsia="Roboto"/>
                <w:iCs/>
                <w:sz w:val="18"/>
                <w:szCs w:val="18"/>
              </w:rPr>
            </w:pPr>
            <w:r w:rsidRPr="0080620A">
              <w:rPr>
                <w:iCs/>
                <w:sz w:val="18"/>
                <w:szCs w:val="18"/>
              </w:rPr>
              <w:t>- Article 21 reporting</w:t>
            </w:r>
          </w:p>
        </w:tc>
        <w:tc>
          <w:tcPr>
            <w:tcW w:w="2508" w:type="dxa"/>
          </w:tcPr>
          <w:p w14:paraId="60042794" w14:textId="69198946"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58AC206E" w14:textId="77777777" w:rsidTr="00BC69B4">
        <w:trPr>
          <w:trHeight w:val="624"/>
          <w:jc w:val="right"/>
        </w:trPr>
        <w:tc>
          <w:tcPr>
            <w:tcW w:w="2799" w:type="dxa"/>
          </w:tcPr>
          <w:p w14:paraId="37347323" w14:textId="49F2709A" w:rsidR="00B1107F" w:rsidRPr="0080620A" w:rsidRDefault="00B1107F" w:rsidP="00EE7D24">
            <w:pPr>
              <w:rPr>
                <w:bCs/>
                <w:sz w:val="18"/>
                <w:szCs w:val="18"/>
              </w:rPr>
            </w:pPr>
            <w:r w:rsidRPr="0080620A">
              <w:rPr>
                <w:bCs/>
                <w:sz w:val="18"/>
                <w:szCs w:val="18"/>
              </w:rPr>
              <w:t xml:space="preserve">B2. Additional </w:t>
            </w:r>
            <w:r w:rsidR="00740F92">
              <w:rPr>
                <w:bCs/>
                <w:sz w:val="18"/>
                <w:szCs w:val="18"/>
              </w:rPr>
              <w:t>cross</w:t>
            </w:r>
            <w:r w:rsidR="00740F92">
              <w:rPr>
                <w:bCs/>
                <w:sz w:val="18"/>
                <w:szCs w:val="18"/>
              </w:rPr>
              <w:noBreakHyphen/>
              <w:t>cutting</w:t>
            </w:r>
            <w:r w:rsidRPr="0080620A">
              <w:rPr>
                <w:rFonts w:eastAsia="Roboto"/>
                <w:bCs/>
                <w:sz w:val="18"/>
                <w:szCs w:val="18"/>
              </w:rPr>
              <w:t xml:space="preserve"> outcome indicator for </w:t>
            </w:r>
            <w:r w:rsidR="00DC5C70" w:rsidRPr="0080620A">
              <w:rPr>
                <w:rFonts w:eastAsia="Roboto"/>
                <w:bCs/>
                <w:sz w:val="18"/>
                <w:szCs w:val="18"/>
              </w:rPr>
              <w:t>a</w:t>
            </w:r>
            <w:r w:rsidRPr="0080620A">
              <w:rPr>
                <w:rFonts w:eastAsia="Roboto"/>
                <w:bCs/>
                <w:sz w:val="18"/>
                <w:szCs w:val="18"/>
              </w:rPr>
              <w:t>rticles 3, 10 and 11</w:t>
            </w:r>
          </w:p>
        </w:tc>
        <w:tc>
          <w:tcPr>
            <w:tcW w:w="5605" w:type="dxa"/>
          </w:tcPr>
          <w:p w14:paraId="7C323516" w14:textId="0846CDD3" w:rsidR="00B1107F" w:rsidRPr="0080620A" w:rsidRDefault="00B1107F" w:rsidP="00BC69B4">
            <w:pPr>
              <w:pBdr>
                <w:top w:val="nil"/>
                <w:left w:val="nil"/>
                <w:bottom w:val="nil"/>
                <w:right w:val="nil"/>
                <w:between w:val="nil"/>
                <w:bar w:val="nil"/>
              </w:pBdr>
              <w:rPr>
                <w:sz w:val="18"/>
                <w:szCs w:val="18"/>
              </w:rPr>
            </w:pPr>
            <w:r w:rsidRPr="0080620A">
              <w:rPr>
                <w:rFonts w:eastAsia="Roboto"/>
                <w:sz w:val="18"/>
                <w:szCs w:val="18"/>
              </w:rPr>
              <w:t>Estimated global supply of mercury, in tonnes per year</w:t>
            </w:r>
          </w:p>
        </w:tc>
        <w:tc>
          <w:tcPr>
            <w:tcW w:w="2508" w:type="dxa"/>
          </w:tcPr>
          <w:p w14:paraId="2D2B7E83" w14:textId="10CACC5B" w:rsidR="00B1107F" w:rsidRPr="0080620A" w:rsidRDefault="00B1107F" w:rsidP="00EE7D24">
            <w:pPr>
              <w:pBdr>
                <w:top w:val="nil"/>
                <w:left w:val="nil"/>
                <w:bottom w:val="nil"/>
                <w:right w:val="nil"/>
                <w:between w:val="nil"/>
                <w:bar w:val="nil"/>
              </w:pBdr>
              <w:rPr>
                <w:sz w:val="18"/>
                <w:szCs w:val="18"/>
              </w:rPr>
            </w:pPr>
            <w:r w:rsidRPr="0080620A">
              <w:rPr>
                <w:sz w:val="18"/>
                <w:szCs w:val="18"/>
              </w:rPr>
              <w:t>- Synthesi</w:t>
            </w:r>
            <w:r w:rsidR="00AA7A89" w:rsidRPr="0080620A">
              <w:rPr>
                <w:sz w:val="18"/>
                <w:szCs w:val="18"/>
              </w:rPr>
              <w:t>z</w:t>
            </w:r>
            <w:r w:rsidRPr="0080620A">
              <w:rPr>
                <w:sz w:val="18"/>
                <w:szCs w:val="18"/>
              </w:rPr>
              <w:t xml:space="preserve">ed information from individual indicators for </w:t>
            </w:r>
            <w:r w:rsidR="00DC5C70" w:rsidRPr="0080620A">
              <w:rPr>
                <w:sz w:val="18"/>
                <w:szCs w:val="18"/>
              </w:rPr>
              <w:t>a</w:t>
            </w:r>
            <w:r w:rsidRPr="0080620A">
              <w:rPr>
                <w:sz w:val="18"/>
                <w:szCs w:val="18"/>
              </w:rPr>
              <w:t>rt</w:t>
            </w:r>
            <w:r w:rsidR="000F2BA4" w:rsidRPr="0080620A">
              <w:rPr>
                <w:sz w:val="18"/>
                <w:szCs w:val="18"/>
              </w:rPr>
              <w:t>icles</w:t>
            </w:r>
            <w:r w:rsidRPr="0080620A">
              <w:rPr>
                <w:sz w:val="18"/>
                <w:szCs w:val="18"/>
              </w:rPr>
              <w:t xml:space="preserve"> 3, 10 and 11</w:t>
            </w:r>
          </w:p>
        </w:tc>
        <w:tc>
          <w:tcPr>
            <w:tcW w:w="2508" w:type="dxa"/>
          </w:tcPr>
          <w:p w14:paraId="78A12241" w14:textId="4F0E72FC"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2A6B3A79" w14:textId="77777777" w:rsidTr="00BC69B4">
        <w:trPr>
          <w:trHeight w:val="57"/>
          <w:jc w:val="right"/>
        </w:trPr>
        <w:tc>
          <w:tcPr>
            <w:tcW w:w="2799" w:type="dxa"/>
            <w:shd w:val="clear" w:color="auto" w:fill="B8CCE4" w:themeFill="accent1" w:themeFillTint="66"/>
          </w:tcPr>
          <w:p w14:paraId="5E650FE0" w14:textId="77777777" w:rsidR="00B1107F" w:rsidRPr="0080620A" w:rsidRDefault="00B1107F" w:rsidP="00EE7D24">
            <w:pPr>
              <w:rPr>
                <w:b/>
                <w:sz w:val="18"/>
                <w:szCs w:val="18"/>
              </w:rPr>
            </w:pPr>
            <w:r w:rsidRPr="0080620A">
              <w:rPr>
                <w:b/>
                <w:sz w:val="18"/>
                <w:szCs w:val="18"/>
              </w:rPr>
              <w:t>Article 3</w:t>
            </w:r>
          </w:p>
        </w:tc>
        <w:tc>
          <w:tcPr>
            <w:tcW w:w="5605" w:type="dxa"/>
            <w:shd w:val="clear" w:color="auto" w:fill="B8CCE4" w:themeFill="accent1" w:themeFillTint="66"/>
          </w:tcPr>
          <w:p w14:paraId="661EDE23" w14:textId="77777777" w:rsidR="00B1107F" w:rsidRPr="0080620A" w:rsidRDefault="00B1107F" w:rsidP="00EE7D24">
            <w:pPr>
              <w:rPr>
                <w:sz w:val="18"/>
                <w:szCs w:val="18"/>
              </w:rPr>
            </w:pPr>
          </w:p>
        </w:tc>
        <w:tc>
          <w:tcPr>
            <w:tcW w:w="2508" w:type="dxa"/>
            <w:shd w:val="clear" w:color="auto" w:fill="B8CCE4" w:themeFill="accent1" w:themeFillTint="66"/>
          </w:tcPr>
          <w:p w14:paraId="493CD5C8" w14:textId="77777777" w:rsidR="00B1107F" w:rsidRPr="0080620A" w:rsidRDefault="00B1107F" w:rsidP="00EE7D24">
            <w:pPr>
              <w:ind w:right="-1192"/>
              <w:rPr>
                <w:sz w:val="18"/>
                <w:szCs w:val="18"/>
              </w:rPr>
            </w:pPr>
          </w:p>
        </w:tc>
        <w:tc>
          <w:tcPr>
            <w:tcW w:w="2508" w:type="dxa"/>
            <w:shd w:val="clear" w:color="auto" w:fill="B8CCE4" w:themeFill="accent1" w:themeFillTint="66"/>
          </w:tcPr>
          <w:p w14:paraId="3DE2372B" w14:textId="77777777" w:rsidR="00B1107F" w:rsidRPr="0080620A" w:rsidRDefault="00B1107F" w:rsidP="00EE7D24">
            <w:pPr>
              <w:ind w:right="-1192"/>
              <w:rPr>
                <w:sz w:val="18"/>
                <w:szCs w:val="18"/>
              </w:rPr>
            </w:pPr>
          </w:p>
        </w:tc>
      </w:tr>
      <w:tr w:rsidR="00B1107F" w:rsidRPr="0080620A" w14:paraId="2A29942A" w14:textId="77777777" w:rsidTr="00BC69B4">
        <w:trPr>
          <w:trHeight w:val="57"/>
          <w:jc w:val="right"/>
        </w:trPr>
        <w:tc>
          <w:tcPr>
            <w:tcW w:w="2799" w:type="dxa"/>
          </w:tcPr>
          <w:p w14:paraId="6EAF033B" w14:textId="785E02AA" w:rsidR="00B1107F" w:rsidRPr="0080620A" w:rsidRDefault="00B1107F" w:rsidP="00EE7D24">
            <w:pPr>
              <w:rPr>
                <w:sz w:val="18"/>
                <w:szCs w:val="18"/>
              </w:rPr>
            </w:pPr>
            <w:r w:rsidRPr="0080620A">
              <w:rPr>
                <w:sz w:val="18"/>
                <w:szCs w:val="18"/>
              </w:rPr>
              <w:t xml:space="preserve">B3. </w:t>
            </w:r>
            <w:r w:rsidRPr="0080620A">
              <w:rPr>
                <w:rFonts w:eastAsia="Roboto"/>
                <w:sz w:val="18"/>
                <w:szCs w:val="18"/>
              </w:rPr>
              <w:t xml:space="preserve">Outcome indicator for </w:t>
            </w:r>
            <w:r w:rsidR="00DC5C70" w:rsidRPr="0080620A">
              <w:rPr>
                <w:rFonts w:eastAsia="Roboto"/>
                <w:sz w:val="18"/>
                <w:szCs w:val="18"/>
              </w:rPr>
              <w:t>a</w:t>
            </w:r>
            <w:r w:rsidRPr="0080620A">
              <w:rPr>
                <w:rFonts w:eastAsia="Roboto"/>
                <w:sz w:val="18"/>
                <w:szCs w:val="18"/>
              </w:rPr>
              <w:t>rticle 3</w:t>
            </w:r>
          </w:p>
        </w:tc>
        <w:tc>
          <w:tcPr>
            <w:tcW w:w="5605" w:type="dxa"/>
          </w:tcPr>
          <w:p w14:paraId="04E1AB8B" w14:textId="3076C3E3" w:rsidR="00B1107F" w:rsidRPr="0080620A" w:rsidRDefault="00B1107F" w:rsidP="00BC69B4">
            <w:pPr>
              <w:pBdr>
                <w:top w:val="nil"/>
                <w:left w:val="nil"/>
                <w:bottom w:val="nil"/>
                <w:right w:val="nil"/>
                <w:between w:val="nil"/>
                <w:bar w:val="nil"/>
              </w:pBdr>
              <w:tabs>
                <w:tab w:val="left" w:pos="1163"/>
              </w:tabs>
              <w:rPr>
                <w:sz w:val="18"/>
                <w:szCs w:val="18"/>
              </w:rPr>
            </w:pPr>
            <w:r w:rsidRPr="0080620A">
              <w:rPr>
                <w:rFonts w:eastAsia="Roboto"/>
                <w:sz w:val="18"/>
                <w:szCs w:val="18"/>
              </w:rPr>
              <w:t xml:space="preserve">Total amount of </w:t>
            </w:r>
            <w:r w:rsidR="00DC5C70" w:rsidRPr="0080620A">
              <w:rPr>
                <w:rFonts w:eastAsia="Roboto"/>
                <w:sz w:val="18"/>
                <w:szCs w:val="18"/>
              </w:rPr>
              <w:t>mercury</w:t>
            </w:r>
            <w:r w:rsidRPr="0080620A">
              <w:rPr>
                <w:rFonts w:eastAsia="Roboto"/>
                <w:sz w:val="18"/>
                <w:szCs w:val="18"/>
              </w:rPr>
              <w:t xml:space="preserve"> mined from primary mercury mines</w:t>
            </w:r>
          </w:p>
        </w:tc>
        <w:tc>
          <w:tcPr>
            <w:tcW w:w="2508" w:type="dxa"/>
          </w:tcPr>
          <w:p w14:paraId="607E93DD" w14:textId="26E412FD" w:rsidR="00B1107F" w:rsidRPr="0080620A" w:rsidRDefault="00B1107F" w:rsidP="00EE7D24">
            <w:pPr>
              <w:pBdr>
                <w:top w:val="nil"/>
                <w:left w:val="nil"/>
                <w:bottom w:val="nil"/>
                <w:right w:val="nil"/>
                <w:between w:val="nil"/>
                <w:bar w:val="nil"/>
              </w:pBdr>
              <w:rPr>
                <w:sz w:val="18"/>
                <w:szCs w:val="18"/>
              </w:rPr>
            </w:pPr>
            <w:r w:rsidRPr="0080620A">
              <w:rPr>
                <w:sz w:val="18"/>
                <w:szCs w:val="18"/>
              </w:rPr>
              <w:t xml:space="preserve">- </w:t>
            </w:r>
            <w:r w:rsidR="00780EA2" w:rsidRPr="0080620A">
              <w:rPr>
                <w:sz w:val="18"/>
                <w:szCs w:val="18"/>
              </w:rPr>
              <w:t>2017 report on g</w:t>
            </w:r>
            <w:r w:rsidRPr="0080620A">
              <w:rPr>
                <w:sz w:val="18"/>
                <w:szCs w:val="18"/>
              </w:rPr>
              <w:t xml:space="preserve">lobal </w:t>
            </w:r>
            <w:r w:rsidR="00DC5C70" w:rsidRPr="0080620A">
              <w:rPr>
                <w:sz w:val="18"/>
                <w:szCs w:val="18"/>
              </w:rPr>
              <w:t>m</w:t>
            </w:r>
            <w:r w:rsidRPr="0080620A">
              <w:rPr>
                <w:sz w:val="18"/>
                <w:szCs w:val="18"/>
              </w:rPr>
              <w:t xml:space="preserve">ercury </w:t>
            </w:r>
            <w:r w:rsidR="00780EA2" w:rsidRPr="0080620A">
              <w:rPr>
                <w:sz w:val="18"/>
                <w:szCs w:val="18"/>
              </w:rPr>
              <w:t xml:space="preserve">supply, </w:t>
            </w:r>
            <w:r w:rsidR="00DC5C70" w:rsidRPr="0080620A">
              <w:rPr>
                <w:sz w:val="18"/>
                <w:szCs w:val="18"/>
              </w:rPr>
              <w:t>t</w:t>
            </w:r>
            <w:r w:rsidRPr="0080620A">
              <w:rPr>
                <w:sz w:val="18"/>
                <w:szCs w:val="18"/>
              </w:rPr>
              <w:t>rade</w:t>
            </w:r>
            <w:r w:rsidR="00780EA2" w:rsidRPr="0080620A">
              <w:rPr>
                <w:sz w:val="18"/>
                <w:szCs w:val="18"/>
              </w:rPr>
              <w:t xml:space="preserve"> and</w:t>
            </w:r>
            <w:r w:rsidRPr="0080620A">
              <w:rPr>
                <w:sz w:val="18"/>
                <w:szCs w:val="18"/>
              </w:rPr>
              <w:t xml:space="preserve"> </w:t>
            </w:r>
            <w:r w:rsidR="00DC5C70" w:rsidRPr="0080620A">
              <w:rPr>
                <w:sz w:val="18"/>
                <w:szCs w:val="18"/>
              </w:rPr>
              <w:t>d</w:t>
            </w:r>
            <w:r w:rsidRPr="0080620A">
              <w:rPr>
                <w:sz w:val="18"/>
                <w:szCs w:val="18"/>
              </w:rPr>
              <w:t>emand</w:t>
            </w:r>
          </w:p>
          <w:p w14:paraId="72FB711B" w14:textId="77777777" w:rsidR="00B1107F" w:rsidRPr="0080620A" w:rsidRDefault="00B1107F" w:rsidP="00EE7D24">
            <w:pPr>
              <w:pBdr>
                <w:top w:val="nil"/>
                <w:left w:val="nil"/>
                <w:bottom w:val="nil"/>
                <w:right w:val="nil"/>
                <w:between w:val="nil"/>
                <w:bar w:val="nil"/>
              </w:pBdr>
              <w:tabs>
                <w:tab w:val="left" w:pos="1163"/>
              </w:tabs>
              <w:ind w:right="-1192"/>
              <w:rPr>
                <w:iCs/>
                <w:sz w:val="18"/>
                <w:szCs w:val="18"/>
              </w:rPr>
            </w:pPr>
            <w:r w:rsidRPr="0080620A">
              <w:rPr>
                <w:iCs/>
                <w:sz w:val="18"/>
                <w:szCs w:val="18"/>
              </w:rPr>
              <w:t>- Article 21 reporting</w:t>
            </w:r>
          </w:p>
          <w:p w14:paraId="2D5022E9" w14:textId="5D532E26" w:rsidR="00B1107F" w:rsidRPr="0080620A" w:rsidRDefault="00B1107F" w:rsidP="00EE7D24">
            <w:pPr>
              <w:rPr>
                <w:sz w:val="18"/>
                <w:szCs w:val="18"/>
              </w:rPr>
            </w:pPr>
            <w:r w:rsidRPr="0080620A">
              <w:rPr>
                <w:sz w:val="18"/>
                <w:szCs w:val="18"/>
              </w:rPr>
              <w:t xml:space="preserve">- ASGM </w:t>
            </w:r>
            <w:r w:rsidR="00AA7A89" w:rsidRPr="0080620A">
              <w:rPr>
                <w:sz w:val="18"/>
                <w:szCs w:val="18"/>
              </w:rPr>
              <w:t xml:space="preserve">national action plan </w:t>
            </w:r>
            <w:r w:rsidRPr="0080620A">
              <w:rPr>
                <w:sz w:val="18"/>
                <w:szCs w:val="18"/>
              </w:rPr>
              <w:t>reports</w:t>
            </w:r>
          </w:p>
        </w:tc>
        <w:tc>
          <w:tcPr>
            <w:tcW w:w="2508" w:type="dxa"/>
          </w:tcPr>
          <w:p w14:paraId="765807A1" w14:textId="5B1E4E9B"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375FF703" w14:textId="77777777" w:rsidTr="00BC69B4">
        <w:trPr>
          <w:trHeight w:val="283"/>
          <w:jc w:val="right"/>
        </w:trPr>
        <w:tc>
          <w:tcPr>
            <w:tcW w:w="2799" w:type="dxa"/>
          </w:tcPr>
          <w:p w14:paraId="1825DFA9" w14:textId="34BA723E" w:rsidR="00B1107F" w:rsidRPr="0080620A" w:rsidRDefault="00B1107F" w:rsidP="00F1134F">
            <w:pPr>
              <w:rPr>
                <w:sz w:val="18"/>
                <w:szCs w:val="18"/>
              </w:rPr>
            </w:pPr>
            <w:r w:rsidRPr="0080620A">
              <w:rPr>
                <w:sz w:val="18"/>
                <w:szCs w:val="18"/>
              </w:rPr>
              <w:t>B4</w:t>
            </w:r>
            <w:r w:rsidR="00035D43" w:rsidRPr="0080620A">
              <w:rPr>
                <w:sz w:val="18"/>
                <w:szCs w:val="18"/>
              </w:rPr>
              <w:t>.</w:t>
            </w:r>
            <w:r w:rsidRPr="0080620A">
              <w:rPr>
                <w:sz w:val="18"/>
                <w:szCs w:val="18"/>
              </w:rPr>
              <w:t xml:space="preserve"> Outcome indicator for </w:t>
            </w:r>
            <w:r w:rsidR="00DC5C70" w:rsidRPr="0080620A">
              <w:rPr>
                <w:sz w:val="18"/>
                <w:szCs w:val="18"/>
              </w:rPr>
              <w:t>a</w:t>
            </w:r>
            <w:r w:rsidRPr="0080620A">
              <w:rPr>
                <w:sz w:val="18"/>
                <w:szCs w:val="18"/>
              </w:rPr>
              <w:t>rticle 3</w:t>
            </w:r>
          </w:p>
        </w:tc>
        <w:tc>
          <w:tcPr>
            <w:tcW w:w="5605" w:type="dxa"/>
          </w:tcPr>
          <w:p w14:paraId="68AEE847" w14:textId="5922C5F8" w:rsidR="00B1107F" w:rsidRPr="0080620A" w:rsidRDefault="00B1107F" w:rsidP="00F1134F">
            <w:pPr>
              <w:pBdr>
                <w:top w:val="nil"/>
                <w:left w:val="nil"/>
                <w:bottom w:val="nil"/>
                <w:right w:val="nil"/>
                <w:between w:val="nil"/>
                <w:bar w:val="nil"/>
              </w:pBdr>
              <w:tabs>
                <w:tab w:val="left" w:pos="1163"/>
              </w:tabs>
              <w:rPr>
                <w:sz w:val="18"/>
                <w:szCs w:val="18"/>
              </w:rPr>
            </w:pPr>
            <w:r w:rsidRPr="0080620A">
              <w:rPr>
                <w:rFonts w:eastAsia="Roboto"/>
                <w:sz w:val="18"/>
                <w:szCs w:val="18"/>
              </w:rPr>
              <w:t xml:space="preserve">Amount of </w:t>
            </w:r>
            <w:r w:rsidR="00DC5C70" w:rsidRPr="0080620A">
              <w:rPr>
                <w:rFonts w:eastAsia="Roboto"/>
                <w:sz w:val="18"/>
                <w:szCs w:val="18"/>
              </w:rPr>
              <w:t>mercury</w:t>
            </w:r>
            <w:r w:rsidRPr="0080620A">
              <w:rPr>
                <w:rFonts w:eastAsia="Roboto"/>
                <w:sz w:val="18"/>
                <w:szCs w:val="18"/>
              </w:rPr>
              <w:t xml:space="preserve"> traded</w:t>
            </w:r>
            <w:r w:rsidR="001702CC" w:rsidRPr="0080620A">
              <w:rPr>
                <w:rFonts w:eastAsia="Roboto"/>
                <w:sz w:val="18"/>
                <w:szCs w:val="18"/>
              </w:rPr>
              <w:t>,</w:t>
            </w:r>
            <w:r w:rsidRPr="0080620A">
              <w:rPr>
                <w:rFonts w:eastAsia="Roboto"/>
                <w:sz w:val="18"/>
                <w:szCs w:val="18"/>
              </w:rPr>
              <w:t xml:space="preserve"> broken down </w:t>
            </w:r>
            <w:r w:rsidR="001702CC" w:rsidRPr="0080620A">
              <w:rPr>
                <w:rFonts w:eastAsia="Roboto"/>
                <w:sz w:val="18"/>
                <w:szCs w:val="18"/>
              </w:rPr>
              <w:t xml:space="preserve">by </w:t>
            </w:r>
            <w:r w:rsidRPr="0080620A">
              <w:rPr>
                <w:rFonts w:eastAsia="Roboto"/>
                <w:sz w:val="18"/>
                <w:szCs w:val="18"/>
              </w:rPr>
              <w:t>specific purpose</w:t>
            </w:r>
          </w:p>
        </w:tc>
        <w:tc>
          <w:tcPr>
            <w:tcW w:w="2508" w:type="dxa"/>
          </w:tcPr>
          <w:p w14:paraId="1911D78B" w14:textId="77777777" w:rsidR="00B1107F" w:rsidRPr="0080620A" w:rsidRDefault="00B1107F" w:rsidP="00F1134F">
            <w:pPr>
              <w:pBdr>
                <w:top w:val="nil"/>
                <w:left w:val="nil"/>
                <w:bottom w:val="nil"/>
                <w:right w:val="nil"/>
                <w:between w:val="nil"/>
                <w:bar w:val="nil"/>
              </w:pBdr>
              <w:rPr>
                <w:rFonts w:eastAsia="Roboto"/>
                <w:iCs/>
                <w:sz w:val="18"/>
                <w:szCs w:val="18"/>
              </w:rPr>
            </w:pPr>
            <w:r w:rsidRPr="0080620A">
              <w:rPr>
                <w:rFonts w:eastAsia="Roboto"/>
                <w:iCs/>
                <w:sz w:val="18"/>
                <w:szCs w:val="18"/>
              </w:rPr>
              <w:t>- Article 3 forms</w:t>
            </w:r>
          </w:p>
        </w:tc>
        <w:tc>
          <w:tcPr>
            <w:tcW w:w="2508" w:type="dxa"/>
          </w:tcPr>
          <w:p w14:paraId="5C86B87A" w14:textId="2611A6D8" w:rsidR="00B1107F" w:rsidRPr="0080620A" w:rsidRDefault="00F1134F" w:rsidP="00F1134F">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1B4A18EF" w14:textId="77777777" w:rsidTr="00BC69B4">
        <w:trPr>
          <w:trHeight w:val="454"/>
          <w:jc w:val="right"/>
        </w:trPr>
        <w:tc>
          <w:tcPr>
            <w:tcW w:w="2799" w:type="dxa"/>
          </w:tcPr>
          <w:p w14:paraId="77940DFF" w14:textId="0E3A6797" w:rsidR="00B1107F" w:rsidRPr="0080620A" w:rsidRDefault="00B1107F" w:rsidP="00EE7D24">
            <w:pPr>
              <w:rPr>
                <w:sz w:val="18"/>
                <w:szCs w:val="18"/>
              </w:rPr>
            </w:pPr>
            <w:r w:rsidRPr="0080620A">
              <w:rPr>
                <w:sz w:val="18"/>
                <w:szCs w:val="18"/>
              </w:rPr>
              <w:t xml:space="preserve">B5. Process indicator for </w:t>
            </w:r>
            <w:r w:rsidR="00DC5C70" w:rsidRPr="0080620A">
              <w:rPr>
                <w:sz w:val="18"/>
                <w:szCs w:val="18"/>
              </w:rPr>
              <w:t>a</w:t>
            </w:r>
            <w:r w:rsidRPr="0080620A">
              <w:rPr>
                <w:sz w:val="18"/>
                <w:szCs w:val="18"/>
              </w:rPr>
              <w:t>rticle 3</w:t>
            </w:r>
          </w:p>
        </w:tc>
        <w:tc>
          <w:tcPr>
            <w:tcW w:w="5605" w:type="dxa"/>
          </w:tcPr>
          <w:p w14:paraId="05E9DCA9"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Number of parties that have endeavoured to identify stocks and sources of supply</w:t>
            </w:r>
          </w:p>
        </w:tc>
        <w:tc>
          <w:tcPr>
            <w:tcW w:w="2508" w:type="dxa"/>
          </w:tcPr>
          <w:p w14:paraId="77C2FDF5" w14:textId="77777777" w:rsidR="00B1107F" w:rsidRPr="0080620A" w:rsidRDefault="00B1107F" w:rsidP="00EE7D24">
            <w:pPr>
              <w:pBdr>
                <w:top w:val="nil"/>
                <w:left w:val="nil"/>
                <w:bottom w:val="nil"/>
                <w:right w:val="nil"/>
                <w:between w:val="nil"/>
                <w:bar w:val="nil"/>
              </w:pBdr>
              <w:tabs>
                <w:tab w:val="left" w:pos="1163"/>
              </w:tabs>
              <w:ind w:right="-1192"/>
              <w:rPr>
                <w:rFonts w:eastAsia="Roboto"/>
                <w:sz w:val="18"/>
                <w:szCs w:val="18"/>
              </w:rPr>
            </w:pPr>
            <w:r w:rsidRPr="0080620A">
              <w:rPr>
                <w:iCs/>
                <w:sz w:val="18"/>
                <w:szCs w:val="18"/>
              </w:rPr>
              <w:t>- Article 21 reporting</w:t>
            </w:r>
          </w:p>
        </w:tc>
        <w:tc>
          <w:tcPr>
            <w:tcW w:w="2508" w:type="dxa"/>
          </w:tcPr>
          <w:p w14:paraId="0E95938C" w14:textId="71A4CB64" w:rsidR="00B1107F" w:rsidRPr="0080620A" w:rsidRDefault="00F1134F" w:rsidP="00EE7D24">
            <w:pPr>
              <w:pBdr>
                <w:top w:val="nil"/>
                <w:left w:val="nil"/>
                <w:bottom w:val="nil"/>
                <w:right w:val="nil"/>
                <w:between w:val="nil"/>
                <w:bar w:val="nil"/>
              </w:pBdr>
              <w:rPr>
                <w:sz w:val="18"/>
                <w:szCs w:val="18"/>
              </w:rPr>
            </w:pPr>
            <w:r w:rsidRPr="0080620A">
              <w:rPr>
                <w:sz w:val="18"/>
                <w:szCs w:val="18"/>
              </w:rPr>
              <w:t>N</w:t>
            </w:r>
            <w:r w:rsidR="00B1107F" w:rsidRPr="0080620A">
              <w:rPr>
                <w:sz w:val="18"/>
                <w:szCs w:val="18"/>
              </w:rPr>
              <w:t>umber in the first evaluation</w:t>
            </w:r>
          </w:p>
        </w:tc>
      </w:tr>
      <w:tr w:rsidR="00B1107F" w:rsidRPr="0080620A" w14:paraId="38F9E4EE" w14:textId="77777777" w:rsidTr="00BC69B4">
        <w:trPr>
          <w:trHeight w:val="624"/>
          <w:jc w:val="right"/>
        </w:trPr>
        <w:tc>
          <w:tcPr>
            <w:tcW w:w="2799" w:type="dxa"/>
          </w:tcPr>
          <w:p w14:paraId="04AB4FB6" w14:textId="5A1BBCBA"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B6. Process indicator for </w:t>
            </w:r>
            <w:r w:rsidR="00DC5C70" w:rsidRPr="0080620A">
              <w:rPr>
                <w:sz w:val="18"/>
                <w:szCs w:val="18"/>
              </w:rPr>
              <w:t>a</w:t>
            </w:r>
            <w:r w:rsidRPr="0080620A">
              <w:rPr>
                <w:sz w:val="18"/>
                <w:szCs w:val="18"/>
              </w:rPr>
              <w:t>rticle 3</w:t>
            </w:r>
          </w:p>
        </w:tc>
        <w:tc>
          <w:tcPr>
            <w:tcW w:w="5605" w:type="dxa"/>
          </w:tcPr>
          <w:p w14:paraId="3B1DA626" w14:textId="1266C53A" w:rsidR="00B1107F" w:rsidRPr="0080620A" w:rsidRDefault="00780EA2" w:rsidP="001702CC">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Proportion </w:t>
            </w:r>
            <w:r w:rsidR="00B1107F" w:rsidRPr="0080620A">
              <w:rPr>
                <w:rFonts w:eastAsia="Roboto"/>
                <w:sz w:val="18"/>
                <w:szCs w:val="18"/>
              </w:rPr>
              <w:t xml:space="preserve">of parties </w:t>
            </w:r>
            <w:r w:rsidR="001702CC" w:rsidRPr="0080620A">
              <w:rPr>
                <w:rFonts w:eastAsia="Roboto"/>
                <w:sz w:val="18"/>
                <w:szCs w:val="18"/>
              </w:rPr>
              <w:t>with</w:t>
            </w:r>
            <w:r w:rsidR="00B1107F" w:rsidRPr="0080620A">
              <w:rPr>
                <w:rFonts w:eastAsia="Roboto"/>
                <w:sz w:val="18"/>
                <w:szCs w:val="18"/>
              </w:rPr>
              <w:t xml:space="preserve"> excess </w:t>
            </w:r>
            <w:r w:rsidR="00DC5C70" w:rsidRPr="0080620A">
              <w:rPr>
                <w:rFonts w:eastAsia="Roboto"/>
                <w:sz w:val="18"/>
                <w:szCs w:val="18"/>
              </w:rPr>
              <w:t>mercury</w:t>
            </w:r>
            <w:r w:rsidR="00B1107F" w:rsidRPr="0080620A">
              <w:rPr>
                <w:rFonts w:eastAsia="Roboto"/>
                <w:sz w:val="18"/>
                <w:szCs w:val="18"/>
              </w:rPr>
              <w:t xml:space="preserve"> from </w:t>
            </w:r>
            <w:r w:rsidR="00DC5C70" w:rsidRPr="0080620A">
              <w:rPr>
                <w:rFonts w:eastAsia="Roboto"/>
                <w:sz w:val="18"/>
                <w:szCs w:val="18"/>
              </w:rPr>
              <w:t>c</w:t>
            </w:r>
            <w:r w:rsidR="00B1107F" w:rsidRPr="0080620A">
              <w:rPr>
                <w:rFonts w:eastAsia="Roboto"/>
                <w:sz w:val="18"/>
                <w:szCs w:val="18"/>
              </w:rPr>
              <w:t>hlor-</w:t>
            </w:r>
            <w:r w:rsidR="00DC5C70" w:rsidRPr="0080620A">
              <w:rPr>
                <w:rFonts w:eastAsia="Roboto"/>
                <w:sz w:val="18"/>
                <w:szCs w:val="18"/>
              </w:rPr>
              <w:t>a</w:t>
            </w:r>
            <w:r w:rsidR="00B1107F" w:rsidRPr="0080620A">
              <w:rPr>
                <w:rFonts w:eastAsia="Roboto"/>
                <w:sz w:val="18"/>
                <w:szCs w:val="18"/>
              </w:rPr>
              <w:t xml:space="preserve">lkali </w:t>
            </w:r>
            <w:r w:rsidRPr="0080620A">
              <w:rPr>
                <w:rFonts w:eastAsia="Roboto"/>
                <w:sz w:val="18"/>
                <w:szCs w:val="18"/>
              </w:rPr>
              <w:t xml:space="preserve">production </w:t>
            </w:r>
            <w:r w:rsidR="00B1107F" w:rsidRPr="0080620A">
              <w:rPr>
                <w:rFonts w:eastAsia="Roboto"/>
                <w:sz w:val="18"/>
                <w:szCs w:val="18"/>
              </w:rPr>
              <w:t xml:space="preserve">that have taken measures </w:t>
            </w:r>
            <w:r w:rsidR="001702CC" w:rsidRPr="0080620A">
              <w:rPr>
                <w:rFonts w:eastAsia="Roboto"/>
                <w:sz w:val="18"/>
                <w:szCs w:val="18"/>
              </w:rPr>
              <w:t xml:space="preserve">for </w:t>
            </w:r>
            <w:r w:rsidR="00B1107F" w:rsidRPr="0080620A">
              <w:rPr>
                <w:rFonts w:eastAsia="Roboto"/>
                <w:sz w:val="18"/>
                <w:szCs w:val="18"/>
              </w:rPr>
              <w:t xml:space="preserve">such mercury </w:t>
            </w:r>
            <w:r w:rsidR="001702CC" w:rsidRPr="0080620A">
              <w:rPr>
                <w:rFonts w:eastAsia="Roboto"/>
                <w:sz w:val="18"/>
                <w:szCs w:val="18"/>
              </w:rPr>
              <w:t xml:space="preserve">to be </w:t>
            </w:r>
            <w:r w:rsidR="00B1107F" w:rsidRPr="0080620A">
              <w:rPr>
                <w:rFonts w:eastAsia="Roboto"/>
                <w:sz w:val="18"/>
                <w:szCs w:val="18"/>
              </w:rPr>
              <w:t>subject to final disposal</w:t>
            </w:r>
          </w:p>
        </w:tc>
        <w:tc>
          <w:tcPr>
            <w:tcW w:w="2508" w:type="dxa"/>
          </w:tcPr>
          <w:p w14:paraId="7B7BE002" w14:textId="77777777" w:rsidR="00B1107F" w:rsidRPr="0080620A" w:rsidRDefault="00B1107F" w:rsidP="00EE7D24">
            <w:pPr>
              <w:rPr>
                <w:iCs/>
                <w:sz w:val="18"/>
                <w:szCs w:val="18"/>
              </w:rPr>
            </w:pPr>
            <w:r w:rsidRPr="0080620A">
              <w:rPr>
                <w:iCs/>
                <w:sz w:val="18"/>
                <w:szCs w:val="18"/>
              </w:rPr>
              <w:t xml:space="preserve">- Article 21 reporting </w:t>
            </w:r>
          </w:p>
          <w:p w14:paraId="5A4DB59F" w14:textId="0BA90476" w:rsidR="00B1107F" w:rsidRPr="0080620A" w:rsidRDefault="00B1107F" w:rsidP="00EE7D24">
            <w:pPr>
              <w:rPr>
                <w:iCs/>
                <w:sz w:val="18"/>
                <w:szCs w:val="18"/>
              </w:rPr>
            </w:pPr>
            <w:r w:rsidRPr="0080620A">
              <w:rPr>
                <w:iCs/>
                <w:sz w:val="18"/>
                <w:szCs w:val="18"/>
              </w:rPr>
              <w:t xml:space="preserve">- World Chlorine Council </w:t>
            </w:r>
            <w:r w:rsidR="00DC5C70" w:rsidRPr="0080620A">
              <w:rPr>
                <w:iCs/>
                <w:sz w:val="18"/>
                <w:szCs w:val="18"/>
              </w:rPr>
              <w:t>r</w:t>
            </w:r>
            <w:r w:rsidRPr="0080620A">
              <w:rPr>
                <w:iCs/>
                <w:sz w:val="18"/>
                <w:szCs w:val="18"/>
              </w:rPr>
              <w:t>eports</w:t>
            </w:r>
          </w:p>
        </w:tc>
        <w:tc>
          <w:tcPr>
            <w:tcW w:w="2508" w:type="dxa"/>
          </w:tcPr>
          <w:p w14:paraId="723D6934" w14:textId="62F60409" w:rsidR="00B1107F" w:rsidRPr="0080620A" w:rsidRDefault="00F1134F" w:rsidP="00EE7D24">
            <w:pPr>
              <w:pBdr>
                <w:top w:val="nil"/>
                <w:left w:val="nil"/>
                <w:bottom w:val="nil"/>
                <w:right w:val="nil"/>
                <w:between w:val="nil"/>
                <w:bar w:val="nil"/>
              </w:pBdr>
              <w:rPr>
                <w:sz w:val="18"/>
                <w:szCs w:val="18"/>
              </w:rPr>
            </w:pPr>
            <w:r w:rsidRPr="0080620A">
              <w:rPr>
                <w:sz w:val="18"/>
                <w:szCs w:val="18"/>
              </w:rPr>
              <w:t>P</w:t>
            </w:r>
            <w:r w:rsidR="008244FA" w:rsidRPr="0080620A">
              <w:rPr>
                <w:sz w:val="18"/>
                <w:szCs w:val="18"/>
              </w:rPr>
              <w:t>ercentage</w:t>
            </w:r>
            <w:r w:rsidR="00B1107F" w:rsidRPr="0080620A">
              <w:rPr>
                <w:sz w:val="18"/>
                <w:szCs w:val="18"/>
              </w:rPr>
              <w:t xml:space="preserve"> in the first evaluation</w:t>
            </w:r>
          </w:p>
        </w:tc>
      </w:tr>
      <w:tr w:rsidR="00B1107F" w:rsidRPr="0080620A" w14:paraId="1CF221B0" w14:textId="77777777" w:rsidTr="00BC69B4">
        <w:trPr>
          <w:trHeight w:val="454"/>
          <w:jc w:val="right"/>
        </w:trPr>
        <w:tc>
          <w:tcPr>
            <w:tcW w:w="2799" w:type="dxa"/>
          </w:tcPr>
          <w:p w14:paraId="65D04DCF" w14:textId="1305BFB0"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B7. Process indicator for </w:t>
            </w:r>
            <w:r w:rsidR="00DC5C70" w:rsidRPr="0080620A">
              <w:rPr>
                <w:sz w:val="18"/>
                <w:szCs w:val="18"/>
              </w:rPr>
              <w:t>a</w:t>
            </w:r>
            <w:r w:rsidRPr="0080620A">
              <w:rPr>
                <w:sz w:val="18"/>
                <w:szCs w:val="18"/>
              </w:rPr>
              <w:t>rticle 3</w:t>
            </w:r>
          </w:p>
        </w:tc>
        <w:tc>
          <w:tcPr>
            <w:tcW w:w="5605" w:type="dxa"/>
          </w:tcPr>
          <w:p w14:paraId="0345E5C1" w14:textId="5E97846C"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and proportion of </w:t>
            </w:r>
            <w:r w:rsidR="00DC5C70" w:rsidRPr="0080620A">
              <w:rPr>
                <w:rFonts w:eastAsia="Roboto"/>
                <w:sz w:val="18"/>
                <w:szCs w:val="18"/>
              </w:rPr>
              <w:t>p</w:t>
            </w:r>
            <w:r w:rsidRPr="0080620A">
              <w:rPr>
                <w:rFonts w:eastAsia="Roboto"/>
                <w:sz w:val="18"/>
                <w:szCs w:val="18"/>
              </w:rPr>
              <w:t>arties trading in mercury</w:t>
            </w:r>
          </w:p>
        </w:tc>
        <w:tc>
          <w:tcPr>
            <w:tcW w:w="2508" w:type="dxa"/>
          </w:tcPr>
          <w:p w14:paraId="2B8BD1A4" w14:textId="77777777" w:rsidR="00B1107F" w:rsidRPr="0080620A" w:rsidRDefault="00B1107F" w:rsidP="00EE7D24">
            <w:pPr>
              <w:pBdr>
                <w:top w:val="nil"/>
                <w:left w:val="nil"/>
                <w:bottom w:val="nil"/>
                <w:right w:val="nil"/>
                <w:between w:val="nil"/>
                <w:bar w:val="nil"/>
              </w:pBdr>
              <w:tabs>
                <w:tab w:val="left" w:pos="1163"/>
              </w:tabs>
              <w:ind w:right="-1192"/>
              <w:rPr>
                <w:rFonts w:eastAsia="Roboto"/>
                <w:sz w:val="18"/>
                <w:szCs w:val="18"/>
              </w:rPr>
            </w:pPr>
            <w:r w:rsidRPr="0080620A">
              <w:rPr>
                <w:iCs/>
                <w:sz w:val="18"/>
                <w:szCs w:val="18"/>
              </w:rPr>
              <w:t>- Article 21 reporting</w:t>
            </w:r>
            <w:r w:rsidRPr="0080620A">
              <w:rPr>
                <w:rFonts w:eastAsia="Roboto"/>
                <w:sz w:val="18"/>
                <w:szCs w:val="18"/>
              </w:rPr>
              <w:t xml:space="preserve"> </w:t>
            </w:r>
          </w:p>
          <w:p w14:paraId="2DF640B8" w14:textId="77777777" w:rsidR="00B1107F" w:rsidRPr="0080620A" w:rsidRDefault="00B1107F" w:rsidP="00EE7D24">
            <w:pPr>
              <w:pBdr>
                <w:top w:val="nil"/>
                <w:left w:val="nil"/>
                <w:bottom w:val="nil"/>
                <w:right w:val="nil"/>
                <w:between w:val="nil"/>
                <w:bar w:val="nil"/>
              </w:pBdr>
              <w:tabs>
                <w:tab w:val="left" w:pos="1163"/>
              </w:tabs>
              <w:ind w:right="-1192"/>
              <w:rPr>
                <w:rFonts w:eastAsia="Roboto"/>
                <w:sz w:val="18"/>
                <w:szCs w:val="18"/>
              </w:rPr>
            </w:pPr>
            <w:r w:rsidRPr="0080620A">
              <w:rPr>
                <w:rFonts w:eastAsia="Roboto"/>
                <w:sz w:val="18"/>
                <w:szCs w:val="18"/>
              </w:rPr>
              <w:t>- Article 3 forms</w:t>
            </w:r>
          </w:p>
        </w:tc>
        <w:tc>
          <w:tcPr>
            <w:tcW w:w="2508" w:type="dxa"/>
          </w:tcPr>
          <w:p w14:paraId="5B1DAFE7" w14:textId="75C019FE"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75CB6474" w14:textId="77777777" w:rsidTr="00BC69B4">
        <w:trPr>
          <w:trHeight w:val="283"/>
          <w:jc w:val="right"/>
        </w:trPr>
        <w:tc>
          <w:tcPr>
            <w:tcW w:w="2799" w:type="dxa"/>
          </w:tcPr>
          <w:p w14:paraId="10031E94" w14:textId="65B221A7"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B8. Process indicator for </w:t>
            </w:r>
            <w:r w:rsidR="00DC5C70" w:rsidRPr="0080620A">
              <w:rPr>
                <w:sz w:val="18"/>
                <w:szCs w:val="18"/>
              </w:rPr>
              <w:t>a</w:t>
            </w:r>
            <w:r w:rsidRPr="0080620A">
              <w:rPr>
                <w:sz w:val="18"/>
                <w:szCs w:val="18"/>
              </w:rPr>
              <w:t>rticle 3</w:t>
            </w:r>
          </w:p>
        </w:tc>
        <w:tc>
          <w:tcPr>
            <w:tcW w:w="5605" w:type="dxa"/>
          </w:tcPr>
          <w:p w14:paraId="62B8CBBC" w14:textId="393DDF20"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Volume of mercury being trade</w:t>
            </w:r>
            <w:r w:rsidR="00780EA2" w:rsidRPr="0080620A">
              <w:rPr>
                <w:rFonts w:eastAsia="Roboto"/>
                <w:sz w:val="18"/>
                <w:szCs w:val="18"/>
              </w:rPr>
              <w:t>d</w:t>
            </w:r>
          </w:p>
        </w:tc>
        <w:tc>
          <w:tcPr>
            <w:tcW w:w="2508" w:type="dxa"/>
          </w:tcPr>
          <w:p w14:paraId="79C493FD" w14:textId="7DC1F196" w:rsidR="00B1107F" w:rsidRPr="0080620A" w:rsidRDefault="00B1107F" w:rsidP="00EE7D24">
            <w:pPr>
              <w:pBdr>
                <w:top w:val="nil"/>
                <w:left w:val="nil"/>
                <w:bottom w:val="nil"/>
                <w:right w:val="nil"/>
                <w:between w:val="nil"/>
                <w:bar w:val="nil"/>
              </w:pBdr>
              <w:tabs>
                <w:tab w:val="left" w:pos="1163"/>
              </w:tabs>
              <w:ind w:right="-1192"/>
              <w:rPr>
                <w:iCs/>
                <w:sz w:val="18"/>
                <w:szCs w:val="18"/>
              </w:rPr>
            </w:pPr>
            <w:r w:rsidRPr="0080620A">
              <w:rPr>
                <w:iCs/>
                <w:sz w:val="18"/>
                <w:szCs w:val="18"/>
              </w:rPr>
              <w:t>- Article 21 reporting</w:t>
            </w:r>
            <w:r w:rsidRPr="0080620A">
              <w:rPr>
                <w:rFonts w:eastAsia="Roboto"/>
                <w:sz w:val="18"/>
                <w:szCs w:val="18"/>
              </w:rPr>
              <w:t xml:space="preserve"> </w:t>
            </w:r>
          </w:p>
        </w:tc>
        <w:tc>
          <w:tcPr>
            <w:tcW w:w="2508" w:type="dxa"/>
          </w:tcPr>
          <w:p w14:paraId="056E5BFB" w14:textId="145DF33E"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52EAFAE1" w14:textId="77777777" w:rsidTr="00BC69B4">
        <w:trPr>
          <w:trHeight w:val="57"/>
          <w:jc w:val="right"/>
        </w:trPr>
        <w:tc>
          <w:tcPr>
            <w:tcW w:w="2799" w:type="dxa"/>
            <w:shd w:val="clear" w:color="auto" w:fill="B8CCE4" w:themeFill="accent1" w:themeFillTint="66"/>
          </w:tcPr>
          <w:p w14:paraId="16D99FCB" w14:textId="77777777" w:rsidR="00B1107F" w:rsidRPr="0080620A" w:rsidRDefault="00B1107F" w:rsidP="00EE7D24">
            <w:pPr>
              <w:pBdr>
                <w:top w:val="nil"/>
                <w:left w:val="nil"/>
                <w:bottom w:val="nil"/>
                <w:right w:val="nil"/>
                <w:between w:val="nil"/>
                <w:bar w:val="nil"/>
              </w:pBdr>
              <w:tabs>
                <w:tab w:val="left" w:pos="1163"/>
              </w:tabs>
              <w:rPr>
                <w:b/>
                <w:sz w:val="18"/>
                <w:szCs w:val="18"/>
              </w:rPr>
            </w:pPr>
            <w:r w:rsidRPr="0080620A">
              <w:rPr>
                <w:b/>
                <w:sz w:val="18"/>
                <w:szCs w:val="18"/>
              </w:rPr>
              <w:t>Article 10</w:t>
            </w:r>
          </w:p>
        </w:tc>
        <w:tc>
          <w:tcPr>
            <w:tcW w:w="5605" w:type="dxa"/>
            <w:shd w:val="clear" w:color="auto" w:fill="B8CCE4" w:themeFill="accent1" w:themeFillTint="66"/>
          </w:tcPr>
          <w:p w14:paraId="35D3E6B8"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508" w:type="dxa"/>
            <w:shd w:val="clear" w:color="auto" w:fill="B8CCE4" w:themeFill="accent1" w:themeFillTint="66"/>
          </w:tcPr>
          <w:p w14:paraId="1D46EE9F" w14:textId="77777777" w:rsidR="00B1107F" w:rsidRPr="0080620A" w:rsidRDefault="00B1107F" w:rsidP="00EE7D24">
            <w:pPr>
              <w:pBdr>
                <w:top w:val="nil"/>
                <w:left w:val="nil"/>
                <w:bottom w:val="nil"/>
                <w:right w:val="nil"/>
                <w:between w:val="nil"/>
                <w:bar w:val="nil"/>
              </w:pBdr>
              <w:tabs>
                <w:tab w:val="left" w:pos="1163"/>
              </w:tabs>
              <w:ind w:right="-1192"/>
              <w:rPr>
                <w:rFonts w:eastAsia="Roboto"/>
                <w:sz w:val="18"/>
                <w:szCs w:val="18"/>
              </w:rPr>
            </w:pPr>
          </w:p>
        </w:tc>
        <w:tc>
          <w:tcPr>
            <w:tcW w:w="2508" w:type="dxa"/>
            <w:shd w:val="clear" w:color="auto" w:fill="B8CCE4" w:themeFill="accent1" w:themeFillTint="66"/>
          </w:tcPr>
          <w:p w14:paraId="453D1211" w14:textId="77777777" w:rsidR="00B1107F" w:rsidRPr="0080620A" w:rsidRDefault="00B1107F" w:rsidP="00EE7D24">
            <w:pPr>
              <w:pBdr>
                <w:top w:val="nil"/>
                <w:left w:val="nil"/>
                <w:bottom w:val="nil"/>
                <w:right w:val="nil"/>
                <w:between w:val="nil"/>
                <w:bar w:val="nil"/>
              </w:pBdr>
              <w:rPr>
                <w:sz w:val="18"/>
                <w:szCs w:val="18"/>
              </w:rPr>
            </w:pPr>
          </w:p>
        </w:tc>
      </w:tr>
      <w:tr w:rsidR="00B1107F" w:rsidRPr="0080620A" w14:paraId="51C30C87" w14:textId="77777777" w:rsidTr="00BC69B4">
        <w:trPr>
          <w:trHeight w:val="454"/>
          <w:jc w:val="right"/>
        </w:trPr>
        <w:tc>
          <w:tcPr>
            <w:tcW w:w="2799" w:type="dxa"/>
          </w:tcPr>
          <w:p w14:paraId="1BA76860" w14:textId="73494CCA"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B9. Process indicator for </w:t>
            </w:r>
            <w:r w:rsidR="00DC5C70" w:rsidRPr="0080620A">
              <w:rPr>
                <w:sz w:val="18"/>
                <w:szCs w:val="18"/>
              </w:rPr>
              <w:t>a</w:t>
            </w:r>
            <w:r w:rsidRPr="0080620A">
              <w:rPr>
                <w:sz w:val="18"/>
                <w:szCs w:val="18"/>
              </w:rPr>
              <w:t>rticle 10</w:t>
            </w:r>
          </w:p>
        </w:tc>
        <w:tc>
          <w:tcPr>
            <w:tcW w:w="5605" w:type="dxa"/>
          </w:tcPr>
          <w:p w14:paraId="005BEE2A" w14:textId="5E13D538"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Number and proportion of </w:t>
            </w:r>
            <w:r w:rsidR="008244FA" w:rsidRPr="0080620A">
              <w:rPr>
                <w:rFonts w:eastAsia="Roboto"/>
                <w:sz w:val="18"/>
                <w:szCs w:val="18"/>
              </w:rPr>
              <w:t>p</w:t>
            </w:r>
            <w:r w:rsidRPr="0080620A">
              <w:rPr>
                <w:rFonts w:eastAsia="Roboto"/>
                <w:sz w:val="18"/>
                <w:szCs w:val="18"/>
              </w:rPr>
              <w:t>arties that have taken measures to ensure sound interim storage</w:t>
            </w:r>
          </w:p>
        </w:tc>
        <w:tc>
          <w:tcPr>
            <w:tcW w:w="2508" w:type="dxa"/>
          </w:tcPr>
          <w:p w14:paraId="61CC7914" w14:textId="77777777" w:rsidR="00B1107F" w:rsidRPr="0080620A" w:rsidRDefault="00B1107F" w:rsidP="00EE7D24">
            <w:pPr>
              <w:pBdr>
                <w:top w:val="nil"/>
                <w:left w:val="nil"/>
                <w:bottom w:val="nil"/>
                <w:right w:val="nil"/>
                <w:between w:val="nil"/>
                <w:bar w:val="nil"/>
              </w:pBdr>
              <w:ind w:right="-1192"/>
              <w:rPr>
                <w:rFonts w:eastAsia="Roboto"/>
                <w:sz w:val="18"/>
                <w:szCs w:val="18"/>
              </w:rPr>
            </w:pPr>
            <w:r w:rsidRPr="0080620A">
              <w:rPr>
                <w:iCs/>
                <w:sz w:val="18"/>
                <w:szCs w:val="18"/>
              </w:rPr>
              <w:t>- Article 21 reporting</w:t>
            </w:r>
          </w:p>
        </w:tc>
        <w:tc>
          <w:tcPr>
            <w:tcW w:w="2508" w:type="dxa"/>
          </w:tcPr>
          <w:p w14:paraId="7C4DDA77" w14:textId="39E7BEA7"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469BF7C6" w14:textId="77777777" w:rsidTr="00BC69B4">
        <w:trPr>
          <w:trHeight w:val="454"/>
          <w:jc w:val="right"/>
        </w:trPr>
        <w:tc>
          <w:tcPr>
            <w:tcW w:w="2799" w:type="dxa"/>
          </w:tcPr>
          <w:p w14:paraId="42C47647" w14:textId="0A89E96F" w:rsidR="00B1107F" w:rsidRPr="0080620A" w:rsidRDefault="00B1107F" w:rsidP="00C32C4C">
            <w:pPr>
              <w:pBdr>
                <w:top w:val="nil"/>
                <w:left w:val="nil"/>
                <w:bottom w:val="nil"/>
                <w:right w:val="nil"/>
                <w:between w:val="nil"/>
                <w:bar w:val="nil"/>
              </w:pBdr>
              <w:tabs>
                <w:tab w:val="clear" w:pos="1247"/>
                <w:tab w:val="clear" w:pos="1814"/>
                <w:tab w:val="clear" w:pos="2381"/>
              </w:tabs>
              <w:ind w:right="-57"/>
              <w:rPr>
                <w:spacing w:val="-2"/>
                <w:sz w:val="18"/>
                <w:szCs w:val="18"/>
              </w:rPr>
            </w:pPr>
            <w:r w:rsidRPr="0080620A">
              <w:rPr>
                <w:spacing w:val="-2"/>
                <w:sz w:val="18"/>
                <w:szCs w:val="18"/>
              </w:rPr>
              <w:t xml:space="preserve">B10. Outcome indicator for </w:t>
            </w:r>
            <w:r w:rsidR="00DC5C70" w:rsidRPr="0080620A">
              <w:rPr>
                <w:spacing w:val="-2"/>
                <w:sz w:val="18"/>
                <w:szCs w:val="18"/>
              </w:rPr>
              <w:t>a</w:t>
            </w:r>
            <w:r w:rsidRPr="0080620A">
              <w:rPr>
                <w:spacing w:val="-2"/>
                <w:sz w:val="18"/>
                <w:szCs w:val="18"/>
              </w:rPr>
              <w:t>rticle 10</w:t>
            </w:r>
          </w:p>
        </w:tc>
        <w:tc>
          <w:tcPr>
            <w:tcW w:w="5605" w:type="dxa"/>
          </w:tcPr>
          <w:p w14:paraId="05FA5677" w14:textId="67CCF5DA"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Amount of </w:t>
            </w:r>
            <w:r w:rsidR="008244FA" w:rsidRPr="0080620A">
              <w:rPr>
                <w:rFonts w:eastAsia="Roboto"/>
                <w:sz w:val="18"/>
                <w:szCs w:val="18"/>
              </w:rPr>
              <w:t xml:space="preserve">mercury </w:t>
            </w:r>
            <w:r w:rsidRPr="0080620A">
              <w:rPr>
                <w:rFonts w:eastAsia="Roboto"/>
                <w:sz w:val="18"/>
                <w:szCs w:val="18"/>
              </w:rPr>
              <w:t xml:space="preserve">stored in an environmentally sound way </w:t>
            </w:r>
            <w:r w:rsidR="00C1034D" w:rsidRPr="0080620A">
              <w:rPr>
                <w:rFonts w:eastAsia="Roboto"/>
                <w:sz w:val="18"/>
                <w:szCs w:val="18"/>
              </w:rPr>
              <w:t>(</w:t>
            </w:r>
            <w:r w:rsidRPr="0080620A">
              <w:rPr>
                <w:rFonts w:eastAsia="Roboto"/>
                <w:sz w:val="18"/>
                <w:szCs w:val="18"/>
              </w:rPr>
              <w:t>as identified in the inventory of stocks</w:t>
            </w:r>
            <w:r w:rsidR="00C1034D" w:rsidRPr="0080620A">
              <w:rPr>
                <w:rFonts w:eastAsia="Roboto"/>
                <w:sz w:val="18"/>
                <w:szCs w:val="18"/>
              </w:rPr>
              <w:t>)</w:t>
            </w:r>
          </w:p>
        </w:tc>
        <w:tc>
          <w:tcPr>
            <w:tcW w:w="2508" w:type="dxa"/>
          </w:tcPr>
          <w:p w14:paraId="6FD3D072" w14:textId="77777777" w:rsidR="00B1107F" w:rsidRPr="0080620A" w:rsidRDefault="00B1107F" w:rsidP="00EE7D24">
            <w:pPr>
              <w:pBdr>
                <w:top w:val="nil"/>
                <w:left w:val="nil"/>
                <w:bottom w:val="nil"/>
                <w:right w:val="nil"/>
                <w:between w:val="nil"/>
                <w:bar w:val="nil"/>
              </w:pBdr>
              <w:tabs>
                <w:tab w:val="left" w:pos="1163"/>
              </w:tabs>
              <w:ind w:right="-1192"/>
              <w:rPr>
                <w:rFonts w:eastAsia="Roboto"/>
                <w:sz w:val="18"/>
                <w:szCs w:val="18"/>
              </w:rPr>
            </w:pPr>
            <w:r w:rsidRPr="0080620A">
              <w:rPr>
                <w:iCs/>
                <w:sz w:val="18"/>
                <w:szCs w:val="18"/>
              </w:rPr>
              <w:t>- Article 21 reporting</w:t>
            </w:r>
          </w:p>
        </w:tc>
        <w:tc>
          <w:tcPr>
            <w:tcW w:w="2508" w:type="dxa"/>
          </w:tcPr>
          <w:p w14:paraId="2BF08E9D" w14:textId="3D00A4AE"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56172542" w14:textId="77777777" w:rsidTr="00BC69B4">
        <w:trPr>
          <w:trHeight w:val="57"/>
          <w:jc w:val="right"/>
        </w:trPr>
        <w:tc>
          <w:tcPr>
            <w:tcW w:w="2799" w:type="dxa"/>
            <w:shd w:val="clear" w:color="auto" w:fill="B8CCE4" w:themeFill="accent1" w:themeFillTint="66"/>
          </w:tcPr>
          <w:p w14:paraId="687D3F7E" w14:textId="77777777" w:rsidR="00B1107F" w:rsidRPr="0080620A" w:rsidRDefault="00B1107F" w:rsidP="00780EA2">
            <w:pPr>
              <w:keepNext/>
              <w:pBdr>
                <w:top w:val="nil"/>
                <w:left w:val="nil"/>
                <w:bottom w:val="nil"/>
                <w:right w:val="nil"/>
                <w:between w:val="nil"/>
                <w:bar w:val="nil"/>
              </w:pBdr>
              <w:tabs>
                <w:tab w:val="left" w:pos="1163"/>
              </w:tabs>
              <w:rPr>
                <w:b/>
                <w:sz w:val="18"/>
                <w:szCs w:val="18"/>
              </w:rPr>
            </w:pPr>
            <w:r w:rsidRPr="0080620A">
              <w:rPr>
                <w:b/>
                <w:sz w:val="18"/>
                <w:szCs w:val="18"/>
              </w:rPr>
              <w:lastRenderedPageBreak/>
              <w:t>Article 11</w:t>
            </w:r>
          </w:p>
        </w:tc>
        <w:tc>
          <w:tcPr>
            <w:tcW w:w="5605" w:type="dxa"/>
            <w:shd w:val="clear" w:color="auto" w:fill="B8CCE4" w:themeFill="accent1" w:themeFillTint="66"/>
          </w:tcPr>
          <w:p w14:paraId="27F9B970" w14:textId="77777777" w:rsidR="00B1107F" w:rsidRPr="0080620A" w:rsidRDefault="00B1107F" w:rsidP="00780EA2">
            <w:pPr>
              <w:keepNext/>
              <w:pBdr>
                <w:top w:val="nil"/>
                <w:left w:val="nil"/>
                <w:bottom w:val="nil"/>
                <w:right w:val="nil"/>
                <w:between w:val="nil"/>
                <w:bar w:val="nil"/>
              </w:pBdr>
              <w:tabs>
                <w:tab w:val="left" w:pos="1163"/>
              </w:tabs>
              <w:rPr>
                <w:rFonts w:eastAsia="Roboto"/>
                <w:sz w:val="18"/>
                <w:szCs w:val="18"/>
              </w:rPr>
            </w:pPr>
          </w:p>
        </w:tc>
        <w:tc>
          <w:tcPr>
            <w:tcW w:w="2508" w:type="dxa"/>
            <w:shd w:val="clear" w:color="auto" w:fill="B8CCE4" w:themeFill="accent1" w:themeFillTint="66"/>
          </w:tcPr>
          <w:p w14:paraId="324BD069" w14:textId="77777777" w:rsidR="00B1107F" w:rsidRPr="0080620A" w:rsidRDefault="00B1107F" w:rsidP="00780EA2">
            <w:pPr>
              <w:keepNext/>
              <w:pBdr>
                <w:top w:val="nil"/>
                <w:left w:val="nil"/>
                <w:bottom w:val="nil"/>
                <w:right w:val="nil"/>
                <w:between w:val="nil"/>
                <w:bar w:val="nil"/>
              </w:pBdr>
              <w:tabs>
                <w:tab w:val="left" w:pos="1163"/>
              </w:tabs>
              <w:ind w:right="-1192"/>
              <w:rPr>
                <w:rFonts w:eastAsia="Roboto"/>
                <w:sz w:val="18"/>
                <w:szCs w:val="18"/>
              </w:rPr>
            </w:pPr>
          </w:p>
        </w:tc>
        <w:tc>
          <w:tcPr>
            <w:tcW w:w="2508" w:type="dxa"/>
            <w:shd w:val="clear" w:color="auto" w:fill="B8CCE4" w:themeFill="accent1" w:themeFillTint="66"/>
          </w:tcPr>
          <w:p w14:paraId="21871401" w14:textId="77777777" w:rsidR="00B1107F" w:rsidRPr="0080620A" w:rsidRDefault="00B1107F" w:rsidP="00780EA2">
            <w:pPr>
              <w:keepNext/>
              <w:pBdr>
                <w:top w:val="nil"/>
                <w:left w:val="nil"/>
                <w:bottom w:val="nil"/>
                <w:right w:val="nil"/>
                <w:between w:val="nil"/>
                <w:bar w:val="nil"/>
              </w:pBdr>
              <w:rPr>
                <w:sz w:val="18"/>
                <w:szCs w:val="18"/>
              </w:rPr>
            </w:pPr>
          </w:p>
        </w:tc>
      </w:tr>
      <w:tr w:rsidR="00B1107F" w:rsidRPr="0080620A" w14:paraId="4A0CF188" w14:textId="77777777" w:rsidTr="00BC69B4">
        <w:trPr>
          <w:trHeight w:val="454"/>
          <w:jc w:val="right"/>
        </w:trPr>
        <w:tc>
          <w:tcPr>
            <w:tcW w:w="2799" w:type="dxa"/>
          </w:tcPr>
          <w:p w14:paraId="50FD25F9" w14:textId="5CBA840C" w:rsidR="00B1107F" w:rsidRPr="0080620A" w:rsidRDefault="00B1107F" w:rsidP="00C32C4C">
            <w:pPr>
              <w:pBdr>
                <w:top w:val="nil"/>
                <w:left w:val="nil"/>
                <w:bottom w:val="nil"/>
                <w:right w:val="nil"/>
                <w:between w:val="nil"/>
                <w:bar w:val="nil"/>
              </w:pBdr>
              <w:tabs>
                <w:tab w:val="left" w:pos="1163"/>
              </w:tabs>
              <w:ind w:right="-57"/>
              <w:rPr>
                <w:spacing w:val="-2"/>
                <w:sz w:val="18"/>
                <w:szCs w:val="18"/>
              </w:rPr>
            </w:pPr>
            <w:r w:rsidRPr="0080620A">
              <w:rPr>
                <w:spacing w:val="-2"/>
                <w:sz w:val="18"/>
                <w:szCs w:val="18"/>
              </w:rPr>
              <w:t xml:space="preserve">B11. Outcome indicator for </w:t>
            </w:r>
            <w:r w:rsidR="008244FA" w:rsidRPr="0080620A">
              <w:rPr>
                <w:spacing w:val="-2"/>
                <w:sz w:val="18"/>
                <w:szCs w:val="18"/>
              </w:rPr>
              <w:t>a</w:t>
            </w:r>
            <w:r w:rsidRPr="0080620A">
              <w:rPr>
                <w:spacing w:val="-2"/>
                <w:sz w:val="18"/>
                <w:szCs w:val="18"/>
              </w:rPr>
              <w:t>rticle 11</w:t>
            </w:r>
          </w:p>
        </w:tc>
        <w:tc>
          <w:tcPr>
            <w:tcW w:w="5605" w:type="dxa"/>
          </w:tcPr>
          <w:p w14:paraId="06A8CCE1" w14:textId="1A3E04B6" w:rsidR="00B1107F" w:rsidRPr="0080620A" w:rsidRDefault="00B1107F" w:rsidP="00E777BB">
            <w:pPr>
              <w:pBdr>
                <w:top w:val="nil"/>
                <w:left w:val="nil"/>
                <w:bottom w:val="nil"/>
                <w:right w:val="nil"/>
                <w:between w:val="nil"/>
                <w:bar w:val="nil"/>
              </w:pBdr>
              <w:rPr>
                <w:rFonts w:eastAsia="Roboto"/>
                <w:sz w:val="18"/>
                <w:szCs w:val="18"/>
              </w:rPr>
            </w:pPr>
            <w:r w:rsidRPr="0080620A">
              <w:rPr>
                <w:rFonts w:eastAsia="Roboto"/>
                <w:sz w:val="18"/>
                <w:szCs w:val="18"/>
              </w:rPr>
              <w:t>Amount of waste containing mercury or mercury compound</w:t>
            </w:r>
            <w:r w:rsidR="00780EA2" w:rsidRPr="0080620A">
              <w:rPr>
                <w:rFonts w:eastAsia="Roboto"/>
                <w:sz w:val="18"/>
                <w:szCs w:val="18"/>
              </w:rPr>
              <w:t>s</w:t>
            </w:r>
            <w:r w:rsidRPr="0080620A">
              <w:rPr>
                <w:rFonts w:eastAsia="Roboto"/>
                <w:sz w:val="18"/>
                <w:szCs w:val="18"/>
              </w:rPr>
              <w:t xml:space="preserve"> subject to final disposal</w:t>
            </w:r>
          </w:p>
        </w:tc>
        <w:tc>
          <w:tcPr>
            <w:tcW w:w="2508" w:type="dxa"/>
          </w:tcPr>
          <w:p w14:paraId="14C875C2" w14:textId="77777777" w:rsidR="00B1107F" w:rsidRPr="0080620A" w:rsidRDefault="00B1107F" w:rsidP="00EE7D24">
            <w:pPr>
              <w:pBdr>
                <w:top w:val="nil"/>
                <w:left w:val="nil"/>
                <w:bottom w:val="nil"/>
                <w:right w:val="nil"/>
                <w:between w:val="nil"/>
                <w:bar w:val="nil"/>
              </w:pBdr>
              <w:ind w:right="-1192"/>
              <w:rPr>
                <w:rFonts w:eastAsia="Roboto"/>
                <w:sz w:val="18"/>
                <w:szCs w:val="18"/>
              </w:rPr>
            </w:pPr>
            <w:r w:rsidRPr="0080620A">
              <w:rPr>
                <w:iCs/>
                <w:sz w:val="18"/>
                <w:szCs w:val="18"/>
              </w:rPr>
              <w:t>- Article 21 reporting</w:t>
            </w:r>
          </w:p>
        </w:tc>
        <w:tc>
          <w:tcPr>
            <w:tcW w:w="2508" w:type="dxa"/>
          </w:tcPr>
          <w:p w14:paraId="695A58C8" w14:textId="5847710A"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65E5AE9D" w14:textId="77777777" w:rsidTr="00BC69B4">
        <w:trPr>
          <w:trHeight w:val="454"/>
          <w:jc w:val="right"/>
        </w:trPr>
        <w:tc>
          <w:tcPr>
            <w:tcW w:w="2799" w:type="dxa"/>
          </w:tcPr>
          <w:p w14:paraId="6D9AD86D" w14:textId="47C86BF1" w:rsidR="00B1107F" w:rsidRPr="0080620A" w:rsidRDefault="00B1107F" w:rsidP="007F45A9">
            <w:pPr>
              <w:pBdr>
                <w:top w:val="nil"/>
                <w:left w:val="nil"/>
                <w:bottom w:val="nil"/>
                <w:right w:val="nil"/>
                <w:between w:val="nil"/>
                <w:bar w:val="nil"/>
              </w:pBdr>
              <w:tabs>
                <w:tab w:val="left" w:pos="1163"/>
              </w:tabs>
              <w:ind w:right="-57"/>
              <w:rPr>
                <w:spacing w:val="-2"/>
                <w:sz w:val="18"/>
                <w:szCs w:val="18"/>
              </w:rPr>
            </w:pPr>
            <w:r w:rsidRPr="0080620A">
              <w:rPr>
                <w:spacing w:val="-2"/>
                <w:sz w:val="18"/>
                <w:szCs w:val="18"/>
              </w:rPr>
              <w:t xml:space="preserve">B12. Outcome indicator for </w:t>
            </w:r>
            <w:r w:rsidR="008244FA" w:rsidRPr="0080620A">
              <w:rPr>
                <w:spacing w:val="-2"/>
                <w:sz w:val="18"/>
                <w:szCs w:val="18"/>
              </w:rPr>
              <w:t>a</w:t>
            </w:r>
            <w:r w:rsidRPr="0080620A">
              <w:rPr>
                <w:spacing w:val="-2"/>
                <w:sz w:val="18"/>
                <w:szCs w:val="18"/>
              </w:rPr>
              <w:t>rticle 11</w:t>
            </w:r>
          </w:p>
        </w:tc>
        <w:tc>
          <w:tcPr>
            <w:tcW w:w="5605" w:type="dxa"/>
          </w:tcPr>
          <w:p w14:paraId="686DCE9F" w14:textId="6EE1D82F"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Number of </w:t>
            </w:r>
            <w:r w:rsidR="008244FA" w:rsidRPr="0080620A">
              <w:rPr>
                <w:rFonts w:eastAsia="Roboto"/>
                <w:sz w:val="18"/>
                <w:szCs w:val="18"/>
              </w:rPr>
              <w:t>p</w:t>
            </w:r>
            <w:r w:rsidRPr="0080620A">
              <w:rPr>
                <w:rFonts w:eastAsia="Roboto"/>
                <w:sz w:val="18"/>
                <w:szCs w:val="18"/>
              </w:rPr>
              <w:t>arties with facilities for final disposal of waste containing mercury or mercury compounds</w:t>
            </w:r>
          </w:p>
        </w:tc>
        <w:tc>
          <w:tcPr>
            <w:tcW w:w="2508" w:type="dxa"/>
          </w:tcPr>
          <w:p w14:paraId="579CA1DF" w14:textId="77777777" w:rsidR="00B1107F" w:rsidRPr="0080620A" w:rsidRDefault="00B1107F" w:rsidP="00EE7D24">
            <w:pPr>
              <w:pBdr>
                <w:top w:val="nil"/>
                <w:left w:val="nil"/>
                <w:bottom w:val="nil"/>
                <w:right w:val="nil"/>
                <w:between w:val="nil"/>
                <w:bar w:val="nil"/>
              </w:pBdr>
              <w:ind w:right="-1192"/>
              <w:rPr>
                <w:iCs/>
                <w:sz w:val="18"/>
                <w:szCs w:val="18"/>
              </w:rPr>
            </w:pPr>
            <w:r w:rsidRPr="0080620A">
              <w:rPr>
                <w:iCs/>
                <w:sz w:val="18"/>
                <w:szCs w:val="18"/>
              </w:rPr>
              <w:t>- Article 21 reporting</w:t>
            </w:r>
          </w:p>
        </w:tc>
        <w:tc>
          <w:tcPr>
            <w:tcW w:w="2508" w:type="dxa"/>
          </w:tcPr>
          <w:p w14:paraId="2EFAC85F" w14:textId="692F88E5"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422063F9" w14:textId="77777777" w:rsidTr="00BC69B4">
        <w:trPr>
          <w:trHeight w:val="454"/>
          <w:jc w:val="right"/>
        </w:trPr>
        <w:tc>
          <w:tcPr>
            <w:tcW w:w="2799" w:type="dxa"/>
          </w:tcPr>
          <w:p w14:paraId="3768AF87" w14:textId="5FA3A2EA" w:rsidR="00B1107F" w:rsidRPr="0080620A" w:rsidRDefault="00B1107F" w:rsidP="007F45A9">
            <w:pPr>
              <w:pBdr>
                <w:top w:val="nil"/>
                <w:left w:val="nil"/>
                <w:bottom w:val="nil"/>
                <w:right w:val="nil"/>
                <w:between w:val="nil"/>
                <w:bar w:val="nil"/>
              </w:pBdr>
              <w:tabs>
                <w:tab w:val="left" w:pos="1163"/>
              </w:tabs>
              <w:ind w:right="-57"/>
              <w:rPr>
                <w:sz w:val="18"/>
                <w:szCs w:val="18"/>
              </w:rPr>
            </w:pPr>
            <w:r w:rsidRPr="0080620A">
              <w:rPr>
                <w:sz w:val="18"/>
                <w:szCs w:val="18"/>
              </w:rPr>
              <w:t>B13. Process indic</w:t>
            </w:r>
            <w:r w:rsidR="007F45A9" w:rsidRPr="0080620A">
              <w:rPr>
                <w:sz w:val="18"/>
                <w:szCs w:val="18"/>
              </w:rPr>
              <w:t>a</w:t>
            </w:r>
            <w:r w:rsidRPr="0080620A">
              <w:rPr>
                <w:sz w:val="18"/>
                <w:szCs w:val="18"/>
              </w:rPr>
              <w:t xml:space="preserve">tor for </w:t>
            </w:r>
            <w:r w:rsidR="008244FA" w:rsidRPr="0080620A">
              <w:rPr>
                <w:sz w:val="18"/>
                <w:szCs w:val="18"/>
              </w:rPr>
              <w:t>a</w:t>
            </w:r>
            <w:r w:rsidRPr="0080620A">
              <w:rPr>
                <w:sz w:val="18"/>
                <w:szCs w:val="18"/>
              </w:rPr>
              <w:t>rticle 11</w:t>
            </w:r>
          </w:p>
        </w:tc>
        <w:tc>
          <w:tcPr>
            <w:tcW w:w="5605" w:type="dxa"/>
          </w:tcPr>
          <w:p w14:paraId="46229680"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Number of parties that have measures in place to manage mercury waste in an environmentally sound manner</w:t>
            </w:r>
          </w:p>
        </w:tc>
        <w:tc>
          <w:tcPr>
            <w:tcW w:w="2508" w:type="dxa"/>
          </w:tcPr>
          <w:p w14:paraId="37F478C7" w14:textId="77777777" w:rsidR="00B1107F" w:rsidRPr="0080620A" w:rsidRDefault="00B1107F" w:rsidP="00EE7D24">
            <w:pPr>
              <w:pBdr>
                <w:top w:val="nil"/>
                <w:left w:val="nil"/>
                <w:bottom w:val="nil"/>
                <w:right w:val="nil"/>
                <w:between w:val="nil"/>
                <w:bar w:val="nil"/>
              </w:pBdr>
              <w:ind w:right="-1192"/>
              <w:rPr>
                <w:rFonts w:eastAsia="Roboto"/>
                <w:sz w:val="18"/>
                <w:szCs w:val="18"/>
              </w:rPr>
            </w:pPr>
            <w:r w:rsidRPr="0080620A">
              <w:rPr>
                <w:iCs/>
                <w:sz w:val="18"/>
                <w:szCs w:val="18"/>
              </w:rPr>
              <w:t>- Article 21 reporting</w:t>
            </w:r>
          </w:p>
        </w:tc>
        <w:tc>
          <w:tcPr>
            <w:tcW w:w="2508" w:type="dxa"/>
          </w:tcPr>
          <w:p w14:paraId="38CA40B0" w14:textId="23ADD02A" w:rsidR="00B1107F" w:rsidRPr="0080620A" w:rsidRDefault="00F1134F" w:rsidP="00EE7D24">
            <w:pPr>
              <w:pBdr>
                <w:top w:val="nil"/>
                <w:left w:val="nil"/>
                <w:bottom w:val="nil"/>
                <w:right w:val="nil"/>
                <w:between w:val="nil"/>
                <w:bar w:val="nil"/>
              </w:pBdr>
              <w:rPr>
                <w:sz w:val="18"/>
                <w:szCs w:val="18"/>
              </w:rPr>
            </w:pPr>
            <w:r w:rsidRPr="0080620A">
              <w:rPr>
                <w:sz w:val="18"/>
                <w:szCs w:val="18"/>
              </w:rPr>
              <w:t>A</w:t>
            </w:r>
            <w:r w:rsidR="00B1107F" w:rsidRPr="0080620A">
              <w:rPr>
                <w:sz w:val="18"/>
                <w:szCs w:val="18"/>
              </w:rPr>
              <w:t>mount in the first evaluation</w:t>
            </w:r>
          </w:p>
        </w:tc>
      </w:tr>
      <w:tr w:rsidR="00B1107F" w:rsidRPr="0080620A" w14:paraId="7338E9A1" w14:textId="77777777" w:rsidTr="00BC69B4">
        <w:trPr>
          <w:trHeight w:val="227"/>
          <w:jc w:val="right"/>
        </w:trPr>
        <w:tc>
          <w:tcPr>
            <w:tcW w:w="2799" w:type="dxa"/>
            <w:shd w:val="clear" w:color="auto" w:fill="B8CCE4" w:themeFill="accent1" w:themeFillTint="66"/>
          </w:tcPr>
          <w:p w14:paraId="6FA81E99" w14:textId="77777777" w:rsidR="00B1107F" w:rsidRPr="0080620A" w:rsidRDefault="00B1107F" w:rsidP="00EE7D24">
            <w:pPr>
              <w:rPr>
                <w:b/>
                <w:bCs/>
                <w:sz w:val="18"/>
                <w:szCs w:val="18"/>
              </w:rPr>
            </w:pPr>
            <w:r w:rsidRPr="0080620A">
              <w:rPr>
                <w:b/>
                <w:bCs/>
                <w:sz w:val="18"/>
                <w:szCs w:val="18"/>
              </w:rPr>
              <w:t>Notes</w:t>
            </w:r>
          </w:p>
        </w:tc>
        <w:tc>
          <w:tcPr>
            <w:tcW w:w="10621" w:type="dxa"/>
            <w:gridSpan w:val="3"/>
          </w:tcPr>
          <w:p w14:paraId="1FAAB6F0" w14:textId="4A07C5BE" w:rsidR="00B1107F" w:rsidRPr="0080620A" w:rsidRDefault="00B1107F" w:rsidP="00A00B9F">
            <w:pPr>
              <w:pStyle w:val="ListParagraph"/>
              <w:numPr>
                <w:ilvl w:val="0"/>
                <w:numId w:val="21"/>
              </w:numPr>
              <w:pBdr>
                <w:top w:val="nil"/>
                <w:left w:val="nil"/>
                <w:bottom w:val="nil"/>
                <w:right w:val="nil"/>
                <w:between w:val="nil"/>
                <w:bar w:val="nil"/>
              </w:pBdr>
              <w:tabs>
                <w:tab w:val="clear" w:pos="1247"/>
              </w:tabs>
              <w:ind w:right="-1192"/>
              <w:rPr>
                <w:sz w:val="18"/>
                <w:szCs w:val="18"/>
              </w:rPr>
            </w:pPr>
            <w:r w:rsidRPr="0080620A">
              <w:rPr>
                <w:sz w:val="18"/>
                <w:szCs w:val="18"/>
              </w:rPr>
              <w:t>Data from non-</w:t>
            </w:r>
            <w:r w:rsidR="008244FA" w:rsidRPr="0080620A">
              <w:rPr>
                <w:sz w:val="18"/>
                <w:szCs w:val="18"/>
              </w:rPr>
              <w:t>p</w:t>
            </w:r>
            <w:r w:rsidRPr="0080620A">
              <w:rPr>
                <w:sz w:val="18"/>
                <w:szCs w:val="18"/>
              </w:rPr>
              <w:t xml:space="preserve">arties could </w:t>
            </w:r>
            <w:r w:rsidR="003C1126" w:rsidRPr="0080620A">
              <w:rPr>
                <w:sz w:val="18"/>
                <w:szCs w:val="18"/>
              </w:rPr>
              <w:t xml:space="preserve">also </w:t>
            </w:r>
            <w:r w:rsidRPr="0080620A">
              <w:rPr>
                <w:sz w:val="18"/>
                <w:szCs w:val="18"/>
              </w:rPr>
              <w:t>be important in some instances.</w:t>
            </w:r>
          </w:p>
        </w:tc>
      </w:tr>
    </w:tbl>
    <w:p w14:paraId="6967BA86"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33"/>
        <w:gridCol w:w="5435"/>
        <w:gridCol w:w="2599"/>
        <w:gridCol w:w="2453"/>
      </w:tblGrid>
      <w:tr w:rsidR="00B1107F" w:rsidRPr="0080620A" w14:paraId="403231B4" w14:textId="77777777" w:rsidTr="00F1134F">
        <w:trPr>
          <w:trHeight w:val="454"/>
          <w:jc w:val="right"/>
        </w:trPr>
        <w:tc>
          <w:tcPr>
            <w:tcW w:w="8075" w:type="dxa"/>
            <w:gridSpan w:val="2"/>
            <w:shd w:val="clear" w:color="auto" w:fill="B8CCE4" w:themeFill="accent1" w:themeFillTint="66"/>
          </w:tcPr>
          <w:p w14:paraId="010F0D17" w14:textId="5AB22977" w:rsidR="00851861" w:rsidRPr="0080620A" w:rsidRDefault="00B1107F" w:rsidP="009E249F">
            <w:pPr>
              <w:rPr>
                <w:b/>
              </w:rPr>
            </w:pPr>
            <w:r w:rsidRPr="0080620A">
              <w:rPr>
                <w:b/>
              </w:rPr>
              <w:t xml:space="preserve">C: Demand </w:t>
            </w:r>
            <w:r w:rsidR="008244FA" w:rsidRPr="0080620A">
              <w:rPr>
                <w:b/>
              </w:rPr>
              <w:t>c</w:t>
            </w:r>
            <w:r w:rsidRPr="0080620A">
              <w:rPr>
                <w:b/>
              </w:rPr>
              <w:t xml:space="preserve">luster </w:t>
            </w:r>
          </w:p>
          <w:p w14:paraId="4B6B9C64" w14:textId="024B0F62" w:rsidR="00B1107F" w:rsidRPr="0080620A" w:rsidRDefault="00851861" w:rsidP="009E249F">
            <w:r w:rsidRPr="0080620A">
              <w:rPr>
                <w:b/>
              </w:rPr>
              <w:t>A</w:t>
            </w:r>
            <w:r w:rsidR="00434AD2" w:rsidRPr="0080620A">
              <w:rPr>
                <w:b/>
              </w:rPr>
              <w:t xml:space="preserve">rticle 4 </w:t>
            </w:r>
            <w:r w:rsidRPr="0080620A">
              <w:rPr>
                <w:b/>
              </w:rPr>
              <w:t>(</w:t>
            </w:r>
            <w:r w:rsidR="00434AD2" w:rsidRPr="0080620A">
              <w:rPr>
                <w:b/>
              </w:rPr>
              <w:t>m</w:t>
            </w:r>
            <w:r w:rsidR="00B1107F" w:rsidRPr="0080620A">
              <w:rPr>
                <w:b/>
              </w:rPr>
              <w:t>ercury-added products</w:t>
            </w:r>
            <w:r w:rsidRPr="0080620A">
              <w:rPr>
                <w:b/>
              </w:rPr>
              <w:t>)</w:t>
            </w:r>
            <w:r w:rsidR="003C1126" w:rsidRPr="0080620A">
              <w:rPr>
                <w:b/>
              </w:rPr>
              <w:t>;</w:t>
            </w:r>
            <w:r w:rsidR="00B1107F" w:rsidRPr="0080620A">
              <w:rPr>
                <w:b/>
              </w:rPr>
              <w:t xml:space="preserve"> </w:t>
            </w:r>
            <w:r w:rsidR="00434AD2" w:rsidRPr="0080620A">
              <w:rPr>
                <w:b/>
              </w:rPr>
              <w:t xml:space="preserve">article 5 </w:t>
            </w:r>
            <w:r w:rsidRPr="0080620A">
              <w:rPr>
                <w:b/>
              </w:rPr>
              <w:t>(</w:t>
            </w:r>
            <w:r w:rsidR="00434AD2" w:rsidRPr="0080620A">
              <w:rPr>
                <w:b/>
              </w:rPr>
              <w:t>m</w:t>
            </w:r>
            <w:r w:rsidR="00B1107F" w:rsidRPr="0080620A">
              <w:rPr>
                <w:b/>
              </w:rPr>
              <w:t>anufacturing processes in which mercury or mercury compounds are used</w:t>
            </w:r>
            <w:r w:rsidRPr="0080620A">
              <w:rPr>
                <w:b/>
              </w:rPr>
              <w:t>)</w:t>
            </w:r>
            <w:r w:rsidR="003C1126" w:rsidRPr="0080620A">
              <w:rPr>
                <w:b/>
              </w:rPr>
              <w:t>;</w:t>
            </w:r>
            <w:r w:rsidR="00B1107F" w:rsidRPr="0080620A">
              <w:rPr>
                <w:b/>
              </w:rPr>
              <w:t xml:space="preserve"> </w:t>
            </w:r>
            <w:r w:rsidR="00434AD2" w:rsidRPr="0080620A">
              <w:rPr>
                <w:b/>
              </w:rPr>
              <w:t xml:space="preserve">article 7 </w:t>
            </w:r>
            <w:r w:rsidRPr="0080620A">
              <w:rPr>
                <w:b/>
              </w:rPr>
              <w:t>(</w:t>
            </w:r>
            <w:r w:rsidR="00434AD2" w:rsidRPr="0080620A">
              <w:rPr>
                <w:b/>
              </w:rPr>
              <w:t>a</w:t>
            </w:r>
            <w:r w:rsidR="00B1107F" w:rsidRPr="0080620A">
              <w:rPr>
                <w:b/>
              </w:rPr>
              <w:t>rtisanal and small-scale gold mining</w:t>
            </w:r>
            <w:r w:rsidRPr="0080620A">
              <w:rPr>
                <w:b/>
              </w:rPr>
              <w:t>)</w:t>
            </w:r>
            <w:r w:rsidR="00B1107F" w:rsidRPr="0080620A">
              <w:rPr>
                <w:b/>
              </w:rPr>
              <w:t xml:space="preserve"> </w:t>
            </w:r>
          </w:p>
        </w:tc>
        <w:tc>
          <w:tcPr>
            <w:tcW w:w="2508" w:type="dxa"/>
            <w:shd w:val="clear" w:color="auto" w:fill="B8CCE4" w:themeFill="accent1" w:themeFillTint="66"/>
          </w:tcPr>
          <w:p w14:paraId="7A5B8FE0" w14:textId="4463C826" w:rsidR="00B1107F" w:rsidRPr="004D467D" w:rsidRDefault="00B1107F" w:rsidP="009E249F">
            <w:pPr>
              <w:rPr>
                <w:b/>
                <w:bCs/>
              </w:rPr>
            </w:pPr>
            <w:r w:rsidRPr="004D467D">
              <w:t xml:space="preserve">Source of information on </w:t>
            </w:r>
            <w:r w:rsidR="00F16695" w:rsidRPr="004D467D">
              <w:t xml:space="preserve">the </w:t>
            </w:r>
            <w:r w:rsidRPr="004D467D">
              <w:t>indicator</w:t>
            </w:r>
          </w:p>
        </w:tc>
        <w:tc>
          <w:tcPr>
            <w:tcW w:w="2367" w:type="dxa"/>
            <w:shd w:val="clear" w:color="auto" w:fill="B8CCE4" w:themeFill="accent1" w:themeFillTint="66"/>
          </w:tcPr>
          <w:p w14:paraId="25AB85A1" w14:textId="77777777" w:rsidR="00B1107F" w:rsidRPr="004D467D" w:rsidRDefault="00B1107F" w:rsidP="009E249F">
            <w:pPr>
              <w:rPr>
                <w:b/>
                <w:bCs/>
              </w:rPr>
            </w:pPr>
            <w:r w:rsidRPr="004D467D">
              <w:t>Baseline for the indicator</w:t>
            </w:r>
          </w:p>
        </w:tc>
      </w:tr>
      <w:tr w:rsidR="00B1107F" w:rsidRPr="0080620A" w14:paraId="72DBFD02" w14:textId="77777777" w:rsidTr="00F1134F">
        <w:trPr>
          <w:trHeight w:val="624"/>
          <w:jc w:val="right"/>
        </w:trPr>
        <w:tc>
          <w:tcPr>
            <w:tcW w:w="2830" w:type="dxa"/>
          </w:tcPr>
          <w:p w14:paraId="60A9936A" w14:textId="670B89BA" w:rsidR="00B1107F" w:rsidRPr="0080620A" w:rsidRDefault="00B1107F" w:rsidP="00EE7D24">
            <w:pPr>
              <w:rPr>
                <w:bCs/>
                <w:sz w:val="18"/>
                <w:szCs w:val="18"/>
              </w:rPr>
            </w:pPr>
            <w:r w:rsidRPr="0080620A">
              <w:rPr>
                <w:bCs/>
                <w:sz w:val="18"/>
                <w:szCs w:val="18"/>
              </w:rPr>
              <w:t xml:space="preserve">C1. </w:t>
            </w:r>
            <w:r w:rsidR="00740F92">
              <w:rPr>
                <w:bCs/>
                <w:sz w:val="18"/>
                <w:szCs w:val="18"/>
              </w:rPr>
              <w:t>Cross</w:t>
            </w:r>
            <w:r w:rsidR="00740F92">
              <w:rPr>
                <w:bCs/>
                <w:sz w:val="18"/>
                <w:szCs w:val="18"/>
              </w:rPr>
              <w:noBreakHyphen/>
              <w:t>cutting</w:t>
            </w:r>
            <w:r w:rsidRPr="0080620A">
              <w:rPr>
                <w:bCs/>
                <w:sz w:val="18"/>
                <w:szCs w:val="18"/>
              </w:rPr>
              <w:t xml:space="preserve"> </w:t>
            </w:r>
            <w:r w:rsidRPr="0080620A">
              <w:rPr>
                <w:rFonts w:eastAsia="Roboto"/>
                <w:bCs/>
                <w:sz w:val="18"/>
                <w:szCs w:val="18"/>
              </w:rPr>
              <w:t xml:space="preserve">process indicator for </w:t>
            </w:r>
            <w:r w:rsidR="00E777BB" w:rsidRPr="0080620A">
              <w:rPr>
                <w:rFonts w:eastAsia="Roboto"/>
                <w:bCs/>
                <w:sz w:val="18"/>
                <w:szCs w:val="18"/>
              </w:rPr>
              <w:t>a</w:t>
            </w:r>
            <w:r w:rsidRPr="0080620A">
              <w:rPr>
                <w:rFonts w:eastAsia="Roboto"/>
                <w:bCs/>
                <w:sz w:val="18"/>
                <w:szCs w:val="18"/>
              </w:rPr>
              <w:t>rticles 4, 5 and 7</w:t>
            </w:r>
          </w:p>
        </w:tc>
        <w:tc>
          <w:tcPr>
            <w:tcW w:w="5245" w:type="dxa"/>
          </w:tcPr>
          <w:p w14:paraId="004B2EE6" w14:textId="7742AE57" w:rsidR="00B1107F" w:rsidRPr="0080620A" w:rsidRDefault="00780EA2" w:rsidP="00BC69B4">
            <w:pPr>
              <w:pBdr>
                <w:top w:val="nil"/>
                <w:left w:val="nil"/>
                <w:bottom w:val="nil"/>
                <w:right w:val="nil"/>
                <w:between w:val="nil"/>
                <w:bar w:val="nil"/>
              </w:pBdr>
              <w:rPr>
                <w:sz w:val="18"/>
                <w:szCs w:val="18"/>
              </w:rPr>
            </w:pPr>
            <w:r w:rsidRPr="0080620A">
              <w:rPr>
                <w:rFonts w:eastAsia="Roboto"/>
                <w:sz w:val="18"/>
                <w:szCs w:val="18"/>
              </w:rPr>
              <w:t xml:space="preserve">Proportion </w:t>
            </w:r>
            <w:r w:rsidR="00B1107F" w:rsidRPr="0080620A">
              <w:rPr>
                <w:rFonts w:eastAsia="Roboto"/>
                <w:sz w:val="18"/>
                <w:szCs w:val="18"/>
              </w:rPr>
              <w:t xml:space="preserve">of </w:t>
            </w:r>
            <w:r w:rsidR="008244FA" w:rsidRPr="0080620A">
              <w:rPr>
                <w:rFonts w:eastAsia="Roboto"/>
                <w:sz w:val="18"/>
                <w:szCs w:val="18"/>
              </w:rPr>
              <w:t>p</w:t>
            </w:r>
            <w:r w:rsidR="00B1107F" w:rsidRPr="0080620A">
              <w:rPr>
                <w:rFonts w:eastAsia="Roboto"/>
                <w:sz w:val="18"/>
                <w:szCs w:val="18"/>
              </w:rPr>
              <w:t>arties that have implemented key provisions under this cluster</w:t>
            </w:r>
          </w:p>
        </w:tc>
        <w:tc>
          <w:tcPr>
            <w:tcW w:w="2508" w:type="dxa"/>
          </w:tcPr>
          <w:p w14:paraId="5F52E214" w14:textId="696D8F0B" w:rsidR="00B1107F" w:rsidRPr="0080620A" w:rsidRDefault="00B1107F" w:rsidP="00EE7D24">
            <w:pPr>
              <w:pBdr>
                <w:top w:val="nil"/>
                <w:left w:val="nil"/>
                <w:bottom w:val="nil"/>
                <w:right w:val="nil"/>
                <w:between w:val="nil"/>
                <w:bar w:val="nil"/>
              </w:pBdr>
              <w:rPr>
                <w:rFonts w:eastAsia="Roboto"/>
                <w:sz w:val="18"/>
                <w:szCs w:val="18"/>
              </w:rPr>
            </w:pPr>
            <w:r w:rsidRPr="0080620A">
              <w:rPr>
                <w:sz w:val="18"/>
                <w:szCs w:val="18"/>
              </w:rPr>
              <w:t>- Synthesi</w:t>
            </w:r>
            <w:r w:rsidR="007129E3" w:rsidRPr="0080620A">
              <w:rPr>
                <w:sz w:val="18"/>
                <w:szCs w:val="18"/>
              </w:rPr>
              <w:t>z</w:t>
            </w:r>
            <w:r w:rsidRPr="0080620A">
              <w:rPr>
                <w:sz w:val="18"/>
                <w:szCs w:val="18"/>
              </w:rPr>
              <w:t xml:space="preserve">ed information from individual indicators for </w:t>
            </w:r>
            <w:r w:rsidR="008244FA" w:rsidRPr="0080620A">
              <w:rPr>
                <w:sz w:val="18"/>
                <w:szCs w:val="18"/>
              </w:rPr>
              <w:t>a</w:t>
            </w:r>
            <w:r w:rsidRPr="0080620A">
              <w:rPr>
                <w:sz w:val="18"/>
                <w:szCs w:val="18"/>
              </w:rPr>
              <w:t>rt</w:t>
            </w:r>
            <w:r w:rsidR="00C1034D" w:rsidRPr="0080620A">
              <w:rPr>
                <w:sz w:val="18"/>
                <w:szCs w:val="18"/>
              </w:rPr>
              <w:t>icle</w:t>
            </w:r>
            <w:r w:rsidR="008244FA" w:rsidRPr="0080620A">
              <w:rPr>
                <w:sz w:val="18"/>
                <w:szCs w:val="18"/>
              </w:rPr>
              <w:t>s</w:t>
            </w:r>
            <w:r w:rsidRPr="0080620A">
              <w:rPr>
                <w:sz w:val="18"/>
                <w:szCs w:val="18"/>
              </w:rPr>
              <w:t xml:space="preserve"> 4, 5 and 7</w:t>
            </w:r>
          </w:p>
        </w:tc>
        <w:tc>
          <w:tcPr>
            <w:tcW w:w="2367" w:type="dxa"/>
          </w:tcPr>
          <w:p w14:paraId="09B7FFC6" w14:textId="749502DD" w:rsidR="00B1107F" w:rsidRPr="0080620A" w:rsidRDefault="00F1134F" w:rsidP="00EE7D24">
            <w:pPr>
              <w:pBdr>
                <w:top w:val="nil"/>
                <w:left w:val="nil"/>
                <w:bottom w:val="nil"/>
                <w:right w:val="nil"/>
                <w:between w:val="nil"/>
                <w:bar w:val="nil"/>
              </w:pBdr>
              <w:rPr>
                <w:sz w:val="18"/>
                <w:szCs w:val="18"/>
              </w:rPr>
            </w:pPr>
            <w:r w:rsidRPr="0080620A">
              <w:rPr>
                <w:sz w:val="18"/>
                <w:szCs w:val="18"/>
              </w:rPr>
              <w:t>P</w:t>
            </w:r>
            <w:r w:rsidR="008244FA" w:rsidRPr="0080620A">
              <w:rPr>
                <w:sz w:val="18"/>
                <w:szCs w:val="18"/>
              </w:rPr>
              <w:t>ercentage</w:t>
            </w:r>
            <w:r w:rsidR="00B1107F" w:rsidRPr="0080620A">
              <w:rPr>
                <w:sz w:val="18"/>
                <w:szCs w:val="18"/>
              </w:rPr>
              <w:t xml:space="preserve"> in the first evaluation</w:t>
            </w:r>
          </w:p>
        </w:tc>
      </w:tr>
      <w:tr w:rsidR="00B1107F" w:rsidRPr="0080620A" w14:paraId="679AC851" w14:textId="77777777" w:rsidTr="00F1134F">
        <w:trPr>
          <w:trHeight w:val="454"/>
          <w:jc w:val="right"/>
        </w:trPr>
        <w:tc>
          <w:tcPr>
            <w:tcW w:w="2830" w:type="dxa"/>
          </w:tcPr>
          <w:p w14:paraId="7C862AC3" w14:textId="295D3F20" w:rsidR="00B1107F" w:rsidRPr="0080620A" w:rsidRDefault="00B1107F" w:rsidP="00EE7D24">
            <w:pPr>
              <w:rPr>
                <w:bCs/>
                <w:sz w:val="18"/>
                <w:szCs w:val="18"/>
              </w:rPr>
            </w:pPr>
            <w:r w:rsidRPr="0080620A">
              <w:rPr>
                <w:bCs/>
                <w:sz w:val="18"/>
                <w:szCs w:val="18"/>
              </w:rPr>
              <w:t xml:space="preserve">C2. </w:t>
            </w:r>
            <w:r w:rsidR="00740F92">
              <w:rPr>
                <w:bCs/>
                <w:sz w:val="18"/>
                <w:szCs w:val="18"/>
              </w:rPr>
              <w:t>Cross</w:t>
            </w:r>
            <w:r w:rsidR="00740F92">
              <w:rPr>
                <w:bCs/>
                <w:sz w:val="18"/>
                <w:szCs w:val="18"/>
              </w:rPr>
              <w:noBreakHyphen/>
              <w:t>cutting</w:t>
            </w:r>
            <w:r w:rsidRPr="0080620A">
              <w:rPr>
                <w:bCs/>
                <w:sz w:val="18"/>
                <w:szCs w:val="18"/>
              </w:rPr>
              <w:t xml:space="preserve"> outcome</w:t>
            </w:r>
            <w:r w:rsidRPr="0080620A">
              <w:rPr>
                <w:rFonts w:eastAsia="Roboto"/>
                <w:bCs/>
                <w:sz w:val="18"/>
                <w:szCs w:val="18"/>
              </w:rPr>
              <w:t xml:space="preserve"> indicator for </w:t>
            </w:r>
            <w:r w:rsidR="00E777BB" w:rsidRPr="0080620A">
              <w:rPr>
                <w:rFonts w:eastAsia="Roboto"/>
                <w:bCs/>
                <w:sz w:val="18"/>
                <w:szCs w:val="18"/>
              </w:rPr>
              <w:t>a</w:t>
            </w:r>
            <w:r w:rsidRPr="0080620A">
              <w:rPr>
                <w:rFonts w:eastAsia="Roboto"/>
                <w:bCs/>
                <w:sz w:val="18"/>
                <w:szCs w:val="18"/>
              </w:rPr>
              <w:t>rticles 4, 5 and 7</w:t>
            </w:r>
          </w:p>
        </w:tc>
        <w:tc>
          <w:tcPr>
            <w:tcW w:w="5245" w:type="dxa"/>
          </w:tcPr>
          <w:p w14:paraId="4223708D" w14:textId="4885B18D" w:rsidR="00B1107F" w:rsidRPr="0080620A" w:rsidRDefault="00B1107F" w:rsidP="00EE7D24">
            <w:pPr>
              <w:rPr>
                <w:sz w:val="18"/>
                <w:szCs w:val="18"/>
              </w:rPr>
            </w:pPr>
            <w:r w:rsidRPr="0080620A">
              <w:rPr>
                <w:rFonts w:eastAsia="Roboto"/>
                <w:sz w:val="18"/>
                <w:szCs w:val="18"/>
              </w:rPr>
              <w:t xml:space="preserve">Global use of </w:t>
            </w:r>
            <w:r w:rsidR="008244FA" w:rsidRPr="0080620A">
              <w:rPr>
                <w:rFonts w:eastAsia="Roboto"/>
                <w:sz w:val="18"/>
                <w:szCs w:val="18"/>
              </w:rPr>
              <w:t xml:space="preserve">mercury </w:t>
            </w:r>
            <w:r w:rsidR="00C1034D" w:rsidRPr="0080620A">
              <w:rPr>
                <w:rFonts w:eastAsia="Roboto"/>
                <w:sz w:val="18"/>
                <w:szCs w:val="18"/>
              </w:rPr>
              <w:t>in</w:t>
            </w:r>
            <w:r w:rsidRPr="0080620A">
              <w:rPr>
                <w:rFonts w:eastAsia="Roboto"/>
                <w:sz w:val="18"/>
                <w:szCs w:val="18"/>
              </w:rPr>
              <w:t xml:space="preserve"> the manufacturing of products or processes</w:t>
            </w:r>
            <w:r w:rsidR="00780EA2" w:rsidRPr="0080620A">
              <w:rPr>
                <w:rFonts w:eastAsia="Roboto"/>
                <w:sz w:val="18"/>
                <w:szCs w:val="18"/>
              </w:rPr>
              <w:t>,</w:t>
            </w:r>
            <w:r w:rsidRPr="0080620A">
              <w:rPr>
                <w:rFonts w:eastAsia="Roboto"/>
                <w:sz w:val="18"/>
                <w:szCs w:val="18"/>
              </w:rPr>
              <w:t xml:space="preserve"> in tonnes per application </w:t>
            </w:r>
          </w:p>
        </w:tc>
        <w:tc>
          <w:tcPr>
            <w:tcW w:w="2508" w:type="dxa"/>
          </w:tcPr>
          <w:p w14:paraId="64A1B8D9" w14:textId="77777777" w:rsidR="00B1107F" w:rsidRPr="0080620A" w:rsidRDefault="00B1107F" w:rsidP="00EE7D24">
            <w:pPr>
              <w:rPr>
                <w:rFonts w:eastAsia="Roboto"/>
                <w:sz w:val="18"/>
                <w:szCs w:val="18"/>
              </w:rPr>
            </w:pPr>
            <w:r w:rsidRPr="0080620A">
              <w:rPr>
                <w:rFonts w:eastAsia="Roboto"/>
                <w:sz w:val="18"/>
                <w:szCs w:val="18"/>
              </w:rPr>
              <w:t>- Information from industry sources</w:t>
            </w:r>
          </w:p>
        </w:tc>
        <w:tc>
          <w:tcPr>
            <w:tcW w:w="2367" w:type="dxa"/>
          </w:tcPr>
          <w:p w14:paraId="2B3D3EB1" w14:textId="4BF93D1F" w:rsidR="00B1107F" w:rsidRPr="0080620A" w:rsidRDefault="00F1134F" w:rsidP="00EE7D24">
            <w:pPr>
              <w:rPr>
                <w:sz w:val="18"/>
                <w:szCs w:val="18"/>
              </w:rPr>
            </w:pPr>
            <w:r w:rsidRPr="0080620A">
              <w:rPr>
                <w:sz w:val="18"/>
                <w:szCs w:val="18"/>
              </w:rPr>
              <w:t>A</w:t>
            </w:r>
            <w:r w:rsidR="00B1107F" w:rsidRPr="0080620A">
              <w:rPr>
                <w:sz w:val="18"/>
                <w:szCs w:val="18"/>
              </w:rPr>
              <w:t>mount in the first evaluation</w:t>
            </w:r>
          </w:p>
        </w:tc>
      </w:tr>
      <w:tr w:rsidR="00B1107F" w:rsidRPr="0080620A" w14:paraId="0A418693" w14:textId="77777777" w:rsidTr="00357627">
        <w:trPr>
          <w:trHeight w:val="57"/>
          <w:jc w:val="right"/>
        </w:trPr>
        <w:tc>
          <w:tcPr>
            <w:tcW w:w="2830" w:type="dxa"/>
            <w:shd w:val="clear" w:color="auto" w:fill="B8CCE4" w:themeFill="accent1" w:themeFillTint="66"/>
          </w:tcPr>
          <w:p w14:paraId="3803B839" w14:textId="77777777" w:rsidR="00B1107F" w:rsidRPr="0080620A" w:rsidRDefault="00B1107F" w:rsidP="00EE7D24">
            <w:pPr>
              <w:rPr>
                <w:b/>
                <w:sz w:val="18"/>
                <w:szCs w:val="18"/>
              </w:rPr>
            </w:pPr>
            <w:r w:rsidRPr="0080620A">
              <w:rPr>
                <w:b/>
                <w:sz w:val="18"/>
                <w:szCs w:val="18"/>
              </w:rPr>
              <w:t>Article 4</w:t>
            </w:r>
          </w:p>
        </w:tc>
        <w:tc>
          <w:tcPr>
            <w:tcW w:w="5245" w:type="dxa"/>
            <w:shd w:val="clear" w:color="auto" w:fill="B8CCE4" w:themeFill="accent1" w:themeFillTint="66"/>
          </w:tcPr>
          <w:p w14:paraId="01BF32A9" w14:textId="77777777" w:rsidR="00B1107F" w:rsidRPr="0080620A" w:rsidRDefault="00B1107F" w:rsidP="00EE7D24">
            <w:pPr>
              <w:rPr>
                <w:sz w:val="18"/>
                <w:szCs w:val="18"/>
              </w:rPr>
            </w:pPr>
          </w:p>
        </w:tc>
        <w:tc>
          <w:tcPr>
            <w:tcW w:w="2508" w:type="dxa"/>
            <w:shd w:val="clear" w:color="auto" w:fill="B8CCE4" w:themeFill="accent1" w:themeFillTint="66"/>
          </w:tcPr>
          <w:p w14:paraId="1F07299B" w14:textId="77777777" w:rsidR="00B1107F" w:rsidRPr="0080620A" w:rsidRDefault="00B1107F" w:rsidP="00EE7D24">
            <w:pPr>
              <w:rPr>
                <w:sz w:val="18"/>
                <w:szCs w:val="18"/>
              </w:rPr>
            </w:pPr>
          </w:p>
        </w:tc>
        <w:tc>
          <w:tcPr>
            <w:tcW w:w="2367" w:type="dxa"/>
            <w:shd w:val="clear" w:color="auto" w:fill="B8CCE4" w:themeFill="accent1" w:themeFillTint="66"/>
          </w:tcPr>
          <w:p w14:paraId="70D3D93A" w14:textId="77777777" w:rsidR="00B1107F" w:rsidRPr="0080620A" w:rsidRDefault="00B1107F" w:rsidP="00EE7D24">
            <w:pPr>
              <w:rPr>
                <w:sz w:val="18"/>
                <w:szCs w:val="18"/>
              </w:rPr>
            </w:pPr>
          </w:p>
        </w:tc>
      </w:tr>
      <w:tr w:rsidR="00B1107F" w:rsidRPr="0080620A" w14:paraId="6A161EDD" w14:textId="77777777" w:rsidTr="00F1134F">
        <w:trPr>
          <w:trHeight w:val="624"/>
          <w:jc w:val="right"/>
        </w:trPr>
        <w:tc>
          <w:tcPr>
            <w:tcW w:w="2830" w:type="dxa"/>
          </w:tcPr>
          <w:p w14:paraId="0ED47CAA" w14:textId="33AAB25E" w:rsidR="00B1107F" w:rsidRPr="0080620A" w:rsidRDefault="00B1107F" w:rsidP="00EE7D24">
            <w:pPr>
              <w:rPr>
                <w:sz w:val="18"/>
                <w:szCs w:val="18"/>
              </w:rPr>
            </w:pPr>
            <w:r w:rsidRPr="0080620A">
              <w:rPr>
                <w:sz w:val="18"/>
                <w:szCs w:val="18"/>
              </w:rPr>
              <w:t xml:space="preserve">C3. </w:t>
            </w:r>
            <w:r w:rsidRPr="0080620A">
              <w:rPr>
                <w:rFonts w:eastAsia="Roboto"/>
                <w:sz w:val="18"/>
                <w:szCs w:val="18"/>
              </w:rPr>
              <w:t xml:space="preserve">Process indicator for </w:t>
            </w:r>
            <w:r w:rsidR="008244FA" w:rsidRPr="0080620A">
              <w:rPr>
                <w:rFonts w:eastAsia="Roboto"/>
                <w:sz w:val="18"/>
                <w:szCs w:val="18"/>
              </w:rPr>
              <w:t>a</w:t>
            </w:r>
            <w:r w:rsidRPr="0080620A">
              <w:rPr>
                <w:rFonts w:eastAsia="Roboto"/>
                <w:sz w:val="18"/>
                <w:szCs w:val="18"/>
              </w:rPr>
              <w:t>rticle 4</w:t>
            </w:r>
          </w:p>
        </w:tc>
        <w:tc>
          <w:tcPr>
            <w:tcW w:w="5245" w:type="dxa"/>
          </w:tcPr>
          <w:p w14:paraId="298535AC" w14:textId="049D437B" w:rsidR="00B1107F" w:rsidRPr="0080620A" w:rsidRDefault="00B1107F" w:rsidP="008244FA">
            <w:pPr>
              <w:pBdr>
                <w:top w:val="nil"/>
                <w:left w:val="nil"/>
                <w:bottom w:val="nil"/>
                <w:right w:val="nil"/>
                <w:between w:val="nil"/>
                <w:bar w:val="nil"/>
              </w:pBdr>
              <w:rPr>
                <w:sz w:val="18"/>
                <w:szCs w:val="18"/>
              </w:rPr>
            </w:pPr>
            <w:r w:rsidRPr="0080620A">
              <w:rPr>
                <w:sz w:val="18"/>
                <w:szCs w:val="18"/>
                <w:lang w:eastAsia="ja-JP"/>
              </w:rPr>
              <w:t xml:space="preserve">Number of parties having appropriate measures to </w:t>
            </w:r>
            <w:r w:rsidR="00C1034D" w:rsidRPr="0080620A">
              <w:rPr>
                <w:sz w:val="18"/>
                <w:szCs w:val="18"/>
                <w:lang w:eastAsia="ja-JP"/>
              </w:rPr>
              <w:t>prevent</w:t>
            </w:r>
            <w:r w:rsidRPr="0080620A">
              <w:rPr>
                <w:sz w:val="18"/>
                <w:szCs w:val="18"/>
                <w:lang w:eastAsia="ja-JP"/>
              </w:rPr>
              <w:t xml:space="preserve"> the manufacture, export or import of mercury-added products listed in </w:t>
            </w:r>
            <w:r w:rsidR="008244FA" w:rsidRPr="0080620A">
              <w:rPr>
                <w:sz w:val="18"/>
                <w:szCs w:val="18"/>
                <w:lang w:eastAsia="ja-JP"/>
              </w:rPr>
              <w:t>p</w:t>
            </w:r>
            <w:r w:rsidRPr="0080620A">
              <w:rPr>
                <w:sz w:val="18"/>
                <w:szCs w:val="18"/>
                <w:lang w:eastAsia="ja-JP"/>
              </w:rPr>
              <w:t xml:space="preserve">art I of </w:t>
            </w:r>
            <w:r w:rsidR="008244FA" w:rsidRPr="0080620A">
              <w:rPr>
                <w:sz w:val="18"/>
                <w:szCs w:val="18"/>
                <w:lang w:eastAsia="ja-JP"/>
              </w:rPr>
              <w:t>a</w:t>
            </w:r>
            <w:r w:rsidRPr="0080620A">
              <w:rPr>
                <w:sz w:val="18"/>
                <w:szCs w:val="18"/>
                <w:lang w:eastAsia="ja-JP"/>
              </w:rPr>
              <w:t>nnex A</w:t>
            </w:r>
          </w:p>
        </w:tc>
        <w:tc>
          <w:tcPr>
            <w:tcW w:w="2508" w:type="dxa"/>
          </w:tcPr>
          <w:p w14:paraId="2C6E8ECE" w14:textId="60471B58" w:rsidR="00B1107F" w:rsidRPr="0080620A" w:rsidRDefault="00B1107F" w:rsidP="00BC69B4">
            <w:pPr>
              <w:pBdr>
                <w:top w:val="nil"/>
                <w:left w:val="nil"/>
                <w:bottom w:val="nil"/>
                <w:right w:val="nil"/>
                <w:between w:val="nil"/>
                <w:bar w:val="nil"/>
              </w:pBdr>
              <w:rPr>
                <w:sz w:val="18"/>
                <w:szCs w:val="18"/>
                <w:lang w:eastAsia="ja-JP"/>
              </w:rPr>
            </w:pPr>
            <w:r w:rsidRPr="0080620A">
              <w:rPr>
                <w:iCs/>
                <w:sz w:val="18"/>
                <w:szCs w:val="18"/>
              </w:rPr>
              <w:t>- Article 21 reporting</w:t>
            </w:r>
          </w:p>
        </w:tc>
        <w:tc>
          <w:tcPr>
            <w:tcW w:w="2367" w:type="dxa"/>
          </w:tcPr>
          <w:p w14:paraId="286948AF" w14:textId="20327B42" w:rsidR="00B1107F" w:rsidRPr="0080620A" w:rsidRDefault="00F1134F" w:rsidP="00EE7D24">
            <w:pPr>
              <w:pBdr>
                <w:top w:val="nil"/>
                <w:left w:val="nil"/>
                <w:bottom w:val="nil"/>
                <w:right w:val="nil"/>
                <w:between w:val="nil"/>
                <w:bar w:val="nil"/>
              </w:pBdr>
              <w:rPr>
                <w:sz w:val="18"/>
                <w:szCs w:val="18"/>
              </w:rPr>
            </w:pPr>
            <w:r w:rsidRPr="0080620A">
              <w:rPr>
                <w:sz w:val="18"/>
                <w:szCs w:val="18"/>
              </w:rPr>
              <w:t>N</w:t>
            </w:r>
            <w:r w:rsidR="00B1107F" w:rsidRPr="0080620A">
              <w:rPr>
                <w:sz w:val="18"/>
                <w:szCs w:val="18"/>
              </w:rPr>
              <w:t>umber in the first evaluation</w:t>
            </w:r>
          </w:p>
        </w:tc>
      </w:tr>
      <w:tr w:rsidR="00B1107F" w:rsidRPr="0080620A" w14:paraId="4074FAC0" w14:textId="77777777" w:rsidTr="00F1134F">
        <w:trPr>
          <w:trHeight w:val="283"/>
          <w:jc w:val="right"/>
        </w:trPr>
        <w:tc>
          <w:tcPr>
            <w:tcW w:w="2830" w:type="dxa"/>
          </w:tcPr>
          <w:p w14:paraId="6DAAF473" w14:textId="4BAF67F2" w:rsidR="00B1107F" w:rsidRPr="0080620A" w:rsidRDefault="00B1107F" w:rsidP="00EE7D24">
            <w:pPr>
              <w:rPr>
                <w:sz w:val="18"/>
                <w:szCs w:val="18"/>
              </w:rPr>
            </w:pPr>
            <w:r w:rsidRPr="0080620A">
              <w:rPr>
                <w:sz w:val="18"/>
                <w:szCs w:val="18"/>
              </w:rPr>
              <w:t xml:space="preserve">C4. </w:t>
            </w:r>
            <w:r w:rsidRPr="0080620A">
              <w:rPr>
                <w:rFonts w:eastAsia="Roboto"/>
                <w:sz w:val="18"/>
                <w:szCs w:val="18"/>
              </w:rPr>
              <w:t xml:space="preserve">Process indicator for </w:t>
            </w:r>
            <w:r w:rsidR="008244FA" w:rsidRPr="0080620A">
              <w:rPr>
                <w:rFonts w:eastAsia="Roboto"/>
                <w:sz w:val="18"/>
                <w:szCs w:val="18"/>
              </w:rPr>
              <w:t>a</w:t>
            </w:r>
            <w:r w:rsidRPr="0080620A">
              <w:rPr>
                <w:rFonts w:eastAsia="Roboto"/>
                <w:sz w:val="18"/>
                <w:szCs w:val="18"/>
              </w:rPr>
              <w:t>rticle 4</w:t>
            </w:r>
          </w:p>
        </w:tc>
        <w:tc>
          <w:tcPr>
            <w:tcW w:w="5245" w:type="dxa"/>
          </w:tcPr>
          <w:p w14:paraId="4ED1D76A" w14:textId="23338802" w:rsidR="00B1107F" w:rsidRPr="0080620A" w:rsidRDefault="00B1107F" w:rsidP="006A08EA">
            <w:pPr>
              <w:pBdr>
                <w:top w:val="nil"/>
                <w:left w:val="nil"/>
                <w:bottom w:val="nil"/>
                <w:right w:val="nil"/>
                <w:between w:val="nil"/>
                <w:bar w:val="nil"/>
              </w:pBdr>
              <w:rPr>
                <w:sz w:val="18"/>
                <w:szCs w:val="18"/>
              </w:rPr>
            </w:pPr>
            <w:r w:rsidRPr="0080620A">
              <w:rPr>
                <w:rFonts w:eastAsia="Roboto"/>
                <w:sz w:val="18"/>
                <w:szCs w:val="18"/>
              </w:rPr>
              <w:t>Number of exemptions per product category</w:t>
            </w:r>
            <w:r w:rsidRPr="0080620A">
              <w:rPr>
                <w:sz w:val="18"/>
                <w:szCs w:val="18"/>
                <w:lang w:eastAsia="ja-JP"/>
              </w:rPr>
              <w:t xml:space="preserve"> </w:t>
            </w:r>
            <w:r w:rsidR="00780EA2" w:rsidRPr="0080620A">
              <w:rPr>
                <w:sz w:val="18"/>
                <w:szCs w:val="18"/>
                <w:lang w:eastAsia="ja-JP"/>
              </w:rPr>
              <w:t xml:space="preserve">that </w:t>
            </w:r>
            <w:r w:rsidRPr="0080620A">
              <w:rPr>
                <w:sz w:val="18"/>
                <w:szCs w:val="18"/>
                <w:lang w:eastAsia="ja-JP"/>
              </w:rPr>
              <w:t>are still valid</w:t>
            </w:r>
          </w:p>
        </w:tc>
        <w:tc>
          <w:tcPr>
            <w:tcW w:w="2508" w:type="dxa"/>
          </w:tcPr>
          <w:p w14:paraId="6341EEA6"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Registry of exemptions</w:t>
            </w:r>
          </w:p>
        </w:tc>
        <w:tc>
          <w:tcPr>
            <w:tcW w:w="2367" w:type="dxa"/>
          </w:tcPr>
          <w:p w14:paraId="736D3AC8" w14:textId="0AF56715" w:rsidR="00B1107F" w:rsidRPr="0080620A" w:rsidRDefault="00F1134F" w:rsidP="00EE7D24">
            <w:pPr>
              <w:pBdr>
                <w:top w:val="nil"/>
                <w:left w:val="nil"/>
                <w:bottom w:val="nil"/>
                <w:right w:val="nil"/>
                <w:between w:val="nil"/>
                <w:bar w:val="nil"/>
              </w:pBdr>
              <w:rPr>
                <w:sz w:val="18"/>
                <w:szCs w:val="18"/>
              </w:rPr>
            </w:pPr>
            <w:r w:rsidRPr="0080620A">
              <w:rPr>
                <w:sz w:val="18"/>
                <w:szCs w:val="18"/>
              </w:rPr>
              <w:t>N</w:t>
            </w:r>
            <w:r w:rsidR="00B1107F" w:rsidRPr="0080620A">
              <w:rPr>
                <w:sz w:val="18"/>
                <w:szCs w:val="18"/>
              </w:rPr>
              <w:t>umber in the first evaluation</w:t>
            </w:r>
          </w:p>
        </w:tc>
      </w:tr>
      <w:tr w:rsidR="00B1107F" w:rsidRPr="0080620A" w14:paraId="25F27686" w14:textId="77777777" w:rsidTr="00F1134F">
        <w:trPr>
          <w:trHeight w:val="454"/>
          <w:jc w:val="right"/>
        </w:trPr>
        <w:tc>
          <w:tcPr>
            <w:tcW w:w="2830" w:type="dxa"/>
          </w:tcPr>
          <w:p w14:paraId="62C46766" w14:textId="03804682" w:rsidR="00B1107F" w:rsidRPr="0080620A" w:rsidRDefault="00B1107F" w:rsidP="00EE7D24">
            <w:pPr>
              <w:rPr>
                <w:sz w:val="18"/>
                <w:szCs w:val="18"/>
              </w:rPr>
            </w:pPr>
            <w:r w:rsidRPr="0080620A">
              <w:rPr>
                <w:sz w:val="18"/>
                <w:szCs w:val="18"/>
              </w:rPr>
              <w:t xml:space="preserve">C5. </w:t>
            </w:r>
            <w:r w:rsidRPr="0080620A">
              <w:rPr>
                <w:rFonts w:eastAsia="Roboto"/>
                <w:sz w:val="18"/>
                <w:szCs w:val="18"/>
              </w:rPr>
              <w:t xml:space="preserve">Process indicator for </w:t>
            </w:r>
            <w:r w:rsidR="008244FA" w:rsidRPr="0080620A">
              <w:rPr>
                <w:rFonts w:eastAsia="Roboto"/>
                <w:sz w:val="18"/>
                <w:szCs w:val="18"/>
              </w:rPr>
              <w:t>a</w:t>
            </w:r>
            <w:r w:rsidRPr="0080620A">
              <w:rPr>
                <w:rFonts w:eastAsia="Roboto"/>
                <w:sz w:val="18"/>
                <w:szCs w:val="18"/>
              </w:rPr>
              <w:t>rticle 4</w:t>
            </w:r>
          </w:p>
        </w:tc>
        <w:tc>
          <w:tcPr>
            <w:tcW w:w="5245" w:type="dxa"/>
          </w:tcPr>
          <w:p w14:paraId="072EF64E" w14:textId="6CAEAEB0" w:rsidR="00B1107F" w:rsidRPr="0080620A" w:rsidRDefault="00B1107F" w:rsidP="00E777BB">
            <w:pPr>
              <w:pBdr>
                <w:top w:val="nil"/>
                <w:left w:val="nil"/>
                <w:bottom w:val="nil"/>
                <w:right w:val="nil"/>
                <w:between w:val="nil"/>
                <w:bar w:val="nil"/>
              </w:pBdr>
              <w:rPr>
                <w:sz w:val="18"/>
                <w:szCs w:val="18"/>
              </w:rPr>
            </w:pPr>
            <w:r w:rsidRPr="0080620A">
              <w:rPr>
                <w:sz w:val="18"/>
                <w:szCs w:val="18"/>
                <w:lang w:eastAsia="ja-JP"/>
              </w:rPr>
              <w:t xml:space="preserve">Number of parties that have taken two or more measures for the mercury-added products listed in </w:t>
            </w:r>
            <w:r w:rsidR="008244FA" w:rsidRPr="0080620A">
              <w:rPr>
                <w:sz w:val="18"/>
                <w:szCs w:val="18"/>
                <w:lang w:eastAsia="ja-JP"/>
              </w:rPr>
              <w:t>p</w:t>
            </w:r>
            <w:r w:rsidRPr="0080620A">
              <w:rPr>
                <w:sz w:val="18"/>
                <w:szCs w:val="18"/>
                <w:lang w:eastAsia="ja-JP"/>
              </w:rPr>
              <w:t xml:space="preserve">art II of </w:t>
            </w:r>
            <w:r w:rsidR="008244FA" w:rsidRPr="0080620A">
              <w:rPr>
                <w:sz w:val="18"/>
                <w:szCs w:val="18"/>
                <w:lang w:eastAsia="ja-JP"/>
              </w:rPr>
              <w:t>a</w:t>
            </w:r>
            <w:r w:rsidRPr="0080620A">
              <w:rPr>
                <w:sz w:val="18"/>
                <w:szCs w:val="18"/>
                <w:lang w:eastAsia="ja-JP"/>
              </w:rPr>
              <w:t>nnex A</w:t>
            </w:r>
          </w:p>
        </w:tc>
        <w:tc>
          <w:tcPr>
            <w:tcW w:w="2508" w:type="dxa"/>
          </w:tcPr>
          <w:p w14:paraId="2FABCFF9" w14:textId="77777777" w:rsidR="00B1107F" w:rsidRPr="0080620A" w:rsidRDefault="00B1107F" w:rsidP="00EE7D24">
            <w:pPr>
              <w:pBdr>
                <w:top w:val="nil"/>
                <w:left w:val="nil"/>
                <w:bottom w:val="nil"/>
                <w:right w:val="nil"/>
                <w:between w:val="nil"/>
                <w:bar w:val="nil"/>
              </w:pBdr>
              <w:rPr>
                <w:sz w:val="18"/>
                <w:szCs w:val="18"/>
                <w:lang w:eastAsia="ja-JP"/>
              </w:rPr>
            </w:pPr>
            <w:r w:rsidRPr="0080620A">
              <w:rPr>
                <w:iCs/>
                <w:sz w:val="18"/>
                <w:szCs w:val="18"/>
              </w:rPr>
              <w:t>- Article 21 reporting</w:t>
            </w:r>
          </w:p>
        </w:tc>
        <w:tc>
          <w:tcPr>
            <w:tcW w:w="2367" w:type="dxa"/>
          </w:tcPr>
          <w:p w14:paraId="6D5661CA" w14:textId="0470916C" w:rsidR="00B1107F" w:rsidRPr="0080620A" w:rsidRDefault="00F1134F" w:rsidP="00EE7D24">
            <w:pPr>
              <w:pBdr>
                <w:top w:val="nil"/>
                <w:left w:val="nil"/>
                <w:bottom w:val="nil"/>
                <w:right w:val="nil"/>
                <w:between w:val="nil"/>
                <w:bar w:val="nil"/>
              </w:pBdr>
              <w:rPr>
                <w:sz w:val="18"/>
                <w:szCs w:val="18"/>
                <w:lang w:eastAsia="ja-JP"/>
              </w:rPr>
            </w:pPr>
            <w:r w:rsidRPr="0080620A">
              <w:rPr>
                <w:sz w:val="18"/>
                <w:szCs w:val="18"/>
              </w:rPr>
              <w:t>N</w:t>
            </w:r>
            <w:r w:rsidR="00B1107F" w:rsidRPr="0080620A">
              <w:rPr>
                <w:sz w:val="18"/>
                <w:szCs w:val="18"/>
              </w:rPr>
              <w:t>umber in the first evaluation</w:t>
            </w:r>
          </w:p>
        </w:tc>
      </w:tr>
      <w:tr w:rsidR="00B1107F" w:rsidRPr="0080620A" w14:paraId="73AA9CAC" w14:textId="77777777" w:rsidTr="00F1134F">
        <w:trPr>
          <w:trHeight w:val="624"/>
          <w:jc w:val="right"/>
        </w:trPr>
        <w:tc>
          <w:tcPr>
            <w:tcW w:w="2830" w:type="dxa"/>
          </w:tcPr>
          <w:p w14:paraId="61B9BB22" w14:textId="6D879CE5"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C6. Additional outcome indicator for </w:t>
            </w:r>
            <w:r w:rsidR="008244FA" w:rsidRPr="0080620A">
              <w:rPr>
                <w:sz w:val="18"/>
                <w:szCs w:val="18"/>
              </w:rPr>
              <w:t>a</w:t>
            </w:r>
            <w:r w:rsidRPr="0080620A">
              <w:rPr>
                <w:sz w:val="18"/>
                <w:szCs w:val="18"/>
              </w:rPr>
              <w:t>rticle 4</w:t>
            </w:r>
          </w:p>
        </w:tc>
        <w:tc>
          <w:tcPr>
            <w:tcW w:w="5245" w:type="dxa"/>
          </w:tcPr>
          <w:p w14:paraId="2D4CF9FE" w14:textId="020053F1"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Volume</w:t>
            </w:r>
            <w:r w:rsidR="00C32C4C" w:rsidRPr="0080620A">
              <w:rPr>
                <w:rFonts w:eastAsia="Roboto"/>
                <w:sz w:val="18"/>
                <w:szCs w:val="18"/>
              </w:rPr>
              <w:t>,</w:t>
            </w:r>
            <w:r w:rsidRPr="0080620A">
              <w:rPr>
                <w:rFonts w:eastAsia="Roboto"/>
                <w:sz w:val="18"/>
                <w:szCs w:val="18"/>
              </w:rPr>
              <w:t xml:space="preserve"> </w:t>
            </w:r>
            <w:r w:rsidR="00C32C4C" w:rsidRPr="0080620A">
              <w:rPr>
                <w:rFonts w:eastAsia="Roboto"/>
                <w:sz w:val="18"/>
                <w:szCs w:val="18"/>
              </w:rPr>
              <w:t xml:space="preserve">in </w:t>
            </w:r>
            <w:r w:rsidRPr="0080620A">
              <w:rPr>
                <w:rFonts w:eastAsia="Roboto"/>
                <w:sz w:val="18"/>
                <w:szCs w:val="18"/>
              </w:rPr>
              <w:t>tonnes of mercury</w:t>
            </w:r>
            <w:r w:rsidR="00C32C4C" w:rsidRPr="0080620A">
              <w:rPr>
                <w:rFonts w:eastAsia="Roboto"/>
                <w:sz w:val="18"/>
                <w:szCs w:val="18"/>
              </w:rPr>
              <w:t>-</w:t>
            </w:r>
            <w:r w:rsidRPr="0080620A">
              <w:rPr>
                <w:rFonts w:eastAsia="Roboto"/>
                <w:sz w:val="18"/>
                <w:szCs w:val="18"/>
              </w:rPr>
              <w:t>added products (a) imported and (b</w:t>
            </w:r>
            <w:r w:rsidR="0070107F" w:rsidRPr="0080620A">
              <w:rPr>
                <w:rFonts w:eastAsia="Roboto"/>
                <w:sz w:val="18"/>
                <w:szCs w:val="18"/>
              </w:rPr>
              <w:t>) </w:t>
            </w:r>
            <w:r w:rsidRPr="0080620A">
              <w:rPr>
                <w:rFonts w:eastAsia="Roboto"/>
                <w:sz w:val="18"/>
                <w:szCs w:val="18"/>
              </w:rPr>
              <w:t>exported, in units per year</w:t>
            </w:r>
            <w:r w:rsidR="00C32C4C" w:rsidRPr="0080620A">
              <w:rPr>
                <w:rFonts w:eastAsia="Roboto"/>
                <w:sz w:val="18"/>
                <w:szCs w:val="18"/>
              </w:rPr>
              <w:t>,</w:t>
            </w:r>
            <w:r w:rsidRPr="0080620A">
              <w:rPr>
                <w:rFonts w:eastAsia="Roboto"/>
                <w:sz w:val="18"/>
                <w:szCs w:val="18"/>
              </w:rPr>
              <w:t xml:space="preserve"> for each product category in </w:t>
            </w:r>
            <w:r w:rsidR="0070107F" w:rsidRPr="0080620A">
              <w:rPr>
                <w:rFonts w:eastAsia="Roboto"/>
                <w:sz w:val="18"/>
                <w:szCs w:val="18"/>
              </w:rPr>
              <w:t>part I of a</w:t>
            </w:r>
            <w:r w:rsidRPr="0080620A">
              <w:rPr>
                <w:rFonts w:eastAsia="Roboto"/>
                <w:sz w:val="18"/>
                <w:szCs w:val="18"/>
              </w:rPr>
              <w:t>nnex A</w:t>
            </w:r>
            <w:r w:rsidR="0070107F" w:rsidRPr="0080620A">
              <w:rPr>
                <w:rFonts w:eastAsia="Roboto"/>
                <w:sz w:val="18"/>
                <w:szCs w:val="18"/>
              </w:rPr>
              <w:t>.</w:t>
            </w:r>
          </w:p>
        </w:tc>
        <w:tc>
          <w:tcPr>
            <w:tcW w:w="2508" w:type="dxa"/>
          </w:tcPr>
          <w:p w14:paraId="7D1F5BAA"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Trade and customs data</w:t>
            </w:r>
          </w:p>
        </w:tc>
        <w:tc>
          <w:tcPr>
            <w:tcW w:w="2367" w:type="dxa"/>
          </w:tcPr>
          <w:p w14:paraId="370C7328" w14:textId="61A0F70D" w:rsidR="00B1107F" w:rsidRPr="0080620A" w:rsidRDefault="00F1134F" w:rsidP="00EE7D24">
            <w:pPr>
              <w:pBdr>
                <w:top w:val="nil"/>
                <w:left w:val="nil"/>
                <w:bottom w:val="nil"/>
                <w:right w:val="nil"/>
                <w:between w:val="nil"/>
                <w:bar w:val="nil"/>
              </w:pBdr>
              <w:tabs>
                <w:tab w:val="left" w:pos="1163"/>
              </w:tabs>
              <w:rPr>
                <w:rFonts w:eastAsia="Roboto"/>
                <w:sz w:val="18"/>
                <w:szCs w:val="18"/>
              </w:rPr>
            </w:pPr>
            <w:r w:rsidRPr="0080620A">
              <w:rPr>
                <w:sz w:val="18"/>
                <w:szCs w:val="18"/>
              </w:rPr>
              <w:t>A</w:t>
            </w:r>
            <w:r w:rsidR="00B1107F" w:rsidRPr="0080620A">
              <w:rPr>
                <w:sz w:val="18"/>
                <w:szCs w:val="18"/>
              </w:rPr>
              <w:t>mount in the first evaluation</w:t>
            </w:r>
          </w:p>
        </w:tc>
      </w:tr>
      <w:tr w:rsidR="00B1107F" w:rsidRPr="0080620A" w14:paraId="776AE59D" w14:textId="77777777" w:rsidTr="00357627">
        <w:trPr>
          <w:trHeight w:val="57"/>
          <w:jc w:val="right"/>
        </w:trPr>
        <w:tc>
          <w:tcPr>
            <w:tcW w:w="2830" w:type="dxa"/>
            <w:shd w:val="clear" w:color="auto" w:fill="B8CCE4" w:themeFill="accent1" w:themeFillTint="66"/>
          </w:tcPr>
          <w:p w14:paraId="734955D6" w14:textId="77777777" w:rsidR="00B1107F" w:rsidRPr="0080620A" w:rsidRDefault="00B1107F" w:rsidP="00EE7D24">
            <w:pPr>
              <w:pBdr>
                <w:top w:val="nil"/>
                <w:left w:val="nil"/>
                <w:bottom w:val="nil"/>
                <w:right w:val="nil"/>
                <w:between w:val="nil"/>
                <w:bar w:val="nil"/>
              </w:pBdr>
              <w:tabs>
                <w:tab w:val="left" w:pos="1163"/>
              </w:tabs>
              <w:rPr>
                <w:b/>
                <w:sz w:val="18"/>
                <w:szCs w:val="18"/>
              </w:rPr>
            </w:pPr>
            <w:r w:rsidRPr="0080620A">
              <w:rPr>
                <w:b/>
                <w:sz w:val="18"/>
                <w:szCs w:val="18"/>
              </w:rPr>
              <w:t>Article 5</w:t>
            </w:r>
          </w:p>
        </w:tc>
        <w:tc>
          <w:tcPr>
            <w:tcW w:w="5245" w:type="dxa"/>
            <w:shd w:val="clear" w:color="auto" w:fill="B8CCE4" w:themeFill="accent1" w:themeFillTint="66"/>
          </w:tcPr>
          <w:p w14:paraId="5F6EED8C"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508" w:type="dxa"/>
            <w:shd w:val="clear" w:color="auto" w:fill="B8CCE4" w:themeFill="accent1" w:themeFillTint="66"/>
          </w:tcPr>
          <w:p w14:paraId="3D9C08F9"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367" w:type="dxa"/>
            <w:shd w:val="clear" w:color="auto" w:fill="B8CCE4" w:themeFill="accent1" w:themeFillTint="66"/>
          </w:tcPr>
          <w:p w14:paraId="26110EA0"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r>
      <w:tr w:rsidR="00B1107F" w:rsidRPr="0080620A" w14:paraId="44E489D7" w14:textId="77777777" w:rsidTr="00F1134F">
        <w:trPr>
          <w:trHeight w:val="454"/>
          <w:jc w:val="right"/>
        </w:trPr>
        <w:tc>
          <w:tcPr>
            <w:tcW w:w="2830" w:type="dxa"/>
          </w:tcPr>
          <w:p w14:paraId="5AF7C1E7" w14:textId="773297E5"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C7. Process indicator for </w:t>
            </w:r>
            <w:r w:rsidR="008244FA" w:rsidRPr="0080620A">
              <w:rPr>
                <w:sz w:val="18"/>
                <w:szCs w:val="18"/>
              </w:rPr>
              <w:t>a</w:t>
            </w:r>
            <w:r w:rsidRPr="0080620A">
              <w:rPr>
                <w:sz w:val="18"/>
                <w:szCs w:val="18"/>
              </w:rPr>
              <w:t>rticle 5</w:t>
            </w:r>
          </w:p>
        </w:tc>
        <w:tc>
          <w:tcPr>
            <w:tcW w:w="5245" w:type="dxa"/>
          </w:tcPr>
          <w:p w14:paraId="6DD69D26" w14:textId="121B2F4D"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of parties with exemptions for </w:t>
            </w:r>
            <w:r w:rsidR="00162B18" w:rsidRPr="0080620A">
              <w:rPr>
                <w:rFonts w:eastAsia="Roboto"/>
                <w:sz w:val="18"/>
                <w:szCs w:val="18"/>
              </w:rPr>
              <w:t>a</w:t>
            </w:r>
            <w:r w:rsidRPr="0080620A">
              <w:rPr>
                <w:rFonts w:eastAsia="Roboto"/>
                <w:sz w:val="18"/>
                <w:szCs w:val="18"/>
              </w:rPr>
              <w:t>nnex B</w:t>
            </w:r>
            <w:r w:rsidR="00E777BB" w:rsidRPr="0080620A">
              <w:rPr>
                <w:rFonts w:eastAsia="Roboto"/>
                <w:sz w:val="18"/>
                <w:szCs w:val="18"/>
              </w:rPr>
              <w:t>,</w:t>
            </w:r>
            <w:r w:rsidRPr="0080620A">
              <w:rPr>
                <w:rFonts w:eastAsia="Roboto"/>
                <w:sz w:val="18"/>
                <w:szCs w:val="18"/>
              </w:rPr>
              <w:t xml:space="preserve"> </w:t>
            </w:r>
            <w:r w:rsidR="00162B18" w:rsidRPr="0080620A">
              <w:rPr>
                <w:rFonts w:eastAsia="Roboto"/>
                <w:sz w:val="18"/>
                <w:szCs w:val="18"/>
              </w:rPr>
              <w:t>p</w:t>
            </w:r>
            <w:r w:rsidRPr="0080620A">
              <w:rPr>
                <w:rFonts w:eastAsia="Roboto"/>
                <w:sz w:val="18"/>
                <w:szCs w:val="18"/>
              </w:rPr>
              <w:t xml:space="preserve">art </w:t>
            </w:r>
            <w:r w:rsidR="00C1034D" w:rsidRPr="0080620A">
              <w:rPr>
                <w:rFonts w:eastAsia="Roboto"/>
                <w:sz w:val="18"/>
                <w:szCs w:val="18"/>
              </w:rPr>
              <w:t>I</w:t>
            </w:r>
            <w:r w:rsidR="00E777BB" w:rsidRPr="0080620A">
              <w:rPr>
                <w:rFonts w:eastAsia="Roboto"/>
                <w:sz w:val="18"/>
                <w:szCs w:val="18"/>
              </w:rPr>
              <w:t>,</w:t>
            </w:r>
            <w:r w:rsidRPr="0080620A">
              <w:rPr>
                <w:rFonts w:eastAsia="Roboto"/>
                <w:sz w:val="18"/>
                <w:szCs w:val="18"/>
              </w:rPr>
              <w:t xml:space="preserve"> processes</w:t>
            </w:r>
            <w:r w:rsidR="00E777BB" w:rsidRPr="0080620A">
              <w:rPr>
                <w:rFonts w:eastAsia="Roboto"/>
                <w:sz w:val="18"/>
                <w:szCs w:val="18"/>
              </w:rPr>
              <w:t xml:space="preserve"> that</w:t>
            </w:r>
            <w:r w:rsidRPr="0080620A">
              <w:rPr>
                <w:sz w:val="18"/>
                <w:szCs w:val="18"/>
                <w:lang w:eastAsia="ja-JP"/>
              </w:rPr>
              <w:t xml:space="preserve"> are still valid</w:t>
            </w:r>
          </w:p>
        </w:tc>
        <w:tc>
          <w:tcPr>
            <w:tcW w:w="2508" w:type="dxa"/>
          </w:tcPr>
          <w:p w14:paraId="5D5799AA"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Registry of exemptions</w:t>
            </w:r>
          </w:p>
        </w:tc>
        <w:tc>
          <w:tcPr>
            <w:tcW w:w="2367" w:type="dxa"/>
          </w:tcPr>
          <w:p w14:paraId="04AEE71A" w14:textId="37F24AD4" w:rsidR="00B1107F" w:rsidRPr="0080620A" w:rsidRDefault="00F1134F" w:rsidP="00EE7D24">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63C20C19" w14:textId="77777777" w:rsidTr="00F1134F">
        <w:trPr>
          <w:trHeight w:val="624"/>
          <w:jc w:val="right"/>
        </w:trPr>
        <w:tc>
          <w:tcPr>
            <w:tcW w:w="2830" w:type="dxa"/>
          </w:tcPr>
          <w:p w14:paraId="0E88DC31" w14:textId="652D8726"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C8. Process indicator for </w:t>
            </w:r>
            <w:r w:rsidR="008244FA" w:rsidRPr="0080620A">
              <w:rPr>
                <w:sz w:val="18"/>
                <w:szCs w:val="18"/>
              </w:rPr>
              <w:t>a</w:t>
            </w:r>
            <w:r w:rsidRPr="0080620A">
              <w:rPr>
                <w:sz w:val="18"/>
                <w:szCs w:val="18"/>
              </w:rPr>
              <w:t>rticle 5</w:t>
            </w:r>
          </w:p>
        </w:tc>
        <w:tc>
          <w:tcPr>
            <w:tcW w:w="5245" w:type="dxa"/>
          </w:tcPr>
          <w:p w14:paraId="33740A89" w14:textId="783026A3"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lang w:eastAsia="ja-JP"/>
              </w:rPr>
              <w:t xml:space="preserve">Number of parties having measures in place to not allow the use of mercury or mercury compounds in manufacturing processes listed in </w:t>
            </w:r>
            <w:r w:rsidR="00162B18" w:rsidRPr="0080620A">
              <w:rPr>
                <w:sz w:val="18"/>
                <w:szCs w:val="18"/>
                <w:lang w:eastAsia="ja-JP"/>
              </w:rPr>
              <w:t>p</w:t>
            </w:r>
            <w:r w:rsidRPr="0080620A">
              <w:rPr>
                <w:sz w:val="18"/>
                <w:szCs w:val="18"/>
                <w:lang w:eastAsia="ja-JP"/>
              </w:rPr>
              <w:t xml:space="preserve">art I of </w:t>
            </w:r>
            <w:r w:rsidR="00E777BB" w:rsidRPr="0080620A">
              <w:rPr>
                <w:sz w:val="18"/>
                <w:szCs w:val="18"/>
                <w:lang w:eastAsia="ja-JP"/>
              </w:rPr>
              <w:t>a</w:t>
            </w:r>
            <w:r w:rsidRPr="0080620A">
              <w:rPr>
                <w:sz w:val="18"/>
                <w:szCs w:val="18"/>
                <w:lang w:eastAsia="ja-JP"/>
              </w:rPr>
              <w:t>nnex B</w:t>
            </w:r>
          </w:p>
        </w:tc>
        <w:tc>
          <w:tcPr>
            <w:tcW w:w="2508" w:type="dxa"/>
          </w:tcPr>
          <w:p w14:paraId="05C4EF3B" w14:textId="77777777" w:rsidR="00B1107F" w:rsidRPr="0080620A" w:rsidRDefault="00B1107F" w:rsidP="00EE7D24">
            <w:pPr>
              <w:pBdr>
                <w:top w:val="nil"/>
                <w:left w:val="nil"/>
                <w:bottom w:val="nil"/>
                <w:right w:val="nil"/>
                <w:between w:val="nil"/>
                <w:bar w:val="nil"/>
              </w:pBdr>
              <w:tabs>
                <w:tab w:val="left" w:pos="1163"/>
              </w:tabs>
              <w:rPr>
                <w:sz w:val="18"/>
                <w:szCs w:val="18"/>
                <w:lang w:eastAsia="ja-JP"/>
              </w:rPr>
            </w:pPr>
            <w:r w:rsidRPr="0080620A">
              <w:rPr>
                <w:iCs/>
                <w:sz w:val="18"/>
                <w:szCs w:val="18"/>
              </w:rPr>
              <w:t>- Article 21 reporting</w:t>
            </w:r>
          </w:p>
        </w:tc>
        <w:tc>
          <w:tcPr>
            <w:tcW w:w="2367" w:type="dxa"/>
          </w:tcPr>
          <w:p w14:paraId="6F1A6C85" w14:textId="6A4728E8" w:rsidR="00B1107F" w:rsidRPr="0080620A" w:rsidRDefault="00F1134F" w:rsidP="00EE7D24">
            <w:pPr>
              <w:pBdr>
                <w:top w:val="nil"/>
                <w:left w:val="nil"/>
                <w:bottom w:val="nil"/>
                <w:right w:val="nil"/>
                <w:between w:val="nil"/>
                <w:bar w:val="nil"/>
              </w:pBdr>
              <w:tabs>
                <w:tab w:val="left" w:pos="1163"/>
              </w:tabs>
              <w:rPr>
                <w:sz w:val="18"/>
                <w:szCs w:val="18"/>
                <w:lang w:eastAsia="ja-JP"/>
              </w:rPr>
            </w:pPr>
            <w:r w:rsidRPr="0080620A">
              <w:rPr>
                <w:sz w:val="18"/>
                <w:szCs w:val="18"/>
              </w:rPr>
              <w:t>N</w:t>
            </w:r>
            <w:r w:rsidR="00B1107F" w:rsidRPr="0080620A">
              <w:rPr>
                <w:sz w:val="18"/>
                <w:szCs w:val="18"/>
              </w:rPr>
              <w:t>umber in the first evaluation</w:t>
            </w:r>
          </w:p>
        </w:tc>
      </w:tr>
      <w:tr w:rsidR="00B1107F" w:rsidRPr="0080620A" w14:paraId="2F32996F" w14:textId="77777777" w:rsidTr="00F1134F">
        <w:trPr>
          <w:trHeight w:val="624"/>
          <w:jc w:val="right"/>
        </w:trPr>
        <w:tc>
          <w:tcPr>
            <w:tcW w:w="2830" w:type="dxa"/>
          </w:tcPr>
          <w:p w14:paraId="2656F692" w14:textId="46F9497C"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C9. Process indicator for </w:t>
            </w:r>
            <w:r w:rsidR="008244FA" w:rsidRPr="0080620A">
              <w:rPr>
                <w:sz w:val="18"/>
                <w:szCs w:val="18"/>
              </w:rPr>
              <w:t>a</w:t>
            </w:r>
            <w:r w:rsidRPr="0080620A">
              <w:rPr>
                <w:sz w:val="18"/>
                <w:szCs w:val="18"/>
              </w:rPr>
              <w:t>rticle 5</w:t>
            </w:r>
          </w:p>
        </w:tc>
        <w:tc>
          <w:tcPr>
            <w:tcW w:w="5245" w:type="dxa"/>
          </w:tcPr>
          <w:p w14:paraId="713E108F" w14:textId="797E3A2C" w:rsidR="00B1107F" w:rsidRPr="0080620A" w:rsidRDefault="00F16695"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Proportion </w:t>
            </w:r>
            <w:r w:rsidR="00B1107F" w:rsidRPr="0080620A">
              <w:rPr>
                <w:rFonts w:eastAsia="Roboto"/>
                <w:sz w:val="18"/>
                <w:szCs w:val="18"/>
              </w:rPr>
              <w:t xml:space="preserve">of parties that have processes subject to </w:t>
            </w:r>
            <w:r w:rsidR="00E777BB" w:rsidRPr="0080620A">
              <w:rPr>
                <w:rFonts w:eastAsia="Roboto"/>
                <w:sz w:val="18"/>
                <w:szCs w:val="18"/>
              </w:rPr>
              <w:t>a</w:t>
            </w:r>
            <w:r w:rsidR="00B1107F" w:rsidRPr="0080620A">
              <w:rPr>
                <w:rFonts w:eastAsia="Roboto"/>
                <w:sz w:val="18"/>
                <w:szCs w:val="18"/>
              </w:rPr>
              <w:t>rticle 5</w:t>
            </w:r>
            <w:r w:rsidR="00E777BB" w:rsidRPr="0080620A">
              <w:rPr>
                <w:rFonts w:eastAsia="Roboto"/>
                <w:sz w:val="18"/>
                <w:szCs w:val="18"/>
              </w:rPr>
              <w:t>,</w:t>
            </w:r>
            <w:r w:rsidR="00B1107F" w:rsidRPr="0080620A">
              <w:rPr>
                <w:rFonts w:eastAsia="Roboto"/>
                <w:sz w:val="18"/>
                <w:szCs w:val="18"/>
              </w:rPr>
              <w:t xml:space="preserve"> para</w:t>
            </w:r>
            <w:r w:rsidR="00E777BB" w:rsidRPr="0080620A">
              <w:rPr>
                <w:rFonts w:eastAsia="Roboto"/>
                <w:sz w:val="18"/>
                <w:szCs w:val="18"/>
              </w:rPr>
              <w:t>.</w:t>
            </w:r>
            <w:r w:rsidR="00B1107F" w:rsidRPr="0080620A">
              <w:rPr>
                <w:rFonts w:eastAsia="Roboto"/>
                <w:sz w:val="18"/>
                <w:szCs w:val="18"/>
              </w:rPr>
              <w:t xml:space="preserve"> 3, that have taken all measures for the respective processes listed in </w:t>
            </w:r>
            <w:r w:rsidR="00E777BB" w:rsidRPr="0080620A">
              <w:rPr>
                <w:sz w:val="18"/>
                <w:szCs w:val="18"/>
                <w:lang w:eastAsia="ja-JP"/>
              </w:rPr>
              <w:t>a</w:t>
            </w:r>
            <w:r w:rsidR="00B1107F" w:rsidRPr="0080620A">
              <w:rPr>
                <w:sz w:val="18"/>
                <w:szCs w:val="18"/>
                <w:lang w:eastAsia="ja-JP"/>
              </w:rPr>
              <w:t xml:space="preserve">nnex B, </w:t>
            </w:r>
            <w:r w:rsidR="00E777BB" w:rsidRPr="0080620A">
              <w:rPr>
                <w:sz w:val="18"/>
                <w:szCs w:val="18"/>
                <w:lang w:eastAsia="ja-JP"/>
              </w:rPr>
              <w:t>p</w:t>
            </w:r>
            <w:r w:rsidR="00B1107F" w:rsidRPr="0080620A">
              <w:rPr>
                <w:sz w:val="18"/>
                <w:szCs w:val="18"/>
                <w:lang w:eastAsia="ja-JP"/>
              </w:rPr>
              <w:t>art II</w:t>
            </w:r>
          </w:p>
        </w:tc>
        <w:tc>
          <w:tcPr>
            <w:tcW w:w="2508" w:type="dxa"/>
          </w:tcPr>
          <w:p w14:paraId="750E2FC3"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iCs/>
                <w:sz w:val="18"/>
                <w:szCs w:val="18"/>
              </w:rPr>
              <w:t>- Article 21 reporting</w:t>
            </w:r>
          </w:p>
        </w:tc>
        <w:tc>
          <w:tcPr>
            <w:tcW w:w="2367" w:type="dxa"/>
          </w:tcPr>
          <w:p w14:paraId="3C4B48BF" w14:textId="35F4967F" w:rsidR="00B1107F" w:rsidRPr="0080620A" w:rsidRDefault="00F1134F" w:rsidP="00EE7D24">
            <w:pPr>
              <w:pBdr>
                <w:top w:val="nil"/>
                <w:left w:val="nil"/>
                <w:bottom w:val="nil"/>
                <w:right w:val="nil"/>
                <w:between w:val="nil"/>
                <w:bar w:val="nil"/>
              </w:pBdr>
              <w:tabs>
                <w:tab w:val="left" w:pos="1163"/>
              </w:tabs>
              <w:rPr>
                <w:rFonts w:eastAsia="Roboto"/>
                <w:sz w:val="18"/>
                <w:szCs w:val="18"/>
              </w:rPr>
            </w:pPr>
            <w:r w:rsidRPr="0080620A">
              <w:rPr>
                <w:sz w:val="18"/>
                <w:szCs w:val="18"/>
              </w:rPr>
              <w:t>P</w:t>
            </w:r>
            <w:r w:rsidR="00E777BB" w:rsidRPr="0080620A">
              <w:rPr>
                <w:sz w:val="18"/>
                <w:szCs w:val="18"/>
              </w:rPr>
              <w:t>ercentage</w:t>
            </w:r>
            <w:r w:rsidR="00B1107F" w:rsidRPr="0080620A">
              <w:rPr>
                <w:sz w:val="18"/>
                <w:szCs w:val="18"/>
              </w:rPr>
              <w:t xml:space="preserve"> in the first evaluation</w:t>
            </w:r>
          </w:p>
        </w:tc>
      </w:tr>
      <w:tr w:rsidR="00B1107F" w:rsidRPr="0080620A" w14:paraId="2382A16F" w14:textId="77777777" w:rsidTr="00357627">
        <w:trPr>
          <w:trHeight w:val="57"/>
          <w:jc w:val="right"/>
        </w:trPr>
        <w:tc>
          <w:tcPr>
            <w:tcW w:w="2830" w:type="dxa"/>
            <w:shd w:val="clear" w:color="auto" w:fill="B8CCE4" w:themeFill="accent1" w:themeFillTint="66"/>
          </w:tcPr>
          <w:p w14:paraId="43350D31" w14:textId="77777777" w:rsidR="00B1107F" w:rsidRPr="0080620A" w:rsidRDefault="00B1107F" w:rsidP="00EE7D24">
            <w:pPr>
              <w:pBdr>
                <w:top w:val="nil"/>
                <w:left w:val="nil"/>
                <w:bottom w:val="nil"/>
                <w:right w:val="nil"/>
                <w:between w:val="nil"/>
                <w:bar w:val="nil"/>
              </w:pBdr>
              <w:tabs>
                <w:tab w:val="left" w:pos="1163"/>
              </w:tabs>
              <w:rPr>
                <w:b/>
                <w:sz w:val="18"/>
                <w:szCs w:val="18"/>
              </w:rPr>
            </w:pPr>
            <w:r w:rsidRPr="0080620A">
              <w:rPr>
                <w:b/>
                <w:sz w:val="18"/>
                <w:szCs w:val="18"/>
              </w:rPr>
              <w:t>Article 7</w:t>
            </w:r>
          </w:p>
        </w:tc>
        <w:tc>
          <w:tcPr>
            <w:tcW w:w="5245" w:type="dxa"/>
            <w:shd w:val="clear" w:color="auto" w:fill="B8CCE4" w:themeFill="accent1" w:themeFillTint="66"/>
          </w:tcPr>
          <w:p w14:paraId="6547F0C8"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508" w:type="dxa"/>
            <w:shd w:val="clear" w:color="auto" w:fill="B8CCE4" w:themeFill="accent1" w:themeFillTint="66"/>
          </w:tcPr>
          <w:p w14:paraId="13ED1CA6"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367" w:type="dxa"/>
            <w:shd w:val="clear" w:color="auto" w:fill="B8CCE4" w:themeFill="accent1" w:themeFillTint="66"/>
          </w:tcPr>
          <w:p w14:paraId="0A70C6AD"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r>
      <w:tr w:rsidR="00B1107F" w:rsidRPr="0080620A" w14:paraId="76113180" w14:textId="77777777" w:rsidTr="00F1134F">
        <w:trPr>
          <w:trHeight w:val="850"/>
          <w:jc w:val="right"/>
        </w:trPr>
        <w:tc>
          <w:tcPr>
            <w:tcW w:w="2830" w:type="dxa"/>
          </w:tcPr>
          <w:p w14:paraId="6577D6D8" w14:textId="033E5A49"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C10. Outcome indicator for </w:t>
            </w:r>
            <w:r w:rsidR="008244FA" w:rsidRPr="0080620A">
              <w:rPr>
                <w:sz w:val="18"/>
                <w:szCs w:val="18"/>
              </w:rPr>
              <w:t>a</w:t>
            </w:r>
            <w:r w:rsidRPr="0080620A">
              <w:rPr>
                <w:sz w:val="18"/>
                <w:szCs w:val="18"/>
              </w:rPr>
              <w:t>rticle 7</w:t>
            </w:r>
          </w:p>
        </w:tc>
        <w:tc>
          <w:tcPr>
            <w:tcW w:w="5245" w:type="dxa"/>
          </w:tcPr>
          <w:p w14:paraId="0257BEEE" w14:textId="2E29A4BA" w:rsidR="00B1107F" w:rsidRPr="0080620A" w:rsidRDefault="00B1107F" w:rsidP="00BC69B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Total amount of </w:t>
            </w:r>
            <w:r w:rsidR="008244FA" w:rsidRPr="0080620A">
              <w:rPr>
                <w:rFonts w:eastAsia="Roboto"/>
                <w:sz w:val="18"/>
                <w:szCs w:val="18"/>
              </w:rPr>
              <w:t xml:space="preserve">mercury </w:t>
            </w:r>
            <w:r w:rsidRPr="0080620A">
              <w:rPr>
                <w:rFonts w:eastAsia="Roboto"/>
                <w:sz w:val="18"/>
                <w:szCs w:val="18"/>
              </w:rPr>
              <w:t xml:space="preserve">used in ASGM globally, in tonnes per year </w:t>
            </w:r>
          </w:p>
        </w:tc>
        <w:tc>
          <w:tcPr>
            <w:tcW w:w="2508" w:type="dxa"/>
          </w:tcPr>
          <w:p w14:paraId="7B446C8D"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Article 21 reporting</w:t>
            </w:r>
          </w:p>
          <w:p w14:paraId="0B0550FE" w14:textId="79C6B310"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 </w:t>
            </w:r>
            <w:r w:rsidR="00330050" w:rsidRPr="0080620A">
              <w:rPr>
                <w:rFonts w:eastAsia="Roboto"/>
                <w:sz w:val="18"/>
                <w:szCs w:val="18"/>
              </w:rPr>
              <w:t>ASGM n</w:t>
            </w:r>
            <w:r w:rsidR="00E777BB" w:rsidRPr="0080620A">
              <w:rPr>
                <w:rFonts w:eastAsia="Roboto"/>
                <w:sz w:val="18"/>
                <w:szCs w:val="18"/>
              </w:rPr>
              <w:t xml:space="preserve">ational action plans </w:t>
            </w:r>
            <w:r w:rsidRPr="0080620A">
              <w:rPr>
                <w:rFonts w:eastAsia="Roboto"/>
                <w:sz w:val="18"/>
                <w:szCs w:val="18"/>
              </w:rPr>
              <w:t>and review</w:t>
            </w:r>
            <w:r w:rsidR="00330050" w:rsidRPr="0080620A">
              <w:rPr>
                <w:rFonts w:eastAsia="Roboto"/>
                <w:sz w:val="18"/>
                <w:szCs w:val="18"/>
              </w:rPr>
              <w:t>s</w:t>
            </w:r>
            <w:r w:rsidR="0014407E">
              <w:rPr>
                <w:rFonts w:eastAsia="Roboto"/>
                <w:sz w:val="18"/>
                <w:szCs w:val="18"/>
              </w:rPr>
              <w:t xml:space="preserve"> thereof</w:t>
            </w:r>
          </w:p>
          <w:p w14:paraId="6600DCBD"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Notifications</w:t>
            </w:r>
          </w:p>
        </w:tc>
        <w:tc>
          <w:tcPr>
            <w:tcW w:w="2367" w:type="dxa"/>
          </w:tcPr>
          <w:p w14:paraId="4A212EE7" w14:textId="56D06C14" w:rsidR="00B1107F" w:rsidRPr="0080620A" w:rsidRDefault="00F1134F" w:rsidP="00EE7D24">
            <w:pPr>
              <w:pBdr>
                <w:top w:val="nil"/>
                <w:left w:val="nil"/>
                <w:bottom w:val="nil"/>
                <w:right w:val="nil"/>
                <w:between w:val="nil"/>
                <w:bar w:val="nil"/>
              </w:pBdr>
              <w:tabs>
                <w:tab w:val="left" w:pos="1163"/>
              </w:tabs>
              <w:rPr>
                <w:rFonts w:eastAsia="Roboto"/>
                <w:sz w:val="18"/>
                <w:szCs w:val="18"/>
              </w:rPr>
            </w:pPr>
            <w:r w:rsidRPr="0080620A">
              <w:rPr>
                <w:sz w:val="18"/>
                <w:szCs w:val="18"/>
              </w:rPr>
              <w:t>A</w:t>
            </w:r>
            <w:r w:rsidR="00B1107F" w:rsidRPr="0080620A">
              <w:rPr>
                <w:sz w:val="18"/>
                <w:szCs w:val="18"/>
              </w:rPr>
              <w:t>mount in the first evaluation</w:t>
            </w:r>
          </w:p>
        </w:tc>
      </w:tr>
      <w:tr w:rsidR="00B1107F" w:rsidRPr="0080620A" w14:paraId="1085A7EB" w14:textId="77777777" w:rsidTr="00F1134F">
        <w:trPr>
          <w:trHeight w:val="454"/>
          <w:jc w:val="right"/>
        </w:trPr>
        <w:tc>
          <w:tcPr>
            <w:tcW w:w="2830" w:type="dxa"/>
          </w:tcPr>
          <w:p w14:paraId="0CA4F6B0" w14:textId="14CF15DB"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C11. Process indicator for </w:t>
            </w:r>
            <w:r w:rsidR="008244FA" w:rsidRPr="0080620A">
              <w:rPr>
                <w:sz w:val="18"/>
                <w:szCs w:val="18"/>
              </w:rPr>
              <w:t>a</w:t>
            </w:r>
            <w:r w:rsidRPr="0080620A">
              <w:rPr>
                <w:sz w:val="18"/>
                <w:szCs w:val="18"/>
              </w:rPr>
              <w:t>rticle 7</w:t>
            </w:r>
          </w:p>
        </w:tc>
        <w:tc>
          <w:tcPr>
            <w:tcW w:w="5245" w:type="dxa"/>
          </w:tcPr>
          <w:p w14:paraId="04105A88" w14:textId="50F1DF28" w:rsidR="00B1107F" w:rsidRPr="0080620A" w:rsidRDefault="00F16695"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Proportion </w:t>
            </w:r>
            <w:r w:rsidR="00B1107F" w:rsidRPr="0080620A">
              <w:rPr>
                <w:rFonts w:eastAsia="Roboto"/>
                <w:sz w:val="18"/>
                <w:szCs w:val="18"/>
              </w:rPr>
              <w:t xml:space="preserve">of parties declaring more than insignificant ASGM that have submitted </w:t>
            </w:r>
            <w:r w:rsidR="00E777BB" w:rsidRPr="0080620A">
              <w:rPr>
                <w:rFonts w:eastAsia="Roboto"/>
                <w:sz w:val="18"/>
                <w:szCs w:val="18"/>
              </w:rPr>
              <w:t>a national action plan</w:t>
            </w:r>
          </w:p>
        </w:tc>
        <w:tc>
          <w:tcPr>
            <w:tcW w:w="2508" w:type="dxa"/>
          </w:tcPr>
          <w:p w14:paraId="026DC889"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Notifications</w:t>
            </w:r>
          </w:p>
        </w:tc>
        <w:tc>
          <w:tcPr>
            <w:tcW w:w="2367" w:type="dxa"/>
          </w:tcPr>
          <w:p w14:paraId="48B2DAEE" w14:textId="3BEAF011" w:rsidR="00B1107F" w:rsidRPr="0080620A" w:rsidRDefault="00F1134F" w:rsidP="00EE7D24">
            <w:pPr>
              <w:pBdr>
                <w:top w:val="nil"/>
                <w:left w:val="nil"/>
                <w:bottom w:val="nil"/>
                <w:right w:val="nil"/>
                <w:between w:val="nil"/>
                <w:bar w:val="nil"/>
              </w:pBdr>
              <w:tabs>
                <w:tab w:val="left" w:pos="1163"/>
              </w:tabs>
              <w:rPr>
                <w:rFonts w:eastAsia="Roboto"/>
                <w:sz w:val="18"/>
                <w:szCs w:val="18"/>
              </w:rPr>
            </w:pPr>
            <w:r w:rsidRPr="0080620A">
              <w:rPr>
                <w:sz w:val="18"/>
                <w:szCs w:val="18"/>
              </w:rPr>
              <w:t>P</w:t>
            </w:r>
            <w:r w:rsidR="00E777BB" w:rsidRPr="0080620A">
              <w:rPr>
                <w:sz w:val="18"/>
                <w:szCs w:val="18"/>
              </w:rPr>
              <w:t>ercentage</w:t>
            </w:r>
            <w:r w:rsidR="00B1107F" w:rsidRPr="0080620A">
              <w:rPr>
                <w:sz w:val="18"/>
                <w:szCs w:val="18"/>
              </w:rPr>
              <w:t xml:space="preserve"> in the first evaluation</w:t>
            </w:r>
          </w:p>
        </w:tc>
      </w:tr>
      <w:tr w:rsidR="00B1107F" w:rsidRPr="0080620A" w14:paraId="02138464" w14:textId="77777777" w:rsidTr="00F1134F">
        <w:trPr>
          <w:trHeight w:val="454"/>
          <w:jc w:val="right"/>
        </w:trPr>
        <w:tc>
          <w:tcPr>
            <w:tcW w:w="2830" w:type="dxa"/>
          </w:tcPr>
          <w:p w14:paraId="7287A97A" w14:textId="3F08896D"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lastRenderedPageBreak/>
              <w:t xml:space="preserve">C12. Process indicator for </w:t>
            </w:r>
            <w:r w:rsidR="004B5046" w:rsidRPr="0080620A">
              <w:rPr>
                <w:sz w:val="18"/>
                <w:szCs w:val="18"/>
              </w:rPr>
              <w:t>a</w:t>
            </w:r>
            <w:r w:rsidRPr="0080620A">
              <w:rPr>
                <w:sz w:val="18"/>
                <w:szCs w:val="18"/>
              </w:rPr>
              <w:t>rticle 7</w:t>
            </w:r>
          </w:p>
        </w:tc>
        <w:tc>
          <w:tcPr>
            <w:tcW w:w="5245" w:type="dxa"/>
          </w:tcPr>
          <w:p w14:paraId="41E1C89B" w14:textId="12B9D0EF" w:rsidR="00B1107F" w:rsidRPr="0080620A" w:rsidRDefault="00F16695" w:rsidP="00BC69B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Proportion </w:t>
            </w:r>
            <w:r w:rsidR="00B1107F" w:rsidRPr="0080620A">
              <w:rPr>
                <w:sz w:val="18"/>
                <w:szCs w:val="18"/>
                <w:lang w:eastAsia="ja-JP"/>
              </w:rPr>
              <w:t xml:space="preserve">of parties that have submitted a </w:t>
            </w:r>
            <w:r w:rsidR="00E777BB" w:rsidRPr="0080620A">
              <w:rPr>
                <w:sz w:val="18"/>
                <w:szCs w:val="18"/>
                <w:lang w:eastAsia="ja-JP"/>
              </w:rPr>
              <w:t>national action plan</w:t>
            </w:r>
            <w:r w:rsidR="00B1107F" w:rsidRPr="0080620A">
              <w:rPr>
                <w:sz w:val="18"/>
                <w:szCs w:val="18"/>
                <w:lang w:eastAsia="ja-JP"/>
              </w:rPr>
              <w:t xml:space="preserve"> and have reviewed it</w:t>
            </w:r>
          </w:p>
        </w:tc>
        <w:tc>
          <w:tcPr>
            <w:tcW w:w="2508" w:type="dxa"/>
          </w:tcPr>
          <w:p w14:paraId="0DD9C5F7" w14:textId="45A090C3" w:rsidR="00B1107F" w:rsidRPr="0080620A" w:rsidRDefault="00B1107F" w:rsidP="00EE7D24">
            <w:pPr>
              <w:pBdr>
                <w:top w:val="nil"/>
                <w:left w:val="nil"/>
                <w:bottom w:val="nil"/>
                <w:right w:val="nil"/>
                <w:between w:val="nil"/>
                <w:bar w:val="nil"/>
              </w:pBdr>
              <w:tabs>
                <w:tab w:val="left" w:pos="1163"/>
              </w:tabs>
              <w:rPr>
                <w:sz w:val="18"/>
                <w:szCs w:val="18"/>
                <w:lang w:eastAsia="ja-JP"/>
              </w:rPr>
            </w:pPr>
            <w:r w:rsidRPr="0080620A">
              <w:rPr>
                <w:sz w:val="18"/>
                <w:szCs w:val="18"/>
                <w:lang w:eastAsia="ja-JP"/>
              </w:rPr>
              <w:t>- Article 7 review</w:t>
            </w:r>
            <w:r w:rsidR="0014407E">
              <w:rPr>
                <w:sz w:val="18"/>
                <w:szCs w:val="18"/>
                <w:lang w:eastAsia="ja-JP"/>
              </w:rPr>
              <w:t>s</w:t>
            </w:r>
          </w:p>
        </w:tc>
        <w:tc>
          <w:tcPr>
            <w:tcW w:w="2367" w:type="dxa"/>
          </w:tcPr>
          <w:p w14:paraId="768C5E88" w14:textId="53A50DF9" w:rsidR="00B1107F" w:rsidRPr="0080620A" w:rsidRDefault="00F1134F" w:rsidP="00EE7D24">
            <w:pPr>
              <w:pBdr>
                <w:top w:val="nil"/>
                <w:left w:val="nil"/>
                <w:bottom w:val="nil"/>
                <w:right w:val="nil"/>
                <w:between w:val="nil"/>
                <w:bar w:val="nil"/>
              </w:pBdr>
              <w:tabs>
                <w:tab w:val="left" w:pos="1163"/>
              </w:tabs>
              <w:rPr>
                <w:sz w:val="18"/>
                <w:szCs w:val="18"/>
                <w:lang w:eastAsia="ja-JP"/>
              </w:rPr>
            </w:pPr>
            <w:r w:rsidRPr="0080620A">
              <w:rPr>
                <w:sz w:val="18"/>
                <w:szCs w:val="18"/>
              </w:rPr>
              <w:t>P</w:t>
            </w:r>
            <w:r w:rsidR="00E777BB" w:rsidRPr="0080620A">
              <w:rPr>
                <w:sz w:val="18"/>
                <w:szCs w:val="18"/>
              </w:rPr>
              <w:t>ercentage</w:t>
            </w:r>
            <w:r w:rsidR="00B1107F" w:rsidRPr="0080620A">
              <w:rPr>
                <w:sz w:val="18"/>
                <w:szCs w:val="18"/>
              </w:rPr>
              <w:t xml:space="preserve"> in the first evaluation</w:t>
            </w:r>
          </w:p>
        </w:tc>
      </w:tr>
      <w:tr w:rsidR="00B1107F" w:rsidRPr="0080620A" w14:paraId="2A435FEF" w14:textId="77777777" w:rsidTr="00F1134F">
        <w:trPr>
          <w:trHeight w:val="227"/>
          <w:jc w:val="right"/>
        </w:trPr>
        <w:tc>
          <w:tcPr>
            <w:tcW w:w="2830" w:type="dxa"/>
            <w:shd w:val="clear" w:color="auto" w:fill="B8CCE4" w:themeFill="accent1" w:themeFillTint="66"/>
          </w:tcPr>
          <w:p w14:paraId="41CAA2E8" w14:textId="77777777" w:rsidR="00B1107F" w:rsidRPr="0080620A" w:rsidRDefault="00B1107F" w:rsidP="00EE7D24">
            <w:pPr>
              <w:rPr>
                <w:sz w:val="18"/>
                <w:szCs w:val="18"/>
              </w:rPr>
            </w:pPr>
            <w:r w:rsidRPr="0080620A">
              <w:rPr>
                <w:b/>
                <w:bCs/>
                <w:sz w:val="18"/>
                <w:szCs w:val="18"/>
              </w:rPr>
              <w:t>Notes</w:t>
            </w:r>
          </w:p>
        </w:tc>
        <w:tc>
          <w:tcPr>
            <w:tcW w:w="10120" w:type="dxa"/>
            <w:gridSpan w:val="3"/>
          </w:tcPr>
          <w:p w14:paraId="15D86911" w14:textId="77777777" w:rsidR="00B1107F" w:rsidRPr="0080620A" w:rsidRDefault="00B1107F" w:rsidP="00A00B9F">
            <w:pPr>
              <w:pStyle w:val="ListParagraph"/>
              <w:numPr>
                <w:ilvl w:val="0"/>
                <w:numId w:val="21"/>
              </w:numPr>
              <w:pBdr>
                <w:top w:val="nil"/>
                <w:left w:val="nil"/>
                <w:bottom w:val="nil"/>
                <w:right w:val="nil"/>
                <w:between w:val="nil"/>
                <w:bar w:val="nil"/>
              </w:pBdr>
              <w:tabs>
                <w:tab w:val="clear" w:pos="1247"/>
              </w:tabs>
              <w:rPr>
                <w:sz w:val="18"/>
                <w:szCs w:val="18"/>
              </w:rPr>
            </w:pPr>
            <w:r w:rsidRPr="0080620A">
              <w:rPr>
                <w:sz w:val="18"/>
                <w:szCs w:val="18"/>
              </w:rPr>
              <w:t>Some data on products may not be easily obtainable.</w:t>
            </w:r>
          </w:p>
        </w:tc>
      </w:tr>
    </w:tbl>
    <w:p w14:paraId="75C4147C" w14:textId="77777777" w:rsidR="00B1107F" w:rsidRPr="0080620A" w:rsidRDefault="00B1107F" w:rsidP="00B1107F">
      <w:pPr>
        <w:rPr>
          <w:rFonts w:asciiTheme="majorBidi" w:hAnsiTheme="majorBidi" w:cstheme="majorBidi"/>
        </w:rPr>
      </w:pPr>
    </w:p>
    <w:tbl>
      <w:tblPr>
        <w:tblStyle w:val="TableGrid"/>
        <w:tblW w:w="5000" w:type="pct"/>
        <w:jc w:val="right"/>
        <w:tblLook w:val="04A0" w:firstRow="1" w:lastRow="0" w:firstColumn="1" w:lastColumn="0" w:noHBand="0" w:noVBand="1"/>
      </w:tblPr>
      <w:tblGrid>
        <w:gridCol w:w="2933"/>
        <w:gridCol w:w="5435"/>
        <w:gridCol w:w="2595"/>
        <w:gridCol w:w="2457"/>
      </w:tblGrid>
      <w:tr w:rsidR="00B1107F" w:rsidRPr="0080620A" w14:paraId="57920428" w14:textId="77777777" w:rsidTr="00F1134F">
        <w:trPr>
          <w:trHeight w:val="454"/>
          <w:jc w:val="right"/>
        </w:trPr>
        <w:tc>
          <w:tcPr>
            <w:tcW w:w="8075" w:type="dxa"/>
            <w:gridSpan w:val="2"/>
            <w:shd w:val="clear" w:color="auto" w:fill="B8CCE4" w:themeFill="accent1" w:themeFillTint="66"/>
          </w:tcPr>
          <w:p w14:paraId="3839AE0F" w14:textId="427D700F" w:rsidR="00851861" w:rsidRPr="0080620A" w:rsidRDefault="00B1107F" w:rsidP="009E249F">
            <w:pPr>
              <w:rPr>
                <w:b/>
              </w:rPr>
            </w:pPr>
            <w:r w:rsidRPr="0080620A">
              <w:rPr>
                <w:b/>
              </w:rPr>
              <w:t xml:space="preserve">D: Pressure </w:t>
            </w:r>
            <w:r w:rsidR="004B5046" w:rsidRPr="0080620A">
              <w:rPr>
                <w:b/>
              </w:rPr>
              <w:t>c</w:t>
            </w:r>
            <w:r w:rsidRPr="0080620A">
              <w:rPr>
                <w:b/>
              </w:rPr>
              <w:t xml:space="preserve">luster </w:t>
            </w:r>
          </w:p>
          <w:p w14:paraId="7E52CFE1" w14:textId="3095689F" w:rsidR="00B1107F" w:rsidRPr="0080620A" w:rsidRDefault="00851861" w:rsidP="009E249F">
            <w:r w:rsidRPr="0080620A">
              <w:rPr>
                <w:b/>
              </w:rPr>
              <w:t>A</w:t>
            </w:r>
            <w:r w:rsidR="003C1126" w:rsidRPr="0080620A">
              <w:rPr>
                <w:b/>
              </w:rPr>
              <w:t xml:space="preserve">rticle 8 </w:t>
            </w:r>
            <w:r w:rsidRPr="0080620A">
              <w:rPr>
                <w:b/>
              </w:rPr>
              <w:t>(</w:t>
            </w:r>
            <w:r w:rsidR="004B5046" w:rsidRPr="0080620A">
              <w:rPr>
                <w:b/>
              </w:rPr>
              <w:t>e</w:t>
            </w:r>
            <w:r w:rsidR="00B1107F" w:rsidRPr="0080620A">
              <w:rPr>
                <w:b/>
              </w:rPr>
              <w:t>missions</w:t>
            </w:r>
            <w:r w:rsidRPr="0080620A">
              <w:rPr>
                <w:b/>
              </w:rPr>
              <w:t>)</w:t>
            </w:r>
            <w:r w:rsidR="003C1126" w:rsidRPr="0080620A">
              <w:rPr>
                <w:b/>
              </w:rPr>
              <w:t xml:space="preserve">; article 9 </w:t>
            </w:r>
            <w:r w:rsidRPr="0080620A">
              <w:rPr>
                <w:b/>
              </w:rPr>
              <w:t>(</w:t>
            </w:r>
            <w:r w:rsidR="004B5046" w:rsidRPr="0080620A">
              <w:rPr>
                <w:b/>
              </w:rPr>
              <w:t>r</w:t>
            </w:r>
            <w:r w:rsidR="00B1107F" w:rsidRPr="0080620A">
              <w:rPr>
                <w:b/>
              </w:rPr>
              <w:t>eleases</w:t>
            </w:r>
            <w:r w:rsidRPr="0080620A">
              <w:rPr>
                <w:b/>
              </w:rPr>
              <w:t>)</w:t>
            </w:r>
            <w:r w:rsidR="003C1126" w:rsidRPr="0080620A">
              <w:rPr>
                <w:b/>
              </w:rPr>
              <w:t>; article 12</w:t>
            </w:r>
            <w:r w:rsidR="00B1107F" w:rsidRPr="0080620A">
              <w:rPr>
                <w:b/>
              </w:rPr>
              <w:t xml:space="preserve"> </w:t>
            </w:r>
            <w:r w:rsidRPr="0080620A">
              <w:rPr>
                <w:b/>
              </w:rPr>
              <w:t>(</w:t>
            </w:r>
            <w:r w:rsidR="003C1126" w:rsidRPr="0080620A">
              <w:rPr>
                <w:b/>
              </w:rPr>
              <w:t>c</w:t>
            </w:r>
            <w:r w:rsidR="00B1107F" w:rsidRPr="0080620A">
              <w:rPr>
                <w:b/>
              </w:rPr>
              <w:t xml:space="preserve">ontaminated </w:t>
            </w:r>
            <w:r w:rsidR="004B5046" w:rsidRPr="0080620A">
              <w:rPr>
                <w:b/>
              </w:rPr>
              <w:t>s</w:t>
            </w:r>
            <w:r w:rsidR="00B1107F" w:rsidRPr="0080620A">
              <w:rPr>
                <w:b/>
              </w:rPr>
              <w:t>ites</w:t>
            </w:r>
            <w:r w:rsidRPr="0080620A">
              <w:rPr>
                <w:b/>
              </w:rPr>
              <w:t>)</w:t>
            </w:r>
            <w:r w:rsidR="00B1107F" w:rsidRPr="0080620A">
              <w:rPr>
                <w:b/>
              </w:rPr>
              <w:t xml:space="preserve"> </w:t>
            </w:r>
          </w:p>
        </w:tc>
        <w:tc>
          <w:tcPr>
            <w:tcW w:w="2504" w:type="dxa"/>
            <w:shd w:val="clear" w:color="auto" w:fill="B8CCE4" w:themeFill="accent1" w:themeFillTint="66"/>
          </w:tcPr>
          <w:p w14:paraId="49FDEE3D" w14:textId="13B1A125" w:rsidR="00B1107F" w:rsidRPr="004D467D" w:rsidRDefault="00B1107F" w:rsidP="009E249F">
            <w:pPr>
              <w:rPr>
                <w:b/>
                <w:bCs/>
              </w:rPr>
            </w:pPr>
            <w:r w:rsidRPr="004D467D">
              <w:t xml:space="preserve">Source of information on </w:t>
            </w:r>
            <w:r w:rsidR="00F16695" w:rsidRPr="004D467D">
              <w:t xml:space="preserve">the </w:t>
            </w:r>
            <w:r w:rsidRPr="004D467D">
              <w:t>indicator</w:t>
            </w:r>
          </w:p>
        </w:tc>
        <w:tc>
          <w:tcPr>
            <w:tcW w:w="2371" w:type="dxa"/>
            <w:shd w:val="clear" w:color="auto" w:fill="B8CCE4" w:themeFill="accent1" w:themeFillTint="66"/>
          </w:tcPr>
          <w:p w14:paraId="2DA96B9C" w14:textId="77777777" w:rsidR="00B1107F" w:rsidRPr="004D467D" w:rsidRDefault="00B1107F" w:rsidP="009E249F">
            <w:pPr>
              <w:rPr>
                <w:b/>
                <w:bCs/>
              </w:rPr>
            </w:pPr>
            <w:r w:rsidRPr="004D467D">
              <w:t>Baseline for the indicator</w:t>
            </w:r>
          </w:p>
        </w:tc>
      </w:tr>
      <w:tr w:rsidR="00B1107F" w:rsidRPr="0080620A" w14:paraId="4AD82F11" w14:textId="77777777" w:rsidTr="00F1134F">
        <w:trPr>
          <w:trHeight w:val="454"/>
          <w:jc w:val="right"/>
        </w:trPr>
        <w:tc>
          <w:tcPr>
            <w:tcW w:w="2830" w:type="dxa"/>
          </w:tcPr>
          <w:p w14:paraId="17B64D1F" w14:textId="6EDB5D19" w:rsidR="00B1107F" w:rsidRPr="0080620A" w:rsidRDefault="00B1107F" w:rsidP="00EE7D24">
            <w:pPr>
              <w:rPr>
                <w:bCs/>
                <w:sz w:val="18"/>
                <w:szCs w:val="18"/>
              </w:rPr>
            </w:pPr>
            <w:r w:rsidRPr="0080620A">
              <w:rPr>
                <w:bCs/>
                <w:sz w:val="18"/>
                <w:szCs w:val="18"/>
              </w:rPr>
              <w:t xml:space="preserve">D1. </w:t>
            </w:r>
            <w:r w:rsidRPr="0080620A">
              <w:rPr>
                <w:rFonts w:eastAsia="Roboto"/>
                <w:bCs/>
                <w:sz w:val="18"/>
                <w:szCs w:val="18"/>
              </w:rPr>
              <w:t xml:space="preserve">Overall process indicator for </w:t>
            </w:r>
            <w:r w:rsidR="003C1126" w:rsidRPr="0080620A">
              <w:rPr>
                <w:rFonts w:eastAsia="Roboto"/>
                <w:bCs/>
                <w:sz w:val="18"/>
                <w:szCs w:val="18"/>
              </w:rPr>
              <w:t>a</w:t>
            </w:r>
            <w:r w:rsidRPr="0080620A">
              <w:rPr>
                <w:rFonts w:eastAsia="Roboto"/>
                <w:bCs/>
                <w:sz w:val="18"/>
                <w:szCs w:val="18"/>
              </w:rPr>
              <w:t>rticles 8, 9 and 12</w:t>
            </w:r>
          </w:p>
        </w:tc>
        <w:tc>
          <w:tcPr>
            <w:tcW w:w="5245" w:type="dxa"/>
          </w:tcPr>
          <w:p w14:paraId="47B968E4" w14:textId="708F70E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Share of </w:t>
            </w:r>
            <w:r w:rsidR="00C32C4C" w:rsidRPr="0080620A">
              <w:rPr>
                <w:rFonts w:eastAsia="Roboto"/>
                <w:sz w:val="18"/>
                <w:szCs w:val="18"/>
              </w:rPr>
              <w:t>p</w:t>
            </w:r>
            <w:r w:rsidRPr="0080620A">
              <w:rPr>
                <w:rFonts w:eastAsia="Roboto"/>
                <w:sz w:val="18"/>
                <w:szCs w:val="18"/>
              </w:rPr>
              <w:t>arties that have implemented key provisions under this cluster</w:t>
            </w:r>
          </w:p>
          <w:p w14:paraId="2EF9C95F" w14:textId="77777777" w:rsidR="00B1107F" w:rsidRPr="0080620A" w:rsidRDefault="00B1107F" w:rsidP="00EE7D24">
            <w:pPr>
              <w:rPr>
                <w:sz w:val="18"/>
                <w:szCs w:val="18"/>
              </w:rPr>
            </w:pPr>
          </w:p>
        </w:tc>
        <w:tc>
          <w:tcPr>
            <w:tcW w:w="2504" w:type="dxa"/>
          </w:tcPr>
          <w:p w14:paraId="3A8B4AF2" w14:textId="0B46FE70" w:rsidR="00B1107F" w:rsidRPr="0080620A" w:rsidRDefault="00B1107F" w:rsidP="00BC69B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Article 21 reporting</w:t>
            </w:r>
          </w:p>
        </w:tc>
        <w:tc>
          <w:tcPr>
            <w:tcW w:w="2371" w:type="dxa"/>
          </w:tcPr>
          <w:p w14:paraId="0CC70A06" w14:textId="63CD453F" w:rsidR="00B1107F" w:rsidRPr="0080620A" w:rsidRDefault="00F1134F" w:rsidP="00EE7D24">
            <w:pPr>
              <w:pBdr>
                <w:top w:val="nil"/>
                <w:left w:val="nil"/>
                <w:bottom w:val="nil"/>
                <w:right w:val="nil"/>
                <w:between w:val="nil"/>
                <w:bar w:val="nil"/>
              </w:pBdr>
              <w:rPr>
                <w:rFonts w:eastAsia="Roboto"/>
                <w:sz w:val="18"/>
                <w:szCs w:val="18"/>
              </w:rPr>
            </w:pPr>
            <w:r w:rsidRPr="0080620A">
              <w:rPr>
                <w:sz w:val="18"/>
                <w:szCs w:val="18"/>
              </w:rPr>
              <w:t>P</w:t>
            </w:r>
            <w:r w:rsidR="004B5046" w:rsidRPr="0080620A">
              <w:rPr>
                <w:sz w:val="18"/>
                <w:szCs w:val="18"/>
              </w:rPr>
              <w:t xml:space="preserve">ercentage </w:t>
            </w:r>
            <w:r w:rsidR="00B1107F" w:rsidRPr="0080620A">
              <w:rPr>
                <w:sz w:val="18"/>
                <w:szCs w:val="18"/>
              </w:rPr>
              <w:t>in the first evaluation</w:t>
            </w:r>
          </w:p>
        </w:tc>
      </w:tr>
      <w:tr w:rsidR="00B1107F" w:rsidRPr="0080620A" w14:paraId="31CC6F1B" w14:textId="77777777" w:rsidTr="00F1134F">
        <w:trPr>
          <w:trHeight w:val="1077"/>
          <w:jc w:val="right"/>
        </w:trPr>
        <w:tc>
          <w:tcPr>
            <w:tcW w:w="2830" w:type="dxa"/>
          </w:tcPr>
          <w:p w14:paraId="6292836E" w14:textId="6099DC18" w:rsidR="00B1107F" w:rsidRPr="0080620A" w:rsidRDefault="00B1107F" w:rsidP="00EE7D24">
            <w:pPr>
              <w:rPr>
                <w:bCs/>
                <w:sz w:val="18"/>
                <w:szCs w:val="18"/>
              </w:rPr>
            </w:pPr>
            <w:r w:rsidRPr="0080620A">
              <w:rPr>
                <w:bCs/>
                <w:sz w:val="18"/>
                <w:szCs w:val="18"/>
              </w:rPr>
              <w:t xml:space="preserve">D2. </w:t>
            </w:r>
            <w:r w:rsidR="00740F92">
              <w:rPr>
                <w:bCs/>
                <w:sz w:val="18"/>
                <w:szCs w:val="18"/>
              </w:rPr>
              <w:t>Cross</w:t>
            </w:r>
            <w:r w:rsidR="00740F92">
              <w:rPr>
                <w:bCs/>
                <w:sz w:val="18"/>
                <w:szCs w:val="18"/>
              </w:rPr>
              <w:noBreakHyphen/>
              <w:t>cutting</w:t>
            </w:r>
            <w:r w:rsidRPr="0080620A">
              <w:rPr>
                <w:bCs/>
                <w:sz w:val="18"/>
                <w:szCs w:val="18"/>
              </w:rPr>
              <w:t xml:space="preserve"> outcome</w:t>
            </w:r>
            <w:r w:rsidRPr="0080620A">
              <w:rPr>
                <w:rFonts w:eastAsia="Roboto"/>
                <w:bCs/>
                <w:sz w:val="18"/>
                <w:szCs w:val="18"/>
              </w:rPr>
              <w:t xml:space="preserve"> indicator for </w:t>
            </w:r>
            <w:r w:rsidR="003C1126" w:rsidRPr="0080620A">
              <w:rPr>
                <w:rFonts w:eastAsia="Roboto"/>
                <w:bCs/>
                <w:sz w:val="18"/>
                <w:szCs w:val="18"/>
              </w:rPr>
              <w:t>a</w:t>
            </w:r>
            <w:r w:rsidRPr="0080620A">
              <w:rPr>
                <w:rFonts w:eastAsia="Roboto"/>
                <w:bCs/>
                <w:sz w:val="18"/>
                <w:szCs w:val="18"/>
              </w:rPr>
              <w:t>rticles 8, 9 and 12</w:t>
            </w:r>
          </w:p>
        </w:tc>
        <w:tc>
          <w:tcPr>
            <w:tcW w:w="5245" w:type="dxa"/>
          </w:tcPr>
          <w:p w14:paraId="29C8EE26" w14:textId="28843044" w:rsidR="00B1107F" w:rsidRPr="0080620A" w:rsidRDefault="00B1107F" w:rsidP="00EE7D24">
            <w:pPr>
              <w:rPr>
                <w:sz w:val="18"/>
                <w:szCs w:val="18"/>
              </w:rPr>
            </w:pPr>
            <w:r w:rsidRPr="0080620A">
              <w:rPr>
                <w:rFonts w:eastAsia="Roboto"/>
                <w:sz w:val="18"/>
                <w:szCs w:val="18"/>
              </w:rPr>
              <w:t xml:space="preserve">Total amount of </w:t>
            </w:r>
            <w:r w:rsidR="00C05B03" w:rsidRPr="0080620A">
              <w:rPr>
                <w:rFonts w:eastAsia="Roboto"/>
                <w:sz w:val="18"/>
                <w:szCs w:val="18"/>
              </w:rPr>
              <w:t xml:space="preserve">mercury </w:t>
            </w:r>
            <w:r w:rsidRPr="0080620A">
              <w:rPr>
                <w:rFonts w:eastAsia="Roboto"/>
                <w:sz w:val="18"/>
                <w:szCs w:val="18"/>
              </w:rPr>
              <w:t xml:space="preserve">emitted and released </w:t>
            </w:r>
          </w:p>
        </w:tc>
        <w:tc>
          <w:tcPr>
            <w:tcW w:w="2504" w:type="dxa"/>
          </w:tcPr>
          <w:p w14:paraId="1C6503D2" w14:textId="723C5959" w:rsidR="00B1107F" w:rsidRPr="0080620A" w:rsidRDefault="00B1107F" w:rsidP="00EE7D24">
            <w:pPr>
              <w:rPr>
                <w:rFonts w:eastAsia="Roboto"/>
                <w:sz w:val="18"/>
                <w:szCs w:val="18"/>
              </w:rPr>
            </w:pPr>
            <w:r w:rsidRPr="0080620A">
              <w:rPr>
                <w:rFonts w:eastAsia="Roboto"/>
                <w:sz w:val="18"/>
                <w:szCs w:val="18"/>
              </w:rPr>
              <w:t>- Global Mercury Assessment</w:t>
            </w:r>
            <w:r w:rsidR="006A08EA" w:rsidRPr="0080620A">
              <w:rPr>
                <w:rFonts w:eastAsia="Roboto"/>
                <w:sz w:val="18"/>
                <w:szCs w:val="18"/>
              </w:rPr>
              <w:t xml:space="preserve"> 2018</w:t>
            </w:r>
          </w:p>
          <w:p w14:paraId="6A5044DC" w14:textId="77777777" w:rsidR="00B1107F" w:rsidRPr="0080620A" w:rsidRDefault="00B1107F" w:rsidP="00EE7D24">
            <w:pPr>
              <w:rPr>
                <w:rFonts w:eastAsia="Roboto"/>
                <w:sz w:val="18"/>
                <w:szCs w:val="18"/>
              </w:rPr>
            </w:pPr>
            <w:r w:rsidRPr="0080620A">
              <w:rPr>
                <w:rFonts w:eastAsia="Roboto"/>
                <w:sz w:val="18"/>
                <w:szCs w:val="18"/>
              </w:rPr>
              <w:t>- Inventories</w:t>
            </w:r>
          </w:p>
          <w:p w14:paraId="246EA741" w14:textId="103C9176" w:rsidR="00B1107F" w:rsidRPr="0080620A" w:rsidRDefault="00B1107F" w:rsidP="00EE7D24">
            <w:pPr>
              <w:rPr>
                <w:rFonts w:eastAsia="Roboto"/>
                <w:sz w:val="18"/>
                <w:szCs w:val="18"/>
              </w:rPr>
            </w:pPr>
            <w:r w:rsidRPr="0080620A">
              <w:rPr>
                <w:rFonts w:eastAsia="Roboto"/>
                <w:sz w:val="18"/>
                <w:szCs w:val="18"/>
              </w:rPr>
              <w:t>- M</w:t>
            </w:r>
            <w:r w:rsidR="008C7CCD" w:rsidRPr="0080620A">
              <w:rPr>
                <w:rFonts w:eastAsia="Roboto"/>
                <w:sz w:val="18"/>
                <w:szCs w:val="18"/>
              </w:rPr>
              <w:t xml:space="preserve">inamata </w:t>
            </w:r>
            <w:r w:rsidR="006C0253" w:rsidRPr="0080620A">
              <w:rPr>
                <w:rFonts w:eastAsia="Roboto"/>
                <w:sz w:val="18"/>
                <w:szCs w:val="18"/>
              </w:rPr>
              <w:t xml:space="preserve">Convention </w:t>
            </w:r>
            <w:r w:rsidR="008C7CCD" w:rsidRPr="0080620A">
              <w:rPr>
                <w:rFonts w:eastAsia="Roboto"/>
                <w:sz w:val="18"/>
                <w:szCs w:val="18"/>
              </w:rPr>
              <w:t>initial assessment</w:t>
            </w:r>
            <w:r w:rsidRPr="0080620A">
              <w:rPr>
                <w:rFonts w:eastAsia="Roboto"/>
                <w:sz w:val="18"/>
                <w:szCs w:val="18"/>
              </w:rPr>
              <w:t>s</w:t>
            </w:r>
          </w:p>
        </w:tc>
        <w:tc>
          <w:tcPr>
            <w:tcW w:w="2371" w:type="dxa"/>
          </w:tcPr>
          <w:p w14:paraId="441341B4" w14:textId="7EA52585" w:rsidR="00B1107F" w:rsidRPr="0080620A" w:rsidRDefault="00F1134F" w:rsidP="00EE7D24">
            <w:pPr>
              <w:rPr>
                <w:rFonts w:eastAsia="Roboto"/>
                <w:sz w:val="18"/>
                <w:szCs w:val="18"/>
              </w:rPr>
            </w:pPr>
            <w:r w:rsidRPr="0080620A">
              <w:rPr>
                <w:sz w:val="18"/>
                <w:szCs w:val="18"/>
              </w:rPr>
              <w:t>A</w:t>
            </w:r>
            <w:r w:rsidR="00B1107F" w:rsidRPr="0080620A">
              <w:rPr>
                <w:sz w:val="18"/>
                <w:szCs w:val="18"/>
              </w:rPr>
              <w:t>mount in the first evaluation</w:t>
            </w:r>
          </w:p>
        </w:tc>
      </w:tr>
      <w:tr w:rsidR="00B1107F" w:rsidRPr="0080620A" w14:paraId="4B1905D6" w14:textId="77777777" w:rsidTr="00F1134F">
        <w:trPr>
          <w:trHeight w:val="227"/>
          <w:jc w:val="right"/>
        </w:trPr>
        <w:tc>
          <w:tcPr>
            <w:tcW w:w="12950" w:type="dxa"/>
            <w:gridSpan w:val="4"/>
            <w:shd w:val="clear" w:color="auto" w:fill="B8CCE4" w:themeFill="accent1" w:themeFillTint="66"/>
          </w:tcPr>
          <w:p w14:paraId="0ACF3B0D" w14:textId="592DC414" w:rsidR="00B1107F" w:rsidRPr="0080620A" w:rsidRDefault="00B1107F" w:rsidP="00EE7D24">
            <w:pPr>
              <w:tabs>
                <w:tab w:val="clear" w:pos="1247"/>
                <w:tab w:val="left" w:pos="1248"/>
                <w:tab w:val="left" w:pos="1872"/>
              </w:tabs>
              <w:rPr>
                <w:sz w:val="18"/>
                <w:szCs w:val="18"/>
              </w:rPr>
            </w:pPr>
            <w:r w:rsidRPr="0080620A">
              <w:rPr>
                <w:b/>
                <w:sz w:val="18"/>
                <w:szCs w:val="18"/>
              </w:rPr>
              <w:t xml:space="preserve">Article 8 </w:t>
            </w:r>
            <w:r w:rsidRPr="0080620A">
              <w:rPr>
                <w:bCs/>
                <w:sz w:val="18"/>
                <w:szCs w:val="18"/>
              </w:rPr>
              <w:t>(</w:t>
            </w:r>
            <w:r w:rsidRPr="0080620A">
              <w:rPr>
                <w:sz w:val="18"/>
                <w:szCs w:val="18"/>
              </w:rPr>
              <w:t xml:space="preserve">The indicators for </w:t>
            </w:r>
            <w:r w:rsidR="003C1126" w:rsidRPr="0080620A">
              <w:rPr>
                <w:sz w:val="18"/>
                <w:szCs w:val="18"/>
              </w:rPr>
              <w:t>a</w:t>
            </w:r>
            <w:r w:rsidRPr="0080620A">
              <w:rPr>
                <w:sz w:val="18"/>
                <w:szCs w:val="18"/>
              </w:rPr>
              <w:t xml:space="preserve">rticle 8 are to be read with the relevant monitoring indicators in </w:t>
            </w:r>
            <w:r w:rsidR="003C1126" w:rsidRPr="0080620A">
              <w:rPr>
                <w:sz w:val="18"/>
                <w:szCs w:val="18"/>
              </w:rPr>
              <w:t>t</w:t>
            </w:r>
            <w:r w:rsidRPr="0080620A">
              <w:rPr>
                <w:sz w:val="18"/>
                <w:szCs w:val="18"/>
              </w:rPr>
              <w:t>able 4.)</w:t>
            </w:r>
          </w:p>
        </w:tc>
      </w:tr>
      <w:tr w:rsidR="00B1107F" w:rsidRPr="0080620A" w14:paraId="697C2E5A" w14:textId="77777777" w:rsidTr="00F1134F">
        <w:trPr>
          <w:trHeight w:val="454"/>
          <w:jc w:val="right"/>
        </w:trPr>
        <w:tc>
          <w:tcPr>
            <w:tcW w:w="2830" w:type="dxa"/>
          </w:tcPr>
          <w:p w14:paraId="1A01D1B7" w14:textId="4BC8168C" w:rsidR="00B1107F" w:rsidRPr="0080620A" w:rsidRDefault="00B1107F" w:rsidP="00EE7D24">
            <w:pPr>
              <w:rPr>
                <w:sz w:val="18"/>
                <w:szCs w:val="18"/>
              </w:rPr>
            </w:pPr>
            <w:r w:rsidRPr="0080620A">
              <w:rPr>
                <w:sz w:val="18"/>
                <w:szCs w:val="18"/>
              </w:rPr>
              <w:t xml:space="preserve">D3. </w:t>
            </w:r>
            <w:r w:rsidRPr="0080620A">
              <w:rPr>
                <w:rFonts w:eastAsia="Roboto"/>
                <w:sz w:val="18"/>
                <w:szCs w:val="18"/>
              </w:rPr>
              <w:t xml:space="preserve">Outcome indicator for </w:t>
            </w:r>
            <w:r w:rsidR="003C1126" w:rsidRPr="0080620A">
              <w:rPr>
                <w:rFonts w:eastAsia="Roboto"/>
                <w:sz w:val="18"/>
                <w:szCs w:val="18"/>
              </w:rPr>
              <w:t>a</w:t>
            </w:r>
            <w:r w:rsidRPr="0080620A">
              <w:rPr>
                <w:rFonts w:eastAsia="Roboto"/>
                <w:sz w:val="18"/>
                <w:szCs w:val="18"/>
              </w:rPr>
              <w:t>rticle 8</w:t>
            </w:r>
          </w:p>
        </w:tc>
        <w:tc>
          <w:tcPr>
            <w:tcW w:w="5245" w:type="dxa"/>
          </w:tcPr>
          <w:p w14:paraId="1F274408" w14:textId="042C66C4" w:rsidR="00B1107F" w:rsidRPr="0080620A" w:rsidRDefault="00B1107F" w:rsidP="00F256E3">
            <w:pPr>
              <w:pBdr>
                <w:top w:val="nil"/>
                <w:left w:val="nil"/>
                <w:bottom w:val="nil"/>
                <w:right w:val="nil"/>
                <w:between w:val="nil"/>
                <w:bar w:val="nil"/>
              </w:pBdr>
              <w:rPr>
                <w:sz w:val="18"/>
                <w:szCs w:val="18"/>
              </w:rPr>
            </w:pPr>
            <w:r w:rsidRPr="0080620A">
              <w:rPr>
                <w:rFonts w:eastAsia="Roboto"/>
                <w:sz w:val="18"/>
                <w:szCs w:val="18"/>
              </w:rPr>
              <w:t xml:space="preserve">Total amount of </w:t>
            </w:r>
            <w:r w:rsidR="00C05B03" w:rsidRPr="0080620A">
              <w:rPr>
                <w:rFonts w:eastAsia="Roboto"/>
                <w:sz w:val="18"/>
                <w:szCs w:val="18"/>
              </w:rPr>
              <w:t xml:space="preserve">mercury </w:t>
            </w:r>
            <w:r w:rsidRPr="0080620A">
              <w:rPr>
                <w:rFonts w:eastAsia="Roboto"/>
                <w:sz w:val="18"/>
                <w:szCs w:val="18"/>
              </w:rPr>
              <w:t xml:space="preserve">emitted </w:t>
            </w:r>
            <w:r w:rsidR="00C6566F" w:rsidRPr="0080620A">
              <w:rPr>
                <w:rFonts w:eastAsia="Roboto"/>
                <w:sz w:val="18"/>
                <w:szCs w:val="18"/>
              </w:rPr>
              <w:t xml:space="preserve">for </w:t>
            </w:r>
            <w:r w:rsidRPr="0080620A">
              <w:rPr>
                <w:rFonts w:eastAsia="Roboto"/>
                <w:sz w:val="18"/>
                <w:szCs w:val="18"/>
              </w:rPr>
              <w:t>each point source categor</w:t>
            </w:r>
            <w:r w:rsidR="00C6566F" w:rsidRPr="0080620A">
              <w:rPr>
                <w:rFonts w:eastAsia="Roboto"/>
                <w:sz w:val="18"/>
                <w:szCs w:val="18"/>
              </w:rPr>
              <w:t>y</w:t>
            </w:r>
            <w:r w:rsidRPr="0080620A">
              <w:rPr>
                <w:rFonts w:eastAsia="Roboto"/>
                <w:sz w:val="18"/>
                <w:szCs w:val="18"/>
              </w:rPr>
              <w:t xml:space="preserve"> in </w:t>
            </w:r>
            <w:r w:rsidR="00C05B03" w:rsidRPr="0080620A">
              <w:rPr>
                <w:rFonts w:eastAsia="Roboto"/>
                <w:sz w:val="18"/>
                <w:szCs w:val="18"/>
              </w:rPr>
              <w:t>a</w:t>
            </w:r>
            <w:r w:rsidRPr="0080620A">
              <w:rPr>
                <w:rFonts w:eastAsia="Roboto"/>
                <w:sz w:val="18"/>
                <w:szCs w:val="18"/>
              </w:rPr>
              <w:t xml:space="preserve">nnex D </w:t>
            </w:r>
          </w:p>
        </w:tc>
        <w:tc>
          <w:tcPr>
            <w:tcW w:w="2504" w:type="dxa"/>
          </w:tcPr>
          <w:p w14:paraId="4069ABB1" w14:textId="44EFAA9E"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Article 21 reporting</w:t>
            </w:r>
          </w:p>
          <w:p w14:paraId="30EC7566" w14:textId="366F1AAF" w:rsidR="00B1107F" w:rsidRPr="0080620A" w:rsidRDefault="00C6566F" w:rsidP="00C6566F">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Inventories</w:t>
            </w:r>
          </w:p>
        </w:tc>
        <w:tc>
          <w:tcPr>
            <w:tcW w:w="2371" w:type="dxa"/>
          </w:tcPr>
          <w:p w14:paraId="7A60AA8F" w14:textId="5F5F8F3A"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173DBEBA" w14:textId="77777777" w:rsidTr="00F1134F">
        <w:trPr>
          <w:trHeight w:val="454"/>
          <w:jc w:val="right"/>
        </w:trPr>
        <w:tc>
          <w:tcPr>
            <w:tcW w:w="2830" w:type="dxa"/>
          </w:tcPr>
          <w:p w14:paraId="5C0B1D04" w14:textId="7006943C" w:rsidR="00B1107F" w:rsidRPr="0080620A" w:rsidRDefault="00B1107F" w:rsidP="00EE7D24">
            <w:pPr>
              <w:rPr>
                <w:sz w:val="18"/>
                <w:szCs w:val="18"/>
              </w:rPr>
            </w:pPr>
            <w:r w:rsidRPr="0080620A">
              <w:rPr>
                <w:sz w:val="18"/>
                <w:szCs w:val="18"/>
              </w:rPr>
              <w:t xml:space="preserve">D4. </w:t>
            </w:r>
            <w:r w:rsidRPr="0080620A">
              <w:rPr>
                <w:rFonts w:eastAsia="Roboto"/>
                <w:sz w:val="18"/>
                <w:szCs w:val="18"/>
              </w:rPr>
              <w:t xml:space="preserve">Process indicator for </w:t>
            </w:r>
            <w:r w:rsidR="003C1126" w:rsidRPr="0080620A">
              <w:rPr>
                <w:rFonts w:eastAsia="Roboto"/>
                <w:sz w:val="18"/>
                <w:szCs w:val="18"/>
              </w:rPr>
              <w:t>a</w:t>
            </w:r>
            <w:r w:rsidRPr="0080620A">
              <w:rPr>
                <w:rFonts w:eastAsia="Roboto"/>
                <w:sz w:val="18"/>
                <w:szCs w:val="18"/>
              </w:rPr>
              <w:t>rticle 8</w:t>
            </w:r>
          </w:p>
        </w:tc>
        <w:tc>
          <w:tcPr>
            <w:tcW w:w="5245" w:type="dxa"/>
          </w:tcPr>
          <w:p w14:paraId="316518FE" w14:textId="71B0B13B"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of </w:t>
            </w:r>
            <w:r w:rsidR="00C05B03" w:rsidRPr="0080620A">
              <w:rPr>
                <w:rFonts w:eastAsia="Roboto"/>
                <w:sz w:val="18"/>
                <w:szCs w:val="18"/>
              </w:rPr>
              <w:t>p</w:t>
            </w:r>
            <w:r w:rsidRPr="0080620A">
              <w:rPr>
                <w:rFonts w:eastAsia="Roboto"/>
                <w:sz w:val="18"/>
                <w:szCs w:val="18"/>
              </w:rPr>
              <w:t xml:space="preserve">arties that require BAT/BEP or emission limit values consistent with the application of </w:t>
            </w:r>
            <w:r w:rsidR="00631600" w:rsidRPr="0080620A">
              <w:rPr>
                <w:rFonts w:eastAsia="Roboto"/>
                <w:sz w:val="18"/>
                <w:szCs w:val="18"/>
              </w:rPr>
              <w:t>BAT</w:t>
            </w:r>
          </w:p>
        </w:tc>
        <w:tc>
          <w:tcPr>
            <w:tcW w:w="2504" w:type="dxa"/>
          </w:tcPr>
          <w:p w14:paraId="0E7C8964"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iCs/>
                <w:sz w:val="18"/>
                <w:szCs w:val="18"/>
              </w:rPr>
              <w:t>- Article 21 reporting</w:t>
            </w:r>
          </w:p>
        </w:tc>
        <w:tc>
          <w:tcPr>
            <w:tcW w:w="2371" w:type="dxa"/>
          </w:tcPr>
          <w:p w14:paraId="5AAF6EE2" w14:textId="228C1594" w:rsidR="00B1107F" w:rsidRPr="0080620A" w:rsidRDefault="006C5116" w:rsidP="00EE7D24">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717B8428" w14:textId="77777777" w:rsidTr="00F1134F">
        <w:trPr>
          <w:trHeight w:val="454"/>
          <w:jc w:val="right"/>
        </w:trPr>
        <w:tc>
          <w:tcPr>
            <w:tcW w:w="2830" w:type="dxa"/>
          </w:tcPr>
          <w:p w14:paraId="36CAAB41" w14:textId="73248D07" w:rsidR="00B1107F" w:rsidRPr="0080620A" w:rsidRDefault="00B1107F" w:rsidP="00EE7D24">
            <w:pPr>
              <w:rPr>
                <w:sz w:val="18"/>
                <w:szCs w:val="18"/>
              </w:rPr>
            </w:pPr>
            <w:r w:rsidRPr="0080620A">
              <w:rPr>
                <w:sz w:val="18"/>
                <w:szCs w:val="18"/>
              </w:rPr>
              <w:t xml:space="preserve">D5. </w:t>
            </w:r>
            <w:r w:rsidRPr="0080620A">
              <w:rPr>
                <w:rFonts w:eastAsia="Roboto"/>
                <w:sz w:val="18"/>
                <w:szCs w:val="18"/>
              </w:rPr>
              <w:t xml:space="preserve">Process indicator for </w:t>
            </w:r>
            <w:r w:rsidR="003C1126" w:rsidRPr="0080620A">
              <w:rPr>
                <w:rFonts w:eastAsia="Roboto"/>
                <w:sz w:val="18"/>
                <w:szCs w:val="18"/>
              </w:rPr>
              <w:t>a</w:t>
            </w:r>
            <w:r w:rsidRPr="0080620A">
              <w:rPr>
                <w:rFonts w:eastAsia="Roboto"/>
                <w:sz w:val="18"/>
                <w:szCs w:val="18"/>
              </w:rPr>
              <w:t>rticle 8</w:t>
            </w:r>
          </w:p>
        </w:tc>
        <w:tc>
          <w:tcPr>
            <w:tcW w:w="5245" w:type="dxa"/>
          </w:tcPr>
          <w:p w14:paraId="1818B39C" w14:textId="5C434392" w:rsidR="00B1107F" w:rsidRPr="0080620A" w:rsidRDefault="00B1107F" w:rsidP="00EE7D24">
            <w:pPr>
              <w:rPr>
                <w:sz w:val="18"/>
                <w:szCs w:val="18"/>
              </w:rPr>
            </w:pPr>
            <w:r w:rsidRPr="0080620A">
              <w:rPr>
                <w:rFonts w:eastAsia="Roboto"/>
                <w:sz w:val="18"/>
                <w:szCs w:val="18"/>
              </w:rPr>
              <w:t xml:space="preserve">Number of parties that have put in place control measures for existing sources (per each of the measures set out in </w:t>
            </w:r>
            <w:r w:rsidR="00C05B03" w:rsidRPr="0080620A">
              <w:rPr>
                <w:rFonts w:eastAsia="Roboto"/>
                <w:sz w:val="18"/>
                <w:szCs w:val="18"/>
              </w:rPr>
              <w:t>a</w:t>
            </w:r>
            <w:r w:rsidRPr="0080620A">
              <w:rPr>
                <w:rFonts w:eastAsia="Roboto"/>
                <w:sz w:val="18"/>
                <w:szCs w:val="18"/>
              </w:rPr>
              <w:t>rticle 8, para</w:t>
            </w:r>
            <w:r w:rsidR="00631600" w:rsidRPr="0080620A">
              <w:rPr>
                <w:rFonts w:eastAsia="Roboto"/>
                <w:sz w:val="18"/>
                <w:szCs w:val="18"/>
              </w:rPr>
              <w:t>.</w:t>
            </w:r>
            <w:r w:rsidRPr="0080620A">
              <w:rPr>
                <w:rFonts w:eastAsia="Roboto"/>
                <w:sz w:val="18"/>
                <w:szCs w:val="18"/>
              </w:rPr>
              <w:t xml:space="preserve"> 5)</w:t>
            </w:r>
          </w:p>
        </w:tc>
        <w:tc>
          <w:tcPr>
            <w:tcW w:w="2504" w:type="dxa"/>
          </w:tcPr>
          <w:p w14:paraId="06AF16BB" w14:textId="77777777" w:rsidR="00B1107F" w:rsidRPr="0080620A" w:rsidRDefault="00B1107F" w:rsidP="00EE7D24">
            <w:pPr>
              <w:rPr>
                <w:rFonts w:eastAsia="Roboto"/>
                <w:sz w:val="18"/>
                <w:szCs w:val="18"/>
              </w:rPr>
            </w:pPr>
            <w:r w:rsidRPr="0080620A">
              <w:rPr>
                <w:iCs/>
                <w:sz w:val="18"/>
                <w:szCs w:val="18"/>
              </w:rPr>
              <w:t>- Article 21 reporting</w:t>
            </w:r>
          </w:p>
        </w:tc>
        <w:tc>
          <w:tcPr>
            <w:tcW w:w="2371" w:type="dxa"/>
          </w:tcPr>
          <w:p w14:paraId="0607BA1C" w14:textId="1B8425F6" w:rsidR="00B1107F" w:rsidRPr="0080620A" w:rsidRDefault="006C5116" w:rsidP="00EE7D24">
            <w:pP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4F5D9743" w14:textId="77777777" w:rsidTr="00F1134F">
        <w:trPr>
          <w:trHeight w:val="454"/>
          <w:jc w:val="right"/>
        </w:trPr>
        <w:tc>
          <w:tcPr>
            <w:tcW w:w="2830" w:type="dxa"/>
          </w:tcPr>
          <w:p w14:paraId="2A89F761" w14:textId="37B113C0" w:rsidR="00B1107F" w:rsidRPr="0080620A" w:rsidRDefault="00B1107F" w:rsidP="00EE7D24">
            <w:pPr>
              <w:rPr>
                <w:sz w:val="18"/>
                <w:szCs w:val="18"/>
              </w:rPr>
            </w:pPr>
            <w:r w:rsidRPr="0080620A">
              <w:rPr>
                <w:sz w:val="18"/>
                <w:szCs w:val="18"/>
              </w:rPr>
              <w:t xml:space="preserve">D6. Process indicator for </w:t>
            </w:r>
            <w:r w:rsidR="003C1126" w:rsidRPr="0080620A">
              <w:rPr>
                <w:sz w:val="18"/>
                <w:szCs w:val="18"/>
              </w:rPr>
              <w:t>a</w:t>
            </w:r>
            <w:r w:rsidRPr="0080620A">
              <w:rPr>
                <w:sz w:val="18"/>
                <w:szCs w:val="18"/>
              </w:rPr>
              <w:t>rticle 8</w:t>
            </w:r>
          </w:p>
        </w:tc>
        <w:tc>
          <w:tcPr>
            <w:tcW w:w="5245" w:type="dxa"/>
          </w:tcPr>
          <w:p w14:paraId="09E42007" w14:textId="77777777" w:rsidR="00B1107F" w:rsidRPr="0080620A" w:rsidRDefault="00B1107F" w:rsidP="00EE7D24">
            <w:pPr>
              <w:rPr>
                <w:rFonts w:eastAsia="Roboto"/>
                <w:sz w:val="18"/>
                <w:szCs w:val="18"/>
              </w:rPr>
            </w:pPr>
            <w:r w:rsidRPr="0080620A">
              <w:rPr>
                <w:rFonts w:eastAsia="Roboto"/>
                <w:sz w:val="18"/>
                <w:szCs w:val="18"/>
              </w:rPr>
              <w:t xml:space="preserve">Number of parties that have established and maintained an inventory of emissions </w:t>
            </w:r>
          </w:p>
        </w:tc>
        <w:tc>
          <w:tcPr>
            <w:tcW w:w="2504" w:type="dxa"/>
          </w:tcPr>
          <w:p w14:paraId="0FAD7394" w14:textId="77777777" w:rsidR="00B1107F" w:rsidRPr="0080620A" w:rsidRDefault="00B1107F" w:rsidP="00EE7D24">
            <w:pPr>
              <w:rPr>
                <w:iCs/>
                <w:sz w:val="18"/>
                <w:szCs w:val="18"/>
              </w:rPr>
            </w:pPr>
            <w:r w:rsidRPr="0080620A">
              <w:rPr>
                <w:iCs/>
                <w:sz w:val="18"/>
                <w:szCs w:val="18"/>
              </w:rPr>
              <w:t>- Article 21 reporting</w:t>
            </w:r>
          </w:p>
        </w:tc>
        <w:tc>
          <w:tcPr>
            <w:tcW w:w="2371" w:type="dxa"/>
          </w:tcPr>
          <w:p w14:paraId="0C37AFBD" w14:textId="1F4F8E3C" w:rsidR="00B1107F" w:rsidRPr="0080620A" w:rsidRDefault="006C5116" w:rsidP="00EE7D24">
            <w:pPr>
              <w:rPr>
                <w:sz w:val="18"/>
                <w:szCs w:val="18"/>
              </w:rPr>
            </w:pPr>
            <w:r w:rsidRPr="0080620A">
              <w:rPr>
                <w:sz w:val="18"/>
                <w:szCs w:val="18"/>
              </w:rPr>
              <w:t>N</w:t>
            </w:r>
            <w:r w:rsidR="00B1107F" w:rsidRPr="0080620A">
              <w:rPr>
                <w:sz w:val="18"/>
                <w:szCs w:val="18"/>
              </w:rPr>
              <w:t>umber in the first evaluation</w:t>
            </w:r>
          </w:p>
        </w:tc>
      </w:tr>
      <w:tr w:rsidR="00B1107F" w:rsidRPr="0080620A" w14:paraId="6B9D4916" w14:textId="77777777" w:rsidTr="00F1134F">
        <w:trPr>
          <w:trHeight w:val="227"/>
          <w:jc w:val="right"/>
        </w:trPr>
        <w:tc>
          <w:tcPr>
            <w:tcW w:w="12950" w:type="dxa"/>
            <w:gridSpan w:val="4"/>
            <w:shd w:val="clear" w:color="auto" w:fill="B8CCE4" w:themeFill="accent1" w:themeFillTint="66"/>
          </w:tcPr>
          <w:p w14:paraId="5480C89E" w14:textId="66BDC93B" w:rsidR="00B1107F" w:rsidRPr="0080620A" w:rsidRDefault="00B1107F" w:rsidP="00EE7D24">
            <w:pPr>
              <w:tabs>
                <w:tab w:val="left" w:pos="1872"/>
              </w:tabs>
              <w:rPr>
                <w:sz w:val="18"/>
                <w:szCs w:val="18"/>
              </w:rPr>
            </w:pPr>
            <w:r w:rsidRPr="0080620A">
              <w:rPr>
                <w:b/>
                <w:sz w:val="18"/>
                <w:szCs w:val="18"/>
              </w:rPr>
              <w:t xml:space="preserve">Article 9 </w:t>
            </w:r>
            <w:r w:rsidRPr="0080620A">
              <w:rPr>
                <w:bCs/>
                <w:sz w:val="18"/>
                <w:szCs w:val="18"/>
              </w:rPr>
              <w:t>(</w:t>
            </w:r>
            <w:r w:rsidRPr="0080620A">
              <w:rPr>
                <w:sz w:val="18"/>
                <w:szCs w:val="18"/>
              </w:rPr>
              <w:t xml:space="preserve">The indicators for </w:t>
            </w:r>
            <w:r w:rsidR="003C1126" w:rsidRPr="0080620A">
              <w:rPr>
                <w:sz w:val="18"/>
                <w:szCs w:val="18"/>
              </w:rPr>
              <w:t>a</w:t>
            </w:r>
            <w:r w:rsidRPr="0080620A">
              <w:rPr>
                <w:sz w:val="18"/>
                <w:szCs w:val="18"/>
              </w:rPr>
              <w:t xml:space="preserve">rticle 9 are to be read with the relevant monitoring indicators in </w:t>
            </w:r>
            <w:r w:rsidR="003C1126" w:rsidRPr="0080620A">
              <w:rPr>
                <w:sz w:val="18"/>
                <w:szCs w:val="18"/>
              </w:rPr>
              <w:t>t</w:t>
            </w:r>
            <w:r w:rsidRPr="0080620A">
              <w:rPr>
                <w:sz w:val="18"/>
                <w:szCs w:val="18"/>
              </w:rPr>
              <w:t>able 4.)</w:t>
            </w:r>
          </w:p>
        </w:tc>
      </w:tr>
      <w:tr w:rsidR="00B1107F" w:rsidRPr="0080620A" w14:paraId="784E3814" w14:textId="77777777" w:rsidTr="00F1134F">
        <w:trPr>
          <w:trHeight w:val="454"/>
          <w:jc w:val="right"/>
        </w:trPr>
        <w:tc>
          <w:tcPr>
            <w:tcW w:w="2830" w:type="dxa"/>
          </w:tcPr>
          <w:p w14:paraId="0C09BC38" w14:textId="19DDC0C4"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D7. Outcome indicator for </w:t>
            </w:r>
            <w:r w:rsidR="003C1126" w:rsidRPr="0080620A">
              <w:rPr>
                <w:sz w:val="18"/>
                <w:szCs w:val="18"/>
              </w:rPr>
              <w:t>a</w:t>
            </w:r>
            <w:r w:rsidRPr="0080620A">
              <w:rPr>
                <w:sz w:val="18"/>
                <w:szCs w:val="18"/>
              </w:rPr>
              <w:t>rticle 9</w:t>
            </w:r>
          </w:p>
        </w:tc>
        <w:tc>
          <w:tcPr>
            <w:tcW w:w="5245" w:type="dxa"/>
          </w:tcPr>
          <w:p w14:paraId="7A48C59D" w14:textId="5142FC79" w:rsidR="00B1107F" w:rsidRPr="0080620A" w:rsidRDefault="00B1107F" w:rsidP="00C32C4C">
            <w:pPr>
              <w:pBdr>
                <w:top w:val="nil"/>
                <w:left w:val="nil"/>
                <w:bottom w:val="nil"/>
                <w:right w:val="nil"/>
                <w:between w:val="nil"/>
                <w:bar w:val="nil"/>
              </w:pBdr>
              <w:rPr>
                <w:rFonts w:eastAsia="Roboto"/>
                <w:sz w:val="18"/>
                <w:szCs w:val="18"/>
              </w:rPr>
            </w:pPr>
            <w:r w:rsidRPr="0080620A">
              <w:rPr>
                <w:rFonts w:eastAsia="Roboto"/>
                <w:sz w:val="18"/>
                <w:szCs w:val="18"/>
              </w:rPr>
              <w:t xml:space="preserve">Total amount of </w:t>
            </w:r>
            <w:r w:rsidR="00C6566F" w:rsidRPr="0080620A">
              <w:rPr>
                <w:rFonts w:eastAsia="Roboto"/>
                <w:sz w:val="18"/>
                <w:szCs w:val="18"/>
              </w:rPr>
              <w:t>mercury</w:t>
            </w:r>
            <w:r w:rsidRPr="0080620A">
              <w:rPr>
                <w:rFonts w:eastAsia="Roboto"/>
                <w:sz w:val="18"/>
                <w:szCs w:val="18"/>
              </w:rPr>
              <w:t xml:space="preserve"> releases in the inventory from relevant sources </w:t>
            </w:r>
          </w:p>
        </w:tc>
        <w:tc>
          <w:tcPr>
            <w:tcW w:w="2504" w:type="dxa"/>
          </w:tcPr>
          <w:p w14:paraId="54D212D7"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Article 21 reporting</w:t>
            </w:r>
          </w:p>
          <w:p w14:paraId="1A29B739" w14:textId="1DDCE2B3" w:rsidR="00B1107F" w:rsidRPr="0080620A" w:rsidRDefault="00C6566F" w:rsidP="00EE7D24">
            <w:pPr>
              <w:pBdr>
                <w:top w:val="nil"/>
                <w:left w:val="nil"/>
                <w:bottom w:val="nil"/>
                <w:right w:val="nil"/>
                <w:between w:val="nil"/>
                <w:bar w:val="nil"/>
              </w:pBdr>
              <w:rPr>
                <w:rFonts w:eastAsia="Roboto"/>
                <w:sz w:val="18"/>
                <w:szCs w:val="18"/>
              </w:rPr>
            </w:pPr>
            <w:r w:rsidRPr="0080620A">
              <w:rPr>
                <w:rFonts w:eastAsia="Roboto"/>
                <w:sz w:val="18"/>
                <w:szCs w:val="18"/>
              </w:rPr>
              <w:t>- Inventories</w:t>
            </w:r>
          </w:p>
        </w:tc>
        <w:tc>
          <w:tcPr>
            <w:tcW w:w="2371" w:type="dxa"/>
          </w:tcPr>
          <w:p w14:paraId="4D66B583" w14:textId="11DC84CD"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2A4F163C" w14:textId="77777777" w:rsidTr="00902F3B">
        <w:trPr>
          <w:trHeight w:val="255"/>
          <w:jc w:val="right"/>
        </w:trPr>
        <w:tc>
          <w:tcPr>
            <w:tcW w:w="2830" w:type="dxa"/>
          </w:tcPr>
          <w:p w14:paraId="6BCA6122" w14:textId="53DF73F4"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D8. Process indicator for </w:t>
            </w:r>
            <w:r w:rsidR="003C1126" w:rsidRPr="0080620A">
              <w:rPr>
                <w:sz w:val="18"/>
                <w:szCs w:val="18"/>
              </w:rPr>
              <w:t>a</w:t>
            </w:r>
            <w:r w:rsidRPr="0080620A">
              <w:rPr>
                <w:sz w:val="18"/>
                <w:szCs w:val="18"/>
              </w:rPr>
              <w:t>rticle 9</w:t>
            </w:r>
          </w:p>
        </w:tc>
        <w:tc>
          <w:tcPr>
            <w:tcW w:w="5245" w:type="dxa"/>
          </w:tcPr>
          <w:p w14:paraId="064A2E11" w14:textId="3E703C6B" w:rsidR="00B1107F" w:rsidRPr="0080620A" w:rsidRDefault="00B1107F" w:rsidP="006A1927">
            <w:pPr>
              <w:pBdr>
                <w:top w:val="nil"/>
                <w:left w:val="nil"/>
                <w:bottom w:val="nil"/>
                <w:right w:val="nil"/>
                <w:between w:val="nil"/>
                <w:bar w:val="nil"/>
              </w:pBdr>
              <w:rPr>
                <w:rFonts w:eastAsia="Roboto"/>
                <w:sz w:val="18"/>
                <w:szCs w:val="18"/>
              </w:rPr>
            </w:pPr>
            <w:r w:rsidRPr="0080620A">
              <w:rPr>
                <w:rFonts w:eastAsia="Roboto"/>
                <w:sz w:val="18"/>
                <w:szCs w:val="18"/>
              </w:rPr>
              <w:t>Number of parties that have identified relevant sources</w:t>
            </w:r>
          </w:p>
        </w:tc>
        <w:tc>
          <w:tcPr>
            <w:tcW w:w="2504" w:type="dxa"/>
          </w:tcPr>
          <w:p w14:paraId="66D5FAF8"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71" w:type="dxa"/>
          </w:tcPr>
          <w:p w14:paraId="3A09F029" w14:textId="72CABA79"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3424D2A5" w14:textId="77777777" w:rsidTr="00F1134F">
        <w:trPr>
          <w:trHeight w:val="454"/>
          <w:jc w:val="right"/>
        </w:trPr>
        <w:tc>
          <w:tcPr>
            <w:tcW w:w="2830" w:type="dxa"/>
          </w:tcPr>
          <w:p w14:paraId="3714BE42" w14:textId="6660997C"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D9. Process indicator for </w:t>
            </w:r>
            <w:r w:rsidR="003C1126" w:rsidRPr="0080620A">
              <w:rPr>
                <w:sz w:val="18"/>
                <w:szCs w:val="18"/>
              </w:rPr>
              <w:t>a</w:t>
            </w:r>
            <w:r w:rsidRPr="0080620A">
              <w:rPr>
                <w:sz w:val="18"/>
                <w:szCs w:val="18"/>
              </w:rPr>
              <w:t>rticle 9</w:t>
            </w:r>
          </w:p>
        </w:tc>
        <w:tc>
          <w:tcPr>
            <w:tcW w:w="5245" w:type="dxa"/>
          </w:tcPr>
          <w:p w14:paraId="31D3C83D"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Number of parties that have established and maintained an inventory of releases from relevant sources</w:t>
            </w:r>
          </w:p>
        </w:tc>
        <w:tc>
          <w:tcPr>
            <w:tcW w:w="2504" w:type="dxa"/>
          </w:tcPr>
          <w:p w14:paraId="24B592F8"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71" w:type="dxa"/>
          </w:tcPr>
          <w:p w14:paraId="64D40085" w14:textId="22ED08AF"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718338EF" w14:textId="77777777" w:rsidTr="00F1134F">
        <w:trPr>
          <w:trHeight w:val="227"/>
          <w:jc w:val="right"/>
        </w:trPr>
        <w:tc>
          <w:tcPr>
            <w:tcW w:w="2830" w:type="dxa"/>
            <w:shd w:val="clear" w:color="auto" w:fill="B8CCE4" w:themeFill="accent1" w:themeFillTint="66"/>
          </w:tcPr>
          <w:p w14:paraId="03B1E61A" w14:textId="77777777" w:rsidR="00B1107F" w:rsidRPr="0080620A" w:rsidRDefault="00B1107F" w:rsidP="00EE7D24">
            <w:pPr>
              <w:pBdr>
                <w:top w:val="nil"/>
                <w:left w:val="nil"/>
                <w:bottom w:val="nil"/>
                <w:right w:val="nil"/>
                <w:between w:val="nil"/>
                <w:bar w:val="nil"/>
              </w:pBdr>
              <w:tabs>
                <w:tab w:val="left" w:pos="1163"/>
              </w:tabs>
              <w:rPr>
                <w:b/>
                <w:sz w:val="18"/>
                <w:szCs w:val="18"/>
              </w:rPr>
            </w:pPr>
            <w:r w:rsidRPr="0080620A">
              <w:rPr>
                <w:b/>
                <w:sz w:val="18"/>
                <w:szCs w:val="18"/>
              </w:rPr>
              <w:t>Article 12</w:t>
            </w:r>
          </w:p>
        </w:tc>
        <w:tc>
          <w:tcPr>
            <w:tcW w:w="5245" w:type="dxa"/>
            <w:shd w:val="clear" w:color="auto" w:fill="B8CCE4" w:themeFill="accent1" w:themeFillTint="66"/>
          </w:tcPr>
          <w:p w14:paraId="5AD524F9" w14:textId="77777777" w:rsidR="00B1107F" w:rsidRPr="0080620A" w:rsidRDefault="00B1107F" w:rsidP="00EE7D24">
            <w:pPr>
              <w:rPr>
                <w:i/>
                <w:iCs/>
                <w:color w:val="4F81BD" w:themeColor="accent1"/>
                <w:sz w:val="18"/>
                <w:szCs w:val="18"/>
              </w:rPr>
            </w:pPr>
          </w:p>
        </w:tc>
        <w:tc>
          <w:tcPr>
            <w:tcW w:w="2504" w:type="dxa"/>
            <w:shd w:val="clear" w:color="auto" w:fill="B8CCE4" w:themeFill="accent1" w:themeFillTint="66"/>
          </w:tcPr>
          <w:p w14:paraId="3DF840C5" w14:textId="77777777" w:rsidR="00B1107F" w:rsidRPr="0080620A" w:rsidRDefault="00B1107F" w:rsidP="00EE7D24">
            <w:pPr>
              <w:rPr>
                <w:i/>
                <w:iCs/>
                <w:color w:val="4F81BD" w:themeColor="accent1"/>
                <w:sz w:val="18"/>
                <w:szCs w:val="18"/>
              </w:rPr>
            </w:pPr>
          </w:p>
        </w:tc>
        <w:tc>
          <w:tcPr>
            <w:tcW w:w="2371" w:type="dxa"/>
            <w:shd w:val="clear" w:color="auto" w:fill="B8CCE4" w:themeFill="accent1" w:themeFillTint="66"/>
          </w:tcPr>
          <w:p w14:paraId="77D99703" w14:textId="77777777" w:rsidR="00B1107F" w:rsidRPr="0080620A" w:rsidRDefault="00B1107F" w:rsidP="00EE7D24">
            <w:pPr>
              <w:rPr>
                <w:i/>
                <w:iCs/>
                <w:color w:val="4F81BD" w:themeColor="accent1"/>
                <w:sz w:val="18"/>
                <w:szCs w:val="18"/>
              </w:rPr>
            </w:pPr>
          </w:p>
        </w:tc>
      </w:tr>
      <w:tr w:rsidR="00B1107F" w:rsidRPr="0080620A" w14:paraId="1A1A1E0D" w14:textId="77777777" w:rsidTr="00F1134F">
        <w:trPr>
          <w:trHeight w:val="454"/>
          <w:jc w:val="right"/>
        </w:trPr>
        <w:tc>
          <w:tcPr>
            <w:tcW w:w="2830" w:type="dxa"/>
          </w:tcPr>
          <w:p w14:paraId="522C29ED" w14:textId="7A72E4DB"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D</w:t>
            </w:r>
            <w:r w:rsidR="00035D43" w:rsidRPr="0080620A">
              <w:rPr>
                <w:sz w:val="18"/>
                <w:szCs w:val="18"/>
              </w:rPr>
              <w:t>10</w:t>
            </w:r>
            <w:r w:rsidRPr="0080620A">
              <w:rPr>
                <w:sz w:val="18"/>
                <w:szCs w:val="18"/>
              </w:rPr>
              <w:t xml:space="preserve">. Process indicator for </w:t>
            </w:r>
            <w:r w:rsidR="003C1126" w:rsidRPr="0080620A">
              <w:rPr>
                <w:sz w:val="18"/>
                <w:szCs w:val="18"/>
              </w:rPr>
              <w:t>a</w:t>
            </w:r>
            <w:r w:rsidRPr="0080620A">
              <w:rPr>
                <w:sz w:val="18"/>
                <w:szCs w:val="18"/>
              </w:rPr>
              <w:t>rticle 12</w:t>
            </w:r>
          </w:p>
        </w:tc>
        <w:tc>
          <w:tcPr>
            <w:tcW w:w="5245" w:type="dxa"/>
          </w:tcPr>
          <w:p w14:paraId="035141BE"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Number of parties that have developed strategies for identifying and assessing sites contaminated by mercury or mercury compounds</w:t>
            </w:r>
          </w:p>
        </w:tc>
        <w:tc>
          <w:tcPr>
            <w:tcW w:w="2504" w:type="dxa"/>
          </w:tcPr>
          <w:p w14:paraId="5F53C4ED"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71" w:type="dxa"/>
          </w:tcPr>
          <w:p w14:paraId="2BB6AD11" w14:textId="24C2AA1C"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252AA6C4" w14:textId="77777777" w:rsidTr="00902F3B">
        <w:trPr>
          <w:trHeight w:val="255"/>
          <w:jc w:val="right"/>
        </w:trPr>
        <w:tc>
          <w:tcPr>
            <w:tcW w:w="2830" w:type="dxa"/>
          </w:tcPr>
          <w:p w14:paraId="76FF8706" w14:textId="5B04B416"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D1</w:t>
            </w:r>
            <w:r w:rsidR="00035D43" w:rsidRPr="0080620A">
              <w:rPr>
                <w:sz w:val="18"/>
                <w:szCs w:val="18"/>
              </w:rPr>
              <w:t>1</w:t>
            </w:r>
            <w:r w:rsidRPr="0080620A">
              <w:rPr>
                <w:sz w:val="18"/>
                <w:szCs w:val="18"/>
              </w:rPr>
              <w:t xml:space="preserve">. Process indicator for </w:t>
            </w:r>
            <w:r w:rsidR="003C1126" w:rsidRPr="0080620A">
              <w:rPr>
                <w:sz w:val="18"/>
                <w:szCs w:val="18"/>
              </w:rPr>
              <w:t>a</w:t>
            </w:r>
            <w:r w:rsidRPr="0080620A">
              <w:rPr>
                <w:sz w:val="18"/>
                <w:szCs w:val="18"/>
              </w:rPr>
              <w:t>rticle 12</w:t>
            </w:r>
          </w:p>
        </w:tc>
        <w:tc>
          <w:tcPr>
            <w:tcW w:w="5245" w:type="dxa"/>
          </w:tcPr>
          <w:p w14:paraId="43EBFB1F" w14:textId="5E7D8782" w:rsidR="00B1107F" w:rsidRPr="0080620A" w:rsidRDefault="00B1107F" w:rsidP="00EE7D24">
            <w:pPr>
              <w:pBdr>
                <w:top w:val="nil"/>
                <w:left w:val="nil"/>
                <w:bottom w:val="nil"/>
                <w:right w:val="nil"/>
                <w:between w:val="nil"/>
                <w:bar w:val="nil"/>
              </w:pBdr>
              <w:tabs>
                <w:tab w:val="left" w:pos="1163"/>
              </w:tabs>
              <w:rPr>
                <w:rFonts w:eastAsia="Roboto"/>
                <w:spacing w:val="-2"/>
                <w:sz w:val="18"/>
                <w:szCs w:val="18"/>
              </w:rPr>
            </w:pPr>
            <w:r w:rsidRPr="0080620A">
              <w:rPr>
                <w:rFonts w:eastAsia="Roboto"/>
                <w:spacing w:val="-2"/>
                <w:sz w:val="18"/>
                <w:szCs w:val="18"/>
              </w:rPr>
              <w:t xml:space="preserve">Number of parties that have developed </w:t>
            </w:r>
            <w:r w:rsidR="00E703E1" w:rsidRPr="0080620A">
              <w:rPr>
                <w:rFonts w:eastAsia="Roboto"/>
                <w:spacing w:val="-2"/>
                <w:sz w:val="18"/>
                <w:szCs w:val="18"/>
              </w:rPr>
              <w:t xml:space="preserve">an </w:t>
            </w:r>
            <w:r w:rsidRPr="0080620A">
              <w:rPr>
                <w:rFonts w:eastAsia="Roboto"/>
                <w:spacing w:val="-2"/>
                <w:sz w:val="18"/>
                <w:szCs w:val="18"/>
              </w:rPr>
              <w:t>inventory of contaminated sites</w:t>
            </w:r>
          </w:p>
        </w:tc>
        <w:tc>
          <w:tcPr>
            <w:tcW w:w="2504" w:type="dxa"/>
          </w:tcPr>
          <w:p w14:paraId="4F0DBD89"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iCs/>
                <w:sz w:val="18"/>
                <w:szCs w:val="18"/>
              </w:rPr>
              <w:t>- Article 21 reporting</w:t>
            </w:r>
          </w:p>
        </w:tc>
        <w:tc>
          <w:tcPr>
            <w:tcW w:w="2371" w:type="dxa"/>
          </w:tcPr>
          <w:p w14:paraId="5D2D1279" w14:textId="10C46610" w:rsidR="00B1107F" w:rsidRPr="0080620A" w:rsidRDefault="006C5116" w:rsidP="00EE7D24">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4AD711E0" w14:textId="77777777" w:rsidTr="00F1134F">
        <w:trPr>
          <w:trHeight w:val="227"/>
          <w:jc w:val="right"/>
        </w:trPr>
        <w:tc>
          <w:tcPr>
            <w:tcW w:w="2830" w:type="dxa"/>
            <w:shd w:val="clear" w:color="auto" w:fill="B8CCE4" w:themeFill="accent1" w:themeFillTint="66"/>
          </w:tcPr>
          <w:p w14:paraId="704C7BE0" w14:textId="77777777" w:rsidR="00B1107F" w:rsidRPr="0080620A" w:rsidRDefault="00B1107F" w:rsidP="00EE7D24">
            <w:pPr>
              <w:rPr>
                <w:sz w:val="18"/>
                <w:szCs w:val="18"/>
              </w:rPr>
            </w:pPr>
            <w:r w:rsidRPr="0080620A">
              <w:rPr>
                <w:b/>
                <w:bCs/>
                <w:sz w:val="18"/>
                <w:szCs w:val="18"/>
              </w:rPr>
              <w:t>Notes</w:t>
            </w:r>
          </w:p>
        </w:tc>
        <w:tc>
          <w:tcPr>
            <w:tcW w:w="10120" w:type="dxa"/>
            <w:gridSpan w:val="3"/>
          </w:tcPr>
          <w:p w14:paraId="413935F0" w14:textId="72A09E79" w:rsidR="00B1107F" w:rsidRPr="0080620A"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620A">
              <w:rPr>
                <w:sz w:val="18"/>
                <w:szCs w:val="18"/>
              </w:rPr>
              <w:t>There may be some data gaps</w:t>
            </w:r>
            <w:r w:rsidR="00E703E1" w:rsidRPr="0080620A">
              <w:rPr>
                <w:sz w:val="18"/>
                <w:szCs w:val="18"/>
              </w:rPr>
              <w:t>,</w:t>
            </w:r>
            <w:r w:rsidRPr="0080620A">
              <w:rPr>
                <w:sz w:val="18"/>
                <w:szCs w:val="18"/>
              </w:rPr>
              <w:t xml:space="preserve"> as </w:t>
            </w:r>
            <w:r w:rsidR="003C1126" w:rsidRPr="0080620A">
              <w:rPr>
                <w:sz w:val="18"/>
                <w:szCs w:val="18"/>
              </w:rPr>
              <w:t>p</w:t>
            </w:r>
            <w:r w:rsidRPr="0080620A">
              <w:rPr>
                <w:sz w:val="18"/>
                <w:szCs w:val="18"/>
              </w:rPr>
              <w:t xml:space="preserve">arties are not obliged to share the information collected </w:t>
            </w:r>
            <w:r w:rsidR="00631600" w:rsidRPr="0080620A">
              <w:rPr>
                <w:sz w:val="18"/>
                <w:szCs w:val="18"/>
              </w:rPr>
              <w:t>as part of</w:t>
            </w:r>
            <w:r w:rsidRPr="0080620A">
              <w:rPr>
                <w:sz w:val="18"/>
                <w:szCs w:val="18"/>
              </w:rPr>
              <w:t xml:space="preserve"> their inventory.</w:t>
            </w:r>
          </w:p>
        </w:tc>
      </w:tr>
    </w:tbl>
    <w:p w14:paraId="4DD6A845" w14:textId="71A6DC0E" w:rsidR="00D907C9" w:rsidRDefault="00D907C9" w:rsidP="00B1107F">
      <w:pPr>
        <w:rPr>
          <w:rFonts w:asciiTheme="majorBidi" w:hAnsiTheme="majorBidi" w:cstheme="majorBidi"/>
          <w:sz w:val="12"/>
          <w:szCs w:val="12"/>
        </w:rPr>
      </w:pPr>
    </w:p>
    <w:p w14:paraId="29550391" w14:textId="77777777" w:rsidR="00D907C9" w:rsidRDefault="00D907C9">
      <w:pPr>
        <w:tabs>
          <w:tab w:val="clear" w:pos="1247"/>
          <w:tab w:val="clear" w:pos="1814"/>
          <w:tab w:val="clear" w:pos="2381"/>
          <w:tab w:val="clear" w:pos="2948"/>
          <w:tab w:val="clear" w:pos="3515"/>
        </w:tabs>
        <w:rPr>
          <w:rFonts w:asciiTheme="majorBidi" w:hAnsiTheme="majorBidi" w:cstheme="majorBidi"/>
          <w:sz w:val="12"/>
          <w:szCs w:val="12"/>
        </w:rPr>
      </w:pPr>
      <w:r>
        <w:rPr>
          <w:rFonts w:asciiTheme="majorBidi" w:hAnsiTheme="majorBidi" w:cstheme="majorBidi"/>
          <w:sz w:val="12"/>
          <w:szCs w:val="12"/>
        </w:rPr>
        <w:br w:type="page"/>
      </w:r>
    </w:p>
    <w:p w14:paraId="409D67E0" w14:textId="77777777" w:rsidR="00D907C9" w:rsidRPr="0080620A" w:rsidRDefault="00D907C9"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33"/>
        <w:gridCol w:w="5435"/>
        <w:gridCol w:w="2627"/>
        <w:gridCol w:w="2425"/>
      </w:tblGrid>
      <w:tr w:rsidR="00B1107F" w:rsidRPr="0080620A" w14:paraId="0EAA43C0" w14:textId="77777777" w:rsidTr="00F1134F">
        <w:trPr>
          <w:trHeight w:val="454"/>
          <w:jc w:val="right"/>
        </w:trPr>
        <w:tc>
          <w:tcPr>
            <w:tcW w:w="8075" w:type="dxa"/>
            <w:gridSpan w:val="2"/>
            <w:shd w:val="clear" w:color="auto" w:fill="B8CCE4" w:themeFill="accent1" w:themeFillTint="66"/>
          </w:tcPr>
          <w:p w14:paraId="29F85C3B" w14:textId="0A1757A7" w:rsidR="00851861" w:rsidRPr="0080620A" w:rsidRDefault="00B1107F" w:rsidP="009E249F">
            <w:pPr>
              <w:rPr>
                <w:b/>
              </w:rPr>
            </w:pPr>
            <w:r w:rsidRPr="0080620A">
              <w:rPr>
                <w:b/>
              </w:rPr>
              <w:t xml:space="preserve">E: Support </w:t>
            </w:r>
            <w:r w:rsidR="003C1126" w:rsidRPr="0080620A">
              <w:rPr>
                <w:b/>
              </w:rPr>
              <w:t>c</w:t>
            </w:r>
            <w:r w:rsidRPr="0080620A">
              <w:rPr>
                <w:b/>
              </w:rPr>
              <w:t xml:space="preserve">luster </w:t>
            </w:r>
          </w:p>
          <w:p w14:paraId="1AAD0B97" w14:textId="3CAE6C91" w:rsidR="00B1107F" w:rsidRPr="0080620A" w:rsidRDefault="00851861" w:rsidP="009E249F">
            <w:r w:rsidRPr="0080620A">
              <w:rPr>
                <w:b/>
              </w:rPr>
              <w:t>A</w:t>
            </w:r>
            <w:r w:rsidR="003C1126" w:rsidRPr="0080620A">
              <w:rPr>
                <w:b/>
              </w:rPr>
              <w:t xml:space="preserve">rticle 13 </w:t>
            </w:r>
            <w:r w:rsidRPr="0080620A">
              <w:rPr>
                <w:b/>
              </w:rPr>
              <w:t>(</w:t>
            </w:r>
            <w:r w:rsidR="003C1126" w:rsidRPr="0080620A">
              <w:rPr>
                <w:b/>
              </w:rPr>
              <w:t>f</w:t>
            </w:r>
            <w:r w:rsidR="00B1107F" w:rsidRPr="0080620A">
              <w:rPr>
                <w:b/>
              </w:rPr>
              <w:t>inancial resources and mechanism</w:t>
            </w:r>
            <w:r w:rsidRPr="0080620A">
              <w:rPr>
                <w:b/>
              </w:rPr>
              <w:t>)</w:t>
            </w:r>
            <w:r w:rsidR="003C1126" w:rsidRPr="0080620A">
              <w:rPr>
                <w:b/>
              </w:rPr>
              <w:t>;</w:t>
            </w:r>
            <w:r w:rsidR="00B1107F" w:rsidRPr="0080620A">
              <w:rPr>
                <w:b/>
              </w:rPr>
              <w:t xml:space="preserve"> </w:t>
            </w:r>
            <w:r w:rsidR="003C1126" w:rsidRPr="0080620A">
              <w:rPr>
                <w:b/>
              </w:rPr>
              <w:t xml:space="preserve">article 14 </w:t>
            </w:r>
            <w:r w:rsidRPr="0080620A">
              <w:rPr>
                <w:b/>
              </w:rPr>
              <w:t>(</w:t>
            </w:r>
            <w:r w:rsidR="003C1126" w:rsidRPr="0080620A">
              <w:rPr>
                <w:b/>
              </w:rPr>
              <w:t>c</w:t>
            </w:r>
            <w:r w:rsidR="00B1107F" w:rsidRPr="0080620A">
              <w:rPr>
                <w:b/>
              </w:rPr>
              <w:t>apacity-building, technical assistance and technology transfer</w:t>
            </w:r>
            <w:r w:rsidRPr="0080620A">
              <w:rPr>
                <w:b/>
              </w:rPr>
              <w:t>)</w:t>
            </w:r>
            <w:r w:rsidR="00B1107F" w:rsidRPr="0080620A">
              <w:rPr>
                <w:b/>
              </w:rPr>
              <w:t xml:space="preserve"> </w:t>
            </w:r>
          </w:p>
        </w:tc>
        <w:tc>
          <w:tcPr>
            <w:tcW w:w="2535" w:type="dxa"/>
            <w:shd w:val="clear" w:color="auto" w:fill="B8CCE4" w:themeFill="accent1" w:themeFillTint="66"/>
          </w:tcPr>
          <w:p w14:paraId="7BA26D54" w14:textId="79160E21" w:rsidR="00B1107F" w:rsidRPr="004D467D" w:rsidRDefault="00B1107F" w:rsidP="009E249F">
            <w:pPr>
              <w:rPr>
                <w:b/>
                <w:bCs/>
              </w:rPr>
            </w:pPr>
            <w:r w:rsidRPr="004D467D">
              <w:t xml:space="preserve">Source of information on </w:t>
            </w:r>
            <w:r w:rsidR="00E703E1" w:rsidRPr="004D467D">
              <w:t xml:space="preserve">the </w:t>
            </w:r>
            <w:r w:rsidRPr="004D467D">
              <w:t>indicator</w:t>
            </w:r>
          </w:p>
        </w:tc>
        <w:tc>
          <w:tcPr>
            <w:tcW w:w="2340" w:type="dxa"/>
            <w:shd w:val="clear" w:color="auto" w:fill="B8CCE4" w:themeFill="accent1" w:themeFillTint="66"/>
          </w:tcPr>
          <w:p w14:paraId="214928AD" w14:textId="77777777" w:rsidR="00B1107F" w:rsidRPr="004D467D" w:rsidRDefault="00B1107F" w:rsidP="009E249F">
            <w:pPr>
              <w:rPr>
                <w:b/>
                <w:bCs/>
              </w:rPr>
            </w:pPr>
            <w:r w:rsidRPr="004D467D">
              <w:t>Baseline for the indicator</w:t>
            </w:r>
          </w:p>
        </w:tc>
      </w:tr>
      <w:tr w:rsidR="00B1107F" w:rsidRPr="0080620A" w14:paraId="641DE59A" w14:textId="77777777" w:rsidTr="00F1134F">
        <w:trPr>
          <w:trHeight w:val="227"/>
          <w:jc w:val="right"/>
        </w:trPr>
        <w:tc>
          <w:tcPr>
            <w:tcW w:w="2830" w:type="dxa"/>
            <w:shd w:val="clear" w:color="auto" w:fill="B8CCE4" w:themeFill="accent1" w:themeFillTint="66"/>
          </w:tcPr>
          <w:p w14:paraId="34F5DA7E" w14:textId="77777777" w:rsidR="00B1107F" w:rsidRPr="0080620A" w:rsidRDefault="00B1107F" w:rsidP="00EE7D24">
            <w:pPr>
              <w:rPr>
                <w:b/>
                <w:sz w:val="18"/>
                <w:szCs w:val="18"/>
              </w:rPr>
            </w:pPr>
            <w:r w:rsidRPr="0080620A">
              <w:rPr>
                <w:b/>
                <w:sz w:val="18"/>
                <w:szCs w:val="18"/>
              </w:rPr>
              <w:t>Article 13</w:t>
            </w:r>
          </w:p>
        </w:tc>
        <w:tc>
          <w:tcPr>
            <w:tcW w:w="5245" w:type="dxa"/>
            <w:shd w:val="clear" w:color="auto" w:fill="B8CCE4" w:themeFill="accent1" w:themeFillTint="66"/>
          </w:tcPr>
          <w:p w14:paraId="56CBE106" w14:textId="77777777" w:rsidR="00B1107F" w:rsidRPr="0080620A" w:rsidRDefault="00B1107F" w:rsidP="00EE7D24">
            <w:pPr>
              <w:rPr>
                <w:sz w:val="18"/>
                <w:szCs w:val="18"/>
              </w:rPr>
            </w:pPr>
          </w:p>
        </w:tc>
        <w:tc>
          <w:tcPr>
            <w:tcW w:w="2535" w:type="dxa"/>
            <w:shd w:val="clear" w:color="auto" w:fill="B8CCE4" w:themeFill="accent1" w:themeFillTint="66"/>
          </w:tcPr>
          <w:p w14:paraId="6684876F" w14:textId="77777777" w:rsidR="00B1107F" w:rsidRPr="0080620A" w:rsidRDefault="00B1107F" w:rsidP="00EE7D24">
            <w:pPr>
              <w:rPr>
                <w:sz w:val="18"/>
                <w:szCs w:val="18"/>
              </w:rPr>
            </w:pPr>
          </w:p>
        </w:tc>
        <w:tc>
          <w:tcPr>
            <w:tcW w:w="2340" w:type="dxa"/>
            <w:shd w:val="clear" w:color="auto" w:fill="B8CCE4" w:themeFill="accent1" w:themeFillTint="66"/>
          </w:tcPr>
          <w:p w14:paraId="054C8884" w14:textId="77777777" w:rsidR="00B1107F" w:rsidRPr="0080620A" w:rsidRDefault="00B1107F" w:rsidP="00EE7D24">
            <w:pPr>
              <w:rPr>
                <w:sz w:val="18"/>
                <w:szCs w:val="18"/>
              </w:rPr>
            </w:pPr>
          </w:p>
        </w:tc>
      </w:tr>
      <w:tr w:rsidR="00B1107F" w:rsidRPr="0080620A" w14:paraId="562E7C05" w14:textId="77777777" w:rsidTr="00232941">
        <w:trPr>
          <w:trHeight w:val="1276"/>
          <w:jc w:val="right"/>
        </w:trPr>
        <w:tc>
          <w:tcPr>
            <w:tcW w:w="2830" w:type="dxa"/>
          </w:tcPr>
          <w:p w14:paraId="69FE20E1" w14:textId="0A87CA99" w:rsidR="00B1107F" w:rsidRPr="0080620A" w:rsidRDefault="00B1107F" w:rsidP="00902F3B">
            <w:pPr>
              <w:rPr>
                <w:sz w:val="18"/>
                <w:szCs w:val="18"/>
              </w:rPr>
            </w:pPr>
            <w:r w:rsidRPr="0080620A">
              <w:rPr>
                <w:sz w:val="18"/>
                <w:szCs w:val="18"/>
              </w:rPr>
              <w:t xml:space="preserve">E1. </w:t>
            </w:r>
            <w:r w:rsidRPr="0080620A">
              <w:rPr>
                <w:rFonts w:eastAsia="Roboto"/>
                <w:sz w:val="18"/>
                <w:szCs w:val="18"/>
              </w:rPr>
              <w:t xml:space="preserve">Process indicator for </w:t>
            </w:r>
            <w:r w:rsidR="003C1126" w:rsidRPr="0080620A">
              <w:rPr>
                <w:rFonts w:eastAsia="Roboto"/>
                <w:sz w:val="18"/>
                <w:szCs w:val="18"/>
              </w:rPr>
              <w:t>a</w:t>
            </w:r>
            <w:r w:rsidRPr="0080620A">
              <w:rPr>
                <w:rFonts w:eastAsia="Roboto"/>
                <w:sz w:val="18"/>
                <w:szCs w:val="18"/>
              </w:rPr>
              <w:t>rticle 13</w:t>
            </w:r>
          </w:p>
        </w:tc>
        <w:tc>
          <w:tcPr>
            <w:tcW w:w="5245" w:type="dxa"/>
          </w:tcPr>
          <w:p w14:paraId="55405312" w14:textId="167413D8" w:rsidR="00B1107F" w:rsidRPr="0080620A" w:rsidRDefault="00B1107F" w:rsidP="00902F3B">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of </w:t>
            </w:r>
            <w:r w:rsidR="003C1126" w:rsidRPr="0080620A">
              <w:rPr>
                <w:rFonts w:eastAsia="Roboto"/>
                <w:sz w:val="18"/>
                <w:szCs w:val="18"/>
              </w:rPr>
              <w:t>p</w:t>
            </w:r>
            <w:r w:rsidRPr="0080620A">
              <w:rPr>
                <w:rFonts w:eastAsia="Roboto"/>
                <w:sz w:val="18"/>
                <w:szCs w:val="18"/>
              </w:rPr>
              <w:t>arties</w:t>
            </w:r>
            <w:r w:rsidR="006A08EA" w:rsidRPr="0080620A">
              <w:rPr>
                <w:rFonts w:eastAsia="Roboto"/>
                <w:sz w:val="18"/>
                <w:szCs w:val="18"/>
              </w:rPr>
              <w:t xml:space="preserve"> that have</w:t>
            </w:r>
            <w:r w:rsidRPr="0080620A">
              <w:rPr>
                <w:rFonts w:eastAsia="Roboto"/>
                <w:sz w:val="18"/>
                <w:szCs w:val="18"/>
              </w:rPr>
              <w:t xml:space="preserve">: </w:t>
            </w:r>
          </w:p>
          <w:p w14:paraId="1FBFB2A2" w14:textId="5FE2F783" w:rsidR="00B1107F" w:rsidRPr="0080620A"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Fonts w:eastAsia="Roboto"/>
                <w:sz w:val="18"/>
                <w:szCs w:val="18"/>
              </w:rPr>
            </w:pPr>
            <w:r w:rsidRPr="0080620A">
              <w:rPr>
                <w:rFonts w:eastAsia="Roboto"/>
                <w:sz w:val="18"/>
                <w:szCs w:val="18"/>
              </w:rPr>
              <w:t>C</w:t>
            </w:r>
            <w:r w:rsidR="00B1107F" w:rsidRPr="0080620A">
              <w:rPr>
                <w:rFonts w:eastAsia="Roboto"/>
                <w:sz w:val="18"/>
                <w:szCs w:val="18"/>
              </w:rPr>
              <w:t xml:space="preserve">ontributed to the financial mechanism referred to in </w:t>
            </w:r>
            <w:r w:rsidR="00E703E1" w:rsidRPr="0080620A">
              <w:rPr>
                <w:rFonts w:eastAsia="Roboto"/>
                <w:sz w:val="18"/>
                <w:szCs w:val="18"/>
              </w:rPr>
              <w:t>art</w:t>
            </w:r>
            <w:r w:rsidR="00631600" w:rsidRPr="0080620A">
              <w:rPr>
                <w:rFonts w:eastAsia="Roboto"/>
                <w:sz w:val="18"/>
                <w:szCs w:val="18"/>
              </w:rPr>
              <w:t>icle</w:t>
            </w:r>
            <w:r w:rsidR="00E703E1" w:rsidRPr="0080620A">
              <w:rPr>
                <w:rFonts w:eastAsia="Roboto"/>
                <w:sz w:val="18"/>
                <w:szCs w:val="18"/>
              </w:rPr>
              <w:t xml:space="preserve"> 13, </w:t>
            </w:r>
            <w:r w:rsidR="00B1107F" w:rsidRPr="0080620A">
              <w:rPr>
                <w:rFonts w:eastAsia="Roboto"/>
                <w:sz w:val="18"/>
                <w:szCs w:val="18"/>
              </w:rPr>
              <w:t>para</w:t>
            </w:r>
            <w:r w:rsidR="00E703E1" w:rsidRPr="0080620A">
              <w:rPr>
                <w:rFonts w:eastAsia="Roboto"/>
                <w:sz w:val="18"/>
                <w:szCs w:val="18"/>
              </w:rPr>
              <w:t xml:space="preserve">. </w:t>
            </w:r>
            <w:r w:rsidR="00B1107F" w:rsidRPr="0080620A">
              <w:rPr>
                <w:rFonts w:eastAsia="Roboto"/>
                <w:sz w:val="18"/>
                <w:szCs w:val="18"/>
              </w:rPr>
              <w:t xml:space="preserve">5 </w:t>
            </w:r>
          </w:p>
          <w:p w14:paraId="1834A335" w14:textId="6A7BAE7A" w:rsidR="00B1107F" w:rsidRPr="0080620A"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Fonts w:eastAsia="Roboto"/>
                <w:sz w:val="18"/>
                <w:szCs w:val="18"/>
              </w:rPr>
            </w:pPr>
            <w:r w:rsidRPr="0080620A">
              <w:rPr>
                <w:rFonts w:eastAsia="Roboto"/>
                <w:sz w:val="18"/>
                <w:szCs w:val="18"/>
              </w:rPr>
              <w:t>R</w:t>
            </w:r>
            <w:r w:rsidR="00B1107F" w:rsidRPr="0080620A">
              <w:rPr>
                <w:rFonts w:eastAsia="Roboto"/>
                <w:sz w:val="18"/>
                <w:szCs w:val="18"/>
              </w:rPr>
              <w:t xml:space="preserve">eceived </w:t>
            </w:r>
            <w:r w:rsidR="00991161" w:rsidRPr="0080620A">
              <w:rPr>
                <w:rFonts w:eastAsia="Roboto"/>
                <w:sz w:val="18"/>
                <w:szCs w:val="18"/>
              </w:rPr>
              <w:t>Global Environment Facility</w:t>
            </w:r>
            <w:r w:rsidR="00B1107F" w:rsidRPr="0080620A">
              <w:rPr>
                <w:rFonts w:eastAsia="Roboto"/>
                <w:sz w:val="18"/>
                <w:szCs w:val="18"/>
              </w:rPr>
              <w:t xml:space="preserve"> resources</w:t>
            </w:r>
          </w:p>
          <w:p w14:paraId="3665DE21" w14:textId="25E165A6" w:rsidR="00B1107F" w:rsidRPr="0080620A"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Fonts w:eastAsia="Roboto"/>
                <w:sz w:val="18"/>
                <w:szCs w:val="18"/>
              </w:rPr>
            </w:pPr>
            <w:r w:rsidRPr="0080620A">
              <w:rPr>
                <w:rFonts w:eastAsia="Roboto"/>
                <w:sz w:val="18"/>
                <w:szCs w:val="18"/>
              </w:rPr>
              <w:t>R</w:t>
            </w:r>
            <w:r w:rsidR="00B1107F" w:rsidRPr="0080620A">
              <w:rPr>
                <w:rFonts w:eastAsia="Roboto"/>
                <w:sz w:val="18"/>
                <w:szCs w:val="18"/>
              </w:rPr>
              <w:t>eceived SIP resources</w:t>
            </w:r>
          </w:p>
          <w:p w14:paraId="74FC196C" w14:textId="0EF27E63" w:rsidR="00E703E1" w:rsidRPr="0080620A" w:rsidRDefault="006A08EA" w:rsidP="00A00B9F">
            <w:pPr>
              <w:pStyle w:val="ListParagraph"/>
              <w:numPr>
                <w:ilvl w:val="0"/>
                <w:numId w:val="16"/>
              </w:numPr>
              <w:pBdr>
                <w:top w:val="nil"/>
                <w:left w:val="nil"/>
                <w:bottom w:val="nil"/>
                <w:right w:val="nil"/>
                <w:between w:val="nil"/>
                <w:bar w:val="nil"/>
              </w:pBdr>
              <w:tabs>
                <w:tab w:val="left" w:pos="1163"/>
              </w:tabs>
              <w:ind w:left="283" w:hanging="175"/>
              <w:rPr>
                <w:rFonts w:eastAsia="Roboto"/>
                <w:sz w:val="18"/>
                <w:szCs w:val="18"/>
              </w:rPr>
            </w:pPr>
            <w:r w:rsidRPr="0080620A">
              <w:rPr>
                <w:rFonts w:eastAsia="Roboto"/>
                <w:sz w:val="18"/>
                <w:szCs w:val="18"/>
              </w:rPr>
              <w:t>M</w:t>
            </w:r>
            <w:r w:rsidR="00B1107F" w:rsidRPr="0080620A">
              <w:rPr>
                <w:rFonts w:eastAsia="Roboto"/>
                <w:sz w:val="18"/>
                <w:szCs w:val="18"/>
              </w:rPr>
              <w:t>obili</w:t>
            </w:r>
            <w:r w:rsidRPr="0080620A">
              <w:rPr>
                <w:rFonts w:eastAsia="Roboto"/>
                <w:sz w:val="18"/>
                <w:szCs w:val="18"/>
              </w:rPr>
              <w:t>z</w:t>
            </w:r>
            <w:r w:rsidR="00B1107F" w:rsidRPr="0080620A">
              <w:rPr>
                <w:rFonts w:eastAsia="Roboto"/>
                <w:sz w:val="18"/>
                <w:szCs w:val="18"/>
              </w:rPr>
              <w:t>ed national resources for implementing the Convention</w:t>
            </w:r>
          </w:p>
          <w:p w14:paraId="1F595E34" w14:textId="527D3597" w:rsidR="00B1107F" w:rsidRPr="0080620A" w:rsidRDefault="00B1107F" w:rsidP="00902F3B">
            <w:pPr>
              <w:pBdr>
                <w:top w:val="nil"/>
                <w:left w:val="nil"/>
                <w:bottom w:val="nil"/>
                <w:right w:val="nil"/>
                <w:between w:val="nil"/>
                <w:bar w:val="nil"/>
              </w:pBdr>
              <w:tabs>
                <w:tab w:val="left" w:pos="1163"/>
              </w:tabs>
              <w:rPr>
                <w:rFonts w:eastAsia="Roboto"/>
                <w:sz w:val="18"/>
                <w:szCs w:val="18"/>
              </w:rPr>
            </w:pPr>
            <w:r w:rsidRPr="0080620A">
              <w:rPr>
                <w:sz w:val="18"/>
                <w:szCs w:val="18"/>
              </w:rPr>
              <w:t>within the reporting period</w:t>
            </w:r>
          </w:p>
        </w:tc>
        <w:tc>
          <w:tcPr>
            <w:tcW w:w="2535" w:type="dxa"/>
          </w:tcPr>
          <w:p w14:paraId="427FA4D1" w14:textId="77777777" w:rsidR="00B1107F" w:rsidRPr="0080620A" w:rsidRDefault="00B1107F" w:rsidP="00902F3B">
            <w:pPr>
              <w:pBdr>
                <w:top w:val="nil"/>
                <w:left w:val="nil"/>
                <w:bottom w:val="nil"/>
                <w:right w:val="nil"/>
                <w:between w:val="nil"/>
                <w:bar w:val="nil"/>
              </w:pBdr>
              <w:tabs>
                <w:tab w:val="left" w:pos="1163"/>
              </w:tabs>
              <w:rPr>
                <w:rFonts w:eastAsia="Roboto"/>
                <w:sz w:val="18"/>
                <w:szCs w:val="18"/>
              </w:rPr>
            </w:pPr>
            <w:r w:rsidRPr="0080620A">
              <w:rPr>
                <w:iCs/>
                <w:sz w:val="18"/>
                <w:szCs w:val="18"/>
              </w:rPr>
              <w:t>- Article 21 reporting</w:t>
            </w:r>
          </w:p>
        </w:tc>
        <w:tc>
          <w:tcPr>
            <w:tcW w:w="2340" w:type="dxa"/>
          </w:tcPr>
          <w:p w14:paraId="35E2BB0C" w14:textId="287DBA1F" w:rsidR="00B1107F" w:rsidRPr="0080620A" w:rsidRDefault="006C5116" w:rsidP="00902F3B">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4DA75699" w14:textId="77777777" w:rsidTr="00232941">
        <w:trPr>
          <w:trHeight w:val="1077"/>
          <w:jc w:val="right"/>
        </w:trPr>
        <w:tc>
          <w:tcPr>
            <w:tcW w:w="2830" w:type="dxa"/>
          </w:tcPr>
          <w:p w14:paraId="5058C2A7" w14:textId="7A5A100C" w:rsidR="00B1107F" w:rsidRPr="0080620A" w:rsidRDefault="00B1107F" w:rsidP="00902F3B">
            <w:pPr>
              <w:rPr>
                <w:sz w:val="18"/>
                <w:szCs w:val="18"/>
              </w:rPr>
            </w:pPr>
            <w:r w:rsidRPr="0080620A">
              <w:rPr>
                <w:sz w:val="18"/>
                <w:szCs w:val="18"/>
              </w:rPr>
              <w:t xml:space="preserve">E2. </w:t>
            </w:r>
            <w:r w:rsidRPr="0080620A">
              <w:rPr>
                <w:rFonts w:eastAsia="Roboto"/>
                <w:sz w:val="18"/>
                <w:szCs w:val="18"/>
              </w:rPr>
              <w:t xml:space="preserve">Process indicator for </w:t>
            </w:r>
            <w:r w:rsidR="003C1126" w:rsidRPr="0080620A">
              <w:rPr>
                <w:rFonts w:eastAsia="Roboto"/>
                <w:sz w:val="18"/>
                <w:szCs w:val="18"/>
              </w:rPr>
              <w:t>a</w:t>
            </w:r>
            <w:r w:rsidRPr="0080620A">
              <w:rPr>
                <w:rFonts w:eastAsia="Roboto"/>
                <w:sz w:val="18"/>
                <w:szCs w:val="18"/>
              </w:rPr>
              <w:t>rticle 13</w:t>
            </w:r>
          </w:p>
        </w:tc>
        <w:tc>
          <w:tcPr>
            <w:tcW w:w="5245" w:type="dxa"/>
          </w:tcPr>
          <w:p w14:paraId="78305DA7" w14:textId="77777777" w:rsidR="00B1107F" w:rsidRPr="0080620A" w:rsidRDefault="00B1107F" w:rsidP="00902F3B">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Amount of resources provided by: </w:t>
            </w:r>
          </w:p>
          <w:p w14:paraId="7285B977" w14:textId="77777777" w:rsidR="00B1107F" w:rsidRPr="0080620A" w:rsidRDefault="00B1107F"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Fonts w:eastAsia="Roboto"/>
                <w:sz w:val="18"/>
                <w:szCs w:val="18"/>
              </w:rPr>
            </w:pPr>
            <w:r w:rsidRPr="0080620A">
              <w:rPr>
                <w:rFonts w:eastAsia="Roboto"/>
                <w:sz w:val="18"/>
                <w:szCs w:val="18"/>
              </w:rPr>
              <w:t>Global Environment Facility</w:t>
            </w:r>
          </w:p>
          <w:p w14:paraId="0F28F65B" w14:textId="21B861D2" w:rsidR="00B1107F" w:rsidRPr="0080620A" w:rsidRDefault="00B1107F"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Fonts w:eastAsia="Roboto"/>
                <w:sz w:val="18"/>
                <w:szCs w:val="18"/>
              </w:rPr>
            </w:pPr>
            <w:r w:rsidRPr="0080620A">
              <w:rPr>
                <w:rFonts w:eastAsia="Roboto"/>
                <w:sz w:val="18"/>
                <w:szCs w:val="18"/>
              </w:rPr>
              <w:t>S</w:t>
            </w:r>
            <w:r w:rsidR="00991161" w:rsidRPr="0080620A">
              <w:rPr>
                <w:rFonts w:eastAsia="Roboto"/>
                <w:sz w:val="18"/>
                <w:szCs w:val="18"/>
              </w:rPr>
              <w:t>IP</w:t>
            </w:r>
          </w:p>
          <w:p w14:paraId="0BDEB634" w14:textId="0434D3A2" w:rsidR="00B1107F" w:rsidRPr="0080620A" w:rsidRDefault="00B1107F"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Fonts w:eastAsia="Roboto"/>
                <w:sz w:val="18"/>
                <w:szCs w:val="18"/>
              </w:rPr>
            </w:pPr>
            <w:r w:rsidRPr="0080620A">
              <w:rPr>
                <w:rFonts w:eastAsia="Roboto"/>
                <w:sz w:val="18"/>
                <w:szCs w:val="18"/>
              </w:rPr>
              <w:t>Bilateral support</w:t>
            </w:r>
            <w:r w:rsidR="00631600" w:rsidRPr="0080620A">
              <w:rPr>
                <w:rFonts w:eastAsia="Roboto"/>
                <w:sz w:val="18"/>
                <w:szCs w:val="18"/>
              </w:rPr>
              <w:t xml:space="preserve"> </w:t>
            </w:r>
            <w:r w:rsidRPr="0080620A">
              <w:rPr>
                <w:rFonts w:eastAsia="Roboto"/>
                <w:sz w:val="18"/>
                <w:szCs w:val="18"/>
              </w:rPr>
              <w:t>within the reporting period</w:t>
            </w:r>
          </w:p>
        </w:tc>
        <w:tc>
          <w:tcPr>
            <w:tcW w:w="2535" w:type="dxa"/>
          </w:tcPr>
          <w:p w14:paraId="7A009B50" w14:textId="77777777" w:rsidR="00B1107F" w:rsidRPr="0080620A" w:rsidRDefault="00B1107F" w:rsidP="00902F3B">
            <w:pPr>
              <w:pBdr>
                <w:top w:val="nil"/>
                <w:left w:val="nil"/>
                <w:bottom w:val="nil"/>
                <w:right w:val="nil"/>
                <w:between w:val="nil"/>
                <w:bar w:val="nil"/>
              </w:pBdr>
              <w:tabs>
                <w:tab w:val="left" w:pos="1163"/>
              </w:tabs>
              <w:rPr>
                <w:iCs/>
                <w:sz w:val="18"/>
                <w:szCs w:val="18"/>
              </w:rPr>
            </w:pPr>
            <w:r w:rsidRPr="0080620A">
              <w:rPr>
                <w:iCs/>
                <w:sz w:val="18"/>
                <w:szCs w:val="18"/>
              </w:rPr>
              <w:t>- Article 21 reporting</w:t>
            </w:r>
          </w:p>
          <w:p w14:paraId="045355A3" w14:textId="77777777" w:rsidR="00B1107F" w:rsidRPr="0080620A" w:rsidRDefault="00B1107F" w:rsidP="00902F3B">
            <w:pPr>
              <w:pBdr>
                <w:top w:val="nil"/>
                <w:left w:val="nil"/>
                <w:bottom w:val="nil"/>
                <w:right w:val="nil"/>
                <w:between w:val="nil"/>
                <w:bar w:val="nil"/>
              </w:pBdr>
              <w:tabs>
                <w:tab w:val="left" w:pos="1163"/>
              </w:tabs>
              <w:rPr>
                <w:rFonts w:eastAsia="Roboto"/>
                <w:sz w:val="18"/>
                <w:szCs w:val="18"/>
              </w:rPr>
            </w:pPr>
            <w:r w:rsidRPr="0080620A">
              <w:rPr>
                <w:rFonts w:eastAsia="Roboto"/>
                <w:iCs/>
                <w:sz w:val="18"/>
                <w:szCs w:val="18"/>
              </w:rPr>
              <w:t>- Other public sources</w:t>
            </w:r>
          </w:p>
        </w:tc>
        <w:tc>
          <w:tcPr>
            <w:tcW w:w="2340" w:type="dxa"/>
          </w:tcPr>
          <w:p w14:paraId="0C08EE36" w14:textId="79A7A346" w:rsidR="00B1107F" w:rsidRPr="0080620A" w:rsidRDefault="006C5116" w:rsidP="00902F3B">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15F8BA52" w14:textId="77777777" w:rsidTr="00232941">
        <w:trPr>
          <w:trHeight w:val="454"/>
          <w:jc w:val="right"/>
        </w:trPr>
        <w:tc>
          <w:tcPr>
            <w:tcW w:w="2830" w:type="dxa"/>
          </w:tcPr>
          <w:p w14:paraId="27B20247" w14:textId="515FFCFC" w:rsidR="00B1107F" w:rsidRPr="0080620A" w:rsidRDefault="00B1107F" w:rsidP="00902F3B">
            <w:pPr>
              <w:pBdr>
                <w:top w:val="nil"/>
                <w:left w:val="nil"/>
                <w:bottom w:val="nil"/>
                <w:right w:val="nil"/>
                <w:between w:val="nil"/>
                <w:bar w:val="nil"/>
              </w:pBdr>
              <w:tabs>
                <w:tab w:val="left" w:pos="1163"/>
              </w:tabs>
              <w:rPr>
                <w:sz w:val="18"/>
                <w:szCs w:val="18"/>
              </w:rPr>
            </w:pPr>
            <w:r w:rsidRPr="0080620A">
              <w:rPr>
                <w:sz w:val="18"/>
                <w:szCs w:val="18"/>
              </w:rPr>
              <w:t xml:space="preserve">E3. Additional </w:t>
            </w:r>
            <w:r w:rsidR="00772D69" w:rsidRPr="0080620A">
              <w:rPr>
                <w:sz w:val="18"/>
                <w:szCs w:val="18"/>
              </w:rPr>
              <w:t>p</w:t>
            </w:r>
            <w:r w:rsidRPr="0080620A">
              <w:rPr>
                <w:sz w:val="18"/>
                <w:szCs w:val="18"/>
              </w:rPr>
              <w:t>rocess indic</w:t>
            </w:r>
            <w:r w:rsidR="00E703E1" w:rsidRPr="0080620A">
              <w:rPr>
                <w:sz w:val="18"/>
                <w:szCs w:val="18"/>
              </w:rPr>
              <w:t>a</w:t>
            </w:r>
            <w:r w:rsidRPr="0080620A">
              <w:rPr>
                <w:sz w:val="18"/>
                <w:szCs w:val="18"/>
              </w:rPr>
              <w:t xml:space="preserve">tor for </w:t>
            </w:r>
            <w:r w:rsidR="00C32C4C" w:rsidRPr="0080620A">
              <w:rPr>
                <w:sz w:val="18"/>
                <w:szCs w:val="18"/>
              </w:rPr>
              <w:t>a</w:t>
            </w:r>
            <w:r w:rsidRPr="0080620A">
              <w:rPr>
                <w:sz w:val="18"/>
                <w:szCs w:val="18"/>
              </w:rPr>
              <w:t>rticle 13</w:t>
            </w:r>
          </w:p>
        </w:tc>
        <w:tc>
          <w:tcPr>
            <w:tcW w:w="5245" w:type="dxa"/>
          </w:tcPr>
          <w:p w14:paraId="730E1756" w14:textId="6A792783" w:rsidR="00B1107F" w:rsidRPr="0080620A" w:rsidRDefault="00B1107F" w:rsidP="00902F3B">
            <w:pPr>
              <w:pBdr>
                <w:top w:val="nil"/>
                <w:left w:val="nil"/>
                <w:bottom w:val="nil"/>
                <w:right w:val="nil"/>
                <w:between w:val="nil"/>
                <w:bar w:val="nil"/>
              </w:pBdr>
              <w:rPr>
                <w:sz w:val="18"/>
                <w:szCs w:val="18"/>
              </w:rPr>
            </w:pPr>
            <w:r w:rsidRPr="0080620A">
              <w:rPr>
                <w:sz w:val="18"/>
                <w:szCs w:val="18"/>
              </w:rPr>
              <w:t xml:space="preserve">Number of recommendations from the financial review reflected in the </w:t>
            </w:r>
            <w:r w:rsidR="00E703E1" w:rsidRPr="0080620A">
              <w:rPr>
                <w:rFonts w:eastAsia="Roboto"/>
                <w:sz w:val="18"/>
                <w:szCs w:val="18"/>
              </w:rPr>
              <w:t>Global Environment Facility</w:t>
            </w:r>
            <w:r w:rsidRPr="0080620A">
              <w:rPr>
                <w:sz w:val="18"/>
                <w:szCs w:val="18"/>
              </w:rPr>
              <w:t>/SIP policy documents</w:t>
            </w:r>
          </w:p>
        </w:tc>
        <w:tc>
          <w:tcPr>
            <w:tcW w:w="2535" w:type="dxa"/>
          </w:tcPr>
          <w:p w14:paraId="7EA22B42" w14:textId="77777777" w:rsidR="00B1107F" w:rsidRPr="0080620A" w:rsidRDefault="00B1107F" w:rsidP="00902F3B">
            <w:pPr>
              <w:pBdr>
                <w:top w:val="nil"/>
                <w:left w:val="nil"/>
                <w:bottom w:val="nil"/>
                <w:right w:val="nil"/>
                <w:between w:val="nil"/>
                <w:bar w:val="nil"/>
              </w:pBdr>
              <w:rPr>
                <w:rFonts w:eastAsia="Roboto"/>
                <w:sz w:val="18"/>
                <w:szCs w:val="18"/>
              </w:rPr>
            </w:pPr>
            <w:r w:rsidRPr="0080620A">
              <w:rPr>
                <w:rFonts w:eastAsia="Roboto"/>
                <w:sz w:val="18"/>
                <w:szCs w:val="18"/>
              </w:rPr>
              <w:t>- Information from policy documents</w:t>
            </w:r>
          </w:p>
        </w:tc>
        <w:tc>
          <w:tcPr>
            <w:tcW w:w="2340" w:type="dxa"/>
          </w:tcPr>
          <w:p w14:paraId="2E628E45" w14:textId="44EDAFDF" w:rsidR="00B1107F" w:rsidRPr="0080620A" w:rsidRDefault="006C5116" w:rsidP="00902F3B">
            <w:pPr>
              <w:pBdr>
                <w:top w:val="nil"/>
                <w:left w:val="nil"/>
                <w:bottom w:val="nil"/>
                <w:right w:val="nil"/>
                <w:between w:val="nil"/>
                <w:bar w:val="nil"/>
              </w:pBdr>
              <w:rPr>
                <w:rFonts w:eastAsia="Roboto"/>
                <w:sz w:val="18"/>
                <w:szCs w:val="18"/>
              </w:rPr>
            </w:pPr>
            <w:r w:rsidRPr="0080620A">
              <w:rPr>
                <w:rFonts w:eastAsia="Roboto"/>
                <w:sz w:val="18"/>
                <w:szCs w:val="18"/>
              </w:rPr>
              <w:t>Z</w:t>
            </w:r>
            <w:r w:rsidR="00B1107F" w:rsidRPr="0080620A">
              <w:rPr>
                <w:rFonts w:eastAsia="Roboto"/>
                <w:sz w:val="18"/>
                <w:szCs w:val="18"/>
              </w:rPr>
              <w:t>ero</w:t>
            </w:r>
          </w:p>
        </w:tc>
      </w:tr>
      <w:tr w:rsidR="00B1107F" w:rsidRPr="0080620A" w14:paraId="00C509CE" w14:textId="77777777" w:rsidTr="00232941">
        <w:trPr>
          <w:trHeight w:val="227"/>
          <w:jc w:val="right"/>
        </w:trPr>
        <w:tc>
          <w:tcPr>
            <w:tcW w:w="2830" w:type="dxa"/>
            <w:shd w:val="clear" w:color="auto" w:fill="B8CCE4" w:themeFill="accent1" w:themeFillTint="66"/>
          </w:tcPr>
          <w:p w14:paraId="021099AF" w14:textId="77777777" w:rsidR="00B1107F" w:rsidRPr="0080620A" w:rsidRDefault="00B1107F" w:rsidP="00C32C4C">
            <w:pPr>
              <w:keepNext/>
              <w:pBdr>
                <w:top w:val="nil"/>
                <w:left w:val="nil"/>
                <w:bottom w:val="nil"/>
                <w:right w:val="nil"/>
                <w:between w:val="nil"/>
                <w:bar w:val="nil"/>
              </w:pBdr>
              <w:tabs>
                <w:tab w:val="left" w:pos="1163"/>
              </w:tabs>
              <w:rPr>
                <w:b/>
                <w:sz w:val="18"/>
                <w:szCs w:val="18"/>
              </w:rPr>
            </w:pPr>
            <w:r w:rsidRPr="0080620A">
              <w:rPr>
                <w:b/>
                <w:sz w:val="18"/>
                <w:szCs w:val="18"/>
              </w:rPr>
              <w:t>Article 14</w:t>
            </w:r>
          </w:p>
        </w:tc>
        <w:tc>
          <w:tcPr>
            <w:tcW w:w="5245" w:type="dxa"/>
            <w:shd w:val="clear" w:color="auto" w:fill="B8CCE4" w:themeFill="accent1" w:themeFillTint="66"/>
          </w:tcPr>
          <w:p w14:paraId="51E48366" w14:textId="77777777" w:rsidR="00B1107F" w:rsidRPr="0080620A" w:rsidRDefault="00B1107F" w:rsidP="00C32C4C">
            <w:pPr>
              <w:keepNext/>
              <w:pBdr>
                <w:top w:val="nil"/>
                <w:left w:val="nil"/>
                <w:bottom w:val="nil"/>
                <w:right w:val="nil"/>
                <w:between w:val="nil"/>
                <w:bar w:val="nil"/>
              </w:pBdr>
              <w:tabs>
                <w:tab w:val="left" w:pos="1163"/>
              </w:tabs>
              <w:rPr>
                <w:rFonts w:eastAsia="Roboto"/>
                <w:sz w:val="18"/>
                <w:szCs w:val="18"/>
              </w:rPr>
            </w:pPr>
          </w:p>
        </w:tc>
        <w:tc>
          <w:tcPr>
            <w:tcW w:w="2535" w:type="dxa"/>
            <w:shd w:val="clear" w:color="auto" w:fill="B8CCE4" w:themeFill="accent1" w:themeFillTint="66"/>
          </w:tcPr>
          <w:p w14:paraId="4691BC12" w14:textId="77777777" w:rsidR="00B1107F" w:rsidRPr="0080620A" w:rsidRDefault="00B1107F" w:rsidP="00C32C4C">
            <w:pPr>
              <w:keepNext/>
              <w:pBdr>
                <w:top w:val="nil"/>
                <w:left w:val="nil"/>
                <w:bottom w:val="nil"/>
                <w:right w:val="nil"/>
                <w:between w:val="nil"/>
                <w:bar w:val="nil"/>
              </w:pBdr>
              <w:tabs>
                <w:tab w:val="left" w:pos="1163"/>
              </w:tabs>
              <w:rPr>
                <w:rFonts w:eastAsia="Roboto"/>
                <w:sz w:val="18"/>
                <w:szCs w:val="18"/>
              </w:rPr>
            </w:pPr>
          </w:p>
        </w:tc>
        <w:tc>
          <w:tcPr>
            <w:tcW w:w="2340" w:type="dxa"/>
            <w:shd w:val="clear" w:color="auto" w:fill="B8CCE4" w:themeFill="accent1" w:themeFillTint="66"/>
          </w:tcPr>
          <w:p w14:paraId="5FE8CB1D" w14:textId="77777777" w:rsidR="00B1107F" w:rsidRPr="0080620A" w:rsidRDefault="00B1107F" w:rsidP="00C32C4C">
            <w:pPr>
              <w:keepNext/>
              <w:pBdr>
                <w:top w:val="nil"/>
                <w:left w:val="nil"/>
                <w:bottom w:val="nil"/>
                <w:right w:val="nil"/>
                <w:between w:val="nil"/>
                <w:bar w:val="nil"/>
              </w:pBdr>
              <w:tabs>
                <w:tab w:val="left" w:pos="1163"/>
              </w:tabs>
              <w:rPr>
                <w:rFonts w:eastAsia="Roboto"/>
                <w:sz w:val="18"/>
                <w:szCs w:val="18"/>
              </w:rPr>
            </w:pPr>
          </w:p>
        </w:tc>
      </w:tr>
      <w:tr w:rsidR="00B1107F" w:rsidRPr="0080620A" w14:paraId="05E0333E" w14:textId="77777777" w:rsidTr="00232941">
        <w:trPr>
          <w:trHeight w:val="1276"/>
          <w:jc w:val="right"/>
        </w:trPr>
        <w:tc>
          <w:tcPr>
            <w:tcW w:w="2830" w:type="dxa"/>
          </w:tcPr>
          <w:p w14:paraId="2215D764" w14:textId="6D80CB56"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E4. Process indicator for </w:t>
            </w:r>
            <w:r w:rsidR="00E703E1" w:rsidRPr="0080620A">
              <w:rPr>
                <w:sz w:val="18"/>
                <w:szCs w:val="18"/>
              </w:rPr>
              <w:t>a</w:t>
            </w:r>
            <w:r w:rsidRPr="0080620A">
              <w:rPr>
                <w:sz w:val="18"/>
                <w:szCs w:val="18"/>
              </w:rPr>
              <w:t>rticle 14</w:t>
            </w:r>
          </w:p>
        </w:tc>
        <w:tc>
          <w:tcPr>
            <w:tcW w:w="5245" w:type="dxa"/>
          </w:tcPr>
          <w:p w14:paraId="3AF4C99B" w14:textId="01058D78"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of </w:t>
            </w:r>
            <w:r w:rsidR="00991161" w:rsidRPr="0080620A">
              <w:rPr>
                <w:rFonts w:eastAsia="Roboto"/>
                <w:sz w:val="18"/>
                <w:szCs w:val="18"/>
              </w:rPr>
              <w:t>p</w:t>
            </w:r>
            <w:r w:rsidRPr="0080620A">
              <w:rPr>
                <w:rFonts w:eastAsia="Roboto"/>
                <w:sz w:val="18"/>
                <w:szCs w:val="18"/>
              </w:rPr>
              <w:t>arties</w:t>
            </w:r>
            <w:r w:rsidR="00E703E1" w:rsidRPr="0080620A">
              <w:rPr>
                <w:rFonts w:eastAsia="Roboto"/>
                <w:sz w:val="18"/>
                <w:szCs w:val="18"/>
              </w:rPr>
              <w:t xml:space="preserve"> that have</w:t>
            </w:r>
            <w:r w:rsidRPr="0080620A">
              <w:rPr>
                <w:rFonts w:eastAsia="Roboto"/>
                <w:sz w:val="18"/>
                <w:szCs w:val="18"/>
              </w:rPr>
              <w:t>:</w:t>
            </w:r>
          </w:p>
          <w:p w14:paraId="5BE72014" w14:textId="50F73468" w:rsidR="00B1107F" w:rsidRPr="0080620A" w:rsidRDefault="00E703E1" w:rsidP="00A00B9F">
            <w:pPr>
              <w:pStyle w:val="ListParagraph"/>
              <w:numPr>
                <w:ilvl w:val="0"/>
                <w:numId w:val="18"/>
              </w:numPr>
              <w:pBdr>
                <w:top w:val="nil"/>
                <w:left w:val="nil"/>
                <w:bottom w:val="nil"/>
                <w:right w:val="nil"/>
                <w:between w:val="nil"/>
                <w:bar w:val="nil"/>
              </w:pBdr>
              <w:tabs>
                <w:tab w:val="left" w:pos="1163"/>
              </w:tabs>
              <w:ind w:left="283" w:hanging="170"/>
              <w:rPr>
                <w:rFonts w:eastAsia="Roboto"/>
                <w:sz w:val="18"/>
                <w:szCs w:val="18"/>
              </w:rPr>
            </w:pPr>
            <w:r w:rsidRPr="0080620A">
              <w:rPr>
                <w:rFonts w:eastAsia="Roboto"/>
                <w:sz w:val="18"/>
                <w:szCs w:val="18"/>
              </w:rPr>
              <w:t>C</w:t>
            </w:r>
            <w:r w:rsidR="00B1107F" w:rsidRPr="0080620A">
              <w:rPr>
                <w:rFonts w:eastAsia="Roboto"/>
                <w:sz w:val="18"/>
                <w:szCs w:val="18"/>
              </w:rPr>
              <w:t xml:space="preserve">ooperated </w:t>
            </w:r>
            <w:r w:rsidR="004D78F9" w:rsidRPr="0080620A">
              <w:rPr>
                <w:rFonts w:eastAsia="Roboto"/>
                <w:sz w:val="18"/>
                <w:szCs w:val="18"/>
              </w:rPr>
              <w:t>in</w:t>
            </w:r>
            <w:r w:rsidR="00B1107F" w:rsidRPr="0080620A">
              <w:rPr>
                <w:rFonts w:eastAsia="Roboto"/>
                <w:sz w:val="18"/>
                <w:szCs w:val="18"/>
              </w:rPr>
              <w:t xml:space="preserve"> providing capacity</w:t>
            </w:r>
            <w:r w:rsidRPr="0080620A">
              <w:rPr>
                <w:rFonts w:eastAsia="Roboto"/>
                <w:sz w:val="18"/>
                <w:szCs w:val="18"/>
              </w:rPr>
              <w:t>-</w:t>
            </w:r>
            <w:r w:rsidR="00B1107F" w:rsidRPr="0080620A">
              <w:rPr>
                <w:rFonts w:eastAsia="Roboto"/>
                <w:sz w:val="18"/>
                <w:szCs w:val="18"/>
              </w:rPr>
              <w:t>building and technical assistance to another party</w:t>
            </w:r>
          </w:p>
          <w:p w14:paraId="4CC67C7A" w14:textId="36A258DE" w:rsidR="00B1107F" w:rsidRPr="0080620A" w:rsidRDefault="00E703E1" w:rsidP="00A00B9F">
            <w:pPr>
              <w:pStyle w:val="ListParagraph"/>
              <w:numPr>
                <w:ilvl w:val="0"/>
                <w:numId w:val="18"/>
              </w:numPr>
              <w:pBdr>
                <w:top w:val="nil"/>
                <w:left w:val="nil"/>
                <w:bottom w:val="nil"/>
                <w:right w:val="nil"/>
                <w:between w:val="nil"/>
                <w:bar w:val="nil"/>
              </w:pBdr>
              <w:tabs>
                <w:tab w:val="left" w:pos="1163"/>
              </w:tabs>
              <w:ind w:left="283" w:hanging="170"/>
              <w:rPr>
                <w:rFonts w:eastAsia="Roboto"/>
                <w:sz w:val="18"/>
                <w:szCs w:val="18"/>
              </w:rPr>
            </w:pPr>
            <w:r w:rsidRPr="0080620A">
              <w:rPr>
                <w:rFonts w:eastAsia="Roboto"/>
                <w:sz w:val="18"/>
                <w:szCs w:val="18"/>
              </w:rPr>
              <w:t>R</w:t>
            </w:r>
            <w:r w:rsidR="00B1107F" w:rsidRPr="0080620A">
              <w:rPr>
                <w:rFonts w:eastAsia="Roboto"/>
                <w:sz w:val="18"/>
                <w:szCs w:val="18"/>
              </w:rPr>
              <w:t>equested technical assistance</w:t>
            </w:r>
          </w:p>
          <w:p w14:paraId="75A22CA8" w14:textId="38E68C10" w:rsidR="00B1107F" w:rsidRPr="0080620A" w:rsidRDefault="00E703E1" w:rsidP="00A00B9F">
            <w:pPr>
              <w:pStyle w:val="ListParagraph"/>
              <w:numPr>
                <w:ilvl w:val="0"/>
                <w:numId w:val="18"/>
              </w:numPr>
              <w:pBdr>
                <w:top w:val="nil"/>
                <w:left w:val="nil"/>
                <w:bottom w:val="nil"/>
                <w:right w:val="nil"/>
                <w:between w:val="nil"/>
                <w:bar w:val="nil"/>
              </w:pBdr>
              <w:tabs>
                <w:tab w:val="left" w:pos="1163"/>
              </w:tabs>
              <w:ind w:left="283" w:hanging="170"/>
              <w:rPr>
                <w:rFonts w:eastAsia="Roboto"/>
                <w:sz w:val="18"/>
                <w:szCs w:val="18"/>
              </w:rPr>
            </w:pPr>
            <w:r w:rsidRPr="0080620A">
              <w:rPr>
                <w:rFonts w:eastAsia="Roboto"/>
                <w:sz w:val="18"/>
                <w:szCs w:val="18"/>
              </w:rPr>
              <w:t>R</w:t>
            </w:r>
            <w:r w:rsidR="00B1107F" w:rsidRPr="0080620A">
              <w:rPr>
                <w:rFonts w:eastAsia="Roboto"/>
                <w:sz w:val="18"/>
                <w:szCs w:val="18"/>
              </w:rPr>
              <w:t>eceived capacity</w:t>
            </w:r>
            <w:r w:rsidRPr="0080620A">
              <w:rPr>
                <w:rFonts w:eastAsia="Roboto"/>
                <w:sz w:val="18"/>
                <w:szCs w:val="18"/>
              </w:rPr>
              <w:t>-</w:t>
            </w:r>
            <w:r w:rsidR="00B1107F" w:rsidRPr="0080620A">
              <w:rPr>
                <w:rFonts w:eastAsia="Roboto"/>
                <w:sz w:val="18"/>
                <w:szCs w:val="18"/>
              </w:rPr>
              <w:t>building or technical assistance</w:t>
            </w:r>
          </w:p>
          <w:p w14:paraId="69982F27" w14:textId="7F9803E5" w:rsidR="00B1107F" w:rsidRPr="0080620A" w:rsidRDefault="00E703E1" w:rsidP="00A00B9F">
            <w:pPr>
              <w:pStyle w:val="ListParagraph"/>
              <w:numPr>
                <w:ilvl w:val="0"/>
                <w:numId w:val="18"/>
              </w:numPr>
              <w:pBdr>
                <w:top w:val="nil"/>
                <w:left w:val="nil"/>
                <w:bottom w:val="nil"/>
                <w:right w:val="nil"/>
                <w:between w:val="nil"/>
                <w:bar w:val="nil"/>
              </w:pBdr>
              <w:tabs>
                <w:tab w:val="left" w:pos="1163"/>
              </w:tabs>
              <w:ind w:left="283" w:hanging="170"/>
              <w:rPr>
                <w:rFonts w:eastAsia="Roboto"/>
                <w:sz w:val="18"/>
                <w:szCs w:val="18"/>
              </w:rPr>
            </w:pPr>
            <w:r w:rsidRPr="0080620A">
              <w:rPr>
                <w:rFonts w:eastAsia="Roboto"/>
                <w:sz w:val="18"/>
                <w:szCs w:val="18"/>
              </w:rPr>
              <w:t>P</w:t>
            </w:r>
            <w:r w:rsidR="00B1107F" w:rsidRPr="0080620A">
              <w:rPr>
                <w:rFonts w:eastAsia="Roboto"/>
                <w:sz w:val="18"/>
                <w:szCs w:val="18"/>
              </w:rPr>
              <w:t xml:space="preserve">romoted or facilitated technology transfer </w:t>
            </w:r>
          </w:p>
        </w:tc>
        <w:tc>
          <w:tcPr>
            <w:tcW w:w="2535" w:type="dxa"/>
          </w:tcPr>
          <w:p w14:paraId="0E55CA68" w14:textId="77777777" w:rsidR="00B1107F" w:rsidRPr="0080620A" w:rsidRDefault="00B1107F" w:rsidP="00EE7D24">
            <w:pPr>
              <w:pBdr>
                <w:top w:val="nil"/>
                <w:left w:val="nil"/>
                <w:bottom w:val="nil"/>
                <w:right w:val="nil"/>
                <w:between w:val="nil"/>
                <w:bar w:val="nil"/>
              </w:pBdr>
              <w:tabs>
                <w:tab w:val="left" w:pos="1163"/>
              </w:tabs>
              <w:rPr>
                <w:iCs/>
                <w:sz w:val="18"/>
                <w:szCs w:val="18"/>
              </w:rPr>
            </w:pPr>
            <w:r w:rsidRPr="0080620A">
              <w:rPr>
                <w:iCs/>
                <w:sz w:val="18"/>
                <w:szCs w:val="18"/>
              </w:rPr>
              <w:t>- Article 21 reporting</w:t>
            </w:r>
          </w:p>
          <w:p w14:paraId="0C42A617"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iCs/>
                <w:sz w:val="18"/>
                <w:szCs w:val="18"/>
              </w:rPr>
              <w:t>- Other public sources</w:t>
            </w:r>
          </w:p>
        </w:tc>
        <w:tc>
          <w:tcPr>
            <w:tcW w:w="2340" w:type="dxa"/>
          </w:tcPr>
          <w:p w14:paraId="73EA7D92" w14:textId="05DA7057" w:rsidR="00B1107F" w:rsidRPr="0080620A" w:rsidRDefault="006C5116" w:rsidP="00EE7D24">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6E2D9708" w14:textId="77777777" w:rsidTr="00232941">
        <w:trPr>
          <w:trHeight w:val="454"/>
          <w:jc w:val="right"/>
        </w:trPr>
        <w:tc>
          <w:tcPr>
            <w:tcW w:w="2830" w:type="dxa"/>
            <w:shd w:val="clear" w:color="auto" w:fill="B8CCE4" w:themeFill="accent1" w:themeFillTint="66"/>
          </w:tcPr>
          <w:p w14:paraId="051A85E7" w14:textId="77777777" w:rsidR="00B1107F" w:rsidRPr="0080620A" w:rsidRDefault="00B1107F" w:rsidP="00EE7D24">
            <w:pPr>
              <w:rPr>
                <w:b/>
                <w:bCs/>
                <w:sz w:val="18"/>
                <w:szCs w:val="18"/>
              </w:rPr>
            </w:pPr>
            <w:r w:rsidRPr="0080620A">
              <w:rPr>
                <w:b/>
                <w:bCs/>
                <w:sz w:val="18"/>
                <w:szCs w:val="18"/>
              </w:rPr>
              <w:t>Notes</w:t>
            </w:r>
          </w:p>
        </w:tc>
        <w:tc>
          <w:tcPr>
            <w:tcW w:w="10120" w:type="dxa"/>
            <w:gridSpan w:val="3"/>
          </w:tcPr>
          <w:p w14:paraId="658FA11E" w14:textId="32E8CD75" w:rsidR="00B1107F" w:rsidRPr="0080620A"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620A">
              <w:rPr>
                <w:sz w:val="18"/>
                <w:szCs w:val="18"/>
              </w:rPr>
              <w:t xml:space="preserve">The cycle of review of the </w:t>
            </w:r>
            <w:r w:rsidR="00991161" w:rsidRPr="0080620A">
              <w:rPr>
                <w:sz w:val="18"/>
                <w:szCs w:val="18"/>
              </w:rPr>
              <w:t>f</w:t>
            </w:r>
            <w:r w:rsidRPr="0080620A">
              <w:rPr>
                <w:sz w:val="18"/>
                <w:szCs w:val="18"/>
              </w:rPr>
              <w:t xml:space="preserve">inancial </w:t>
            </w:r>
            <w:r w:rsidR="00991161" w:rsidRPr="0080620A">
              <w:rPr>
                <w:sz w:val="18"/>
                <w:szCs w:val="18"/>
              </w:rPr>
              <w:t>m</w:t>
            </w:r>
            <w:r w:rsidRPr="0080620A">
              <w:rPr>
                <w:sz w:val="18"/>
                <w:szCs w:val="18"/>
              </w:rPr>
              <w:t xml:space="preserve">echanism may well not align with the effectiveness evaluation cycle. </w:t>
            </w:r>
          </w:p>
          <w:p w14:paraId="5224F090" w14:textId="77777777" w:rsidR="00B1107F" w:rsidRPr="0080620A"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620A">
              <w:rPr>
                <w:sz w:val="18"/>
                <w:szCs w:val="18"/>
              </w:rPr>
              <w:t xml:space="preserve">As the reporting format does not request dollar values for resources provided, other public sources may need to be consulted. </w:t>
            </w:r>
          </w:p>
        </w:tc>
      </w:tr>
    </w:tbl>
    <w:p w14:paraId="6607FC20"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33"/>
        <w:gridCol w:w="5506"/>
        <w:gridCol w:w="2490"/>
        <w:gridCol w:w="2491"/>
      </w:tblGrid>
      <w:tr w:rsidR="00B1107F" w:rsidRPr="0080620A" w14:paraId="68977F33" w14:textId="77777777" w:rsidTr="00232941">
        <w:trPr>
          <w:trHeight w:val="454"/>
          <w:jc w:val="right"/>
        </w:trPr>
        <w:tc>
          <w:tcPr>
            <w:tcW w:w="8143" w:type="dxa"/>
            <w:gridSpan w:val="2"/>
            <w:shd w:val="clear" w:color="auto" w:fill="B8CCE4" w:themeFill="accent1" w:themeFillTint="66"/>
          </w:tcPr>
          <w:p w14:paraId="5B6038F5" w14:textId="47D751F6" w:rsidR="00B1107F" w:rsidRPr="0080620A" w:rsidRDefault="00B1107F" w:rsidP="00EE7D24">
            <w:pPr>
              <w:rPr>
                <w:rFonts w:asciiTheme="majorBidi" w:hAnsiTheme="majorBidi" w:cstheme="majorBidi"/>
                <w:b/>
                <w:bCs/>
                <w:sz w:val="18"/>
                <w:szCs w:val="18"/>
              </w:rPr>
            </w:pPr>
            <w:r w:rsidRPr="0080620A">
              <w:rPr>
                <w:rFonts w:asciiTheme="majorBidi" w:eastAsia="Roboto" w:hAnsiTheme="majorBidi" w:cstheme="majorBidi"/>
                <w:b/>
                <w:sz w:val="18"/>
                <w:szCs w:val="18"/>
              </w:rPr>
              <w:t xml:space="preserve">F: Article 15 </w:t>
            </w:r>
            <w:r w:rsidR="004D78F9" w:rsidRPr="0080620A">
              <w:rPr>
                <w:rFonts w:asciiTheme="majorBidi" w:eastAsia="Roboto" w:hAnsiTheme="majorBidi" w:cstheme="majorBidi"/>
                <w:b/>
                <w:sz w:val="18"/>
                <w:szCs w:val="18"/>
              </w:rPr>
              <w:t>(</w:t>
            </w:r>
            <w:r w:rsidRPr="0080620A">
              <w:rPr>
                <w:rFonts w:asciiTheme="majorBidi" w:eastAsia="Roboto" w:hAnsiTheme="majorBidi" w:cstheme="majorBidi"/>
                <w:b/>
                <w:sz w:val="18"/>
                <w:szCs w:val="18"/>
              </w:rPr>
              <w:t>Implementation and Compliance Committee</w:t>
            </w:r>
            <w:r w:rsidR="004D78F9" w:rsidRPr="0080620A">
              <w:rPr>
                <w:rFonts w:asciiTheme="majorBidi" w:eastAsia="Roboto" w:hAnsiTheme="majorBidi" w:cstheme="majorBidi"/>
                <w:b/>
                <w:sz w:val="18"/>
                <w:szCs w:val="18"/>
              </w:rPr>
              <w:t>)</w:t>
            </w:r>
          </w:p>
        </w:tc>
        <w:tc>
          <w:tcPr>
            <w:tcW w:w="2403" w:type="dxa"/>
            <w:shd w:val="clear" w:color="auto" w:fill="B8CCE4" w:themeFill="accent1" w:themeFillTint="66"/>
          </w:tcPr>
          <w:p w14:paraId="1575E6F9" w14:textId="691BB3AF" w:rsidR="00B1107F" w:rsidRPr="0080620A" w:rsidRDefault="00B1107F" w:rsidP="00EE7D24">
            <w:pPr>
              <w:rPr>
                <w:rFonts w:asciiTheme="majorBidi" w:eastAsia="Roboto" w:hAnsiTheme="majorBidi" w:cstheme="majorBidi"/>
                <w:b/>
                <w:sz w:val="18"/>
                <w:szCs w:val="18"/>
              </w:rPr>
            </w:pPr>
            <w:r w:rsidRPr="0080620A">
              <w:rPr>
                <w:rFonts w:asciiTheme="majorBidi" w:hAnsiTheme="majorBidi" w:cstheme="majorBidi"/>
                <w:b/>
                <w:bCs/>
                <w:sz w:val="18"/>
                <w:szCs w:val="18"/>
              </w:rPr>
              <w:t xml:space="preserve">Source of information on </w:t>
            </w:r>
            <w:r w:rsidR="00E703E1" w:rsidRPr="0080620A">
              <w:rPr>
                <w:rFonts w:asciiTheme="majorBidi" w:hAnsiTheme="majorBidi" w:cstheme="majorBidi"/>
                <w:b/>
                <w:bCs/>
                <w:sz w:val="18"/>
                <w:szCs w:val="18"/>
              </w:rPr>
              <w:t xml:space="preserve">the </w:t>
            </w:r>
            <w:r w:rsidRPr="0080620A">
              <w:rPr>
                <w:rFonts w:asciiTheme="majorBidi" w:hAnsiTheme="majorBidi" w:cstheme="majorBidi"/>
                <w:b/>
                <w:bCs/>
                <w:sz w:val="18"/>
                <w:szCs w:val="18"/>
              </w:rPr>
              <w:t>indicator</w:t>
            </w:r>
          </w:p>
        </w:tc>
        <w:tc>
          <w:tcPr>
            <w:tcW w:w="2404" w:type="dxa"/>
            <w:shd w:val="clear" w:color="auto" w:fill="B8CCE4" w:themeFill="accent1" w:themeFillTint="66"/>
          </w:tcPr>
          <w:p w14:paraId="672A9B5F" w14:textId="77777777" w:rsidR="00B1107F" w:rsidRPr="0080620A" w:rsidRDefault="00B1107F" w:rsidP="00EE7D24">
            <w:pPr>
              <w:rPr>
                <w:rFonts w:asciiTheme="majorBidi" w:eastAsia="Roboto" w:hAnsiTheme="majorBidi" w:cstheme="majorBidi"/>
                <w:b/>
                <w:sz w:val="18"/>
                <w:szCs w:val="18"/>
              </w:rPr>
            </w:pPr>
            <w:r w:rsidRPr="0080620A">
              <w:rPr>
                <w:rFonts w:asciiTheme="majorBidi" w:hAnsiTheme="majorBidi" w:cstheme="majorBidi"/>
                <w:b/>
                <w:bCs/>
                <w:sz w:val="18"/>
                <w:szCs w:val="18"/>
              </w:rPr>
              <w:t>Baseline for the indicator</w:t>
            </w:r>
          </w:p>
        </w:tc>
      </w:tr>
      <w:tr w:rsidR="00B1107F" w:rsidRPr="0080620A" w14:paraId="2EEF0C0C" w14:textId="77777777" w:rsidTr="00232941">
        <w:trPr>
          <w:trHeight w:val="624"/>
          <w:jc w:val="right"/>
        </w:trPr>
        <w:tc>
          <w:tcPr>
            <w:tcW w:w="2830" w:type="dxa"/>
          </w:tcPr>
          <w:p w14:paraId="16F7B2C1"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F1. Process indicator</w:t>
            </w:r>
          </w:p>
        </w:tc>
        <w:tc>
          <w:tcPr>
            <w:tcW w:w="5313" w:type="dxa"/>
          </w:tcPr>
          <w:p w14:paraId="379146D1" w14:textId="0882650D"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 xml:space="preserve">Proportion of issues that the </w:t>
            </w:r>
            <w:r w:rsidR="00772D69" w:rsidRPr="0080620A">
              <w:rPr>
                <w:rFonts w:asciiTheme="majorBidi" w:hAnsiTheme="majorBidi" w:cstheme="majorBidi"/>
                <w:sz w:val="18"/>
                <w:szCs w:val="18"/>
              </w:rPr>
              <w:t xml:space="preserve">Implementation and Compliance </w:t>
            </w:r>
            <w:r w:rsidRPr="0080620A">
              <w:rPr>
                <w:rFonts w:asciiTheme="majorBidi" w:hAnsiTheme="majorBidi" w:cstheme="majorBidi"/>
                <w:sz w:val="18"/>
                <w:szCs w:val="18"/>
              </w:rPr>
              <w:t>Committee was able to resolve, including indications of systemic issues, if any</w:t>
            </w:r>
          </w:p>
        </w:tc>
        <w:tc>
          <w:tcPr>
            <w:tcW w:w="2403" w:type="dxa"/>
          </w:tcPr>
          <w:p w14:paraId="5B569C50" w14:textId="4C1F7770"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 xml:space="preserve">- </w:t>
            </w:r>
            <w:r w:rsidR="00991161" w:rsidRPr="0080620A">
              <w:rPr>
                <w:rFonts w:asciiTheme="majorBidi" w:hAnsiTheme="majorBidi" w:cstheme="majorBidi"/>
                <w:sz w:val="18"/>
                <w:szCs w:val="18"/>
              </w:rPr>
              <w:t>Implementation and Compliance Committee</w:t>
            </w:r>
            <w:r w:rsidRPr="0080620A">
              <w:rPr>
                <w:rFonts w:asciiTheme="majorBidi" w:hAnsiTheme="majorBidi" w:cstheme="majorBidi"/>
                <w:sz w:val="18"/>
                <w:szCs w:val="18"/>
              </w:rPr>
              <w:t xml:space="preserve"> report, as referred to in </w:t>
            </w:r>
            <w:r w:rsidR="00E703E1" w:rsidRPr="0080620A">
              <w:rPr>
                <w:rFonts w:asciiTheme="majorBidi" w:hAnsiTheme="majorBidi" w:cstheme="majorBidi"/>
                <w:sz w:val="18"/>
                <w:szCs w:val="18"/>
              </w:rPr>
              <w:t>a</w:t>
            </w:r>
            <w:r w:rsidRPr="0080620A">
              <w:rPr>
                <w:rFonts w:asciiTheme="majorBidi" w:hAnsiTheme="majorBidi" w:cstheme="majorBidi"/>
                <w:sz w:val="18"/>
                <w:szCs w:val="18"/>
              </w:rPr>
              <w:t>rt</w:t>
            </w:r>
            <w:r w:rsidR="004D78F9" w:rsidRPr="0080620A">
              <w:rPr>
                <w:rFonts w:asciiTheme="majorBidi" w:hAnsiTheme="majorBidi" w:cstheme="majorBidi"/>
                <w:sz w:val="18"/>
                <w:szCs w:val="18"/>
              </w:rPr>
              <w:t>icle</w:t>
            </w:r>
            <w:r w:rsidRPr="0080620A">
              <w:rPr>
                <w:rFonts w:asciiTheme="majorBidi" w:hAnsiTheme="majorBidi" w:cstheme="majorBidi"/>
                <w:sz w:val="18"/>
                <w:szCs w:val="18"/>
              </w:rPr>
              <w:t xml:space="preserve"> 21</w:t>
            </w:r>
          </w:p>
        </w:tc>
        <w:tc>
          <w:tcPr>
            <w:tcW w:w="2404" w:type="dxa"/>
          </w:tcPr>
          <w:p w14:paraId="24B7817B" w14:textId="6E35D62E" w:rsidR="00B1107F" w:rsidRPr="0080620A" w:rsidRDefault="006C5116" w:rsidP="00EE7D24">
            <w:pPr>
              <w:rPr>
                <w:rFonts w:asciiTheme="majorBidi" w:hAnsiTheme="majorBidi" w:cstheme="majorBidi"/>
                <w:sz w:val="18"/>
                <w:szCs w:val="18"/>
              </w:rPr>
            </w:pPr>
            <w:r w:rsidRPr="0080620A">
              <w:rPr>
                <w:rFonts w:asciiTheme="majorBidi" w:hAnsiTheme="majorBidi" w:cstheme="majorBidi"/>
                <w:sz w:val="18"/>
                <w:szCs w:val="18"/>
              </w:rPr>
              <w:t>N</w:t>
            </w:r>
            <w:r w:rsidR="00B1107F" w:rsidRPr="0080620A">
              <w:rPr>
                <w:rFonts w:asciiTheme="majorBidi" w:hAnsiTheme="majorBidi" w:cstheme="majorBidi"/>
                <w:sz w:val="18"/>
                <w:szCs w:val="18"/>
              </w:rPr>
              <w:t>umber in the first evaluation</w:t>
            </w:r>
          </w:p>
        </w:tc>
      </w:tr>
      <w:tr w:rsidR="00B1107F" w:rsidRPr="0080620A" w14:paraId="6A412246" w14:textId="77777777" w:rsidTr="00902F3B">
        <w:trPr>
          <w:trHeight w:val="227"/>
          <w:jc w:val="right"/>
        </w:trPr>
        <w:tc>
          <w:tcPr>
            <w:tcW w:w="2830" w:type="dxa"/>
            <w:shd w:val="clear" w:color="auto" w:fill="B8CCE4" w:themeFill="accent1" w:themeFillTint="66"/>
          </w:tcPr>
          <w:p w14:paraId="23AE0353" w14:textId="77777777" w:rsidR="00B1107F" w:rsidRPr="0080620A" w:rsidRDefault="00B1107F" w:rsidP="00EE7D24">
            <w:pPr>
              <w:rPr>
                <w:rFonts w:asciiTheme="majorBidi" w:hAnsiTheme="majorBidi" w:cstheme="majorBidi"/>
                <w:b/>
                <w:bCs/>
                <w:sz w:val="18"/>
                <w:szCs w:val="18"/>
              </w:rPr>
            </w:pPr>
            <w:r w:rsidRPr="0080620A">
              <w:rPr>
                <w:rFonts w:asciiTheme="majorBidi" w:hAnsiTheme="majorBidi" w:cstheme="majorBidi"/>
                <w:b/>
                <w:bCs/>
                <w:sz w:val="18"/>
                <w:szCs w:val="18"/>
              </w:rPr>
              <w:t>Notes</w:t>
            </w:r>
          </w:p>
        </w:tc>
        <w:tc>
          <w:tcPr>
            <w:tcW w:w="10120" w:type="dxa"/>
            <w:gridSpan w:val="3"/>
          </w:tcPr>
          <w:p w14:paraId="65C24E42" w14:textId="4044CB4B" w:rsidR="00B1107F" w:rsidRPr="0080620A" w:rsidRDefault="00772D69" w:rsidP="00A00B9F">
            <w:pPr>
              <w:pStyle w:val="ListParagraph"/>
              <w:numPr>
                <w:ilvl w:val="0"/>
                <w:numId w:val="20"/>
              </w:numPr>
              <w:pBdr>
                <w:top w:val="nil"/>
                <w:left w:val="nil"/>
                <w:bottom w:val="nil"/>
                <w:right w:val="nil"/>
                <w:between w:val="nil"/>
                <w:bar w:val="nil"/>
              </w:pBdr>
              <w:tabs>
                <w:tab w:val="left" w:pos="1872"/>
              </w:tabs>
              <w:rPr>
                <w:rFonts w:asciiTheme="majorBidi" w:hAnsiTheme="majorBidi" w:cstheme="majorBidi"/>
                <w:spacing w:val="-2"/>
                <w:sz w:val="18"/>
                <w:szCs w:val="18"/>
              </w:rPr>
            </w:pPr>
            <w:r w:rsidRPr="0080620A">
              <w:rPr>
                <w:rFonts w:asciiTheme="majorBidi" w:hAnsiTheme="majorBidi" w:cstheme="majorBidi"/>
                <w:spacing w:val="-2"/>
                <w:sz w:val="18"/>
                <w:szCs w:val="18"/>
              </w:rPr>
              <w:t>T</w:t>
            </w:r>
            <w:r w:rsidR="00E703E1" w:rsidRPr="0080620A">
              <w:rPr>
                <w:rFonts w:asciiTheme="majorBidi" w:hAnsiTheme="majorBidi" w:cstheme="majorBidi"/>
                <w:spacing w:val="-2"/>
                <w:sz w:val="18"/>
                <w:szCs w:val="18"/>
              </w:rPr>
              <w:t>he C</w:t>
            </w:r>
            <w:r w:rsidR="007F45A9" w:rsidRPr="0080620A">
              <w:rPr>
                <w:rFonts w:asciiTheme="majorBidi" w:hAnsiTheme="majorBidi" w:cstheme="majorBidi"/>
                <w:spacing w:val="-2"/>
                <w:sz w:val="18"/>
                <w:szCs w:val="18"/>
              </w:rPr>
              <w:t>o</w:t>
            </w:r>
            <w:r w:rsidR="00E703E1" w:rsidRPr="0080620A">
              <w:rPr>
                <w:rFonts w:asciiTheme="majorBidi" w:hAnsiTheme="majorBidi" w:cstheme="majorBidi"/>
                <w:spacing w:val="-2"/>
                <w:sz w:val="18"/>
                <w:szCs w:val="18"/>
              </w:rPr>
              <w:t>nference</w:t>
            </w:r>
            <w:r w:rsidR="007F45A9" w:rsidRPr="0080620A">
              <w:rPr>
                <w:rFonts w:asciiTheme="majorBidi" w:hAnsiTheme="majorBidi" w:cstheme="majorBidi"/>
                <w:spacing w:val="-2"/>
                <w:sz w:val="18"/>
                <w:szCs w:val="18"/>
              </w:rPr>
              <w:t xml:space="preserve"> of the Parties is to consider the </w:t>
            </w:r>
            <w:r w:rsidR="00E703E1" w:rsidRPr="0080620A">
              <w:rPr>
                <w:rFonts w:asciiTheme="majorBidi" w:hAnsiTheme="majorBidi" w:cstheme="majorBidi"/>
                <w:spacing w:val="-2"/>
                <w:sz w:val="18"/>
                <w:szCs w:val="18"/>
              </w:rPr>
              <w:t>t</w:t>
            </w:r>
            <w:r w:rsidR="00B1107F" w:rsidRPr="0080620A">
              <w:rPr>
                <w:rFonts w:asciiTheme="majorBidi" w:hAnsiTheme="majorBidi" w:cstheme="majorBidi"/>
                <w:spacing w:val="-2"/>
                <w:sz w:val="18"/>
                <w:szCs w:val="18"/>
              </w:rPr>
              <w:t xml:space="preserve">erms of reference </w:t>
            </w:r>
            <w:r w:rsidR="007F45A9" w:rsidRPr="0080620A">
              <w:rPr>
                <w:rFonts w:asciiTheme="majorBidi" w:hAnsiTheme="majorBidi" w:cstheme="majorBidi"/>
                <w:spacing w:val="-2"/>
                <w:sz w:val="18"/>
                <w:szCs w:val="18"/>
              </w:rPr>
              <w:t>of</w:t>
            </w:r>
            <w:r w:rsidR="00991161" w:rsidRPr="0080620A">
              <w:rPr>
                <w:rFonts w:asciiTheme="majorBidi" w:hAnsiTheme="majorBidi" w:cstheme="majorBidi"/>
                <w:spacing w:val="-2"/>
                <w:sz w:val="18"/>
                <w:szCs w:val="18"/>
              </w:rPr>
              <w:t xml:space="preserve"> </w:t>
            </w:r>
            <w:r w:rsidR="00B1107F" w:rsidRPr="0080620A">
              <w:rPr>
                <w:rFonts w:asciiTheme="majorBidi" w:hAnsiTheme="majorBidi" w:cstheme="majorBidi"/>
                <w:spacing w:val="-2"/>
                <w:sz w:val="18"/>
                <w:szCs w:val="18"/>
              </w:rPr>
              <w:t xml:space="preserve">the </w:t>
            </w:r>
            <w:r w:rsidR="00991161" w:rsidRPr="0080620A">
              <w:rPr>
                <w:rFonts w:asciiTheme="majorBidi" w:hAnsiTheme="majorBidi" w:cstheme="majorBidi"/>
                <w:spacing w:val="-2"/>
                <w:sz w:val="18"/>
                <w:szCs w:val="18"/>
              </w:rPr>
              <w:t>Implementation and Compliance Committee</w:t>
            </w:r>
            <w:r w:rsidR="00B1107F" w:rsidRPr="0080620A">
              <w:rPr>
                <w:rFonts w:asciiTheme="majorBidi" w:hAnsiTheme="majorBidi" w:cstheme="majorBidi"/>
                <w:spacing w:val="-2"/>
                <w:sz w:val="18"/>
                <w:szCs w:val="18"/>
              </w:rPr>
              <w:t xml:space="preserve"> </w:t>
            </w:r>
            <w:r w:rsidRPr="0080620A">
              <w:rPr>
                <w:rFonts w:asciiTheme="majorBidi" w:hAnsiTheme="majorBidi" w:cstheme="majorBidi"/>
                <w:spacing w:val="-2"/>
                <w:sz w:val="18"/>
                <w:szCs w:val="18"/>
              </w:rPr>
              <w:t>at its third meeting</w:t>
            </w:r>
            <w:r w:rsidR="00B1107F" w:rsidRPr="0080620A">
              <w:rPr>
                <w:rFonts w:asciiTheme="majorBidi" w:hAnsiTheme="majorBidi" w:cstheme="majorBidi"/>
                <w:spacing w:val="-2"/>
                <w:sz w:val="18"/>
                <w:szCs w:val="18"/>
              </w:rPr>
              <w:t>.</w:t>
            </w:r>
          </w:p>
        </w:tc>
      </w:tr>
    </w:tbl>
    <w:p w14:paraId="5FCCD1A3"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33"/>
        <w:gridCol w:w="5435"/>
        <w:gridCol w:w="2592"/>
        <w:gridCol w:w="2460"/>
      </w:tblGrid>
      <w:tr w:rsidR="00B1107F" w:rsidRPr="0080620A" w14:paraId="244F3A70" w14:textId="77777777" w:rsidTr="00232941">
        <w:trPr>
          <w:trHeight w:val="454"/>
          <w:jc w:val="right"/>
        </w:trPr>
        <w:tc>
          <w:tcPr>
            <w:tcW w:w="8075" w:type="dxa"/>
            <w:gridSpan w:val="2"/>
            <w:shd w:val="clear" w:color="auto" w:fill="B8CCE4" w:themeFill="accent1" w:themeFillTint="66"/>
          </w:tcPr>
          <w:p w14:paraId="51FAF883" w14:textId="53E8CBD8" w:rsidR="004D78F9" w:rsidRPr="0080620A" w:rsidRDefault="00B1107F" w:rsidP="00BC69B4">
            <w:pPr>
              <w:keepNext/>
              <w:keepLines/>
              <w:rPr>
                <w:rFonts w:asciiTheme="majorBidi" w:eastAsia="Roboto" w:hAnsiTheme="majorBidi" w:cstheme="majorBidi"/>
                <w:b/>
                <w:sz w:val="18"/>
                <w:szCs w:val="18"/>
              </w:rPr>
            </w:pPr>
            <w:r w:rsidRPr="0080620A">
              <w:rPr>
                <w:rFonts w:asciiTheme="majorBidi" w:eastAsia="Roboto" w:hAnsiTheme="majorBidi" w:cstheme="majorBidi"/>
                <w:b/>
                <w:sz w:val="18"/>
                <w:szCs w:val="18"/>
              </w:rPr>
              <w:lastRenderedPageBreak/>
              <w:t xml:space="preserve">G: Article 16 </w:t>
            </w:r>
            <w:r w:rsidR="004D78F9" w:rsidRPr="0080620A">
              <w:rPr>
                <w:rFonts w:asciiTheme="majorBidi" w:eastAsia="Roboto" w:hAnsiTheme="majorBidi" w:cstheme="majorBidi"/>
                <w:b/>
                <w:sz w:val="18"/>
                <w:szCs w:val="18"/>
              </w:rPr>
              <w:t>(H</w:t>
            </w:r>
            <w:r w:rsidRPr="0080620A">
              <w:rPr>
                <w:rFonts w:asciiTheme="majorBidi" w:eastAsia="Roboto" w:hAnsiTheme="majorBidi" w:cstheme="majorBidi"/>
                <w:b/>
                <w:sz w:val="18"/>
                <w:szCs w:val="18"/>
              </w:rPr>
              <w:t>ealth aspects</w:t>
            </w:r>
            <w:r w:rsidR="004D78F9" w:rsidRPr="0080620A">
              <w:rPr>
                <w:rFonts w:asciiTheme="majorBidi" w:eastAsia="Roboto" w:hAnsiTheme="majorBidi" w:cstheme="majorBidi"/>
                <w:b/>
                <w:sz w:val="18"/>
                <w:szCs w:val="18"/>
              </w:rPr>
              <w:t>)</w:t>
            </w:r>
            <w:r w:rsidRPr="0080620A">
              <w:rPr>
                <w:rFonts w:asciiTheme="majorBidi" w:eastAsia="Roboto" w:hAnsiTheme="majorBidi" w:cstheme="majorBidi"/>
                <w:b/>
                <w:sz w:val="18"/>
                <w:szCs w:val="18"/>
              </w:rPr>
              <w:t xml:space="preserve"> </w:t>
            </w:r>
          </w:p>
          <w:p w14:paraId="4F933DDE" w14:textId="675C6DC6" w:rsidR="00B1107F" w:rsidRPr="0080620A" w:rsidRDefault="00B1107F" w:rsidP="00BC69B4">
            <w:pPr>
              <w:keepNext/>
              <w:keepLines/>
              <w:rPr>
                <w:rFonts w:asciiTheme="majorBidi" w:eastAsia="Roboto" w:hAnsiTheme="majorBidi" w:cstheme="majorBidi"/>
                <w:b/>
                <w:sz w:val="18"/>
                <w:szCs w:val="18"/>
              </w:rPr>
            </w:pPr>
            <w:r w:rsidRPr="0080620A">
              <w:rPr>
                <w:rFonts w:eastAsia="Roboto"/>
                <w:bCs/>
                <w:sz w:val="18"/>
                <w:szCs w:val="18"/>
              </w:rPr>
              <w:t>(</w:t>
            </w:r>
            <w:r w:rsidRPr="0080620A">
              <w:rPr>
                <w:rFonts w:asciiTheme="majorBidi" w:hAnsiTheme="majorBidi" w:cstheme="majorBidi"/>
                <w:sz w:val="18"/>
                <w:szCs w:val="18"/>
              </w:rPr>
              <w:t xml:space="preserve">The indicator for </w:t>
            </w:r>
            <w:r w:rsidR="000036E7" w:rsidRPr="0080620A">
              <w:rPr>
                <w:rFonts w:asciiTheme="majorBidi" w:hAnsiTheme="majorBidi" w:cstheme="majorBidi"/>
                <w:sz w:val="18"/>
                <w:szCs w:val="18"/>
              </w:rPr>
              <w:t>a</w:t>
            </w:r>
            <w:r w:rsidRPr="0080620A">
              <w:rPr>
                <w:rFonts w:asciiTheme="majorBidi" w:hAnsiTheme="majorBidi" w:cstheme="majorBidi"/>
                <w:sz w:val="18"/>
                <w:szCs w:val="18"/>
              </w:rPr>
              <w:t xml:space="preserve">rticle 16 is to be read with the relevant monitoring indicators indicated in </w:t>
            </w:r>
            <w:r w:rsidR="000036E7" w:rsidRPr="0080620A">
              <w:rPr>
                <w:rFonts w:asciiTheme="majorBidi" w:hAnsiTheme="majorBidi" w:cstheme="majorBidi"/>
                <w:sz w:val="18"/>
                <w:szCs w:val="18"/>
              </w:rPr>
              <w:t>t</w:t>
            </w:r>
            <w:r w:rsidRPr="0080620A">
              <w:rPr>
                <w:rFonts w:asciiTheme="majorBidi" w:hAnsiTheme="majorBidi" w:cstheme="majorBidi"/>
                <w:sz w:val="18"/>
                <w:szCs w:val="18"/>
              </w:rPr>
              <w:t>able 4)</w:t>
            </w:r>
          </w:p>
        </w:tc>
        <w:tc>
          <w:tcPr>
            <w:tcW w:w="2501" w:type="dxa"/>
            <w:shd w:val="clear" w:color="auto" w:fill="B8CCE4" w:themeFill="accent1" w:themeFillTint="66"/>
          </w:tcPr>
          <w:p w14:paraId="5EB95DD1" w14:textId="7BBFAB48" w:rsidR="00B1107F" w:rsidRPr="0080620A" w:rsidRDefault="00B1107F" w:rsidP="00BC69B4">
            <w:pPr>
              <w:keepNext/>
              <w:keepLines/>
              <w:rPr>
                <w:rFonts w:asciiTheme="majorBidi" w:eastAsia="Roboto" w:hAnsiTheme="majorBidi" w:cstheme="majorBidi"/>
                <w:b/>
                <w:sz w:val="18"/>
                <w:szCs w:val="18"/>
              </w:rPr>
            </w:pPr>
            <w:r w:rsidRPr="0080620A">
              <w:rPr>
                <w:rFonts w:asciiTheme="majorBidi" w:hAnsiTheme="majorBidi" w:cstheme="majorBidi"/>
                <w:b/>
                <w:bCs/>
                <w:sz w:val="18"/>
                <w:szCs w:val="18"/>
              </w:rPr>
              <w:t xml:space="preserve">Source of information on </w:t>
            </w:r>
            <w:r w:rsidR="00E703E1" w:rsidRPr="0080620A">
              <w:rPr>
                <w:rFonts w:asciiTheme="majorBidi" w:hAnsiTheme="majorBidi" w:cstheme="majorBidi"/>
                <w:b/>
                <w:bCs/>
                <w:sz w:val="18"/>
                <w:szCs w:val="18"/>
              </w:rPr>
              <w:t>t</w:t>
            </w:r>
            <w:r w:rsidR="00E703E1" w:rsidRPr="0080620A">
              <w:rPr>
                <w:rFonts w:asciiTheme="majorBidi" w:hAnsiTheme="majorBidi" w:cstheme="majorBidi"/>
                <w:b/>
                <w:bCs/>
              </w:rPr>
              <w:t xml:space="preserve">he </w:t>
            </w:r>
            <w:r w:rsidRPr="0080620A">
              <w:rPr>
                <w:rFonts w:asciiTheme="majorBidi" w:hAnsiTheme="majorBidi" w:cstheme="majorBidi"/>
                <w:b/>
                <w:bCs/>
                <w:sz w:val="18"/>
                <w:szCs w:val="18"/>
              </w:rPr>
              <w:t>indicator</w:t>
            </w:r>
          </w:p>
        </w:tc>
        <w:tc>
          <w:tcPr>
            <w:tcW w:w="2374" w:type="dxa"/>
            <w:shd w:val="clear" w:color="auto" w:fill="B8CCE4" w:themeFill="accent1" w:themeFillTint="66"/>
          </w:tcPr>
          <w:p w14:paraId="0850F18C" w14:textId="77777777" w:rsidR="00B1107F" w:rsidRPr="0080620A" w:rsidRDefault="00B1107F" w:rsidP="00BC69B4">
            <w:pPr>
              <w:keepNext/>
              <w:keepLines/>
              <w:rPr>
                <w:rFonts w:asciiTheme="majorBidi" w:eastAsia="Roboto" w:hAnsiTheme="majorBidi" w:cstheme="majorBidi"/>
                <w:b/>
                <w:sz w:val="18"/>
                <w:szCs w:val="18"/>
              </w:rPr>
            </w:pPr>
            <w:r w:rsidRPr="0080620A">
              <w:rPr>
                <w:rFonts w:asciiTheme="majorBidi" w:hAnsiTheme="majorBidi" w:cstheme="majorBidi"/>
                <w:b/>
                <w:bCs/>
                <w:sz w:val="18"/>
                <w:szCs w:val="18"/>
              </w:rPr>
              <w:t>Baseline for the indicator</w:t>
            </w:r>
          </w:p>
        </w:tc>
      </w:tr>
      <w:tr w:rsidR="00B1107F" w:rsidRPr="0080620A" w14:paraId="6FF1E8BE" w14:textId="77777777" w:rsidTr="00232941">
        <w:trPr>
          <w:trHeight w:val="454"/>
          <w:jc w:val="right"/>
        </w:trPr>
        <w:tc>
          <w:tcPr>
            <w:tcW w:w="2830" w:type="dxa"/>
          </w:tcPr>
          <w:p w14:paraId="0E81A578"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G1. Monitoring indicator</w:t>
            </w:r>
          </w:p>
        </w:tc>
        <w:tc>
          <w:tcPr>
            <w:tcW w:w="5245" w:type="dxa"/>
          </w:tcPr>
          <w:p w14:paraId="1EB5AAB6"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Mercury levels in selected human populations (as defined by the monitoring arrangements)</w:t>
            </w:r>
          </w:p>
        </w:tc>
        <w:tc>
          <w:tcPr>
            <w:tcW w:w="2501" w:type="dxa"/>
          </w:tcPr>
          <w:p w14:paraId="3A62D1D9"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 Existing monitoring data and activities</w:t>
            </w:r>
          </w:p>
        </w:tc>
        <w:tc>
          <w:tcPr>
            <w:tcW w:w="2374" w:type="dxa"/>
          </w:tcPr>
          <w:p w14:paraId="7C19417A" w14:textId="5FEC20A4" w:rsidR="00B1107F" w:rsidRPr="0080620A" w:rsidRDefault="006C5116" w:rsidP="00BC69B4">
            <w:pPr>
              <w:keepNext/>
              <w:keepLines/>
              <w:rPr>
                <w:rFonts w:asciiTheme="majorBidi" w:hAnsiTheme="majorBidi" w:cstheme="majorBidi"/>
                <w:sz w:val="18"/>
                <w:szCs w:val="18"/>
              </w:rPr>
            </w:pPr>
            <w:r w:rsidRPr="0080620A">
              <w:rPr>
                <w:rFonts w:asciiTheme="majorBidi" w:hAnsiTheme="majorBidi" w:cstheme="majorBidi"/>
                <w:sz w:val="18"/>
                <w:szCs w:val="18"/>
              </w:rPr>
              <w:t>N</w:t>
            </w:r>
            <w:r w:rsidR="00B1107F" w:rsidRPr="0080620A">
              <w:rPr>
                <w:rFonts w:asciiTheme="majorBidi" w:hAnsiTheme="majorBidi" w:cstheme="majorBidi"/>
                <w:sz w:val="18"/>
                <w:szCs w:val="18"/>
              </w:rPr>
              <w:t>umber in the first evaluation</w:t>
            </w:r>
          </w:p>
        </w:tc>
      </w:tr>
      <w:tr w:rsidR="00B1107F" w:rsidRPr="0080620A" w14:paraId="65AB15FA" w14:textId="77777777" w:rsidTr="00232941">
        <w:trPr>
          <w:trHeight w:val="624"/>
          <w:jc w:val="right"/>
        </w:trPr>
        <w:tc>
          <w:tcPr>
            <w:tcW w:w="2830" w:type="dxa"/>
          </w:tcPr>
          <w:p w14:paraId="2E7AB1F1"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G2. Process indicator</w:t>
            </w:r>
          </w:p>
        </w:tc>
        <w:tc>
          <w:tcPr>
            <w:tcW w:w="5245" w:type="dxa"/>
          </w:tcPr>
          <w:p w14:paraId="34093A33" w14:textId="3436221F"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Number of parties that have taken measures, such as fish advisories, to provide information to the public on exposure to mercury</w:t>
            </w:r>
            <w:r w:rsidR="006C5116" w:rsidRPr="0080620A">
              <w:rPr>
                <w:rFonts w:asciiTheme="majorBidi" w:hAnsiTheme="majorBidi" w:cstheme="majorBidi"/>
                <w:sz w:val="18"/>
                <w:szCs w:val="18"/>
              </w:rPr>
              <w:t>,</w:t>
            </w:r>
            <w:r w:rsidRPr="0080620A">
              <w:rPr>
                <w:rFonts w:asciiTheme="majorBidi" w:hAnsiTheme="majorBidi" w:cstheme="majorBidi"/>
                <w:sz w:val="18"/>
                <w:szCs w:val="18"/>
              </w:rPr>
              <w:t xml:space="preserve"> in accordance with paragraph 1 of article 16</w:t>
            </w:r>
          </w:p>
        </w:tc>
        <w:tc>
          <w:tcPr>
            <w:tcW w:w="2501" w:type="dxa"/>
          </w:tcPr>
          <w:p w14:paraId="610A9396"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iCs/>
                <w:sz w:val="18"/>
                <w:szCs w:val="18"/>
              </w:rPr>
              <w:t>- Article 21 reporting</w:t>
            </w:r>
          </w:p>
        </w:tc>
        <w:tc>
          <w:tcPr>
            <w:tcW w:w="2374" w:type="dxa"/>
          </w:tcPr>
          <w:p w14:paraId="6DCCD242" w14:textId="00AD1A02" w:rsidR="00B1107F" w:rsidRPr="0080620A" w:rsidRDefault="006C5116" w:rsidP="00BC69B4">
            <w:pPr>
              <w:keepNext/>
              <w:keepLines/>
              <w:rPr>
                <w:rFonts w:asciiTheme="majorBidi" w:hAnsiTheme="majorBidi" w:cstheme="majorBidi"/>
                <w:sz w:val="18"/>
                <w:szCs w:val="18"/>
              </w:rPr>
            </w:pPr>
            <w:r w:rsidRPr="0080620A">
              <w:rPr>
                <w:rFonts w:asciiTheme="majorBidi" w:hAnsiTheme="majorBidi" w:cstheme="majorBidi"/>
                <w:sz w:val="18"/>
                <w:szCs w:val="18"/>
              </w:rPr>
              <w:t>N</w:t>
            </w:r>
            <w:r w:rsidR="00B1107F" w:rsidRPr="0080620A">
              <w:rPr>
                <w:rFonts w:asciiTheme="majorBidi" w:hAnsiTheme="majorBidi" w:cstheme="majorBidi"/>
                <w:sz w:val="18"/>
                <w:szCs w:val="18"/>
              </w:rPr>
              <w:t>umber in the first evaluation</w:t>
            </w:r>
          </w:p>
        </w:tc>
      </w:tr>
      <w:tr w:rsidR="00B1107F" w:rsidRPr="0080620A" w14:paraId="10601942" w14:textId="77777777" w:rsidTr="00232941">
        <w:trPr>
          <w:trHeight w:val="454"/>
          <w:jc w:val="right"/>
        </w:trPr>
        <w:tc>
          <w:tcPr>
            <w:tcW w:w="2830" w:type="dxa"/>
          </w:tcPr>
          <w:p w14:paraId="6F76F627"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G3. Process indicator</w:t>
            </w:r>
          </w:p>
        </w:tc>
        <w:tc>
          <w:tcPr>
            <w:tcW w:w="5245" w:type="dxa"/>
          </w:tcPr>
          <w:p w14:paraId="41CE2A4F" w14:textId="26A90015"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sz w:val="18"/>
                <w:szCs w:val="18"/>
              </w:rPr>
              <w:t>Number of parties that have taken measures to protect human health</w:t>
            </w:r>
            <w:r w:rsidR="006C5116" w:rsidRPr="0080620A">
              <w:rPr>
                <w:rFonts w:asciiTheme="majorBidi" w:hAnsiTheme="majorBidi" w:cstheme="majorBidi"/>
                <w:sz w:val="18"/>
                <w:szCs w:val="18"/>
              </w:rPr>
              <w:t>,</w:t>
            </w:r>
            <w:r w:rsidRPr="0080620A">
              <w:rPr>
                <w:rFonts w:asciiTheme="majorBidi" w:hAnsiTheme="majorBidi" w:cstheme="majorBidi"/>
                <w:sz w:val="18"/>
                <w:szCs w:val="18"/>
              </w:rPr>
              <w:t xml:space="preserve"> in accordance with article 16</w:t>
            </w:r>
          </w:p>
        </w:tc>
        <w:tc>
          <w:tcPr>
            <w:tcW w:w="2501" w:type="dxa"/>
          </w:tcPr>
          <w:p w14:paraId="1D39E128" w14:textId="77777777" w:rsidR="00B1107F" w:rsidRPr="0080620A" w:rsidRDefault="00B1107F" w:rsidP="00BC69B4">
            <w:pPr>
              <w:keepNext/>
              <w:keepLines/>
              <w:rPr>
                <w:rFonts w:asciiTheme="majorBidi" w:hAnsiTheme="majorBidi" w:cstheme="majorBidi"/>
                <w:iCs/>
                <w:sz w:val="18"/>
                <w:szCs w:val="18"/>
              </w:rPr>
            </w:pPr>
            <w:r w:rsidRPr="0080620A">
              <w:rPr>
                <w:rFonts w:asciiTheme="majorBidi" w:hAnsiTheme="majorBidi" w:cstheme="majorBidi"/>
                <w:iCs/>
                <w:sz w:val="18"/>
                <w:szCs w:val="18"/>
              </w:rPr>
              <w:t>- Article 21 reporting</w:t>
            </w:r>
          </w:p>
          <w:p w14:paraId="507F87CF" w14:textId="77777777" w:rsidR="00B1107F" w:rsidRPr="0080620A" w:rsidRDefault="00B1107F" w:rsidP="00BC69B4">
            <w:pPr>
              <w:keepNext/>
              <w:keepLines/>
              <w:rPr>
                <w:rFonts w:asciiTheme="majorBidi" w:hAnsiTheme="majorBidi" w:cstheme="majorBidi"/>
                <w:sz w:val="18"/>
                <w:szCs w:val="18"/>
              </w:rPr>
            </w:pPr>
            <w:r w:rsidRPr="0080620A">
              <w:rPr>
                <w:rFonts w:asciiTheme="majorBidi" w:hAnsiTheme="majorBidi" w:cstheme="majorBidi"/>
                <w:iCs/>
                <w:sz w:val="18"/>
                <w:szCs w:val="18"/>
              </w:rPr>
              <w:t>- Submissions to the secretariat</w:t>
            </w:r>
          </w:p>
        </w:tc>
        <w:tc>
          <w:tcPr>
            <w:tcW w:w="2374" w:type="dxa"/>
          </w:tcPr>
          <w:p w14:paraId="4789E697" w14:textId="0BCB7DD2" w:rsidR="00B1107F" w:rsidRPr="0080620A" w:rsidRDefault="006C5116" w:rsidP="00BC69B4">
            <w:pPr>
              <w:keepNext/>
              <w:keepLines/>
              <w:rPr>
                <w:rFonts w:asciiTheme="majorBidi" w:hAnsiTheme="majorBidi" w:cstheme="majorBidi"/>
                <w:sz w:val="18"/>
                <w:szCs w:val="18"/>
              </w:rPr>
            </w:pPr>
            <w:r w:rsidRPr="0080620A">
              <w:rPr>
                <w:rFonts w:asciiTheme="majorBidi" w:hAnsiTheme="majorBidi" w:cstheme="majorBidi"/>
                <w:sz w:val="18"/>
                <w:szCs w:val="18"/>
              </w:rPr>
              <w:t>N</w:t>
            </w:r>
            <w:r w:rsidR="00B1107F" w:rsidRPr="0080620A">
              <w:rPr>
                <w:rFonts w:asciiTheme="majorBidi" w:hAnsiTheme="majorBidi" w:cstheme="majorBidi"/>
                <w:sz w:val="18"/>
                <w:szCs w:val="18"/>
              </w:rPr>
              <w:t>umber in the first evaluation</w:t>
            </w:r>
          </w:p>
        </w:tc>
      </w:tr>
      <w:tr w:rsidR="00B1107F" w:rsidRPr="0080620A" w14:paraId="0A6FB3E4" w14:textId="77777777" w:rsidTr="00232941">
        <w:trPr>
          <w:trHeight w:val="227"/>
          <w:jc w:val="right"/>
        </w:trPr>
        <w:tc>
          <w:tcPr>
            <w:tcW w:w="2830" w:type="dxa"/>
            <w:shd w:val="clear" w:color="auto" w:fill="B8CCE4" w:themeFill="accent1" w:themeFillTint="66"/>
          </w:tcPr>
          <w:p w14:paraId="51B5A9C1" w14:textId="77777777" w:rsidR="00B1107F" w:rsidRPr="0080620A" w:rsidRDefault="00B1107F" w:rsidP="00EE7D24">
            <w:pPr>
              <w:rPr>
                <w:rFonts w:asciiTheme="majorBidi" w:hAnsiTheme="majorBidi" w:cstheme="majorBidi"/>
                <w:b/>
                <w:bCs/>
                <w:sz w:val="18"/>
                <w:szCs w:val="18"/>
              </w:rPr>
            </w:pPr>
            <w:r w:rsidRPr="0080620A">
              <w:rPr>
                <w:rFonts w:asciiTheme="majorBidi" w:hAnsiTheme="majorBidi" w:cstheme="majorBidi"/>
                <w:b/>
                <w:bCs/>
                <w:sz w:val="18"/>
                <w:szCs w:val="18"/>
              </w:rPr>
              <w:t>Notes</w:t>
            </w:r>
          </w:p>
        </w:tc>
        <w:tc>
          <w:tcPr>
            <w:tcW w:w="10120" w:type="dxa"/>
            <w:gridSpan w:val="3"/>
          </w:tcPr>
          <w:p w14:paraId="413E3478" w14:textId="563A5080" w:rsidR="00B1107F" w:rsidRPr="0080620A" w:rsidRDefault="00B1107F" w:rsidP="00A00B9F">
            <w:pPr>
              <w:pStyle w:val="ListParagraph"/>
              <w:numPr>
                <w:ilvl w:val="0"/>
                <w:numId w:val="20"/>
              </w:numPr>
              <w:pBdr>
                <w:top w:val="nil"/>
                <w:left w:val="nil"/>
                <w:bottom w:val="nil"/>
                <w:right w:val="nil"/>
                <w:between w:val="nil"/>
                <w:bar w:val="nil"/>
              </w:pBdr>
              <w:tabs>
                <w:tab w:val="left" w:pos="1872"/>
              </w:tabs>
              <w:rPr>
                <w:rFonts w:asciiTheme="majorBidi" w:hAnsiTheme="majorBidi" w:cstheme="majorBidi"/>
                <w:sz w:val="18"/>
                <w:szCs w:val="18"/>
              </w:rPr>
            </w:pPr>
            <w:r w:rsidRPr="0080620A">
              <w:rPr>
                <w:rFonts w:asciiTheme="majorBidi" w:hAnsiTheme="majorBidi" w:cstheme="majorBidi"/>
                <w:sz w:val="18"/>
                <w:szCs w:val="18"/>
              </w:rPr>
              <w:t xml:space="preserve">Mercury levels in biota </w:t>
            </w:r>
            <w:r w:rsidR="006C5116" w:rsidRPr="0080620A">
              <w:rPr>
                <w:rFonts w:asciiTheme="majorBidi" w:hAnsiTheme="majorBidi" w:cstheme="majorBidi"/>
                <w:sz w:val="18"/>
                <w:szCs w:val="18"/>
              </w:rPr>
              <w:t xml:space="preserve">are </w:t>
            </w:r>
            <w:r w:rsidRPr="0080620A">
              <w:rPr>
                <w:rFonts w:asciiTheme="majorBidi" w:hAnsiTheme="majorBidi" w:cstheme="majorBidi"/>
                <w:sz w:val="18"/>
                <w:szCs w:val="18"/>
              </w:rPr>
              <w:t xml:space="preserve">also to be considered. </w:t>
            </w:r>
          </w:p>
        </w:tc>
      </w:tr>
    </w:tbl>
    <w:p w14:paraId="7A54F290"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34"/>
        <w:gridCol w:w="5435"/>
        <w:gridCol w:w="2612"/>
        <w:gridCol w:w="2439"/>
      </w:tblGrid>
      <w:tr w:rsidR="00B1107F" w:rsidRPr="0080620A" w14:paraId="4C213794" w14:textId="77777777" w:rsidTr="00232941">
        <w:trPr>
          <w:trHeight w:val="454"/>
          <w:jc w:val="right"/>
        </w:trPr>
        <w:tc>
          <w:tcPr>
            <w:tcW w:w="8075" w:type="dxa"/>
            <w:gridSpan w:val="2"/>
            <w:shd w:val="clear" w:color="auto" w:fill="B8CCE4" w:themeFill="accent1" w:themeFillTint="66"/>
          </w:tcPr>
          <w:p w14:paraId="6E26822A" w14:textId="7F7A5B99" w:rsidR="004D78F9" w:rsidRPr="0080620A" w:rsidRDefault="00B1107F" w:rsidP="009E249F">
            <w:pPr>
              <w:rPr>
                <w:b/>
              </w:rPr>
            </w:pPr>
            <w:r w:rsidRPr="0080620A">
              <w:rPr>
                <w:b/>
              </w:rPr>
              <w:t xml:space="preserve">H: Information and </w:t>
            </w:r>
            <w:r w:rsidR="006A08EA" w:rsidRPr="0080620A">
              <w:rPr>
                <w:b/>
              </w:rPr>
              <w:t>r</w:t>
            </w:r>
            <w:r w:rsidRPr="0080620A">
              <w:rPr>
                <w:b/>
              </w:rPr>
              <w:t xml:space="preserve">esearch </w:t>
            </w:r>
            <w:r w:rsidR="006A08EA" w:rsidRPr="0080620A">
              <w:rPr>
                <w:b/>
              </w:rPr>
              <w:t>c</w:t>
            </w:r>
            <w:r w:rsidRPr="0080620A">
              <w:rPr>
                <w:b/>
              </w:rPr>
              <w:t xml:space="preserve">luster </w:t>
            </w:r>
          </w:p>
          <w:p w14:paraId="27EA7C1E" w14:textId="10276053" w:rsidR="00B1107F" w:rsidRPr="0080620A" w:rsidRDefault="004D78F9" w:rsidP="009E249F">
            <w:r w:rsidRPr="0080620A">
              <w:rPr>
                <w:b/>
              </w:rPr>
              <w:t>A</w:t>
            </w:r>
            <w:r w:rsidR="006A08EA" w:rsidRPr="0080620A">
              <w:rPr>
                <w:b/>
              </w:rPr>
              <w:t xml:space="preserve">rticle 17 </w:t>
            </w:r>
            <w:r w:rsidRPr="0080620A">
              <w:rPr>
                <w:b/>
              </w:rPr>
              <w:t>(</w:t>
            </w:r>
            <w:r w:rsidR="006A08EA" w:rsidRPr="0080620A">
              <w:rPr>
                <w:b/>
              </w:rPr>
              <w:t>i</w:t>
            </w:r>
            <w:r w:rsidR="00B1107F" w:rsidRPr="0080620A">
              <w:rPr>
                <w:b/>
              </w:rPr>
              <w:t>nformation exchange</w:t>
            </w:r>
            <w:r w:rsidRPr="0080620A">
              <w:rPr>
                <w:b/>
              </w:rPr>
              <w:t>)</w:t>
            </w:r>
            <w:r w:rsidR="006A08EA" w:rsidRPr="0080620A">
              <w:rPr>
                <w:b/>
              </w:rPr>
              <w:t>;</w:t>
            </w:r>
            <w:r w:rsidR="00B1107F" w:rsidRPr="0080620A">
              <w:rPr>
                <w:b/>
              </w:rPr>
              <w:t xml:space="preserve"> </w:t>
            </w:r>
            <w:r w:rsidR="006A08EA" w:rsidRPr="0080620A">
              <w:rPr>
                <w:b/>
              </w:rPr>
              <w:t xml:space="preserve">article 18 </w:t>
            </w:r>
            <w:r w:rsidRPr="0080620A">
              <w:rPr>
                <w:b/>
              </w:rPr>
              <w:t>(</w:t>
            </w:r>
            <w:r w:rsidR="006A08EA" w:rsidRPr="0080620A">
              <w:rPr>
                <w:b/>
              </w:rPr>
              <w:t>p</w:t>
            </w:r>
            <w:r w:rsidR="00B1107F" w:rsidRPr="0080620A">
              <w:rPr>
                <w:b/>
              </w:rPr>
              <w:t>ublic information, awareness and education</w:t>
            </w:r>
            <w:r w:rsidRPr="0080620A">
              <w:rPr>
                <w:b/>
              </w:rPr>
              <w:t>)</w:t>
            </w:r>
            <w:r w:rsidR="006A08EA" w:rsidRPr="0080620A">
              <w:rPr>
                <w:b/>
              </w:rPr>
              <w:t>;</w:t>
            </w:r>
            <w:r w:rsidR="00B1107F" w:rsidRPr="0080620A">
              <w:rPr>
                <w:b/>
              </w:rPr>
              <w:t xml:space="preserve"> </w:t>
            </w:r>
            <w:r w:rsidR="006A08EA" w:rsidRPr="0080620A">
              <w:rPr>
                <w:b/>
              </w:rPr>
              <w:t xml:space="preserve">article 19 </w:t>
            </w:r>
            <w:r w:rsidRPr="0080620A">
              <w:rPr>
                <w:b/>
              </w:rPr>
              <w:t>(</w:t>
            </w:r>
            <w:r w:rsidR="006A08EA" w:rsidRPr="0080620A">
              <w:rPr>
                <w:b/>
              </w:rPr>
              <w:t>r</w:t>
            </w:r>
            <w:r w:rsidR="00B1107F" w:rsidRPr="0080620A">
              <w:rPr>
                <w:b/>
              </w:rPr>
              <w:t>esearch, development and monitoring</w:t>
            </w:r>
            <w:r w:rsidRPr="0080620A">
              <w:rPr>
                <w:b/>
              </w:rPr>
              <w:t>)</w:t>
            </w:r>
            <w:r w:rsidR="00B1107F" w:rsidRPr="0080620A">
              <w:rPr>
                <w:b/>
              </w:rPr>
              <w:t xml:space="preserve">  </w:t>
            </w:r>
          </w:p>
        </w:tc>
        <w:tc>
          <w:tcPr>
            <w:tcW w:w="2521" w:type="dxa"/>
            <w:shd w:val="clear" w:color="auto" w:fill="B8CCE4" w:themeFill="accent1" w:themeFillTint="66"/>
          </w:tcPr>
          <w:p w14:paraId="69A863D6" w14:textId="47BB3CEC" w:rsidR="00B1107F" w:rsidRPr="004D467D" w:rsidRDefault="00B1107F" w:rsidP="009E249F">
            <w:pPr>
              <w:rPr>
                <w:b/>
                <w:bCs/>
              </w:rPr>
            </w:pPr>
            <w:r w:rsidRPr="004D467D">
              <w:t xml:space="preserve">Source of information on </w:t>
            </w:r>
            <w:r w:rsidR="007F45A9" w:rsidRPr="004D467D">
              <w:t xml:space="preserve">the </w:t>
            </w:r>
            <w:r w:rsidRPr="004D467D">
              <w:t>indicator</w:t>
            </w:r>
          </w:p>
        </w:tc>
        <w:tc>
          <w:tcPr>
            <w:tcW w:w="2354" w:type="dxa"/>
            <w:shd w:val="clear" w:color="auto" w:fill="B8CCE4" w:themeFill="accent1" w:themeFillTint="66"/>
          </w:tcPr>
          <w:p w14:paraId="7C0AF9E1" w14:textId="77777777" w:rsidR="00B1107F" w:rsidRPr="004D467D" w:rsidRDefault="00B1107F" w:rsidP="009E249F">
            <w:pPr>
              <w:rPr>
                <w:b/>
                <w:bCs/>
              </w:rPr>
            </w:pPr>
            <w:r w:rsidRPr="004D467D">
              <w:t>Baseline for the indicator</w:t>
            </w:r>
          </w:p>
        </w:tc>
      </w:tr>
      <w:tr w:rsidR="00B1107F" w:rsidRPr="0080620A" w14:paraId="213B9735" w14:textId="77777777" w:rsidTr="00232941">
        <w:trPr>
          <w:trHeight w:val="227"/>
          <w:jc w:val="right"/>
        </w:trPr>
        <w:tc>
          <w:tcPr>
            <w:tcW w:w="2830" w:type="dxa"/>
            <w:shd w:val="clear" w:color="auto" w:fill="B8CCE4" w:themeFill="accent1" w:themeFillTint="66"/>
          </w:tcPr>
          <w:p w14:paraId="315E18EF" w14:textId="77777777" w:rsidR="00B1107F" w:rsidRPr="0080620A" w:rsidRDefault="00B1107F" w:rsidP="00EE7D24">
            <w:pPr>
              <w:rPr>
                <w:b/>
                <w:sz w:val="18"/>
                <w:szCs w:val="18"/>
              </w:rPr>
            </w:pPr>
            <w:r w:rsidRPr="0080620A">
              <w:rPr>
                <w:b/>
                <w:sz w:val="18"/>
                <w:szCs w:val="18"/>
              </w:rPr>
              <w:t>Article 17</w:t>
            </w:r>
          </w:p>
        </w:tc>
        <w:tc>
          <w:tcPr>
            <w:tcW w:w="5245" w:type="dxa"/>
            <w:shd w:val="clear" w:color="auto" w:fill="B8CCE4" w:themeFill="accent1" w:themeFillTint="66"/>
          </w:tcPr>
          <w:p w14:paraId="01EF5F72" w14:textId="77777777" w:rsidR="00B1107F" w:rsidRPr="0080620A" w:rsidRDefault="00B1107F" w:rsidP="00EE7D24">
            <w:pPr>
              <w:rPr>
                <w:sz w:val="18"/>
                <w:szCs w:val="18"/>
              </w:rPr>
            </w:pPr>
          </w:p>
        </w:tc>
        <w:tc>
          <w:tcPr>
            <w:tcW w:w="2521" w:type="dxa"/>
            <w:shd w:val="clear" w:color="auto" w:fill="B8CCE4" w:themeFill="accent1" w:themeFillTint="66"/>
          </w:tcPr>
          <w:p w14:paraId="572D4AFD" w14:textId="77777777" w:rsidR="00B1107F" w:rsidRPr="0080620A" w:rsidRDefault="00B1107F" w:rsidP="00EE7D24">
            <w:pPr>
              <w:rPr>
                <w:sz w:val="18"/>
                <w:szCs w:val="18"/>
              </w:rPr>
            </w:pPr>
          </w:p>
        </w:tc>
        <w:tc>
          <w:tcPr>
            <w:tcW w:w="2354" w:type="dxa"/>
            <w:shd w:val="clear" w:color="auto" w:fill="B8CCE4" w:themeFill="accent1" w:themeFillTint="66"/>
          </w:tcPr>
          <w:p w14:paraId="7FA2BD0D" w14:textId="77777777" w:rsidR="00B1107F" w:rsidRPr="0080620A" w:rsidRDefault="00B1107F" w:rsidP="00EE7D24">
            <w:pPr>
              <w:rPr>
                <w:sz w:val="18"/>
                <w:szCs w:val="18"/>
              </w:rPr>
            </w:pPr>
          </w:p>
        </w:tc>
      </w:tr>
      <w:tr w:rsidR="00B1107F" w:rsidRPr="0080620A" w14:paraId="6D5B88A8" w14:textId="77777777" w:rsidTr="00902F3B">
        <w:trPr>
          <w:trHeight w:val="255"/>
          <w:jc w:val="right"/>
        </w:trPr>
        <w:tc>
          <w:tcPr>
            <w:tcW w:w="2830" w:type="dxa"/>
          </w:tcPr>
          <w:p w14:paraId="06248CEC" w14:textId="51A71B74" w:rsidR="00B1107F" w:rsidRPr="0080620A" w:rsidRDefault="00B1107F" w:rsidP="00EE7D24">
            <w:pPr>
              <w:rPr>
                <w:sz w:val="18"/>
                <w:szCs w:val="18"/>
              </w:rPr>
            </w:pPr>
            <w:r w:rsidRPr="0080620A">
              <w:rPr>
                <w:sz w:val="18"/>
                <w:szCs w:val="18"/>
              </w:rPr>
              <w:t xml:space="preserve">H1. </w:t>
            </w:r>
            <w:r w:rsidRPr="0080620A">
              <w:rPr>
                <w:rFonts w:eastAsia="Roboto"/>
                <w:sz w:val="18"/>
                <w:szCs w:val="18"/>
              </w:rPr>
              <w:t xml:space="preserve">Process indicator for </w:t>
            </w:r>
            <w:r w:rsidR="00C05B03" w:rsidRPr="0080620A">
              <w:rPr>
                <w:rFonts w:eastAsia="Roboto"/>
                <w:sz w:val="18"/>
                <w:szCs w:val="18"/>
              </w:rPr>
              <w:t>a</w:t>
            </w:r>
            <w:r w:rsidRPr="0080620A">
              <w:rPr>
                <w:rFonts w:eastAsia="Roboto"/>
                <w:sz w:val="18"/>
                <w:szCs w:val="18"/>
              </w:rPr>
              <w:t>rticle 17</w:t>
            </w:r>
          </w:p>
        </w:tc>
        <w:tc>
          <w:tcPr>
            <w:tcW w:w="5245" w:type="dxa"/>
          </w:tcPr>
          <w:p w14:paraId="5EB7B274" w14:textId="12D5200A" w:rsidR="00B1107F" w:rsidRPr="0080620A" w:rsidRDefault="00B1107F" w:rsidP="006A1927">
            <w:pPr>
              <w:pBdr>
                <w:top w:val="nil"/>
                <w:left w:val="nil"/>
                <w:bottom w:val="nil"/>
                <w:right w:val="nil"/>
                <w:between w:val="nil"/>
                <w:bar w:val="nil"/>
              </w:pBdr>
              <w:rPr>
                <w:sz w:val="18"/>
                <w:szCs w:val="18"/>
              </w:rPr>
            </w:pPr>
            <w:r w:rsidRPr="0080620A">
              <w:rPr>
                <w:rFonts w:eastAsia="Roboto"/>
                <w:sz w:val="18"/>
                <w:szCs w:val="18"/>
              </w:rPr>
              <w:t>Number of parties with designated national focal points</w:t>
            </w:r>
          </w:p>
        </w:tc>
        <w:tc>
          <w:tcPr>
            <w:tcW w:w="2521" w:type="dxa"/>
          </w:tcPr>
          <w:p w14:paraId="4845F5F0"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54" w:type="dxa"/>
          </w:tcPr>
          <w:p w14:paraId="3EF8E44F" w14:textId="153ACC85"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6FC21AB5" w14:textId="77777777" w:rsidTr="00232941">
        <w:trPr>
          <w:trHeight w:val="454"/>
          <w:jc w:val="right"/>
        </w:trPr>
        <w:tc>
          <w:tcPr>
            <w:tcW w:w="2830" w:type="dxa"/>
          </w:tcPr>
          <w:p w14:paraId="6B968CB0" w14:textId="0BC4B63A" w:rsidR="00B1107F" w:rsidRPr="0080620A" w:rsidRDefault="00B1107F" w:rsidP="00EE7D24">
            <w:pPr>
              <w:rPr>
                <w:sz w:val="18"/>
                <w:szCs w:val="18"/>
              </w:rPr>
            </w:pPr>
            <w:r w:rsidRPr="0080620A">
              <w:rPr>
                <w:sz w:val="18"/>
                <w:szCs w:val="18"/>
              </w:rPr>
              <w:t xml:space="preserve">H2. </w:t>
            </w:r>
            <w:r w:rsidRPr="0080620A">
              <w:rPr>
                <w:rFonts w:eastAsia="Roboto"/>
                <w:sz w:val="18"/>
                <w:szCs w:val="18"/>
              </w:rPr>
              <w:t xml:space="preserve">Process indicator for </w:t>
            </w:r>
            <w:r w:rsidR="00C05B03" w:rsidRPr="0080620A">
              <w:rPr>
                <w:rFonts w:eastAsia="Roboto"/>
                <w:sz w:val="18"/>
                <w:szCs w:val="18"/>
              </w:rPr>
              <w:t>a</w:t>
            </w:r>
            <w:r w:rsidRPr="0080620A">
              <w:rPr>
                <w:rFonts w:eastAsia="Roboto"/>
                <w:sz w:val="18"/>
                <w:szCs w:val="18"/>
              </w:rPr>
              <w:t>rticle 17</w:t>
            </w:r>
          </w:p>
        </w:tc>
        <w:tc>
          <w:tcPr>
            <w:tcW w:w="5245" w:type="dxa"/>
          </w:tcPr>
          <w:p w14:paraId="09A03F4A" w14:textId="6319A94D"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Number of </w:t>
            </w:r>
            <w:r w:rsidR="00C05B03" w:rsidRPr="0080620A">
              <w:rPr>
                <w:rFonts w:eastAsia="Roboto"/>
                <w:sz w:val="18"/>
                <w:szCs w:val="18"/>
              </w:rPr>
              <w:t>p</w:t>
            </w:r>
            <w:r w:rsidRPr="0080620A">
              <w:rPr>
                <w:rFonts w:eastAsia="Roboto"/>
                <w:sz w:val="18"/>
                <w:szCs w:val="18"/>
              </w:rPr>
              <w:t xml:space="preserve">arties that have facilitated the exchange of information related to mercury </w:t>
            </w:r>
          </w:p>
        </w:tc>
        <w:tc>
          <w:tcPr>
            <w:tcW w:w="2521" w:type="dxa"/>
          </w:tcPr>
          <w:p w14:paraId="63A8BD64"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54" w:type="dxa"/>
          </w:tcPr>
          <w:p w14:paraId="5B76986B" w14:textId="6A80E415"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43F8F7E7" w14:textId="77777777" w:rsidTr="00232941">
        <w:trPr>
          <w:trHeight w:val="227"/>
          <w:jc w:val="right"/>
        </w:trPr>
        <w:tc>
          <w:tcPr>
            <w:tcW w:w="2830" w:type="dxa"/>
            <w:shd w:val="clear" w:color="auto" w:fill="B8CCE4" w:themeFill="accent1" w:themeFillTint="66"/>
          </w:tcPr>
          <w:p w14:paraId="048789CB" w14:textId="77777777" w:rsidR="00B1107F" w:rsidRPr="0080620A" w:rsidRDefault="00B1107F" w:rsidP="00EE7D24">
            <w:pPr>
              <w:pBdr>
                <w:top w:val="nil"/>
                <w:left w:val="nil"/>
                <w:bottom w:val="nil"/>
                <w:right w:val="nil"/>
                <w:between w:val="nil"/>
                <w:bar w:val="nil"/>
              </w:pBdr>
              <w:tabs>
                <w:tab w:val="left" w:pos="1163"/>
              </w:tabs>
              <w:rPr>
                <w:b/>
                <w:sz w:val="18"/>
                <w:szCs w:val="18"/>
              </w:rPr>
            </w:pPr>
            <w:r w:rsidRPr="0080620A">
              <w:rPr>
                <w:b/>
                <w:sz w:val="18"/>
                <w:szCs w:val="18"/>
              </w:rPr>
              <w:t>Article 18</w:t>
            </w:r>
          </w:p>
        </w:tc>
        <w:tc>
          <w:tcPr>
            <w:tcW w:w="5245" w:type="dxa"/>
            <w:shd w:val="clear" w:color="auto" w:fill="B8CCE4" w:themeFill="accent1" w:themeFillTint="66"/>
          </w:tcPr>
          <w:p w14:paraId="5EBDE3EC"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521" w:type="dxa"/>
            <w:shd w:val="clear" w:color="auto" w:fill="B8CCE4" w:themeFill="accent1" w:themeFillTint="66"/>
          </w:tcPr>
          <w:p w14:paraId="35DDB0E6"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c>
          <w:tcPr>
            <w:tcW w:w="2354" w:type="dxa"/>
            <w:shd w:val="clear" w:color="auto" w:fill="B8CCE4" w:themeFill="accent1" w:themeFillTint="66"/>
          </w:tcPr>
          <w:p w14:paraId="14D82B11"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p>
        </w:tc>
      </w:tr>
      <w:tr w:rsidR="00B1107F" w:rsidRPr="0080620A" w14:paraId="3962D47F" w14:textId="77777777" w:rsidTr="00902F3B">
        <w:trPr>
          <w:trHeight w:val="255"/>
          <w:jc w:val="right"/>
        </w:trPr>
        <w:tc>
          <w:tcPr>
            <w:tcW w:w="2830" w:type="dxa"/>
          </w:tcPr>
          <w:p w14:paraId="414B32C2" w14:textId="6DBAF628"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H3. Process indicator for </w:t>
            </w:r>
            <w:r w:rsidR="00C05B03" w:rsidRPr="0080620A">
              <w:rPr>
                <w:sz w:val="18"/>
                <w:szCs w:val="18"/>
              </w:rPr>
              <w:t>a</w:t>
            </w:r>
            <w:r w:rsidRPr="0080620A">
              <w:rPr>
                <w:sz w:val="18"/>
                <w:szCs w:val="18"/>
              </w:rPr>
              <w:t>rticle 18</w:t>
            </w:r>
          </w:p>
        </w:tc>
        <w:tc>
          <w:tcPr>
            <w:tcW w:w="5245" w:type="dxa"/>
          </w:tcPr>
          <w:p w14:paraId="4716A132" w14:textId="7B85B18B" w:rsidR="00B1107F" w:rsidRPr="0080620A" w:rsidRDefault="00B1107F" w:rsidP="00902F3B">
            <w:pPr>
              <w:pBdr>
                <w:top w:val="nil"/>
                <w:left w:val="nil"/>
                <w:bottom w:val="nil"/>
                <w:right w:val="nil"/>
                <w:between w:val="nil"/>
                <w:bar w:val="nil"/>
              </w:pBdr>
              <w:rPr>
                <w:rFonts w:eastAsia="Roboto"/>
                <w:sz w:val="18"/>
                <w:szCs w:val="18"/>
              </w:rPr>
            </w:pPr>
            <w:r w:rsidRPr="0080620A">
              <w:rPr>
                <w:rFonts w:eastAsia="Roboto"/>
                <w:sz w:val="18"/>
                <w:szCs w:val="18"/>
              </w:rPr>
              <w:t>Number of parties that have taken measures to implement article 18</w:t>
            </w:r>
          </w:p>
        </w:tc>
        <w:tc>
          <w:tcPr>
            <w:tcW w:w="2521" w:type="dxa"/>
          </w:tcPr>
          <w:p w14:paraId="4A32C977"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54" w:type="dxa"/>
          </w:tcPr>
          <w:p w14:paraId="1967ACF4" w14:textId="52F90AB2"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00325531" w14:textId="77777777" w:rsidTr="00232941">
        <w:trPr>
          <w:trHeight w:val="454"/>
          <w:jc w:val="right"/>
        </w:trPr>
        <w:tc>
          <w:tcPr>
            <w:tcW w:w="2830" w:type="dxa"/>
          </w:tcPr>
          <w:p w14:paraId="1F7EED65" w14:textId="371C2967"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H4. Process indicator for </w:t>
            </w:r>
            <w:r w:rsidR="00C05B03" w:rsidRPr="0080620A">
              <w:rPr>
                <w:sz w:val="18"/>
                <w:szCs w:val="18"/>
              </w:rPr>
              <w:t>a</w:t>
            </w:r>
            <w:r w:rsidRPr="0080620A">
              <w:rPr>
                <w:sz w:val="18"/>
                <w:szCs w:val="18"/>
              </w:rPr>
              <w:t>rticle 18</w:t>
            </w:r>
          </w:p>
        </w:tc>
        <w:tc>
          <w:tcPr>
            <w:tcW w:w="5245" w:type="dxa"/>
          </w:tcPr>
          <w:p w14:paraId="5D01A356" w14:textId="4D638DD9" w:rsidR="00B1107F" w:rsidRPr="0080620A" w:rsidRDefault="00B1107F" w:rsidP="002739D3">
            <w:pPr>
              <w:pBdr>
                <w:top w:val="nil"/>
                <w:left w:val="nil"/>
                <w:bottom w:val="nil"/>
                <w:right w:val="nil"/>
                <w:between w:val="nil"/>
                <w:bar w:val="nil"/>
              </w:pBdr>
              <w:rPr>
                <w:rFonts w:eastAsia="Roboto"/>
                <w:sz w:val="18"/>
                <w:szCs w:val="18"/>
              </w:rPr>
            </w:pPr>
            <w:r w:rsidRPr="0080620A">
              <w:rPr>
                <w:rFonts w:eastAsia="Roboto"/>
                <w:sz w:val="18"/>
                <w:szCs w:val="18"/>
              </w:rPr>
              <w:t xml:space="preserve">Average number of measures under paragraph 1 of </w:t>
            </w:r>
            <w:r w:rsidR="00C05B03" w:rsidRPr="0080620A">
              <w:rPr>
                <w:rFonts w:eastAsia="Roboto"/>
                <w:sz w:val="18"/>
                <w:szCs w:val="18"/>
              </w:rPr>
              <w:t>a</w:t>
            </w:r>
            <w:r w:rsidRPr="0080620A">
              <w:rPr>
                <w:rFonts w:eastAsia="Roboto"/>
                <w:sz w:val="18"/>
                <w:szCs w:val="18"/>
              </w:rPr>
              <w:t>rticle 18 that are being implemented by parties</w:t>
            </w:r>
          </w:p>
        </w:tc>
        <w:tc>
          <w:tcPr>
            <w:tcW w:w="2521" w:type="dxa"/>
          </w:tcPr>
          <w:p w14:paraId="22E40D8F" w14:textId="7F45908D"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 Derived from </w:t>
            </w:r>
            <w:r w:rsidR="00C05B03" w:rsidRPr="0080620A">
              <w:rPr>
                <w:rFonts w:eastAsia="Roboto"/>
                <w:sz w:val="18"/>
                <w:szCs w:val="18"/>
              </w:rPr>
              <w:t>a</w:t>
            </w:r>
            <w:r w:rsidRPr="0080620A">
              <w:rPr>
                <w:rFonts w:eastAsia="Roboto"/>
                <w:sz w:val="18"/>
                <w:szCs w:val="18"/>
              </w:rPr>
              <w:t>rticle 21 reporting</w:t>
            </w:r>
          </w:p>
        </w:tc>
        <w:tc>
          <w:tcPr>
            <w:tcW w:w="2354" w:type="dxa"/>
          </w:tcPr>
          <w:p w14:paraId="21E8EF55" w14:textId="2AC75F72"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704637B1" w14:textId="77777777" w:rsidTr="00232941">
        <w:trPr>
          <w:trHeight w:val="454"/>
          <w:jc w:val="right"/>
        </w:trPr>
        <w:tc>
          <w:tcPr>
            <w:tcW w:w="2830" w:type="dxa"/>
          </w:tcPr>
          <w:p w14:paraId="25FAECF4" w14:textId="3DA55362"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H5. Process indicator for </w:t>
            </w:r>
            <w:r w:rsidR="00C05B03" w:rsidRPr="0080620A">
              <w:rPr>
                <w:sz w:val="18"/>
                <w:szCs w:val="18"/>
              </w:rPr>
              <w:t>a</w:t>
            </w:r>
            <w:r w:rsidRPr="0080620A">
              <w:rPr>
                <w:sz w:val="18"/>
                <w:szCs w:val="18"/>
              </w:rPr>
              <w:t>rticle 18</w:t>
            </w:r>
          </w:p>
        </w:tc>
        <w:tc>
          <w:tcPr>
            <w:tcW w:w="5245" w:type="dxa"/>
          </w:tcPr>
          <w:p w14:paraId="74BB4305" w14:textId="6C41D3F4" w:rsidR="00B1107F" w:rsidRPr="0080620A" w:rsidRDefault="00B1107F" w:rsidP="00F256E3">
            <w:pPr>
              <w:pBdr>
                <w:top w:val="nil"/>
                <w:left w:val="nil"/>
                <w:bottom w:val="nil"/>
                <w:right w:val="nil"/>
                <w:between w:val="nil"/>
                <w:bar w:val="nil"/>
              </w:pBdr>
              <w:rPr>
                <w:rFonts w:eastAsia="Roboto"/>
                <w:sz w:val="18"/>
                <w:szCs w:val="18"/>
              </w:rPr>
            </w:pPr>
            <w:r w:rsidRPr="0080620A">
              <w:rPr>
                <w:rFonts w:eastAsia="Roboto"/>
                <w:sz w:val="18"/>
                <w:szCs w:val="18"/>
              </w:rPr>
              <w:t xml:space="preserve">Number of </w:t>
            </w:r>
            <w:r w:rsidR="004B5046" w:rsidRPr="0080620A">
              <w:rPr>
                <w:rFonts w:eastAsia="Roboto"/>
                <w:sz w:val="18"/>
                <w:szCs w:val="18"/>
              </w:rPr>
              <w:t>p</w:t>
            </w:r>
            <w:r w:rsidRPr="0080620A">
              <w:rPr>
                <w:rFonts w:eastAsia="Roboto"/>
                <w:sz w:val="18"/>
                <w:szCs w:val="18"/>
              </w:rPr>
              <w:t>arties that have public information on mercury levels in air, humans and biota within their territory</w:t>
            </w:r>
          </w:p>
        </w:tc>
        <w:tc>
          <w:tcPr>
            <w:tcW w:w="2521" w:type="dxa"/>
          </w:tcPr>
          <w:p w14:paraId="4F0709FB"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54" w:type="dxa"/>
          </w:tcPr>
          <w:p w14:paraId="5C16C311" w14:textId="346D2B55"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4ED923A1" w14:textId="77777777" w:rsidTr="00232941">
        <w:trPr>
          <w:trHeight w:val="454"/>
          <w:jc w:val="right"/>
        </w:trPr>
        <w:tc>
          <w:tcPr>
            <w:tcW w:w="2830" w:type="dxa"/>
          </w:tcPr>
          <w:p w14:paraId="50D37D4E" w14:textId="5B2420BD"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H6.  Process indicator for </w:t>
            </w:r>
            <w:r w:rsidR="00C05B03" w:rsidRPr="0080620A">
              <w:rPr>
                <w:sz w:val="18"/>
                <w:szCs w:val="18"/>
              </w:rPr>
              <w:t>a</w:t>
            </w:r>
            <w:r w:rsidRPr="0080620A">
              <w:rPr>
                <w:sz w:val="18"/>
                <w:szCs w:val="18"/>
              </w:rPr>
              <w:t>rticle 18</w:t>
            </w:r>
          </w:p>
        </w:tc>
        <w:tc>
          <w:tcPr>
            <w:tcW w:w="5245" w:type="dxa"/>
          </w:tcPr>
          <w:p w14:paraId="5C7B0ADA" w14:textId="1408C9BB"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rFonts w:eastAsia="Roboto"/>
                <w:sz w:val="18"/>
                <w:szCs w:val="18"/>
              </w:rPr>
              <w:t xml:space="preserve">Number of </w:t>
            </w:r>
            <w:r w:rsidR="00C05B03" w:rsidRPr="0080620A">
              <w:rPr>
                <w:rFonts w:eastAsia="Roboto"/>
                <w:sz w:val="18"/>
                <w:szCs w:val="18"/>
              </w:rPr>
              <w:t>p</w:t>
            </w:r>
            <w:r w:rsidRPr="0080620A">
              <w:rPr>
                <w:rFonts w:eastAsia="Roboto"/>
                <w:sz w:val="18"/>
                <w:szCs w:val="18"/>
              </w:rPr>
              <w:t>arties undertaking risk communication relating to mercury intake through food and water consumption within their territory</w:t>
            </w:r>
          </w:p>
        </w:tc>
        <w:tc>
          <w:tcPr>
            <w:tcW w:w="2521" w:type="dxa"/>
          </w:tcPr>
          <w:p w14:paraId="775C2E26" w14:textId="77777777" w:rsidR="00B1107F" w:rsidRPr="0080620A" w:rsidRDefault="00B1107F" w:rsidP="00EE7D24">
            <w:pPr>
              <w:pBdr>
                <w:top w:val="nil"/>
                <w:left w:val="nil"/>
                <w:bottom w:val="nil"/>
                <w:right w:val="nil"/>
                <w:between w:val="nil"/>
                <w:bar w:val="nil"/>
              </w:pBdr>
              <w:tabs>
                <w:tab w:val="left" w:pos="1163"/>
              </w:tabs>
              <w:rPr>
                <w:rFonts w:eastAsia="Roboto"/>
                <w:sz w:val="18"/>
                <w:szCs w:val="18"/>
              </w:rPr>
            </w:pPr>
            <w:r w:rsidRPr="0080620A">
              <w:rPr>
                <w:iCs/>
                <w:sz w:val="18"/>
                <w:szCs w:val="18"/>
              </w:rPr>
              <w:t>- Article 21 reporting</w:t>
            </w:r>
          </w:p>
        </w:tc>
        <w:tc>
          <w:tcPr>
            <w:tcW w:w="2354" w:type="dxa"/>
          </w:tcPr>
          <w:p w14:paraId="266369A8" w14:textId="302FC0F5" w:rsidR="00B1107F" w:rsidRPr="0080620A" w:rsidRDefault="006C5116" w:rsidP="00EE7D24">
            <w:pPr>
              <w:pBdr>
                <w:top w:val="nil"/>
                <w:left w:val="nil"/>
                <w:bottom w:val="nil"/>
                <w:right w:val="nil"/>
                <w:between w:val="nil"/>
                <w:bar w:val="nil"/>
              </w:pBdr>
              <w:tabs>
                <w:tab w:val="left" w:pos="1163"/>
              </w:tabs>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1B8900A3" w14:textId="77777777" w:rsidTr="00232941">
        <w:trPr>
          <w:trHeight w:val="227"/>
          <w:jc w:val="right"/>
        </w:trPr>
        <w:tc>
          <w:tcPr>
            <w:tcW w:w="2830" w:type="dxa"/>
            <w:shd w:val="clear" w:color="auto" w:fill="B8CCE4" w:themeFill="accent1" w:themeFillTint="66"/>
          </w:tcPr>
          <w:p w14:paraId="7B38A9E8" w14:textId="77777777" w:rsidR="00B1107F" w:rsidRPr="0080620A" w:rsidRDefault="00B1107F" w:rsidP="00F256E3">
            <w:pPr>
              <w:keepNext/>
              <w:pBdr>
                <w:top w:val="nil"/>
                <w:left w:val="nil"/>
                <w:bottom w:val="nil"/>
                <w:right w:val="nil"/>
                <w:between w:val="nil"/>
                <w:bar w:val="nil"/>
              </w:pBdr>
              <w:tabs>
                <w:tab w:val="left" w:pos="1163"/>
              </w:tabs>
              <w:rPr>
                <w:b/>
                <w:bCs/>
                <w:sz w:val="18"/>
                <w:szCs w:val="18"/>
              </w:rPr>
            </w:pPr>
            <w:r w:rsidRPr="0080620A">
              <w:rPr>
                <w:b/>
                <w:bCs/>
                <w:sz w:val="18"/>
                <w:szCs w:val="18"/>
              </w:rPr>
              <w:t>Article 19</w:t>
            </w:r>
          </w:p>
        </w:tc>
        <w:tc>
          <w:tcPr>
            <w:tcW w:w="5245" w:type="dxa"/>
            <w:shd w:val="clear" w:color="auto" w:fill="B8CCE4" w:themeFill="accent1" w:themeFillTint="66"/>
          </w:tcPr>
          <w:p w14:paraId="47DB21FE" w14:textId="77777777" w:rsidR="00B1107F" w:rsidRPr="0080620A" w:rsidRDefault="00B1107F" w:rsidP="00F256E3">
            <w:pPr>
              <w:keepNext/>
              <w:pBdr>
                <w:top w:val="nil"/>
                <w:left w:val="nil"/>
                <w:bottom w:val="nil"/>
                <w:right w:val="nil"/>
                <w:between w:val="nil"/>
                <w:bar w:val="nil"/>
              </w:pBdr>
              <w:tabs>
                <w:tab w:val="left" w:pos="1163"/>
              </w:tabs>
              <w:rPr>
                <w:rFonts w:eastAsia="Roboto"/>
                <w:sz w:val="18"/>
                <w:szCs w:val="18"/>
              </w:rPr>
            </w:pPr>
          </w:p>
        </w:tc>
        <w:tc>
          <w:tcPr>
            <w:tcW w:w="2521" w:type="dxa"/>
            <w:shd w:val="clear" w:color="auto" w:fill="B8CCE4" w:themeFill="accent1" w:themeFillTint="66"/>
          </w:tcPr>
          <w:p w14:paraId="3CB3D8BA" w14:textId="77777777" w:rsidR="00B1107F" w:rsidRPr="0080620A" w:rsidRDefault="00B1107F" w:rsidP="00F256E3">
            <w:pPr>
              <w:keepNext/>
              <w:pBdr>
                <w:top w:val="nil"/>
                <w:left w:val="nil"/>
                <w:bottom w:val="nil"/>
                <w:right w:val="nil"/>
                <w:between w:val="nil"/>
                <w:bar w:val="nil"/>
              </w:pBdr>
              <w:tabs>
                <w:tab w:val="left" w:pos="1163"/>
              </w:tabs>
              <w:rPr>
                <w:rFonts w:eastAsia="Roboto"/>
                <w:sz w:val="18"/>
                <w:szCs w:val="18"/>
              </w:rPr>
            </w:pPr>
          </w:p>
        </w:tc>
        <w:tc>
          <w:tcPr>
            <w:tcW w:w="2354" w:type="dxa"/>
            <w:shd w:val="clear" w:color="auto" w:fill="B8CCE4" w:themeFill="accent1" w:themeFillTint="66"/>
          </w:tcPr>
          <w:p w14:paraId="5A8E2E09" w14:textId="77777777" w:rsidR="00B1107F" w:rsidRPr="0080620A" w:rsidRDefault="00B1107F" w:rsidP="00F256E3">
            <w:pPr>
              <w:keepNext/>
              <w:pBdr>
                <w:top w:val="nil"/>
                <w:left w:val="nil"/>
                <w:bottom w:val="nil"/>
                <w:right w:val="nil"/>
                <w:between w:val="nil"/>
                <w:bar w:val="nil"/>
              </w:pBdr>
              <w:tabs>
                <w:tab w:val="left" w:pos="1163"/>
              </w:tabs>
              <w:rPr>
                <w:rFonts w:eastAsia="Roboto"/>
                <w:sz w:val="18"/>
                <w:szCs w:val="18"/>
              </w:rPr>
            </w:pPr>
          </w:p>
        </w:tc>
      </w:tr>
      <w:tr w:rsidR="00B1107F" w:rsidRPr="0080620A" w14:paraId="2F08CE71" w14:textId="77777777" w:rsidTr="00232941">
        <w:trPr>
          <w:trHeight w:val="454"/>
          <w:jc w:val="right"/>
        </w:trPr>
        <w:tc>
          <w:tcPr>
            <w:tcW w:w="2830" w:type="dxa"/>
          </w:tcPr>
          <w:p w14:paraId="71EA403C" w14:textId="330A4F6C"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H7. Process indicator for </w:t>
            </w:r>
            <w:r w:rsidR="00C05B03" w:rsidRPr="0080620A">
              <w:rPr>
                <w:sz w:val="18"/>
                <w:szCs w:val="18"/>
              </w:rPr>
              <w:t>a</w:t>
            </w:r>
            <w:r w:rsidRPr="0080620A">
              <w:rPr>
                <w:sz w:val="18"/>
                <w:szCs w:val="18"/>
              </w:rPr>
              <w:t>rticle 19</w:t>
            </w:r>
          </w:p>
        </w:tc>
        <w:tc>
          <w:tcPr>
            <w:tcW w:w="5245" w:type="dxa"/>
          </w:tcPr>
          <w:p w14:paraId="42AF2187" w14:textId="2D95A299"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Number of </w:t>
            </w:r>
            <w:r w:rsidR="00C05B03" w:rsidRPr="0080620A">
              <w:rPr>
                <w:rFonts w:eastAsia="Roboto"/>
                <w:sz w:val="18"/>
                <w:szCs w:val="18"/>
              </w:rPr>
              <w:t>p</w:t>
            </w:r>
            <w:r w:rsidRPr="0080620A">
              <w:rPr>
                <w:rFonts w:eastAsia="Roboto"/>
                <w:sz w:val="18"/>
                <w:szCs w:val="18"/>
              </w:rPr>
              <w:t>arties that have undertaken research, development and monitoring</w:t>
            </w:r>
            <w:r w:rsidR="006C5116" w:rsidRPr="0080620A">
              <w:rPr>
                <w:rFonts w:eastAsia="Roboto"/>
                <w:sz w:val="18"/>
                <w:szCs w:val="18"/>
              </w:rPr>
              <w:t>,</w:t>
            </w:r>
            <w:r w:rsidRPr="0080620A">
              <w:rPr>
                <w:rFonts w:eastAsia="Roboto"/>
                <w:sz w:val="18"/>
                <w:szCs w:val="18"/>
              </w:rPr>
              <w:t xml:space="preserve"> in accordance with paragraph 1 of article 19 </w:t>
            </w:r>
          </w:p>
        </w:tc>
        <w:tc>
          <w:tcPr>
            <w:tcW w:w="2521" w:type="dxa"/>
          </w:tcPr>
          <w:p w14:paraId="53A608E4"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iCs/>
                <w:sz w:val="18"/>
                <w:szCs w:val="18"/>
              </w:rPr>
              <w:t>- Article 21 reporting</w:t>
            </w:r>
          </w:p>
        </w:tc>
        <w:tc>
          <w:tcPr>
            <w:tcW w:w="2354" w:type="dxa"/>
          </w:tcPr>
          <w:p w14:paraId="23AFEC4B" w14:textId="608BA28B" w:rsidR="00B1107F" w:rsidRPr="0080620A" w:rsidRDefault="006C5116" w:rsidP="00EE7D24">
            <w:pPr>
              <w:pBdr>
                <w:top w:val="nil"/>
                <w:left w:val="nil"/>
                <w:bottom w:val="nil"/>
                <w:right w:val="nil"/>
                <w:between w:val="nil"/>
                <w:bar w:val="nil"/>
              </w:pBdr>
              <w:rPr>
                <w:rFonts w:eastAsia="Roboto"/>
                <w:sz w:val="18"/>
                <w:szCs w:val="18"/>
              </w:rPr>
            </w:pPr>
            <w:r w:rsidRPr="0080620A">
              <w:rPr>
                <w:sz w:val="18"/>
                <w:szCs w:val="18"/>
              </w:rPr>
              <w:t>N</w:t>
            </w:r>
            <w:r w:rsidR="00B1107F" w:rsidRPr="0080620A">
              <w:rPr>
                <w:sz w:val="18"/>
                <w:szCs w:val="18"/>
              </w:rPr>
              <w:t>umber in the first evaluation</w:t>
            </w:r>
          </w:p>
        </w:tc>
      </w:tr>
      <w:tr w:rsidR="00B1107F" w:rsidRPr="0080620A" w14:paraId="58049DEF" w14:textId="77777777" w:rsidTr="00232941">
        <w:trPr>
          <w:trHeight w:val="624"/>
          <w:jc w:val="right"/>
        </w:trPr>
        <w:tc>
          <w:tcPr>
            <w:tcW w:w="2830" w:type="dxa"/>
          </w:tcPr>
          <w:p w14:paraId="7FE48CAE" w14:textId="67E79BF7"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H8. Process indicator for </w:t>
            </w:r>
            <w:r w:rsidR="00C05B03" w:rsidRPr="0080620A">
              <w:rPr>
                <w:sz w:val="18"/>
                <w:szCs w:val="18"/>
              </w:rPr>
              <w:t>a</w:t>
            </w:r>
            <w:r w:rsidRPr="0080620A">
              <w:rPr>
                <w:sz w:val="18"/>
                <w:szCs w:val="18"/>
              </w:rPr>
              <w:t>rticle 19</w:t>
            </w:r>
          </w:p>
        </w:tc>
        <w:tc>
          <w:tcPr>
            <w:tcW w:w="5245" w:type="dxa"/>
          </w:tcPr>
          <w:p w14:paraId="7DF5E1EC" w14:textId="3B573B08"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 xml:space="preserve">Number of </w:t>
            </w:r>
            <w:r w:rsidR="00C05B03" w:rsidRPr="0080620A">
              <w:rPr>
                <w:rFonts w:eastAsia="Roboto"/>
                <w:sz w:val="18"/>
                <w:szCs w:val="18"/>
              </w:rPr>
              <w:t>p</w:t>
            </w:r>
            <w:r w:rsidRPr="0080620A">
              <w:rPr>
                <w:rFonts w:eastAsia="Roboto"/>
                <w:sz w:val="18"/>
                <w:szCs w:val="18"/>
              </w:rPr>
              <w:t>arties contributing data and knowledge to integrated assessments</w:t>
            </w:r>
          </w:p>
        </w:tc>
        <w:tc>
          <w:tcPr>
            <w:tcW w:w="2521" w:type="dxa"/>
          </w:tcPr>
          <w:p w14:paraId="5CE91E88" w14:textId="77777777" w:rsidR="00B1107F" w:rsidRPr="0080620A" w:rsidRDefault="00B1107F" w:rsidP="00EE7D24">
            <w:pPr>
              <w:pBdr>
                <w:top w:val="nil"/>
                <w:left w:val="nil"/>
                <w:bottom w:val="nil"/>
                <w:right w:val="nil"/>
                <w:between w:val="nil"/>
                <w:bar w:val="nil"/>
              </w:pBdr>
              <w:rPr>
                <w:iCs/>
                <w:sz w:val="18"/>
                <w:szCs w:val="18"/>
              </w:rPr>
            </w:pPr>
            <w:r w:rsidRPr="0080620A">
              <w:rPr>
                <w:iCs/>
                <w:sz w:val="18"/>
                <w:szCs w:val="18"/>
              </w:rPr>
              <w:t>- Existing monitoring networks, databases, scientific data and literature</w:t>
            </w:r>
          </w:p>
        </w:tc>
        <w:tc>
          <w:tcPr>
            <w:tcW w:w="2354" w:type="dxa"/>
          </w:tcPr>
          <w:p w14:paraId="764534B9" w14:textId="1C8075C1" w:rsidR="00B1107F" w:rsidRPr="0080620A" w:rsidRDefault="006C5116" w:rsidP="00EE7D24">
            <w:pPr>
              <w:pBdr>
                <w:top w:val="nil"/>
                <w:left w:val="nil"/>
                <w:bottom w:val="nil"/>
                <w:right w:val="nil"/>
                <w:between w:val="nil"/>
                <w:bar w:val="nil"/>
              </w:pBdr>
              <w:rPr>
                <w:sz w:val="18"/>
                <w:szCs w:val="18"/>
              </w:rPr>
            </w:pPr>
            <w:r w:rsidRPr="0080620A">
              <w:rPr>
                <w:sz w:val="18"/>
                <w:szCs w:val="18"/>
              </w:rPr>
              <w:t>N</w:t>
            </w:r>
            <w:r w:rsidR="00B1107F" w:rsidRPr="0080620A">
              <w:rPr>
                <w:sz w:val="18"/>
                <w:szCs w:val="18"/>
              </w:rPr>
              <w:t>umber in the first evaluation</w:t>
            </w:r>
          </w:p>
        </w:tc>
      </w:tr>
      <w:tr w:rsidR="00B1107F" w:rsidRPr="0080620A" w14:paraId="6BA64E4B" w14:textId="77777777" w:rsidTr="00232941">
        <w:trPr>
          <w:trHeight w:val="624"/>
          <w:jc w:val="right"/>
        </w:trPr>
        <w:tc>
          <w:tcPr>
            <w:tcW w:w="2830" w:type="dxa"/>
          </w:tcPr>
          <w:p w14:paraId="442BB610" w14:textId="07322A69" w:rsidR="00B1107F" w:rsidRPr="0080620A" w:rsidRDefault="00B1107F" w:rsidP="00EE7D24">
            <w:pPr>
              <w:pBdr>
                <w:top w:val="nil"/>
                <w:left w:val="nil"/>
                <w:bottom w:val="nil"/>
                <w:right w:val="nil"/>
                <w:between w:val="nil"/>
                <w:bar w:val="nil"/>
              </w:pBdr>
              <w:tabs>
                <w:tab w:val="left" w:pos="1163"/>
              </w:tabs>
              <w:rPr>
                <w:sz w:val="18"/>
                <w:szCs w:val="18"/>
              </w:rPr>
            </w:pPr>
            <w:r w:rsidRPr="0080620A">
              <w:rPr>
                <w:sz w:val="18"/>
                <w:szCs w:val="18"/>
              </w:rPr>
              <w:t xml:space="preserve">H9. Additional process indicator for </w:t>
            </w:r>
            <w:r w:rsidR="008C7CCD" w:rsidRPr="0080620A">
              <w:rPr>
                <w:sz w:val="18"/>
                <w:szCs w:val="18"/>
              </w:rPr>
              <w:t>a</w:t>
            </w:r>
            <w:r w:rsidRPr="0080620A">
              <w:rPr>
                <w:sz w:val="18"/>
                <w:szCs w:val="18"/>
              </w:rPr>
              <w:t xml:space="preserve">rticle 19 </w:t>
            </w:r>
          </w:p>
        </w:tc>
        <w:tc>
          <w:tcPr>
            <w:tcW w:w="5245" w:type="dxa"/>
          </w:tcPr>
          <w:p w14:paraId="5BF44E4A" w14:textId="77777777" w:rsidR="00B1107F" w:rsidRPr="0080620A" w:rsidRDefault="00B1107F" w:rsidP="00EE7D24">
            <w:pPr>
              <w:pBdr>
                <w:top w:val="nil"/>
                <w:left w:val="nil"/>
                <w:bottom w:val="nil"/>
                <w:right w:val="nil"/>
                <w:between w:val="nil"/>
                <w:bar w:val="nil"/>
              </w:pBdr>
              <w:rPr>
                <w:rFonts w:eastAsia="Roboto"/>
                <w:sz w:val="18"/>
                <w:szCs w:val="18"/>
              </w:rPr>
            </w:pPr>
            <w:r w:rsidRPr="0080620A">
              <w:rPr>
                <w:rFonts w:eastAsia="Roboto"/>
                <w:sz w:val="18"/>
                <w:szCs w:val="18"/>
              </w:rPr>
              <w:t>Number of regions contributing to a regional dataset</w:t>
            </w:r>
          </w:p>
        </w:tc>
        <w:tc>
          <w:tcPr>
            <w:tcW w:w="2521" w:type="dxa"/>
          </w:tcPr>
          <w:p w14:paraId="466C5BDA" w14:textId="77777777" w:rsidR="00B1107F" w:rsidRPr="0080620A" w:rsidRDefault="00B1107F" w:rsidP="00EE7D24">
            <w:pPr>
              <w:pBdr>
                <w:top w:val="nil"/>
                <w:left w:val="nil"/>
                <w:bottom w:val="nil"/>
                <w:right w:val="nil"/>
                <w:between w:val="nil"/>
                <w:bar w:val="nil"/>
              </w:pBdr>
              <w:rPr>
                <w:iCs/>
                <w:sz w:val="18"/>
                <w:szCs w:val="18"/>
              </w:rPr>
            </w:pPr>
            <w:r w:rsidRPr="0080620A">
              <w:rPr>
                <w:iCs/>
                <w:sz w:val="18"/>
                <w:szCs w:val="18"/>
              </w:rPr>
              <w:t>- Existing monitoring networks, databases, scientific data and literature</w:t>
            </w:r>
          </w:p>
        </w:tc>
        <w:tc>
          <w:tcPr>
            <w:tcW w:w="2354" w:type="dxa"/>
          </w:tcPr>
          <w:p w14:paraId="460C9469" w14:textId="2A91A196" w:rsidR="00B1107F" w:rsidRPr="0080620A" w:rsidRDefault="006C5116" w:rsidP="00EE7D24">
            <w:pPr>
              <w:pBdr>
                <w:top w:val="nil"/>
                <w:left w:val="nil"/>
                <w:bottom w:val="nil"/>
                <w:right w:val="nil"/>
                <w:between w:val="nil"/>
                <w:bar w:val="nil"/>
              </w:pBdr>
              <w:rPr>
                <w:sz w:val="18"/>
                <w:szCs w:val="18"/>
              </w:rPr>
            </w:pPr>
            <w:r w:rsidRPr="0080620A">
              <w:rPr>
                <w:sz w:val="18"/>
                <w:szCs w:val="18"/>
              </w:rPr>
              <w:t>N</w:t>
            </w:r>
            <w:r w:rsidR="00B1107F" w:rsidRPr="0080620A">
              <w:rPr>
                <w:sz w:val="18"/>
                <w:szCs w:val="18"/>
              </w:rPr>
              <w:t>umber in the first evaluation</w:t>
            </w:r>
          </w:p>
        </w:tc>
      </w:tr>
      <w:tr w:rsidR="00B1107F" w:rsidRPr="0080620A" w14:paraId="5EF2BDA1" w14:textId="77777777" w:rsidTr="00232941">
        <w:trPr>
          <w:trHeight w:val="227"/>
          <w:jc w:val="right"/>
        </w:trPr>
        <w:tc>
          <w:tcPr>
            <w:tcW w:w="2830" w:type="dxa"/>
            <w:shd w:val="clear" w:color="auto" w:fill="B8CCE4" w:themeFill="accent1" w:themeFillTint="66"/>
          </w:tcPr>
          <w:p w14:paraId="66167E64" w14:textId="77777777" w:rsidR="00B1107F" w:rsidRPr="0080620A" w:rsidRDefault="00B1107F" w:rsidP="00EE7D24">
            <w:pPr>
              <w:rPr>
                <w:b/>
                <w:bCs/>
                <w:sz w:val="18"/>
                <w:szCs w:val="18"/>
              </w:rPr>
            </w:pPr>
            <w:r w:rsidRPr="0080620A">
              <w:rPr>
                <w:b/>
                <w:bCs/>
                <w:sz w:val="18"/>
                <w:szCs w:val="18"/>
              </w:rPr>
              <w:t>Notes</w:t>
            </w:r>
          </w:p>
        </w:tc>
        <w:tc>
          <w:tcPr>
            <w:tcW w:w="10120" w:type="dxa"/>
            <w:gridSpan w:val="3"/>
          </w:tcPr>
          <w:p w14:paraId="07FBB8F1" w14:textId="160BE051" w:rsidR="00B1107F" w:rsidRPr="0080620A" w:rsidRDefault="00B1107F" w:rsidP="00A00B9F">
            <w:pPr>
              <w:pStyle w:val="ListParagraph"/>
              <w:numPr>
                <w:ilvl w:val="0"/>
                <w:numId w:val="22"/>
              </w:numPr>
              <w:pBdr>
                <w:top w:val="nil"/>
                <w:left w:val="nil"/>
                <w:bottom w:val="nil"/>
                <w:right w:val="nil"/>
                <w:between w:val="nil"/>
                <w:bar w:val="nil"/>
              </w:pBdr>
              <w:tabs>
                <w:tab w:val="clear" w:pos="1247"/>
              </w:tabs>
              <w:rPr>
                <w:sz w:val="18"/>
                <w:szCs w:val="18"/>
              </w:rPr>
            </w:pPr>
            <w:r w:rsidRPr="0080620A">
              <w:rPr>
                <w:sz w:val="18"/>
                <w:szCs w:val="18"/>
              </w:rPr>
              <w:t xml:space="preserve">Submissions to the </w:t>
            </w:r>
            <w:r w:rsidR="00EA5C32" w:rsidRPr="0080620A">
              <w:rPr>
                <w:sz w:val="18"/>
                <w:szCs w:val="18"/>
              </w:rPr>
              <w:t>s</w:t>
            </w:r>
            <w:r w:rsidRPr="0080620A">
              <w:rPr>
                <w:sz w:val="18"/>
                <w:szCs w:val="18"/>
              </w:rPr>
              <w:t xml:space="preserve">ecretariat that supplement </w:t>
            </w:r>
            <w:r w:rsidR="002546DE" w:rsidRPr="0080620A">
              <w:rPr>
                <w:sz w:val="18"/>
                <w:szCs w:val="18"/>
              </w:rPr>
              <w:t>a</w:t>
            </w:r>
            <w:r w:rsidRPr="0080620A">
              <w:rPr>
                <w:sz w:val="18"/>
                <w:szCs w:val="18"/>
              </w:rPr>
              <w:t xml:space="preserve">rticle 21 reporting </w:t>
            </w:r>
          </w:p>
        </w:tc>
      </w:tr>
    </w:tbl>
    <w:p w14:paraId="2161BFA7"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22"/>
        <w:gridCol w:w="5482"/>
        <w:gridCol w:w="2655"/>
        <w:gridCol w:w="2361"/>
      </w:tblGrid>
      <w:tr w:rsidR="00B1107F" w:rsidRPr="0080620A" w14:paraId="67BF73E7" w14:textId="77777777" w:rsidTr="00232941">
        <w:trPr>
          <w:trHeight w:val="454"/>
          <w:jc w:val="right"/>
        </w:trPr>
        <w:tc>
          <w:tcPr>
            <w:tcW w:w="8075" w:type="dxa"/>
            <w:gridSpan w:val="2"/>
            <w:shd w:val="clear" w:color="auto" w:fill="B8CCE4" w:themeFill="accent1" w:themeFillTint="66"/>
          </w:tcPr>
          <w:p w14:paraId="3E022E4D" w14:textId="3F108993" w:rsidR="00B1107F" w:rsidRPr="0080620A" w:rsidRDefault="00B1107F" w:rsidP="00232941">
            <w:pPr>
              <w:rPr>
                <w:rFonts w:asciiTheme="majorBidi" w:eastAsia="Roboto" w:hAnsiTheme="majorBidi" w:cstheme="majorBidi"/>
                <w:b/>
                <w:sz w:val="18"/>
                <w:szCs w:val="18"/>
              </w:rPr>
            </w:pPr>
            <w:r w:rsidRPr="0080620A">
              <w:rPr>
                <w:rFonts w:asciiTheme="majorBidi" w:eastAsia="Roboto" w:hAnsiTheme="majorBidi" w:cstheme="majorBidi"/>
                <w:b/>
                <w:sz w:val="18"/>
                <w:szCs w:val="18"/>
              </w:rPr>
              <w:t xml:space="preserve">I: </w:t>
            </w:r>
            <w:r w:rsidR="000036E7" w:rsidRPr="0080620A">
              <w:rPr>
                <w:rFonts w:asciiTheme="majorBidi" w:eastAsia="Roboto" w:hAnsiTheme="majorBidi" w:cstheme="majorBidi"/>
                <w:b/>
                <w:sz w:val="18"/>
                <w:szCs w:val="18"/>
              </w:rPr>
              <w:t>A</w:t>
            </w:r>
            <w:r w:rsidRPr="0080620A">
              <w:rPr>
                <w:rFonts w:asciiTheme="majorBidi" w:eastAsia="Roboto" w:hAnsiTheme="majorBidi" w:cstheme="majorBidi"/>
                <w:b/>
                <w:sz w:val="18"/>
                <w:szCs w:val="18"/>
              </w:rPr>
              <w:t xml:space="preserve">rticle 20 </w:t>
            </w:r>
            <w:r w:rsidR="001027D3" w:rsidRPr="0080620A">
              <w:rPr>
                <w:rFonts w:asciiTheme="majorBidi" w:eastAsia="Roboto" w:hAnsiTheme="majorBidi" w:cstheme="majorBidi"/>
                <w:b/>
                <w:sz w:val="18"/>
                <w:szCs w:val="18"/>
              </w:rPr>
              <w:t>(</w:t>
            </w:r>
            <w:r w:rsidR="004B5046" w:rsidRPr="0080620A">
              <w:rPr>
                <w:rFonts w:asciiTheme="majorBidi" w:eastAsia="Roboto" w:hAnsiTheme="majorBidi" w:cstheme="majorBidi"/>
                <w:b/>
                <w:sz w:val="18"/>
                <w:szCs w:val="18"/>
              </w:rPr>
              <w:t>i</w:t>
            </w:r>
            <w:r w:rsidRPr="0080620A">
              <w:rPr>
                <w:rFonts w:asciiTheme="majorBidi" w:eastAsia="Roboto" w:hAnsiTheme="majorBidi" w:cstheme="majorBidi"/>
                <w:b/>
                <w:sz w:val="18"/>
                <w:szCs w:val="18"/>
              </w:rPr>
              <w:t xml:space="preserve">mplementation </w:t>
            </w:r>
            <w:r w:rsidR="004B5046" w:rsidRPr="0080620A">
              <w:rPr>
                <w:rFonts w:asciiTheme="majorBidi" w:eastAsia="Roboto" w:hAnsiTheme="majorBidi" w:cstheme="majorBidi"/>
                <w:b/>
                <w:sz w:val="18"/>
                <w:szCs w:val="18"/>
              </w:rPr>
              <w:t>p</w:t>
            </w:r>
            <w:r w:rsidRPr="0080620A">
              <w:rPr>
                <w:rFonts w:asciiTheme="majorBidi" w:eastAsia="Roboto" w:hAnsiTheme="majorBidi" w:cstheme="majorBidi"/>
                <w:b/>
                <w:sz w:val="18"/>
                <w:szCs w:val="18"/>
              </w:rPr>
              <w:t>lans</w:t>
            </w:r>
            <w:r w:rsidR="001027D3" w:rsidRPr="0080620A">
              <w:rPr>
                <w:rFonts w:asciiTheme="majorBidi" w:eastAsia="Roboto" w:hAnsiTheme="majorBidi" w:cstheme="majorBidi"/>
                <w:b/>
                <w:sz w:val="18"/>
                <w:szCs w:val="18"/>
              </w:rPr>
              <w:t>)</w:t>
            </w:r>
          </w:p>
        </w:tc>
        <w:tc>
          <w:tcPr>
            <w:tcW w:w="2551" w:type="dxa"/>
            <w:shd w:val="clear" w:color="auto" w:fill="B8CCE4" w:themeFill="accent1" w:themeFillTint="66"/>
          </w:tcPr>
          <w:p w14:paraId="74B7287F" w14:textId="7A5FC986" w:rsidR="00B1107F" w:rsidRPr="004D467D" w:rsidRDefault="00B1107F" w:rsidP="009E249F">
            <w:r w:rsidRPr="004D467D">
              <w:t xml:space="preserve">Source of information on </w:t>
            </w:r>
            <w:r w:rsidR="006C5116" w:rsidRPr="004D467D">
              <w:t xml:space="preserve">the </w:t>
            </w:r>
            <w:r w:rsidRPr="004D467D">
              <w:t>indicator</w:t>
            </w:r>
          </w:p>
        </w:tc>
        <w:tc>
          <w:tcPr>
            <w:tcW w:w="2269" w:type="dxa"/>
            <w:shd w:val="clear" w:color="auto" w:fill="B8CCE4" w:themeFill="accent1" w:themeFillTint="66"/>
          </w:tcPr>
          <w:p w14:paraId="319978E3" w14:textId="77777777" w:rsidR="00B1107F" w:rsidRPr="004D467D" w:rsidRDefault="00B1107F" w:rsidP="009E249F">
            <w:r w:rsidRPr="004D467D">
              <w:t>Baseline for the indicator</w:t>
            </w:r>
          </w:p>
        </w:tc>
      </w:tr>
      <w:tr w:rsidR="00B1107F" w:rsidRPr="0080620A" w14:paraId="1992F0EC" w14:textId="77777777" w:rsidTr="00232941">
        <w:trPr>
          <w:trHeight w:val="624"/>
          <w:jc w:val="right"/>
        </w:trPr>
        <w:tc>
          <w:tcPr>
            <w:tcW w:w="2807" w:type="dxa"/>
          </w:tcPr>
          <w:p w14:paraId="36CE6426"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I1. Process indicator</w:t>
            </w:r>
          </w:p>
        </w:tc>
        <w:tc>
          <w:tcPr>
            <w:tcW w:w="5268" w:type="dxa"/>
          </w:tcPr>
          <w:p w14:paraId="321774A3" w14:textId="29A30775" w:rsidR="00B1107F" w:rsidRPr="0080620A" w:rsidRDefault="00B1107F" w:rsidP="00BC69B4">
            <w:pPr>
              <w:pBdr>
                <w:top w:val="nil"/>
                <w:left w:val="nil"/>
                <w:bottom w:val="nil"/>
                <w:right w:val="nil"/>
                <w:between w:val="nil"/>
                <w:bar w:val="nil"/>
              </w:pBdr>
              <w:rPr>
                <w:rFonts w:asciiTheme="majorBidi" w:hAnsiTheme="majorBidi" w:cstheme="majorBidi"/>
                <w:sz w:val="18"/>
                <w:szCs w:val="18"/>
              </w:rPr>
            </w:pPr>
            <w:r w:rsidRPr="0080620A">
              <w:rPr>
                <w:rFonts w:eastAsia="Roboto"/>
                <w:sz w:val="18"/>
                <w:szCs w:val="18"/>
              </w:rPr>
              <w:t>Number of parties submitting implementation plans</w:t>
            </w:r>
          </w:p>
        </w:tc>
        <w:tc>
          <w:tcPr>
            <w:tcW w:w="2551" w:type="dxa"/>
          </w:tcPr>
          <w:p w14:paraId="48E25A92" w14:textId="119FAB25" w:rsidR="00B1107F" w:rsidRPr="0080620A" w:rsidRDefault="00B1107F" w:rsidP="00803B6C">
            <w:pPr>
              <w:tabs>
                <w:tab w:val="clear" w:pos="1247"/>
                <w:tab w:val="clear" w:pos="1814"/>
                <w:tab w:val="clear" w:pos="2381"/>
                <w:tab w:val="clear" w:pos="2948"/>
                <w:tab w:val="clear" w:pos="3515"/>
              </w:tabs>
              <w:ind w:right="-107"/>
              <w:rPr>
                <w:iCs/>
                <w:sz w:val="18"/>
                <w:szCs w:val="18"/>
              </w:rPr>
            </w:pPr>
            <w:r w:rsidRPr="0080620A">
              <w:rPr>
                <w:iCs/>
                <w:sz w:val="18"/>
                <w:szCs w:val="18"/>
              </w:rPr>
              <w:t xml:space="preserve">- Secretariat report to the </w:t>
            </w:r>
            <w:r w:rsidR="00803B6C" w:rsidRPr="0080620A">
              <w:rPr>
                <w:iCs/>
                <w:sz w:val="18"/>
                <w:szCs w:val="18"/>
              </w:rPr>
              <w:t xml:space="preserve">Conference of the Parties </w:t>
            </w:r>
            <w:r w:rsidRPr="0080620A">
              <w:rPr>
                <w:iCs/>
                <w:sz w:val="18"/>
                <w:szCs w:val="18"/>
              </w:rPr>
              <w:t xml:space="preserve">on </w:t>
            </w:r>
            <w:r w:rsidR="00803B6C" w:rsidRPr="0080620A">
              <w:rPr>
                <w:iCs/>
                <w:sz w:val="18"/>
                <w:szCs w:val="18"/>
              </w:rPr>
              <w:t xml:space="preserve">implementation plan </w:t>
            </w:r>
            <w:r w:rsidRPr="0080620A">
              <w:rPr>
                <w:iCs/>
                <w:sz w:val="18"/>
                <w:szCs w:val="18"/>
              </w:rPr>
              <w:t>submissions</w:t>
            </w:r>
          </w:p>
        </w:tc>
        <w:tc>
          <w:tcPr>
            <w:tcW w:w="2269" w:type="dxa"/>
          </w:tcPr>
          <w:p w14:paraId="2EB96636" w14:textId="357576B8" w:rsidR="00B1107F" w:rsidRPr="0080620A" w:rsidRDefault="006C5116" w:rsidP="00EE7D24">
            <w:pPr>
              <w:pBdr>
                <w:top w:val="nil"/>
                <w:left w:val="nil"/>
                <w:bottom w:val="nil"/>
                <w:right w:val="nil"/>
                <w:between w:val="nil"/>
                <w:bar w:val="nil"/>
              </w:pBdr>
              <w:rPr>
                <w:rFonts w:asciiTheme="majorBidi" w:hAnsiTheme="majorBidi" w:cstheme="majorBidi"/>
                <w:sz w:val="18"/>
                <w:szCs w:val="18"/>
              </w:rPr>
            </w:pPr>
            <w:r w:rsidRPr="0080620A">
              <w:rPr>
                <w:rFonts w:asciiTheme="majorBidi" w:hAnsiTheme="majorBidi" w:cstheme="majorBidi"/>
                <w:sz w:val="18"/>
                <w:szCs w:val="18"/>
              </w:rPr>
              <w:t>Z</w:t>
            </w:r>
            <w:r w:rsidR="00B1107F" w:rsidRPr="0080620A">
              <w:rPr>
                <w:rFonts w:asciiTheme="majorBidi" w:hAnsiTheme="majorBidi" w:cstheme="majorBidi"/>
                <w:sz w:val="18"/>
                <w:szCs w:val="18"/>
              </w:rPr>
              <w:t>ero</w:t>
            </w:r>
          </w:p>
        </w:tc>
      </w:tr>
      <w:tr w:rsidR="00B1107F" w:rsidRPr="0080620A" w14:paraId="3739D98D" w14:textId="77777777" w:rsidTr="00232941">
        <w:trPr>
          <w:trHeight w:val="454"/>
          <w:jc w:val="right"/>
        </w:trPr>
        <w:tc>
          <w:tcPr>
            <w:tcW w:w="2807" w:type="dxa"/>
            <w:shd w:val="clear" w:color="auto" w:fill="B8CCE4" w:themeFill="accent1" w:themeFillTint="66"/>
          </w:tcPr>
          <w:p w14:paraId="35315644" w14:textId="77777777" w:rsidR="00B1107F" w:rsidRPr="0080620A" w:rsidRDefault="00B1107F" w:rsidP="00EE7D24">
            <w:pPr>
              <w:rPr>
                <w:rFonts w:asciiTheme="majorBidi" w:hAnsiTheme="majorBidi" w:cstheme="majorBidi"/>
                <w:b/>
                <w:bCs/>
                <w:sz w:val="18"/>
                <w:szCs w:val="18"/>
              </w:rPr>
            </w:pPr>
            <w:r w:rsidRPr="0080620A">
              <w:rPr>
                <w:rFonts w:asciiTheme="majorBidi" w:hAnsiTheme="majorBidi" w:cstheme="majorBidi"/>
                <w:b/>
                <w:bCs/>
                <w:sz w:val="18"/>
                <w:szCs w:val="18"/>
              </w:rPr>
              <w:t>Notes</w:t>
            </w:r>
          </w:p>
        </w:tc>
        <w:tc>
          <w:tcPr>
            <w:tcW w:w="10088" w:type="dxa"/>
            <w:gridSpan w:val="3"/>
          </w:tcPr>
          <w:p w14:paraId="40C741F3" w14:textId="2FE93C60" w:rsidR="00B1107F" w:rsidRPr="0080620A" w:rsidRDefault="00B1107F" w:rsidP="00A00B9F">
            <w:pPr>
              <w:pStyle w:val="ListParagraph"/>
              <w:numPr>
                <w:ilvl w:val="0"/>
                <w:numId w:val="23"/>
              </w:numPr>
              <w:pBdr>
                <w:top w:val="nil"/>
                <w:left w:val="nil"/>
                <w:bottom w:val="nil"/>
                <w:right w:val="nil"/>
                <w:between w:val="nil"/>
                <w:bar w:val="nil"/>
              </w:pBdr>
              <w:tabs>
                <w:tab w:val="clear" w:pos="1247"/>
              </w:tabs>
              <w:rPr>
                <w:rFonts w:eastAsia="Roboto"/>
                <w:sz w:val="18"/>
                <w:szCs w:val="18"/>
              </w:rPr>
            </w:pPr>
            <w:r w:rsidRPr="0080620A">
              <w:rPr>
                <w:rFonts w:eastAsia="Roboto"/>
                <w:sz w:val="18"/>
                <w:szCs w:val="18"/>
              </w:rPr>
              <w:t xml:space="preserve">Parties </w:t>
            </w:r>
            <w:r w:rsidR="00E17FE6" w:rsidRPr="0080620A">
              <w:rPr>
                <w:rFonts w:eastAsia="Roboto"/>
                <w:sz w:val="18"/>
                <w:szCs w:val="18"/>
              </w:rPr>
              <w:t xml:space="preserve">are </w:t>
            </w:r>
            <w:r w:rsidRPr="0080620A">
              <w:rPr>
                <w:rFonts w:eastAsia="Roboto"/>
                <w:sz w:val="18"/>
                <w:szCs w:val="18"/>
              </w:rPr>
              <w:t>not oblig</w:t>
            </w:r>
            <w:r w:rsidR="00E17FE6" w:rsidRPr="0080620A">
              <w:rPr>
                <w:rFonts w:eastAsia="Roboto"/>
                <w:sz w:val="18"/>
                <w:szCs w:val="18"/>
              </w:rPr>
              <w:t>ed</w:t>
            </w:r>
            <w:r w:rsidRPr="0080620A">
              <w:rPr>
                <w:rFonts w:eastAsia="Roboto"/>
                <w:sz w:val="18"/>
                <w:szCs w:val="18"/>
              </w:rPr>
              <w:t xml:space="preserve"> to prepare </w:t>
            </w:r>
            <w:r w:rsidR="00E17FE6" w:rsidRPr="0080620A">
              <w:rPr>
                <w:rFonts w:eastAsia="Roboto"/>
                <w:sz w:val="18"/>
                <w:szCs w:val="18"/>
              </w:rPr>
              <w:t xml:space="preserve">an </w:t>
            </w:r>
            <w:r w:rsidRPr="0080620A">
              <w:rPr>
                <w:rFonts w:eastAsia="Roboto"/>
                <w:sz w:val="18"/>
                <w:szCs w:val="18"/>
              </w:rPr>
              <w:t xml:space="preserve">implementation plan. Some </w:t>
            </w:r>
            <w:r w:rsidR="00EA5C32" w:rsidRPr="0080620A">
              <w:rPr>
                <w:rFonts w:eastAsia="Roboto"/>
                <w:sz w:val="18"/>
                <w:szCs w:val="18"/>
              </w:rPr>
              <w:t>p</w:t>
            </w:r>
            <w:r w:rsidRPr="0080620A">
              <w:rPr>
                <w:rFonts w:eastAsia="Roboto"/>
                <w:sz w:val="18"/>
                <w:szCs w:val="18"/>
              </w:rPr>
              <w:t xml:space="preserve">arties </w:t>
            </w:r>
            <w:r w:rsidR="00803B6C" w:rsidRPr="0080620A">
              <w:rPr>
                <w:rFonts w:eastAsia="Roboto"/>
                <w:sz w:val="18"/>
                <w:szCs w:val="18"/>
              </w:rPr>
              <w:t xml:space="preserve">have nevertheless </w:t>
            </w:r>
            <w:r w:rsidRPr="0080620A">
              <w:rPr>
                <w:rFonts w:eastAsia="Roboto"/>
                <w:sz w:val="18"/>
                <w:szCs w:val="18"/>
              </w:rPr>
              <w:t xml:space="preserve">found it useful to prepare such a plan and submit it to the </w:t>
            </w:r>
            <w:r w:rsidR="00EA5C32" w:rsidRPr="0080620A">
              <w:rPr>
                <w:rFonts w:eastAsia="Roboto"/>
                <w:sz w:val="18"/>
                <w:szCs w:val="18"/>
              </w:rPr>
              <w:t>s</w:t>
            </w:r>
            <w:r w:rsidRPr="0080620A">
              <w:rPr>
                <w:rFonts w:eastAsia="Roboto"/>
                <w:sz w:val="18"/>
                <w:szCs w:val="18"/>
              </w:rPr>
              <w:t>ecretariat.</w:t>
            </w:r>
          </w:p>
        </w:tc>
      </w:tr>
    </w:tbl>
    <w:p w14:paraId="415BBAA2"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922"/>
        <w:gridCol w:w="5482"/>
        <w:gridCol w:w="2655"/>
        <w:gridCol w:w="2361"/>
      </w:tblGrid>
      <w:tr w:rsidR="00B1107F" w:rsidRPr="0080620A" w14:paraId="0F51E01A" w14:textId="77777777" w:rsidTr="00232941">
        <w:trPr>
          <w:trHeight w:val="454"/>
          <w:jc w:val="right"/>
        </w:trPr>
        <w:tc>
          <w:tcPr>
            <w:tcW w:w="8075" w:type="dxa"/>
            <w:gridSpan w:val="2"/>
            <w:shd w:val="clear" w:color="auto" w:fill="B8CCE4" w:themeFill="accent1" w:themeFillTint="66"/>
          </w:tcPr>
          <w:p w14:paraId="7713AC78" w14:textId="0811F3F0" w:rsidR="00B1107F" w:rsidRPr="0080620A" w:rsidRDefault="00B1107F" w:rsidP="00232941">
            <w:pPr>
              <w:rPr>
                <w:rFonts w:asciiTheme="majorBidi" w:eastAsia="Roboto" w:hAnsiTheme="majorBidi" w:cstheme="majorBidi"/>
                <w:b/>
                <w:sz w:val="18"/>
                <w:szCs w:val="18"/>
              </w:rPr>
            </w:pPr>
            <w:r w:rsidRPr="0080620A">
              <w:rPr>
                <w:rFonts w:asciiTheme="majorBidi" w:eastAsia="Roboto" w:hAnsiTheme="majorBidi" w:cstheme="majorBidi"/>
                <w:b/>
                <w:sz w:val="18"/>
                <w:szCs w:val="18"/>
              </w:rPr>
              <w:t xml:space="preserve">J: </w:t>
            </w:r>
            <w:r w:rsidR="000036E7" w:rsidRPr="0080620A">
              <w:rPr>
                <w:rFonts w:asciiTheme="majorBidi" w:eastAsia="Roboto" w:hAnsiTheme="majorBidi" w:cstheme="majorBidi"/>
                <w:b/>
                <w:sz w:val="18"/>
                <w:szCs w:val="18"/>
              </w:rPr>
              <w:t>A</w:t>
            </w:r>
            <w:r w:rsidRPr="0080620A">
              <w:rPr>
                <w:rFonts w:asciiTheme="majorBidi" w:eastAsia="Roboto" w:hAnsiTheme="majorBidi" w:cstheme="majorBidi"/>
                <w:b/>
                <w:sz w:val="18"/>
                <w:szCs w:val="18"/>
              </w:rPr>
              <w:t xml:space="preserve">rticle 21 </w:t>
            </w:r>
            <w:r w:rsidR="001027D3" w:rsidRPr="0080620A">
              <w:rPr>
                <w:rFonts w:asciiTheme="majorBidi" w:eastAsia="Roboto" w:hAnsiTheme="majorBidi" w:cstheme="majorBidi"/>
                <w:b/>
                <w:sz w:val="18"/>
                <w:szCs w:val="18"/>
              </w:rPr>
              <w:t>(</w:t>
            </w:r>
            <w:r w:rsidR="000036E7" w:rsidRPr="0080620A">
              <w:rPr>
                <w:rFonts w:asciiTheme="majorBidi" w:eastAsia="Roboto" w:hAnsiTheme="majorBidi" w:cstheme="majorBidi"/>
                <w:b/>
                <w:sz w:val="18"/>
                <w:szCs w:val="18"/>
              </w:rPr>
              <w:t>r</w:t>
            </w:r>
            <w:r w:rsidRPr="0080620A">
              <w:rPr>
                <w:rFonts w:asciiTheme="majorBidi" w:eastAsia="Roboto" w:hAnsiTheme="majorBidi" w:cstheme="majorBidi"/>
                <w:b/>
                <w:sz w:val="18"/>
                <w:szCs w:val="18"/>
              </w:rPr>
              <w:t>eporting</w:t>
            </w:r>
            <w:r w:rsidR="001027D3" w:rsidRPr="0080620A">
              <w:rPr>
                <w:rFonts w:asciiTheme="majorBidi" w:eastAsia="Roboto" w:hAnsiTheme="majorBidi" w:cstheme="majorBidi"/>
                <w:b/>
                <w:sz w:val="18"/>
                <w:szCs w:val="18"/>
              </w:rPr>
              <w:t>)</w:t>
            </w:r>
          </w:p>
        </w:tc>
        <w:tc>
          <w:tcPr>
            <w:tcW w:w="2551" w:type="dxa"/>
            <w:shd w:val="clear" w:color="auto" w:fill="B8CCE4" w:themeFill="accent1" w:themeFillTint="66"/>
          </w:tcPr>
          <w:p w14:paraId="48CC6CB5" w14:textId="09091B11" w:rsidR="00B1107F" w:rsidRPr="004D467D" w:rsidRDefault="00B1107F" w:rsidP="009E249F">
            <w:r w:rsidRPr="004D467D">
              <w:t xml:space="preserve">Source of information on </w:t>
            </w:r>
            <w:r w:rsidR="006C5116" w:rsidRPr="004D467D">
              <w:t xml:space="preserve">the </w:t>
            </w:r>
            <w:r w:rsidRPr="004D467D">
              <w:t>indicator</w:t>
            </w:r>
          </w:p>
        </w:tc>
        <w:tc>
          <w:tcPr>
            <w:tcW w:w="2269" w:type="dxa"/>
            <w:shd w:val="clear" w:color="auto" w:fill="B8CCE4" w:themeFill="accent1" w:themeFillTint="66"/>
          </w:tcPr>
          <w:p w14:paraId="657331FF" w14:textId="77777777" w:rsidR="00B1107F" w:rsidRPr="004D467D" w:rsidRDefault="00B1107F" w:rsidP="009E249F">
            <w:r w:rsidRPr="004D467D">
              <w:t>Baseline for the indicator</w:t>
            </w:r>
          </w:p>
        </w:tc>
      </w:tr>
      <w:tr w:rsidR="00B1107F" w:rsidRPr="0080620A" w14:paraId="4CB4DAC7" w14:textId="77777777" w:rsidTr="00232941">
        <w:trPr>
          <w:trHeight w:val="454"/>
          <w:jc w:val="right"/>
        </w:trPr>
        <w:tc>
          <w:tcPr>
            <w:tcW w:w="2807" w:type="dxa"/>
          </w:tcPr>
          <w:p w14:paraId="530EFE77"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J1. Process indicator</w:t>
            </w:r>
          </w:p>
        </w:tc>
        <w:tc>
          <w:tcPr>
            <w:tcW w:w="5268" w:type="dxa"/>
          </w:tcPr>
          <w:p w14:paraId="0144FDD7" w14:textId="33C7E23B" w:rsidR="00B1107F" w:rsidRPr="0080620A" w:rsidRDefault="00B1107F" w:rsidP="00EE7D24">
            <w:pPr>
              <w:pBdr>
                <w:top w:val="nil"/>
                <w:left w:val="nil"/>
                <w:bottom w:val="nil"/>
                <w:right w:val="nil"/>
                <w:between w:val="nil"/>
                <w:bar w:val="nil"/>
              </w:pBdr>
              <w:rPr>
                <w:rFonts w:asciiTheme="majorBidi" w:eastAsia="Roboto" w:hAnsiTheme="majorBidi" w:cstheme="majorBidi"/>
                <w:sz w:val="18"/>
                <w:szCs w:val="18"/>
              </w:rPr>
            </w:pPr>
            <w:r w:rsidRPr="0080620A">
              <w:rPr>
                <w:rFonts w:asciiTheme="majorBidi" w:eastAsia="Roboto" w:hAnsiTheme="majorBidi" w:cstheme="majorBidi"/>
                <w:sz w:val="18"/>
                <w:szCs w:val="18"/>
              </w:rPr>
              <w:t xml:space="preserve">Proportion of </w:t>
            </w:r>
            <w:r w:rsidR="00EA5C32" w:rsidRPr="0080620A">
              <w:rPr>
                <w:rFonts w:asciiTheme="majorBidi" w:eastAsia="Roboto" w:hAnsiTheme="majorBidi" w:cstheme="majorBidi"/>
                <w:sz w:val="18"/>
                <w:szCs w:val="18"/>
              </w:rPr>
              <w:t>p</w:t>
            </w:r>
            <w:r w:rsidRPr="0080620A">
              <w:rPr>
                <w:rFonts w:asciiTheme="majorBidi" w:eastAsia="Roboto" w:hAnsiTheme="majorBidi" w:cstheme="majorBidi"/>
                <w:sz w:val="18"/>
                <w:szCs w:val="18"/>
              </w:rPr>
              <w:t>arties reporting on time</w:t>
            </w:r>
          </w:p>
          <w:p w14:paraId="4ECAD614" w14:textId="77777777" w:rsidR="00B1107F" w:rsidRPr="0080620A" w:rsidRDefault="00B1107F" w:rsidP="00EE7D24">
            <w:pPr>
              <w:rPr>
                <w:rFonts w:asciiTheme="majorBidi" w:hAnsiTheme="majorBidi" w:cstheme="majorBidi"/>
                <w:sz w:val="18"/>
                <w:szCs w:val="18"/>
              </w:rPr>
            </w:pPr>
          </w:p>
        </w:tc>
        <w:tc>
          <w:tcPr>
            <w:tcW w:w="2551" w:type="dxa"/>
          </w:tcPr>
          <w:p w14:paraId="5683A737" w14:textId="77777777" w:rsidR="00B1107F" w:rsidRPr="0080620A" w:rsidRDefault="00B1107F" w:rsidP="00EE7D24">
            <w:pPr>
              <w:pBdr>
                <w:top w:val="nil"/>
                <w:left w:val="nil"/>
                <w:bottom w:val="nil"/>
                <w:right w:val="nil"/>
                <w:between w:val="nil"/>
                <w:bar w:val="nil"/>
              </w:pBdr>
              <w:ind w:right="-1295"/>
              <w:rPr>
                <w:rFonts w:asciiTheme="majorBidi" w:eastAsia="Roboto" w:hAnsiTheme="majorBidi" w:cstheme="majorBidi"/>
                <w:sz w:val="18"/>
                <w:szCs w:val="18"/>
              </w:rPr>
            </w:pPr>
            <w:r w:rsidRPr="0080620A">
              <w:rPr>
                <w:rFonts w:asciiTheme="majorBidi" w:hAnsiTheme="majorBidi" w:cstheme="majorBidi"/>
                <w:iCs/>
                <w:sz w:val="18"/>
                <w:szCs w:val="18"/>
              </w:rPr>
              <w:t>- Article 21 reporting</w:t>
            </w:r>
          </w:p>
        </w:tc>
        <w:tc>
          <w:tcPr>
            <w:tcW w:w="2269" w:type="dxa"/>
          </w:tcPr>
          <w:p w14:paraId="13B2C824" w14:textId="7E6897DF" w:rsidR="00B1107F" w:rsidRPr="0080620A" w:rsidRDefault="006C5116" w:rsidP="00EE7D24">
            <w:pPr>
              <w:pBdr>
                <w:top w:val="nil"/>
                <w:left w:val="nil"/>
                <w:bottom w:val="nil"/>
                <w:right w:val="nil"/>
                <w:between w:val="nil"/>
                <w:bar w:val="nil"/>
              </w:pBdr>
              <w:rPr>
                <w:rFonts w:asciiTheme="majorBidi" w:hAnsiTheme="majorBidi" w:cstheme="majorBidi"/>
                <w:sz w:val="18"/>
                <w:szCs w:val="18"/>
              </w:rPr>
            </w:pPr>
            <w:r w:rsidRPr="0080620A">
              <w:rPr>
                <w:rFonts w:asciiTheme="majorBidi" w:hAnsiTheme="majorBidi" w:cstheme="majorBidi"/>
                <w:sz w:val="18"/>
                <w:szCs w:val="18"/>
              </w:rPr>
              <w:t>P</w:t>
            </w:r>
            <w:r w:rsidR="004B5046" w:rsidRPr="0080620A">
              <w:rPr>
                <w:sz w:val="18"/>
                <w:szCs w:val="18"/>
              </w:rPr>
              <w:t>ercentage</w:t>
            </w:r>
            <w:r w:rsidR="00B1107F" w:rsidRPr="0080620A">
              <w:rPr>
                <w:rFonts w:asciiTheme="majorBidi" w:hAnsiTheme="majorBidi" w:cstheme="majorBidi"/>
                <w:sz w:val="18"/>
                <w:szCs w:val="18"/>
              </w:rPr>
              <w:t xml:space="preserve"> of the first submission on time</w:t>
            </w:r>
          </w:p>
        </w:tc>
      </w:tr>
      <w:tr w:rsidR="00B1107F" w:rsidRPr="0080620A" w14:paraId="086DF9CC" w14:textId="77777777" w:rsidTr="00232941">
        <w:trPr>
          <w:trHeight w:val="454"/>
          <w:jc w:val="right"/>
        </w:trPr>
        <w:tc>
          <w:tcPr>
            <w:tcW w:w="2807" w:type="dxa"/>
          </w:tcPr>
          <w:p w14:paraId="5139EBFE"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J2. Process indicator</w:t>
            </w:r>
          </w:p>
        </w:tc>
        <w:tc>
          <w:tcPr>
            <w:tcW w:w="5268" w:type="dxa"/>
          </w:tcPr>
          <w:p w14:paraId="361F5819" w14:textId="77777777" w:rsidR="00B1107F" w:rsidRPr="0080620A" w:rsidRDefault="00B1107F" w:rsidP="00EE7D24">
            <w:pPr>
              <w:pBdr>
                <w:top w:val="nil"/>
                <w:left w:val="nil"/>
                <w:bottom w:val="nil"/>
                <w:right w:val="nil"/>
                <w:between w:val="nil"/>
                <w:bar w:val="nil"/>
              </w:pBdr>
              <w:rPr>
                <w:rFonts w:asciiTheme="majorBidi" w:eastAsia="Roboto" w:hAnsiTheme="majorBidi" w:cstheme="majorBidi"/>
                <w:sz w:val="18"/>
                <w:szCs w:val="18"/>
              </w:rPr>
            </w:pPr>
            <w:r w:rsidRPr="0080620A">
              <w:rPr>
                <w:rFonts w:asciiTheme="majorBidi" w:eastAsia="Roboto" w:hAnsiTheme="majorBidi" w:cstheme="majorBidi"/>
                <w:sz w:val="18"/>
                <w:szCs w:val="18"/>
              </w:rPr>
              <w:t>P</w:t>
            </w:r>
            <w:r w:rsidRPr="0080620A">
              <w:rPr>
                <w:rFonts w:eastAsia="Roboto"/>
                <w:sz w:val="18"/>
                <w:szCs w:val="18"/>
              </w:rPr>
              <w:t>roportion of reports received on time</w:t>
            </w:r>
          </w:p>
        </w:tc>
        <w:tc>
          <w:tcPr>
            <w:tcW w:w="2551" w:type="dxa"/>
          </w:tcPr>
          <w:p w14:paraId="6B839557" w14:textId="77777777" w:rsidR="00B1107F" w:rsidRPr="0080620A" w:rsidRDefault="00B1107F" w:rsidP="00EE7D24">
            <w:pPr>
              <w:pBdr>
                <w:top w:val="nil"/>
                <w:left w:val="nil"/>
                <w:bottom w:val="nil"/>
                <w:right w:val="nil"/>
                <w:between w:val="nil"/>
                <w:bar w:val="nil"/>
              </w:pBdr>
              <w:ind w:right="-1295"/>
              <w:rPr>
                <w:rFonts w:asciiTheme="majorBidi" w:hAnsiTheme="majorBidi" w:cstheme="majorBidi"/>
                <w:iCs/>
                <w:sz w:val="18"/>
                <w:szCs w:val="18"/>
              </w:rPr>
            </w:pPr>
            <w:r w:rsidRPr="0080620A">
              <w:rPr>
                <w:rFonts w:asciiTheme="majorBidi" w:hAnsiTheme="majorBidi" w:cstheme="majorBidi"/>
                <w:iCs/>
                <w:sz w:val="18"/>
                <w:szCs w:val="18"/>
              </w:rPr>
              <w:t>- Article 21 reporting</w:t>
            </w:r>
          </w:p>
        </w:tc>
        <w:tc>
          <w:tcPr>
            <w:tcW w:w="2269" w:type="dxa"/>
          </w:tcPr>
          <w:p w14:paraId="320517C7" w14:textId="7D9EB29F" w:rsidR="00B1107F" w:rsidRPr="0080620A" w:rsidRDefault="006C5116" w:rsidP="00EE7D24">
            <w:pPr>
              <w:pBdr>
                <w:top w:val="nil"/>
                <w:left w:val="nil"/>
                <w:bottom w:val="nil"/>
                <w:right w:val="nil"/>
                <w:between w:val="nil"/>
                <w:bar w:val="nil"/>
              </w:pBdr>
              <w:rPr>
                <w:rFonts w:asciiTheme="majorBidi" w:hAnsiTheme="majorBidi" w:cstheme="majorBidi"/>
                <w:sz w:val="18"/>
                <w:szCs w:val="18"/>
              </w:rPr>
            </w:pPr>
            <w:r w:rsidRPr="0080620A">
              <w:rPr>
                <w:rFonts w:asciiTheme="majorBidi" w:hAnsiTheme="majorBidi" w:cstheme="majorBidi"/>
                <w:sz w:val="18"/>
                <w:szCs w:val="18"/>
              </w:rPr>
              <w:t>P</w:t>
            </w:r>
            <w:r w:rsidR="004B5046" w:rsidRPr="0080620A">
              <w:rPr>
                <w:sz w:val="18"/>
                <w:szCs w:val="18"/>
              </w:rPr>
              <w:t>ercentage</w:t>
            </w:r>
            <w:r w:rsidR="00B1107F" w:rsidRPr="0080620A">
              <w:rPr>
                <w:rFonts w:asciiTheme="majorBidi" w:hAnsiTheme="majorBidi" w:cstheme="majorBidi"/>
                <w:sz w:val="18"/>
                <w:szCs w:val="18"/>
              </w:rPr>
              <w:t xml:space="preserve"> not available in the first reports</w:t>
            </w:r>
          </w:p>
        </w:tc>
      </w:tr>
      <w:tr w:rsidR="00B1107F" w:rsidRPr="0080620A" w14:paraId="0AC04BE6" w14:textId="77777777" w:rsidTr="00232941">
        <w:trPr>
          <w:trHeight w:val="454"/>
          <w:jc w:val="right"/>
        </w:trPr>
        <w:tc>
          <w:tcPr>
            <w:tcW w:w="2807" w:type="dxa"/>
          </w:tcPr>
          <w:p w14:paraId="7E14CC0A" w14:textId="77777777" w:rsidR="00B1107F" w:rsidRPr="0080620A" w:rsidRDefault="00B1107F" w:rsidP="00EE7D24">
            <w:pPr>
              <w:rPr>
                <w:rFonts w:asciiTheme="majorBidi" w:hAnsiTheme="majorBidi" w:cstheme="majorBidi"/>
                <w:sz w:val="18"/>
                <w:szCs w:val="18"/>
              </w:rPr>
            </w:pPr>
            <w:r w:rsidRPr="0080620A">
              <w:rPr>
                <w:rFonts w:asciiTheme="majorBidi" w:hAnsiTheme="majorBidi" w:cstheme="majorBidi"/>
                <w:sz w:val="18"/>
                <w:szCs w:val="18"/>
              </w:rPr>
              <w:t>J3. Process indicator</w:t>
            </w:r>
          </w:p>
        </w:tc>
        <w:tc>
          <w:tcPr>
            <w:tcW w:w="5268" w:type="dxa"/>
          </w:tcPr>
          <w:p w14:paraId="7EE4A007" w14:textId="77777777" w:rsidR="00B1107F" w:rsidRPr="0080620A" w:rsidRDefault="00B1107F" w:rsidP="00EE7D24">
            <w:pPr>
              <w:rPr>
                <w:rFonts w:asciiTheme="majorBidi" w:hAnsiTheme="majorBidi" w:cstheme="majorBidi"/>
                <w:sz w:val="18"/>
                <w:szCs w:val="18"/>
              </w:rPr>
            </w:pPr>
            <w:r w:rsidRPr="0080620A">
              <w:rPr>
                <w:rFonts w:asciiTheme="majorBidi" w:eastAsia="Roboto" w:hAnsiTheme="majorBidi" w:cstheme="majorBidi"/>
                <w:sz w:val="18"/>
                <w:szCs w:val="18"/>
              </w:rPr>
              <w:t>Proportion of parties indicating that information is not available for specific questions</w:t>
            </w:r>
          </w:p>
        </w:tc>
        <w:tc>
          <w:tcPr>
            <w:tcW w:w="2551" w:type="dxa"/>
          </w:tcPr>
          <w:p w14:paraId="23DC2B40" w14:textId="77777777" w:rsidR="00B1107F" w:rsidRPr="0080620A" w:rsidRDefault="00B1107F" w:rsidP="00EE7D24">
            <w:pPr>
              <w:ind w:right="-1295"/>
              <w:rPr>
                <w:rFonts w:asciiTheme="majorBidi" w:eastAsia="Roboto" w:hAnsiTheme="majorBidi" w:cstheme="majorBidi"/>
                <w:sz w:val="18"/>
                <w:szCs w:val="18"/>
              </w:rPr>
            </w:pPr>
            <w:r w:rsidRPr="0080620A">
              <w:rPr>
                <w:rFonts w:asciiTheme="majorBidi" w:hAnsiTheme="majorBidi" w:cstheme="majorBidi"/>
                <w:iCs/>
                <w:sz w:val="18"/>
                <w:szCs w:val="18"/>
              </w:rPr>
              <w:t>- Article 21 reporting</w:t>
            </w:r>
          </w:p>
        </w:tc>
        <w:tc>
          <w:tcPr>
            <w:tcW w:w="2269" w:type="dxa"/>
          </w:tcPr>
          <w:p w14:paraId="5073EFB8" w14:textId="05DFF5F7" w:rsidR="00B1107F" w:rsidRPr="0080620A" w:rsidRDefault="006C5116" w:rsidP="00EE7D24">
            <w:pPr>
              <w:rPr>
                <w:rFonts w:asciiTheme="majorBidi" w:hAnsiTheme="majorBidi" w:cstheme="majorBidi"/>
                <w:sz w:val="18"/>
                <w:szCs w:val="18"/>
              </w:rPr>
            </w:pPr>
            <w:r w:rsidRPr="0080620A">
              <w:rPr>
                <w:rFonts w:asciiTheme="majorBidi" w:hAnsiTheme="majorBidi" w:cstheme="majorBidi"/>
                <w:sz w:val="18"/>
                <w:szCs w:val="18"/>
              </w:rPr>
              <w:t>P</w:t>
            </w:r>
            <w:r w:rsidR="004B5046" w:rsidRPr="0080620A">
              <w:rPr>
                <w:sz w:val="18"/>
                <w:szCs w:val="18"/>
              </w:rPr>
              <w:t>ercentage</w:t>
            </w:r>
            <w:r w:rsidR="00B1107F" w:rsidRPr="0080620A">
              <w:rPr>
                <w:rFonts w:asciiTheme="majorBidi" w:hAnsiTheme="majorBidi" w:cstheme="majorBidi"/>
                <w:sz w:val="18"/>
                <w:szCs w:val="18"/>
              </w:rPr>
              <w:t xml:space="preserve"> not available in the first reports</w:t>
            </w:r>
          </w:p>
        </w:tc>
      </w:tr>
      <w:tr w:rsidR="00B1107F" w:rsidRPr="0080620A" w14:paraId="08834313" w14:textId="77777777" w:rsidTr="00232941">
        <w:trPr>
          <w:trHeight w:val="227"/>
          <w:jc w:val="right"/>
        </w:trPr>
        <w:tc>
          <w:tcPr>
            <w:tcW w:w="2807" w:type="dxa"/>
            <w:shd w:val="clear" w:color="auto" w:fill="B8CCE4" w:themeFill="accent1" w:themeFillTint="66"/>
          </w:tcPr>
          <w:p w14:paraId="0E2C792B" w14:textId="77777777" w:rsidR="00B1107F" w:rsidRPr="0080620A" w:rsidRDefault="00B1107F" w:rsidP="00EE7D24">
            <w:pPr>
              <w:rPr>
                <w:rFonts w:asciiTheme="majorBidi" w:hAnsiTheme="majorBidi" w:cstheme="majorBidi"/>
                <w:b/>
                <w:bCs/>
                <w:sz w:val="18"/>
                <w:szCs w:val="18"/>
              </w:rPr>
            </w:pPr>
            <w:r w:rsidRPr="0080620A">
              <w:rPr>
                <w:rFonts w:asciiTheme="majorBidi" w:hAnsiTheme="majorBidi" w:cstheme="majorBidi"/>
                <w:b/>
                <w:bCs/>
                <w:sz w:val="18"/>
                <w:szCs w:val="18"/>
              </w:rPr>
              <w:t>Notes</w:t>
            </w:r>
          </w:p>
        </w:tc>
        <w:tc>
          <w:tcPr>
            <w:tcW w:w="10088" w:type="dxa"/>
            <w:gridSpan w:val="3"/>
          </w:tcPr>
          <w:p w14:paraId="5B312C74" w14:textId="77777777" w:rsidR="00B1107F" w:rsidRPr="0080620A" w:rsidRDefault="00B1107F" w:rsidP="00A00B9F">
            <w:pPr>
              <w:pStyle w:val="ListParagraph"/>
              <w:numPr>
                <w:ilvl w:val="0"/>
                <w:numId w:val="23"/>
              </w:numPr>
              <w:pBdr>
                <w:top w:val="nil"/>
                <w:left w:val="nil"/>
                <w:bottom w:val="nil"/>
                <w:right w:val="nil"/>
                <w:between w:val="nil"/>
                <w:bar w:val="nil"/>
              </w:pBdr>
              <w:tabs>
                <w:tab w:val="clear" w:pos="1247"/>
              </w:tabs>
              <w:rPr>
                <w:rFonts w:asciiTheme="majorBidi" w:hAnsiTheme="majorBidi" w:cstheme="majorBidi"/>
                <w:sz w:val="18"/>
                <w:szCs w:val="18"/>
              </w:rPr>
            </w:pPr>
            <w:r w:rsidRPr="0080620A">
              <w:rPr>
                <w:rFonts w:asciiTheme="majorBidi" w:hAnsiTheme="majorBidi" w:cstheme="majorBidi"/>
                <w:sz w:val="18"/>
                <w:szCs w:val="18"/>
              </w:rPr>
              <w:t>Parties are to report every two years.</w:t>
            </w:r>
          </w:p>
        </w:tc>
      </w:tr>
    </w:tbl>
    <w:p w14:paraId="2EB0D6B7" w14:textId="77777777" w:rsidR="00B1107F" w:rsidRPr="0080620A" w:rsidRDefault="00B1107F" w:rsidP="00B1107F">
      <w:pPr>
        <w:rPr>
          <w:rFonts w:asciiTheme="majorBidi" w:hAnsiTheme="majorBidi" w:cstheme="majorBidi"/>
          <w:sz w:val="12"/>
          <w:szCs w:val="12"/>
        </w:rPr>
      </w:pPr>
    </w:p>
    <w:tbl>
      <w:tblPr>
        <w:tblStyle w:val="TableGrid"/>
        <w:tblW w:w="5000" w:type="pct"/>
        <w:jc w:val="right"/>
        <w:tblLook w:val="04A0" w:firstRow="1" w:lastRow="0" w:firstColumn="1" w:lastColumn="0" w:noHBand="0" w:noVBand="1"/>
      </w:tblPr>
      <w:tblGrid>
        <w:gridCol w:w="2880"/>
        <w:gridCol w:w="5489"/>
        <w:gridCol w:w="2525"/>
        <w:gridCol w:w="2526"/>
      </w:tblGrid>
      <w:tr w:rsidR="00B1107F" w:rsidRPr="001B5022" w14:paraId="3EABCA88" w14:textId="77777777" w:rsidTr="00232941">
        <w:trPr>
          <w:trHeight w:val="454"/>
          <w:jc w:val="right"/>
        </w:trPr>
        <w:tc>
          <w:tcPr>
            <w:tcW w:w="8369" w:type="dxa"/>
            <w:gridSpan w:val="2"/>
            <w:shd w:val="clear" w:color="auto" w:fill="B8CCE4" w:themeFill="accent1" w:themeFillTint="66"/>
          </w:tcPr>
          <w:p w14:paraId="512A07C4" w14:textId="7E673808" w:rsidR="00B1107F" w:rsidRPr="001B5022" w:rsidRDefault="00B1107F" w:rsidP="00EE7D24">
            <w:pPr>
              <w:rPr>
                <w:rFonts w:asciiTheme="majorBidi" w:eastAsia="Roboto" w:hAnsiTheme="majorBidi" w:cstheme="majorBidi"/>
                <w:b/>
                <w:sz w:val="18"/>
                <w:szCs w:val="18"/>
              </w:rPr>
            </w:pPr>
            <w:r w:rsidRPr="000B0C89">
              <w:rPr>
                <w:rFonts w:asciiTheme="majorBidi" w:eastAsia="Roboto" w:hAnsiTheme="majorBidi" w:cstheme="majorBidi"/>
                <w:b/>
                <w:sz w:val="18"/>
                <w:szCs w:val="18"/>
                <w:highlight w:val="lightGray"/>
              </w:rPr>
              <w:t xml:space="preserve">K: </w:t>
            </w:r>
            <w:r w:rsidR="000036E7" w:rsidRPr="000B0C89">
              <w:rPr>
                <w:rFonts w:asciiTheme="majorBidi" w:eastAsia="Roboto" w:hAnsiTheme="majorBidi" w:cstheme="majorBidi"/>
                <w:b/>
                <w:sz w:val="18"/>
                <w:szCs w:val="18"/>
                <w:highlight w:val="lightGray"/>
              </w:rPr>
              <w:t>A</w:t>
            </w:r>
            <w:r w:rsidRPr="000B0C89">
              <w:rPr>
                <w:rFonts w:asciiTheme="majorBidi" w:eastAsia="Roboto" w:hAnsiTheme="majorBidi" w:cstheme="majorBidi"/>
                <w:b/>
                <w:sz w:val="18"/>
                <w:szCs w:val="18"/>
                <w:highlight w:val="lightGray"/>
              </w:rPr>
              <w:t xml:space="preserve">rticle 22 </w:t>
            </w:r>
            <w:r w:rsidR="001027D3" w:rsidRPr="000B0C89">
              <w:rPr>
                <w:rFonts w:asciiTheme="majorBidi" w:eastAsia="Roboto" w:hAnsiTheme="majorBidi" w:cstheme="majorBidi"/>
                <w:b/>
                <w:sz w:val="18"/>
                <w:szCs w:val="18"/>
                <w:highlight w:val="lightGray"/>
              </w:rPr>
              <w:t>(</w:t>
            </w:r>
            <w:r w:rsidR="003C4FEC" w:rsidRPr="000B0C89">
              <w:rPr>
                <w:rFonts w:asciiTheme="majorBidi" w:eastAsia="Roboto" w:hAnsiTheme="majorBidi" w:cstheme="majorBidi"/>
                <w:b/>
                <w:sz w:val="18"/>
                <w:szCs w:val="18"/>
                <w:highlight w:val="lightGray"/>
              </w:rPr>
              <w:t>e</w:t>
            </w:r>
            <w:r w:rsidRPr="000B0C89">
              <w:rPr>
                <w:rFonts w:asciiTheme="majorBidi" w:eastAsia="Roboto" w:hAnsiTheme="majorBidi" w:cstheme="majorBidi"/>
                <w:b/>
                <w:sz w:val="18"/>
                <w:szCs w:val="18"/>
                <w:highlight w:val="lightGray"/>
              </w:rPr>
              <w:t xml:space="preserve">ffectiveness </w:t>
            </w:r>
            <w:r w:rsidR="004616FA" w:rsidRPr="000B0C89">
              <w:rPr>
                <w:rFonts w:asciiTheme="majorBidi" w:eastAsia="Roboto" w:hAnsiTheme="majorBidi" w:cstheme="majorBidi"/>
                <w:b/>
                <w:sz w:val="18"/>
                <w:szCs w:val="18"/>
                <w:highlight w:val="lightGray"/>
              </w:rPr>
              <w:t>evaluation</w:t>
            </w:r>
            <w:r w:rsidR="00392FF3" w:rsidRPr="000B0C89">
              <w:rPr>
                <w:rFonts w:asciiTheme="majorBidi" w:eastAsia="Roboto" w:hAnsiTheme="majorBidi" w:cstheme="majorBidi"/>
                <w:b/>
                <w:highlight w:val="lightGray"/>
              </w:rPr>
              <w:t>)</w:t>
            </w:r>
          </w:p>
        </w:tc>
        <w:tc>
          <w:tcPr>
            <w:tcW w:w="2525" w:type="dxa"/>
            <w:shd w:val="clear" w:color="auto" w:fill="B8CCE4" w:themeFill="accent1" w:themeFillTint="66"/>
          </w:tcPr>
          <w:p w14:paraId="5478C983" w14:textId="77777777" w:rsidR="00B1107F" w:rsidRPr="001B5022" w:rsidRDefault="00B1107F" w:rsidP="00EE7D24">
            <w:pPr>
              <w:rPr>
                <w:rFonts w:asciiTheme="majorBidi" w:eastAsia="Roboto" w:hAnsiTheme="majorBidi" w:cstheme="majorBidi"/>
                <w:b/>
                <w:sz w:val="18"/>
                <w:szCs w:val="18"/>
              </w:rPr>
            </w:pPr>
            <w:r w:rsidRPr="001B5022">
              <w:rPr>
                <w:rFonts w:asciiTheme="majorBidi" w:hAnsiTheme="majorBidi" w:cstheme="majorBidi"/>
                <w:b/>
                <w:bCs/>
                <w:sz w:val="18"/>
                <w:szCs w:val="18"/>
              </w:rPr>
              <w:t>Source of information on indicator</w:t>
            </w:r>
          </w:p>
        </w:tc>
        <w:tc>
          <w:tcPr>
            <w:tcW w:w="2526" w:type="dxa"/>
            <w:shd w:val="clear" w:color="auto" w:fill="B8CCE4" w:themeFill="accent1" w:themeFillTint="66"/>
          </w:tcPr>
          <w:p w14:paraId="38D7823A" w14:textId="77777777" w:rsidR="00B1107F" w:rsidRPr="001B5022" w:rsidRDefault="00B1107F" w:rsidP="00EE7D24">
            <w:pPr>
              <w:rPr>
                <w:rFonts w:asciiTheme="majorBidi" w:eastAsia="Roboto" w:hAnsiTheme="majorBidi" w:cstheme="majorBidi"/>
                <w:b/>
                <w:sz w:val="18"/>
                <w:szCs w:val="18"/>
              </w:rPr>
            </w:pPr>
            <w:r w:rsidRPr="001B5022">
              <w:rPr>
                <w:rFonts w:asciiTheme="majorBidi" w:hAnsiTheme="majorBidi" w:cstheme="majorBidi"/>
                <w:b/>
                <w:bCs/>
                <w:sz w:val="18"/>
                <w:szCs w:val="18"/>
              </w:rPr>
              <w:t>Baseline for the indicator</w:t>
            </w:r>
          </w:p>
        </w:tc>
      </w:tr>
      <w:tr w:rsidR="00B1107F" w:rsidRPr="001B5022" w14:paraId="3C4FF6D8" w14:textId="77777777" w:rsidTr="00232941">
        <w:trPr>
          <w:trHeight w:val="454"/>
          <w:jc w:val="right"/>
        </w:trPr>
        <w:tc>
          <w:tcPr>
            <w:tcW w:w="2880" w:type="dxa"/>
          </w:tcPr>
          <w:p w14:paraId="5F85869E" w14:textId="791280FD" w:rsidR="00B1107F" w:rsidRPr="001B5022" w:rsidRDefault="00B1107F" w:rsidP="00EE7D24">
            <w:pPr>
              <w:rPr>
                <w:rFonts w:asciiTheme="majorBidi" w:hAnsiTheme="majorBidi" w:cstheme="majorBidi"/>
                <w:sz w:val="18"/>
                <w:szCs w:val="18"/>
              </w:rPr>
            </w:pPr>
            <w:r w:rsidRPr="000B0C89">
              <w:rPr>
                <w:rFonts w:asciiTheme="majorBidi" w:hAnsiTheme="majorBidi" w:cstheme="majorBidi"/>
                <w:sz w:val="18"/>
                <w:szCs w:val="18"/>
                <w:highlight w:val="lightGray"/>
              </w:rPr>
              <w:t>K1. Process indicator</w:t>
            </w:r>
          </w:p>
        </w:tc>
        <w:tc>
          <w:tcPr>
            <w:tcW w:w="5489" w:type="dxa"/>
          </w:tcPr>
          <w:p w14:paraId="208A329E" w14:textId="77777777" w:rsidR="00B1107F" w:rsidRPr="001B5022" w:rsidRDefault="00B1107F" w:rsidP="00EE7D24">
            <w:pPr>
              <w:rPr>
                <w:rFonts w:asciiTheme="majorBidi" w:hAnsiTheme="majorBidi" w:cstheme="majorBidi"/>
                <w:sz w:val="18"/>
                <w:szCs w:val="18"/>
              </w:rPr>
            </w:pPr>
            <w:r w:rsidRPr="000B0C89">
              <w:rPr>
                <w:rFonts w:asciiTheme="majorBidi" w:eastAsia="Roboto" w:hAnsiTheme="majorBidi" w:cstheme="majorBidi"/>
                <w:sz w:val="18"/>
                <w:szCs w:val="18"/>
                <w:highlight w:val="lightGray"/>
              </w:rPr>
              <w:t>Evidence of implementation of recommendations from effectiveness evaluation through decisions and actions of the Conference of the Parties</w:t>
            </w:r>
          </w:p>
        </w:tc>
        <w:tc>
          <w:tcPr>
            <w:tcW w:w="2525" w:type="dxa"/>
          </w:tcPr>
          <w:p w14:paraId="70C49B5B" w14:textId="44333A77" w:rsidR="00B1107F" w:rsidRPr="001B5022" w:rsidRDefault="00B1107F" w:rsidP="00EE7D24">
            <w:pPr>
              <w:rPr>
                <w:rFonts w:asciiTheme="majorBidi" w:eastAsia="Roboto" w:hAnsiTheme="majorBidi" w:cstheme="majorBidi"/>
                <w:sz w:val="18"/>
                <w:szCs w:val="18"/>
              </w:rPr>
            </w:pPr>
            <w:r w:rsidRPr="001B5022">
              <w:rPr>
                <w:rFonts w:asciiTheme="majorBidi" w:eastAsia="Roboto" w:hAnsiTheme="majorBidi" w:cstheme="majorBidi"/>
                <w:sz w:val="18"/>
                <w:szCs w:val="18"/>
              </w:rPr>
              <w:t xml:space="preserve">- </w:t>
            </w:r>
            <w:r w:rsidR="003C4FEC" w:rsidRPr="001B5022">
              <w:rPr>
                <w:rFonts w:asciiTheme="majorBidi" w:eastAsia="Roboto" w:hAnsiTheme="majorBidi" w:cstheme="majorBidi"/>
                <w:sz w:val="18"/>
                <w:szCs w:val="18"/>
              </w:rPr>
              <w:t>Conference of the Parties</w:t>
            </w:r>
            <w:r w:rsidR="00086D76" w:rsidRPr="001B5022">
              <w:rPr>
                <w:rFonts w:asciiTheme="majorBidi" w:eastAsia="Roboto" w:hAnsiTheme="majorBidi" w:cstheme="majorBidi"/>
                <w:sz w:val="18"/>
                <w:szCs w:val="18"/>
              </w:rPr>
              <w:t xml:space="preserve"> meeting report</w:t>
            </w:r>
          </w:p>
        </w:tc>
        <w:tc>
          <w:tcPr>
            <w:tcW w:w="2526" w:type="dxa"/>
          </w:tcPr>
          <w:p w14:paraId="4188E898" w14:textId="2BA5A712" w:rsidR="00B1107F" w:rsidRPr="001B5022" w:rsidRDefault="006C5116" w:rsidP="00EE7D24">
            <w:pPr>
              <w:rPr>
                <w:rFonts w:asciiTheme="majorBidi" w:eastAsia="Roboto" w:hAnsiTheme="majorBidi" w:cstheme="majorBidi"/>
                <w:sz w:val="18"/>
                <w:szCs w:val="18"/>
              </w:rPr>
            </w:pPr>
            <w:r w:rsidRPr="001B5022">
              <w:rPr>
                <w:rFonts w:asciiTheme="majorBidi" w:eastAsia="Roboto" w:hAnsiTheme="majorBidi" w:cstheme="majorBidi"/>
                <w:sz w:val="18"/>
                <w:szCs w:val="18"/>
              </w:rPr>
              <w:t>Z</w:t>
            </w:r>
            <w:r w:rsidR="00B1107F" w:rsidRPr="001B5022">
              <w:rPr>
                <w:rFonts w:asciiTheme="majorBidi" w:eastAsia="Roboto" w:hAnsiTheme="majorBidi" w:cstheme="majorBidi"/>
                <w:sz w:val="18"/>
                <w:szCs w:val="18"/>
              </w:rPr>
              <w:t>ero</w:t>
            </w:r>
          </w:p>
        </w:tc>
      </w:tr>
      <w:tr w:rsidR="00B1107F" w:rsidRPr="0080620A" w14:paraId="1C072634" w14:textId="77777777" w:rsidTr="00232941">
        <w:trPr>
          <w:trHeight w:val="227"/>
          <w:jc w:val="right"/>
        </w:trPr>
        <w:tc>
          <w:tcPr>
            <w:tcW w:w="2880" w:type="dxa"/>
            <w:shd w:val="clear" w:color="auto" w:fill="B8CCE4" w:themeFill="accent1" w:themeFillTint="66"/>
          </w:tcPr>
          <w:p w14:paraId="62BD9E53" w14:textId="77777777" w:rsidR="00B1107F" w:rsidRPr="001B5022" w:rsidRDefault="00B1107F" w:rsidP="00EE7D24">
            <w:pPr>
              <w:rPr>
                <w:rFonts w:asciiTheme="majorBidi" w:hAnsiTheme="majorBidi" w:cstheme="majorBidi"/>
                <w:bCs/>
                <w:sz w:val="18"/>
                <w:szCs w:val="18"/>
              </w:rPr>
            </w:pPr>
            <w:r w:rsidRPr="001B5022">
              <w:rPr>
                <w:rFonts w:asciiTheme="majorBidi" w:hAnsiTheme="majorBidi" w:cstheme="majorBidi"/>
                <w:bCs/>
                <w:sz w:val="18"/>
                <w:szCs w:val="18"/>
              </w:rPr>
              <w:t>Notes</w:t>
            </w:r>
          </w:p>
        </w:tc>
        <w:tc>
          <w:tcPr>
            <w:tcW w:w="10540" w:type="dxa"/>
            <w:gridSpan w:val="3"/>
          </w:tcPr>
          <w:p w14:paraId="1F6FB889" w14:textId="77777777" w:rsidR="00B1107F" w:rsidRPr="001B5022" w:rsidRDefault="00B1107F" w:rsidP="00A00B9F">
            <w:pPr>
              <w:pStyle w:val="ListParagraph"/>
              <w:numPr>
                <w:ilvl w:val="0"/>
                <w:numId w:val="23"/>
              </w:numPr>
              <w:pBdr>
                <w:top w:val="nil"/>
                <w:left w:val="nil"/>
                <w:bottom w:val="nil"/>
                <w:right w:val="nil"/>
                <w:between w:val="nil"/>
                <w:bar w:val="nil"/>
              </w:pBdr>
              <w:tabs>
                <w:tab w:val="clear" w:pos="1247"/>
              </w:tabs>
              <w:rPr>
                <w:rFonts w:asciiTheme="majorBidi" w:hAnsiTheme="majorBidi" w:cstheme="majorBidi"/>
                <w:sz w:val="18"/>
                <w:szCs w:val="18"/>
              </w:rPr>
            </w:pPr>
            <w:r w:rsidRPr="001B5022">
              <w:rPr>
                <w:rFonts w:asciiTheme="majorBidi" w:hAnsiTheme="majorBidi" w:cstheme="majorBidi"/>
                <w:sz w:val="18"/>
                <w:szCs w:val="18"/>
              </w:rPr>
              <w:t>This article will not be evaluated in the first evaluation.</w:t>
            </w:r>
          </w:p>
        </w:tc>
      </w:tr>
    </w:tbl>
    <w:p w14:paraId="186966C5" w14:textId="06E5AA9E" w:rsidR="00AA7A89" w:rsidRPr="00C54064" w:rsidRDefault="00AA7A89" w:rsidP="00C54064">
      <w:pPr>
        <w:pStyle w:val="Titletable"/>
        <w:spacing w:before="40" w:after="40"/>
        <w:ind w:left="0"/>
        <w:rPr>
          <w:b w:val="0"/>
          <w:sz w:val="17"/>
          <w:szCs w:val="17"/>
        </w:rPr>
      </w:pPr>
      <w:r w:rsidRPr="00C54064">
        <w:rPr>
          <w:b w:val="0"/>
          <w:i/>
          <w:iCs/>
          <w:sz w:val="17"/>
          <w:szCs w:val="17"/>
        </w:rPr>
        <w:t>Abbreviations:</w:t>
      </w:r>
      <w:r w:rsidRPr="00C54064">
        <w:rPr>
          <w:b w:val="0"/>
          <w:sz w:val="17"/>
          <w:szCs w:val="17"/>
        </w:rPr>
        <w:t xml:space="preserve"> </w:t>
      </w:r>
      <w:r w:rsidR="00803B6C" w:rsidRPr="00C54064">
        <w:rPr>
          <w:b w:val="0"/>
          <w:sz w:val="17"/>
          <w:szCs w:val="17"/>
        </w:rPr>
        <w:t>ASGM, artisanal and small-scale gold mining</w:t>
      </w:r>
      <w:r w:rsidR="00C05B03" w:rsidRPr="00C54064">
        <w:rPr>
          <w:b w:val="0"/>
          <w:sz w:val="17"/>
          <w:szCs w:val="17"/>
        </w:rPr>
        <w:t xml:space="preserve">; BAT/BEP, best available techniques/best </w:t>
      </w:r>
      <w:r w:rsidR="008C7CCD" w:rsidRPr="00C54064">
        <w:rPr>
          <w:b w:val="0"/>
          <w:sz w:val="17"/>
          <w:szCs w:val="17"/>
        </w:rPr>
        <w:t>environmental practices</w:t>
      </w:r>
      <w:r w:rsidR="006A08EA" w:rsidRPr="00C54064">
        <w:rPr>
          <w:b w:val="0"/>
          <w:sz w:val="17"/>
          <w:szCs w:val="17"/>
        </w:rPr>
        <w:t>; SIP, specific international programme to support capacity-building and technical assistance</w:t>
      </w:r>
      <w:r w:rsidR="004A6C92" w:rsidRPr="00C54064">
        <w:rPr>
          <w:b w:val="0"/>
          <w:sz w:val="17"/>
          <w:szCs w:val="17"/>
        </w:rPr>
        <w:t>.</w:t>
      </w:r>
    </w:p>
    <w:p w14:paraId="572E367C" w14:textId="6796B6B3" w:rsidR="00AA7A89" w:rsidRPr="0080620A" w:rsidRDefault="00AA7A89" w:rsidP="009E249F">
      <w:pPr>
        <w:sectPr w:rsidR="00AA7A89" w:rsidRPr="0080620A" w:rsidSect="00A07BAB">
          <w:pgSz w:w="15840" w:h="12240" w:orient="landscape" w:code="1"/>
          <w:pgMar w:top="907" w:right="992" w:bottom="1418" w:left="1418" w:header="539" w:footer="975" w:gutter="0"/>
          <w:cols w:space="708"/>
          <w:docGrid w:linePitch="360"/>
        </w:sectPr>
      </w:pPr>
    </w:p>
    <w:p w14:paraId="22ED29A9" w14:textId="361F0382" w:rsidR="00B1107F" w:rsidRPr="0080620A" w:rsidRDefault="00B66A03" w:rsidP="00B66A03">
      <w:pPr>
        <w:pStyle w:val="CH2"/>
      </w:pPr>
      <w:r w:rsidRPr="0080620A">
        <w:lastRenderedPageBreak/>
        <w:tab/>
        <w:t>C</w:t>
      </w:r>
      <w:r w:rsidR="00B1107F" w:rsidRPr="0080620A">
        <w:t>.</w:t>
      </w:r>
      <w:r w:rsidRPr="0080620A">
        <w:tab/>
      </w:r>
      <w:r w:rsidR="00B1107F" w:rsidRPr="0080620A">
        <w:t>Data sources</w:t>
      </w:r>
    </w:p>
    <w:p w14:paraId="7F640079" w14:textId="72D76C0B" w:rsidR="00B1107F" w:rsidRPr="0080620A" w:rsidRDefault="00B1107F" w:rsidP="009E249F">
      <w:pPr>
        <w:pStyle w:val="Normalnumber"/>
      </w:pPr>
      <w:r w:rsidRPr="0080620A">
        <w:t xml:space="preserve">The availability of sources </w:t>
      </w:r>
      <w:r w:rsidR="00AD7257" w:rsidRPr="0080620A">
        <w:t xml:space="preserve">of information </w:t>
      </w:r>
      <w:r w:rsidRPr="0080620A">
        <w:t xml:space="preserve">for the indicators, as well as supplementary relevant and comparable scientific, environmental, technical, financial and economic information on which to base the effectiveness evaluation, is driven by </w:t>
      </w:r>
      <w:r w:rsidR="008E5F37" w:rsidRPr="0080620A">
        <w:t>several</w:t>
      </w:r>
      <w:r w:rsidRPr="0080620A">
        <w:t xml:space="preserve"> factors. </w:t>
      </w:r>
    </w:p>
    <w:p w14:paraId="6C7121F8" w14:textId="750188AC" w:rsidR="00B1107F" w:rsidRPr="0080620A" w:rsidRDefault="00B1107F" w:rsidP="009E249F">
      <w:pPr>
        <w:pStyle w:val="Normalnumber"/>
      </w:pPr>
      <w:r w:rsidRPr="0080620A">
        <w:t>First, different articles of the Convention have different timelines for implementation. Some deadlines fall within the first cycle of effectiveness evaluation (2017</w:t>
      </w:r>
      <w:r w:rsidR="00B000A7" w:rsidRPr="0080620A">
        <w:sym w:font="Symbol" w:char="F02D"/>
      </w:r>
      <w:r w:rsidRPr="0080620A">
        <w:t xml:space="preserve">2023), but some do not. Moreover, even if a measure is implemented </w:t>
      </w:r>
      <w:r w:rsidR="00091911" w:rsidRPr="0080620A">
        <w:t xml:space="preserve">by </w:t>
      </w:r>
      <w:r w:rsidRPr="0080620A">
        <w:t xml:space="preserve">the deadline, evidence of its impact and therefore effectiveness may not be available for some time or </w:t>
      </w:r>
      <w:r w:rsidR="008B016B" w:rsidRPr="0080620A">
        <w:t xml:space="preserve">be </w:t>
      </w:r>
      <w:r w:rsidRPr="0080620A">
        <w:t>directly measurable</w:t>
      </w:r>
      <w:r w:rsidR="00120FD3" w:rsidRPr="0080620A">
        <w:t>, which</w:t>
      </w:r>
      <w:r w:rsidRPr="0080620A">
        <w:t xml:space="preserve"> presents challenges </w:t>
      </w:r>
      <w:r w:rsidR="00091911" w:rsidRPr="0080620A">
        <w:t>in terms of</w:t>
      </w:r>
      <w:r w:rsidRPr="0080620A">
        <w:t xml:space="preserve"> attribut</w:t>
      </w:r>
      <w:r w:rsidR="00091911" w:rsidRPr="0080620A">
        <w:t>ing</w:t>
      </w:r>
      <w:r w:rsidRPr="0080620A">
        <w:t xml:space="preserve"> effect. Table 3 below gives a</w:t>
      </w:r>
      <w:r w:rsidR="00091911" w:rsidRPr="0080620A">
        <w:t>n</w:t>
      </w:r>
      <w:r w:rsidRPr="0080620A">
        <w:t xml:space="preserve"> overview of </w:t>
      </w:r>
      <w:r w:rsidR="00091911" w:rsidRPr="0080620A">
        <w:t xml:space="preserve">the </w:t>
      </w:r>
      <w:r w:rsidRPr="0080620A">
        <w:t>time-bound articles of the Minamata Convention</w:t>
      </w:r>
      <w:r w:rsidR="00120FD3" w:rsidRPr="0080620A">
        <w:t>,</w:t>
      </w:r>
      <w:r w:rsidRPr="0080620A">
        <w:t xml:space="preserve"> </w:t>
      </w:r>
      <w:r w:rsidR="00091911" w:rsidRPr="0080620A">
        <w:t xml:space="preserve">with </w:t>
      </w:r>
      <w:r w:rsidRPr="0080620A">
        <w:t>their timelines.</w:t>
      </w:r>
    </w:p>
    <w:p w14:paraId="344F2C90" w14:textId="246F3FAE" w:rsidR="00883B5B" w:rsidRPr="0080620A" w:rsidRDefault="00883B5B" w:rsidP="00C54064">
      <w:pPr>
        <w:pStyle w:val="Titletable"/>
      </w:pPr>
      <w:r w:rsidRPr="00C54064">
        <w:rPr>
          <w:b w:val="0"/>
        </w:rPr>
        <w:t xml:space="preserve">Table </w:t>
      </w:r>
      <w:r w:rsidRPr="00C54064">
        <w:rPr>
          <w:b w:val="0"/>
        </w:rPr>
        <w:fldChar w:fldCharType="begin"/>
      </w:r>
      <w:r w:rsidRPr="00C54064">
        <w:rPr>
          <w:b w:val="0"/>
        </w:rPr>
        <w:instrText xml:space="preserve"> SEQ Table \* ARABIC </w:instrText>
      </w:r>
      <w:r w:rsidRPr="00C54064">
        <w:rPr>
          <w:b w:val="0"/>
        </w:rPr>
        <w:fldChar w:fldCharType="separate"/>
      </w:r>
      <w:r w:rsidR="00A929BE">
        <w:rPr>
          <w:b w:val="0"/>
          <w:noProof/>
        </w:rPr>
        <w:t>3</w:t>
      </w:r>
      <w:r w:rsidRPr="00C54064">
        <w:rPr>
          <w:b w:val="0"/>
        </w:rPr>
        <w:fldChar w:fldCharType="end"/>
      </w:r>
      <w:r w:rsidRPr="0080620A">
        <w:t xml:space="preserve"> </w:t>
      </w:r>
      <w:r w:rsidR="00C54064">
        <w:br/>
      </w:r>
      <w:r w:rsidRPr="0080620A">
        <w:t>Minamata Convention timelines</w:t>
      </w:r>
    </w:p>
    <w:tbl>
      <w:tblPr>
        <w:tblStyle w:val="TableGrid"/>
        <w:tblW w:w="8307" w:type="dxa"/>
        <w:jc w:val="right"/>
        <w:tblLook w:val="04A0" w:firstRow="1" w:lastRow="0" w:firstColumn="1" w:lastColumn="0" w:noHBand="0" w:noVBand="1"/>
      </w:tblPr>
      <w:tblGrid>
        <w:gridCol w:w="750"/>
        <w:gridCol w:w="1474"/>
        <w:gridCol w:w="6044"/>
        <w:gridCol w:w="39"/>
      </w:tblGrid>
      <w:tr w:rsidR="00B1107F" w:rsidRPr="001B5022" w14:paraId="36F63C39" w14:textId="77777777" w:rsidTr="001B5022">
        <w:trPr>
          <w:gridAfter w:val="1"/>
          <w:wAfter w:w="39" w:type="dxa"/>
          <w:trHeight w:val="57"/>
          <w:jc w:val="right"/>
        </w:trPr>
        <w:tc>
          <w:tcPr>
            <w:tcW w:w="750" w:type="dxa"/>
            <w:shd w:val="clear" w:color="auto" w:fill="B8CCE4" w:themeFill="accent1" w:themeFillTint="66"/>
          </w:tcPr>
          <w:p w14:paraId="490082DE" w14:textId="77777777" w:rsidR="00B1107F" w:rsidRPr="001B5022" w:rsidRDefault="00B1107F" w:rsidP="009C10DF">
            <w:pPr>
              <w:tabs>
                <w:tab w:val="clear" w:pos="1814"/>
                <w:tab w:val="left" w:pos="624"/>
                <w:tab w:val="left" w:pos="1134"/>
                <w:tab w:val="left" w:pos="3119"/>
              </w:tabs>
              <w:spacing w:after="80"/>
              <w:rPr>
                <w:b/>
                <w:sz w:val="18"/>
                <w:szCs w:val="18"/>
              </w:rPr>
            </w:pPr>
            <w:r w:rsidRPr="001B5022">
              <w:rPr>
                <w:b/>
                <w:sz w:val="18"/>
                <w:szCs w:val="18"/>
              </w:rPr>
              <w:t>Date</w:t>
            </w:r>
          </w:p>
        </w:tc>
        <w:tc>
          <w:tcPr>
            <w:tcW w:w="1474" w:type="dxa"/>
            <w:shd w:val="clear" w:color="auto" w:fill="B8CCE4" w:themeFill="accent1" w:themeFillTint="66"/>
          </w:tcPr>
          <w:p w14:paraId="33A95C76" w14:textId="77777777" w:rsidR="00B1107F" w:rsidRPr="001B5022" w:rsidRDefault="00B1107F" w:rsidP="009C10DF">
            <w:pPr>
              <w:tabs>
                <w:tab w:val="clear" w:pos="1247"/>
                <w:tab w:val="clear" w:pos="1814"/>
                <w:tab w:val="left" w:pos="3119"/>
              </w:tabs>
              <w:spacing w:after="80"/>
              <w:ind w:right="-11"/>
              <w:rPr>
                <w:b/>
                <w:sz w:val="18"/>
                <w:szCs w:val="18"/>
              </w:rPr>
            </w:pPr>
            <w:r w:rsidRPr="001B5022">
              <w:rPr>
                <w:b/>
                <w:sz w:val="18"/>
                <w:szCs w:val="18"/>
              </w:rPr>
              <w:t>Article</w:t>
            </w:r>
          </w:p>
        </w:tc>
        <w:tc>
          <w:tcPr>
            <w:tcW w:w="6044" w:type="dxa"/>
            <w:shd w:val="clear" w:color="auto" w:fill="B8CCE4" w:themeFill="accent1" w:themeFillTint="66"/>
          </w:tcPr>
          <w:p w14:paraId="034CDE3B" w14:textId="77777777" w:rsidR="00B1107F" w:rsidRPr="001B5022" w:rsidRDefault="00B1107F" w:rsidP="009C10DF">
            <w:pPr>
              <w:tabs>
                <w:tab w:val="clear" w:pos="1814"/>
                <w:tab w:val="left" w:pos="624"/>
                <w:tab w:val="left" w:pos="1134"/>
                <w:tab w:val="left" w:pos="3119"/>
              </w:tabs>
              <w:spacing w:after="80"/>
              <w:rPr>
                <w:b/>
                <w:sz w:val="18"/>
                <w:szCs w:val="18"/>
              </w:rPr>
            </w:pPr>
            <w:r w:rsidRPr="001B5022">
              <w:rPr>
                <w:b/>
                <w:sz w:val="18"/>
                <w:szCs w:val="18"/>
              </w:rPr>
              <w:t>Description</w:t>
            </w:r>
          </w:p>
        </w:tc>
      </w:tr>
      <w:tr w:rsidR="00B1107F" w:rsidRPr="001B5022" w14:paraId="1DF00113" w14:textId="77777777" w:rsidTr="001B5022">
        <w:trPr>
          <w:gridAfter w:val="1"/>
          <w:wAfter w:w="39" w:type="dxa"/>
          <w:trHeight w:val="57"/>
          <w:jc w:val="right"/>
        </w:trPr>
        <w:tc>
          <w:tcPr>
            <w:tcW w:w="750" w:type="dxa"/>
          </w:tcPr>
          <w:p w14:paraId="1F7138CB"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2018</w:t>
            </w:r>
          </w:p>
        </w:tc>
        <w:tc>
          <w:tcPr>
            <w:tcW w:w="1474" w:type="dxa"/>
          </w:tcPr>
          <w:p w14:paraId="559C854F" w14:textId="320BDE60"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5, para</w:t>
            </w:r>
            <w:r w:rsidR="00162B18" w:rsidRPr="001B5022">
              <w:rPr>
                <w:sz w:val="18"/>
                <w:szCs w:val="18"/>
              </w:rPr>
              <w:t>.</w:t>
            </w:r>
            <w:r w:rsidRPr="001B5022">
              <w:rPr>
                <w:sz w:val="18"/>
                <w:szCs w:val="18"/>
              </w:rPr>
              <w:t xml:space="preserve"> 2</w:t>
            </w:r>
            <w:r w:rsidR="007E1E66" w:rsidRPr="001B5022">
              <w:rPr>
                <w:sz w:val="18"/>
                <w:szCs w:val="18"/>
              </w:rPr>
              <w:t>,</w:t>
            </w:r>
            <w:r w:rsidR="00AD7257" w:rsidRPr="001B5022">
              <w:rPr>
                <w:sz w:val="18"/>
                <w:szCs w:val="18"/>
              </w:rPr>
              <w:t xml:space="preserve"> and</w:t>
            </w:r>
            <w:r w:rsidRPr="001B5022">
              <w:rPr>
                <w:sz w:val="18"/>
                <w:szCs w:val="18"/>
              </w:rPr>
              <w:t xml:space="preserve"> </w:t>
            </w:r>
            <w:r w:rsidR="00162B18" w:rsidRPr="001B5022">
              <w:rPr>
                <w:sz w:val="18"/>
                <w:szCs w:val="18"/>
              </w:rPr>
              <w:t>a</w:t>
            </w:r>
            <w:r w:rsidRPr="001B5022">
              <w:rPr>
                <w:sz w:val="18"/>
                <w:szCs w:val="18"/>
              </w:rPr>
              <w:t>nnex B</w:t>
            </w:r>
          </w:p>
        </w:tc>
        <w:tc>
          <w:tcPr>
            <w:tcW w:w="6044" w:type="dxa"/>
          </w:tcPr>
          <w:p w14:paraId="70B2FF10" w14:textId="644D349F"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 xml:space="preserve">Acetaldehyde production in which mercury or mercury compounds are used as a catalyst </w:t>
            </w:r>
            <w:r w:rsidR="008B09D4" w:rsidRPr="001B5022">
              <w:rPr>
                <w:sz w:val="18"/>
                <w:szCs w:val="18"/>
              </w:rPr>
              <w:t xml:space="preserve">is </w:t>
            </w:r>
            <w:r w:rsidRPr="001B5022">
              <w:rPr>
                <w:sz w:val="18"/>
                <w:szCs w:val="18"/>
              </w:rPr>
              <w:t>to be phased out</w:t>
            </w:r>
            <w:r w:rsidR="00490F85" w:rsidRPr="001B5022">
              <w:rPr>
                <w:sz w:val="18"/>
                <w:szCs w:val="18"/>
              </w:rPr>
              <w:t>.</w:t>
            </w:r>
          </w:p>
        </w:tc>
      </w:tr>
      <w:tr w:rsidR="00B1107F" w:rsidRPr="001B5022" w14:paraId="0C3460FF" w14:textId="77777777" w:rsidTr="001B5022">
        <w:trPr>
          <w:gridAfter w:val="1"/>
          <w:wAfter w:w="39" w:type="dxa"/>
          <w:trHeight w:val="57"/>
          <w:jc w:val="right"/>
        </w:trPr>
        <w:tc>
          <w:tcPr>
            <w:tcW w:w="750" w:type="dxa"/>
            <w:vMerge w:val="restart"/>
          </w:tcPr>
          <w:p w14:paraId="32CA9C7A" w14:textId="1D56C52A" w:rsidR="00B1107F" w:rsidRPr="001B5022" w:rsidRDefault="00B1107F" w:rsidP="00C54064">
            <w:pPr>
              <w:tabs>
                <w:tab w:val="clear" w:pos="1814"/>
                <w:tab w:val="left" w:pos="624"/>
                <w:tab w:val="left" w:pos="1134"/>
                <w:tab w:val="left" w:pos="3119"/>
              </w:tabs>
              <w:spacing w:after="80"/>
              <w:rPr>
                <w:sz w:val="18"/>
                <w:szCs w:val="18"/>
              </w:rPr>
            </w:pPr>
            <w:r w:rsidRPr="001B5022">
              <w:rPr>
                <w:sz w:val="18"/>
                <w:szCs w:val="18"/>
              </w:rPr>
              <w:t>2020</w:t>
            </w:r>
          </w:p>
        </w:tc>
        <w:tc>
          <w:tcPr>
            <w:tcW w:w="1474" w:type="dxa"/>
          </w:tcPr>
          <w:p w14:paraId="21E1BD14" w14:textId="2BED9D87"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4, para</w:t>
            </w:r>
            <w:r w:rsidR="00162B18" w:rsidRPr="001B5022">
              <w:rPr>
                <w:sz w:val="18"/>
                <w:szCs w:val="18"/>
              </w:rPr>
              <w:t>.</w:t>
            </w:r>
            <w:r w:rsidRPr="001B5022">
              <w:rPr>
                <w:sz w:val="18"/>
                <w:szCs w:val="18"/>
              </w:rPr>
              <w:t xml:space="preserve"> 1</w:t>
            </w:r>
            <w:r w:rsidR="007E1E66" w:rsidRPr="001B5022">
              <w:rPr>
                <w:sz w:val="18"/>
                <w:szCs w:val="18"/>
              </w:rPr>
              <w:t>,</w:t>
            </w:r>
            <w:r w:rsidR="00AD7257" w:rsidRPr="001B5022">
              <w:rPr>
                <w:sz w:val="18"/>
                <w:szCs w:val="18"/>
              </w:rPr>
              <w:t xml:space="preserve"> and</w:t>
            </w:r>
            <w:r w:rsidRPr="001B5022">
              <w:rPr>
                <w:sz w:val="18"/>
                <w:szCs w:val="18"/>
              </w:rPr>
              <w:t xml:space="preserve"> </w:t>
            </w:r>
            <w:r w:rsidR="00162B18" w:rsidRPr="001B5022">
              <w:rPr>
                <w:sz w:val="18"/>
                <w:szCs w:val="18"/>
              </w:rPr>
              <w:t>a</w:t>
            </w:r>
            <w:r w:rsidRPr="001B5022">
              <w:rPr>
                <w:sz w:val="18"/>
                <w:szCs w:val="18"/>
              </w:rPr>
              <w:t>nnex A</w:t>
            </w:r>
          </w:p>
        </w:tc>
        <w:tc>
          <w:tcPr>
            <w:tcW w:w="6044" w:type="dxa"/>
          </w:tcPr>
          <w:p w14:paraId="6C1F6A0D" w14:textId="45CFE576"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Manufacture, import or export of various mercury-added products</w:t>
            </w:r>
            <w:r w:rsidR="008B09D4" w:rsidRPr="001B5022">
              <w:rPr>
                <w:sz w:val="18"/>
                <w:szCs w:val="18"/>
              </w:rPr>
              <w:t xml:space="preserve"> is</w:t>
            </w:r>
            <w:r w:rsidRPr="001B5022">
              <w:rPr>
                <w:sz w:val="18"/>
                <w:szCs w:val="18"/>
              </w:rPr>
              <w:t xml:space="preserve"> no</w:t>
            </w:r>
            <w:r w:rsidR="008B09D4" w:rsidRPr="001B5022">
              <w:rPr>
                <w:sz w:val="18"/>
                <w:szCs w:val="18"/>
              </w:rPr>
              <w:t xml:space="preserve"> longer</w:t>
            </w:r>
            <w:r w:rsidRPr="001B5022">
              <w:rPr>
                <w:sz w:val="18"/>
                <w:szCs w:val="18"/>
              </w:rPr>
              <w:t xml:space="preserve"> allowed (including batteries, switches and relays, compact and linear fluorescent lamps, high pressure mercury vapour lamps, cold cathode fluorescent lamps and external electrode fluorescent lamps for electronic displays, cosmetics, </w:t>
            </w:r>
            <w:r w:rsidR="006765E2" w:rsidRPr="001B5022">
              <w:rPr>
                <w:sz w:val="18"/>
                <w:szCs w:val="18"/>
              </w:rPr>
              <w:t xml:space="preserve">and </w:t>
            </w:r>
            <w:r w:rsidRPr="001B5022">
              <w:rPr>
                <w:sz w:val="18"/>
                <w:szCs w:val="18"/>
              </w:rPr>
              <w:t>pesticides</w:t>
            </w:r>
            <w:r w:rsidR="006765E2" w:rsidRPr="001B5022">
              <w:rPr>
                <w:sz w:val="18"/>
                <w:szCs w:val="18"/>
              </w:rPr>
              <w:t>, biocides</w:t>
            </w:r>
            <w:r w:rsidRPr="001B5022">
              <w:rPr>
                <w:sz w:val="18"/>
                <w:szCs w:val="18"/>
              </w:rPr>
              <w:t xml:space="preserve"> and topical antiseptics, as well as barometers, hygrometers, manometers, thermometers and sphygmomanometers)</w:t>
            </w:r>
            <w:r w:rsidR="006765E2" w:rsidRPr="001B5022">
              <w:rPr>
                <w:sz w:val="18"/>
                <w:szCs w:val="18"/>
              </w:rPr>
              <w:t>.</w:t>
            </w:r>
            <w:r w:rsidRPr="001B5022">
              <w:rPr>
                <w:sz w:val="18"/>
                <w:szCs w:val="18"/>
              </w:rPr>
              <w:t xml:space="preserve"> </w:t>
            </w:r>
          </w:p>
        </w:tc>
      </w:tr>
      <w:tr w:rsidR="00B1107F" w:rsidRPr="001B5022" w14:paraId="1E7FA750" w14:textId="77777777" w:rsidTr="001B5022">
        <w:trPr>
          <w:gridAfter w:val="1"/>
          <w:wAfter w:w="39" w:type="dxa"/>
          <w:trHeight w:val="57"/>
          <w:jc w:val="right"/>
        </w:trPr>
        <w:tc>
          <w:tcPr>
            <w:tcW w:w="750" w:type="dxa"/>
            <w:vMerge/>
          </w:tcPr>
          <w:p w14:paraId="5079DC3F" w14:textId="77777777" w:rsidR="00B1107F" w:rsidRPr="001B5022" w:rsidRDefault="00B1107F" w:rsidP="009C10DF">
            <w:pPr>
              <w:tabs>
                <w:tab w:val="clear" w:pos="1814"/>
                <w:tab w:val="left" w:pos="624"/>
                <w:tab w:val="left" w:pos="1134"/>
                <w:tab w:val="left" w:pos="3119"/>
              </w:tabs>
              <w:spacing w:after="80"/>
              <w:rPr>
                <w:sz w:val="18"/>
                <w:szCs w:val="18"/>
              </w:rPr>
            </w:pPr>
          </w:p>
        </w:tc>
        <w:tc>
          <w:tcPr>
            <w:tcW w:w="1474" w:type="dxa"/>
            <w:vMerge w:val="restart"/>
          </w:tcPr>
          <w:p w14:paraId="6E032CE8" w14:textId="23F7AF39"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5, para</w:t>
            </w:r>
            <w:r w:rsidR="00162B18" w:rsidRPr="001B5022">
              <w:rPr>
                <w:sz w:val="18"/>
                <w:szCs w:val="18"/>
              </w:rPr>
              <w:t>.</w:t>
            </w:r>
            <w:r w:rsidRPr="001B5022">
              <w:rPr>
                <w:sz w:val="18"/>
                <w:szCs w:val="18"/>
              </w:rPr>
              <w:t xml:space="preserve"> 3</w:t>
            </w:r>
            <w:r w:rsidR="007E1E66" w:rsidRPr="001B5022">
              <w:rPr>
                <w:sz w:val="18"/>
                <w:szCs w:val="18"/>
              </w:rPr>
              <w:t>,</w:t>
            </w:r>
            <w:r w:rsidR="006765E2" w:rsidRPr="001B5022">
              <w:rPr>
                <w:sz w:val="18"/>
                <w:szCs w:val="18"/>
              </w:rPr>
              <w:t xml:space="preserve"> and</w:t>
            </w:r>
            <w:r w:rsidRPr="001B5022">
              <w:rPr>
                <w:sz w:val="18"/>
                <w:szCs w:val="18"/>
              </w:rPr>
              <w:t xml:space="preserve"> </w:t>
            </w:r>
            <w:r w:rsidR="00162B18" w:rsidRPr="001B5022">
              <w:rPr>
                <w:sz w:val="18"/>
                <w:szCs w:val="18"/>
              </w:rPr>
              <w:t>a</w:t>
            </w:r>
            <w:r w:rsidRPr="001B5022">
              <w:rPr>
                <w:sz w:val="18"/>
                <w:szCs w:val="18"/>
              </w:rPr>
              <w:t>nnex B</w:t>
            </w:r>
          </w:p>
        </w:tc>
        <w:tc>
          <w:tcPr>
            <w:tcW w:w="6044" w:type="dxa"/>
          </w:tcPr>
          <w:p w14:paraId="0ADEC030" w14:textId="7009DC6B"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In vinyl chloride monomer production, reduce the use of mercury in terms of per</w:t>
            </w:r>
            <w:r w:rsidR="007E1E66" w:rsidRPr="001B5022">
              <w:rPr>
                <w:sz w:val="18"/>
                <w:szCs w:val="18"/>
              </w:rPr>
              <w:t>-</w:t>
            </w:r>
            <w:r w:rsidRPr="001B5022">
              <w:rPr>
                <w:sz w:val="18"/>
                <w:szCs w:val="18"/>
              </w:rPr>
              <w:t xml:space="preserve">unit production by 50 per cent by the </w:t>
            </w:r>
            <w:r w:rsidR="008B09D4" w:rsidRPr="001B5022">
              <w:rPr>
                <w:sz w:val="18"/>
                <w:szCs w:val="18"/>
              </w:rPr>
              <w:t xml:space="preserve">year </w:t>
            </w:r>
            <w:r w:rsidRPr="001B5022">
              <w:rPr>
                <w:sz w:val="18"/>
                <w:szCs w:val="18"/>
              </w:rPr>
              <w:t>2020 against 2010 use.</w:t>
            </w:r>
          </w:p>
        </w:tc>
      </w:tr>
      <w:tr w:rsidR="00B1107F" w:rsidRPr="001B5022" w14:paraId="383F038C" w14:textId="77777777" w:rsidTr="001B5022">
        <w:trPr>
          <w:gridAfter w:val="1"/>
          <w:wAfter w:w="39" w:type="dxa"/>
          <w:trHeight w:val="57"/>
          <w:jc w:val="right"/>
        </w:trPr>
        <w:tc>
          <w:tcPr>
            <w:tcW w:w="750" w:type="dxa"/>
            <w:vMerge/>
          </w:tcPr>
          <w:p w14:paraId="2242728B" w14:textId="77777777" w:rsidR="00B1107F" w:rsidRPr="001B5022" w:rsidRDefault="00B1107F" w:rsidP="009C10DF">
            <w:pPr>
              <w:tabs>
                <w:tab w:val="clear" w:pos="1814"/>
                <w:tab w:val="left" w:pos="624"/>
                <w:tab w:val="left" w:pos="1134"/>
                <w:tab w:val="left" w:pos="3119"/>
              </w:tabs>
              <w:spacing w:after="80"/>
              <w:rPr>
                <w:sz w:val="18"/>
                <w:szCs w:val="18"/>
              </w:rPr>
            </w:pPr>
          </w:p>
        </w:tc>
        <w:tc>
          <w:tcPr>
            <w:tcW w:w="1474" w:type="dxa"/>
            <w:vMerge/>
          </w:tcPr>
          <w:p w14:paraId="6A310719" w14:textId="77777777" w:rsidR="00B1107F" w:rsidRPr="001B5022" w:rsidRDefault="00B1107F" w:rsidP="009C10DF">
            <w:pPr>
              <w:tabs>
                <w:tab w:val="clear" w:pos="1247"/>
                <w:tab w:val="clear" w:pos="1814"/>
                <w:tab w:val="left" w:pos="3119"/>
              </w:tabs>
              <w:spacing w:after="80"/>
              <w:ind w:right="-11"/>
              <w:rPr>
                <w:sz w:val="18"/>
                <w:szCs w:val="18"/>
              </w:rPr>
            </w:pPr>
          </w:p>
        </w:tc>
        <w:tc>
          <w:tcPr>
            <w:tcW w:w="6044" w:type="dxa"/>
          </w:tcPr>
          <w:p w14:paraId="75EA4AA8" w14:textId="72105F9F"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For sodium or potassium methylate or ethylate</w:t>
            </w:r>
            <w:r w:rsidR="00490F85" w:rsidRPr="001B5022">
              <w:rPr>
                <w:sz w:val="18"/>
                <w:szCs w:val="18"/>
              </w:rPr>
              <w:t>,</w:t>
            </w:r>
            <w:r w:rsidRPr="001B5022">
              <w:rPr>
                <w:sz w:val="18"/>
                <w:szCs w:val="18"/>
              </w:rPr>
              <w:t xml:space="preserve"> reduce emissions and releases in terms of per unit production by 50 per cent by 2020 compared to 2010</w:t>
            </w:r>
            <w:r w:rsidR="00490F85" w:rsidRPr="001B5022">
              <w:rPr>
                <w:sz w:val="18"/>
                <w:szCs w:val="18"/>
              </w:rPr>
              <w:t>.</w:t>
            </w:r>
          </w:p>
        </w:tc>
      </w:tr>
      <w:tr w:rsidR="00B1107F" w:rsidRPr="001B5022" w14:paraId="09B9F553" w14:textId="77777777" w:rsidTr="001B5022">
        <w:trPr>
          <w:gridAfter w:val="1"/>
          <w:wAfter w:w="39" w:type="dxa"/>
          <w:trHeight w:val="57"/>
          <w:jc w:val="right"/>
        </w:trPr>
        <w:tc>
          <w:tcPr>
            <w:tcW w:w="750" w:type="dxa"/>
          </w:tcPr>
          <w:p w14:paraId="6477D6B7"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2025</w:t>
            </w:r>
          </w:p>
        </w:tc>
        <w:tc>
          <w:tcPr>
            <w:tcW w:w="1474" w:type="dxa"/>
          </w:tcPr>
          <w:p w14:paraId="647527E9" w14:textId="274C8961"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5, para</w:t>
            </w:r>
            <w:r w:rsidR="00162B18" w:rsidRPr="001B5022">
              <w:rPr>
                <w:sz w:val="18"/>
                <w:szCs w:val="18"/>
              </w:rPr>
              <w:t>.</w:t>
            </w:r>
            <w:r w:rsidRPr="001B5022">
              <w:rPr>
                <w:sz w:val="18"/>
                <w:szCs w:val="18"/>
              </w:rPr>
              <w:t xml:space="preserve"> 2</w:t>
            </w:r>
            <w:r w:rsidR="007E1E66" w:rsidRPr="001B5022">
              <w:rPr>
                <w:sz w:val="18"/>
                <w:szCs w:val="18"/>
              </w:rPr>
              <w:t>,</w:t>
            </w:r>
            <w:r w:rsidR="006765E2" w:rsidRPr="001B5022">
              <w:rPr>
                <w:sz w:val="18"/>
                <w:szCs w:val="18"/>
              </w:rPr>
              <w:t xml:space="preserve"> and</w:t>
            </w:r>
            <w:r w:rsidRPr="001B5022">
              <w:rPr>
                <w:sz w:val="18"/>
                <w:szCs w:val="18"/>
              </w:rPr>
              <w:t xml:space="preserve"> </w:t>
            </w:r>
            <w:r w:rsidR="00162B18" w:rsidRPr="001B5022">
              <w:rPr>
                <w:sz w:val="18"/>
                <w:szCs w:val="18"/>
              </w:rPr>
              <w:t>a</w:t>
            </w:r>
            <w:r w:rsidRPr="001B5022">
              <w:rPr>
                <w:sz w:val="18"/>
                <w:szCs w:val="18"/>
              </w:rPr>
              <w:t>nnex B</w:t>
            </w:r>
          </w:p>
        </w:tc>
        <w:tc>
          <w:tcPr>
            <w:tcW w:w="6044" w:type="dxa"/>
          </w:tcPr>
          <w:p w14:paraId="7D88F207" w14:textId="4CC71E58"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 xml:space="preserve">Chlor-alkali production </w:t>
            </w:r>
            <w:r w:rsidR="008B09D4" w:rsidRPr="001B5022">
              <w:rPr>
                <w:sz w:val="18"/>
                <w:szCs w:val="18"/>
              </w:rPr>
              <w:t xml:space="preserve">is </w:t>
            </w:r>
            <w:r w:rsidRPr="001B5022">
              <w:rPr>
                <w:sz w:val="18"/>
                <w:szCs w:val="18"/>
              </w:rPr>
              <w:t>to be phased out</w:t>
            </w:r>
            <w:r w:rsidR="00091911" w:rsidRPr="001B5022">
              <w:rPr>
                <w:sz w:val="18"/>
                <w:szCs w:val="18"/>
              </w:rPr>
              <w:t>.</w:t>
            </w:r>
          </w:p>
        </w:tc>
      </w:tr>
      <w:tr w:rsidR="00B1107F" w:rsidRPr="001B5022" w14:paraId="04DD9DA0" w14:textId="77777777" w:rsidTr="001B5022">
        <w:trPr>
          <w:gridAfter w:val="1"/>
          <w:wAfter w:w="39" w:type="dxa"/>
          <w:trHeight w:val="57"/>
          <w:jc w:val="right"/>
        </w:trPr>
        <w:tc>
          <w:tcPr>
            <w:tcW w:w="750" w:type="dxa"/>
          </w:tcPr>
          <w:p w14:paraId="3E053184"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2027</w:t>
            </w:r>
          </w:p>
        </w:tc>
        <w:tc>
          <w:tcPr>
            <w:tcW w:w="1474" w:type="dxa"/>
          </w:tcPr>
          <w:p w14:paraId="68496FEA" w14:textId="1320306C"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5, para</w:t>
            </w:r>
            <w:r w:rsidR="004A6C92" w:rsidRPr="001B5022">
              <w:rPr>
                <w:sz w:val="18"/>
                <w:szCs w:val="18"/>
              </w:rPr>
              <w:t>.</w:t>
            </w:r>
            <w:r w:rsidRPr="001B5022">
              <w:rPr>
                <w:sz w:val="18"/>
                <w:szCs w:val="18"/>
              </w:rPr>
              <w:t xml:space="preserve"> 3</w:t>
            </w:r>
            <w:r w:rsidR="007E1E66" w:rsidRPr="001B5022">
              <w:rPr>
                <w:sz w:val="18"/>
                <w:szCs w:val="18"/>
              </w:rPr>
              <w:t>,</w:t>
            </w:r>
            <w:r w:rsidR="006765E2" w:rsidRPr="001B5022">
              <w:rPr>
                <w:sz w:val="18"/>
                <w:szCs w:val="18"/>
              </w:rPr>
              <w:t xml:space="preserve"> and</w:t>
            </w:r>
            <w:r w:rsidRPr="001B5022">
              <w:rPr>
                <w:sz w:val="18"/>
                <w:szCs w:val="18"/>
              </w:rPr>
              <w:t xml:space="preserve"> </w:t>
            </w:r>
            <w:r w:rsidR="00162B18" w:rsidRPr="001B5022">
              <w:rPr>
                <w:sz w:val="18"/>
                <w:szCs w:val="18"/>
              </w:rPr>
              <w:t>a</w:t>
            </w:r>
            <w:r w:rsidRPr="001B5022">
              <w:rPr>
                <w:sz w:val="18"/>
                <w:szCs w:val="18"/>
              </w:rPr>
              <w:t>nnex B</w:t>
            </w:r>
          </w:p>
        </w:tc>
        <w:tc>
          <w:tcPr>
            <w:tcW w:w="6044" w:type="dxa"/>
          </w:tcPr>
          <w:p w14:paraId="6457517A" w14:textId="54EE557B"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For sodium or potassium methylate or ethylate, reduce the use of mercury</w:t>
            </w:r>
            <w:r w:rsidR="007E1E66" w:rsidRPr="001B5022">
              <w:rPr>
                <w:sz w:val="18"/>
                <w:szCs w:val="18"/>
              </w:rPr>
              <w:t>,</w:t>
            </w:r>
            <w:r w:rsidRPr="001B5022">
              <w:rPr>
                <w:sz w:val="18"/>
                <w:szCs w:val="18"/>
              </w:rPr>
              <w:t xml:space="preserve"> aiming at phase-out of </w:t>
            </w:r>
            <w:r w:rsidR="006765E2" w:rsidRPr="001B5022">
              <w:rPr>
                <w:sz w:val="18"/>
                <w:szCs w:val="18"/>
              </w:rPr>
              <w:t>this</w:t>
            </w:r>
            <w:r w:rsidRPr="001B5022">
              <w:rPr>
                <w:sz w:val="18"/>
                <w:szCs w:val="18"/>
              </w:rPr>
              <w:t xml:space="preserve"> use as fast as possible and within 10 years of entry into force of the Convention</w:t>
            </w:r>
            <w:r w:rsidR="006765E2" w:rsidRPr="001B5022">
              <w:rPr>
                <w:sz w:val="18"/>
                <w:szCs w:val="18"/>
              </w:rPr>
              <w:t>.</w:t>
            </w:r>
          </w:p>
        </w:tc>
      </w:tr>
      <w:tr w:rsidR="00B1107F" w:rsidRPr="001B5022" w14:paraId="0EB20C77" w14:textId="77777777" w:rsidTr="001B5022">
        <w:trPr>
          <w:gridAfter w:val="1"/>
          <w:wAfter w:w="39" w:type="dxa"/>
          <w:trHeight w:val="57"/>
          <w:jc w:val="right"/>
        </w:trPr>
        <w:tc>
          <w:tcPr>
            <w:tcW w:w="750" w:type="dxa"/>
          </w:tcPr>
          <w:p w14:paraId="44F4B09B"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2032*</w:t>
            </w:r>
          </w:p>
        </w:tc>
        <w:tc>
          <w:tcPr>
            <w:tcW w:w="1474" w:type="dxa"/>
          </w:tcPr>
          <w:p w14:paraId="7A280DF6" w14:textId="66B6E961"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3, para</w:t>
            </w:r>
            <w:r w:rsidR="00162B18" w:rsidRPr="001B5022">
              <w:rPr>
                <w:sz w:val="18"/>
                <w:szCs w:val="18"/>
              </w:rPr>
              <w:t>.</w:t>
            </w:r>
            <w:r w:rsidRPr="001B5022">
              <w:rPr>
                <w:sz w:val="18"/>
                <w:szCs w:val="18"/>
              </w:rPr>
              <w:t xml:space="preserve"> 4</w:t>
            </w:r>
          </w:p>
        </w:tc>
        <w:tc>
          <w:tcPr>
            <w:tcW w:w="6044" w:type="dxa"/>
          </w:tcPr>
          <w:p w14:paraId="6DAC8688" w14:textId="5D7CA0A8"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 xml:space="preserve">Primary </w:t>
            </w:r>
            <w:r w:rsidR="009C3FA9" w:rsidRPr="001B5022">
              <w:rPr>
                <w:sz w:val="18"/>
                <w:szCs w:val="18"/>
              </w:rPr>
              <w:t xml:space="preserve">mercury </w:t>
            </w:r>
            <w:r w:rsidRPr="001B5022">
              <w:rPr>
                <w:sz w:val="18"/>
                <w:szCs w:val="18"/>
              </w:rPr>
              <w:t xml:space="preserve">mining that was </w:t>
            </w:r>
            <w:r w:rsidR="009C3FA9" w:rsidRPr="001B5022">
              <w:rPr>
                <w:sz w:val="18"/>
                <w:szCs w:val="18"/>
              </w:rPr>
              <w:t xml:space="preserve">being </w:t>
            </w:r>
            <w:r w:rsidRPr="001B5022">
              <w:rPr>
                <w:sz w:val="18"/>
                <w:szCs w:val="18"/>
              </w:rPr>
              <w:t xml:space="preserve">conducted within a </w:t>
            </w:r>
            <w:r w:rsidR="009C3FA9" w:rsidRPr="001B5022">
              <w:rPr>
                <w:sz w:val="18"/>
                <w:szCs w:val="18"/>
              </w:rPr>
              <w:t>p</w:t>
            </w:r>
            <w:r w:rsidRPr="001B5022">
              <w:rPr>
                <w:sz w:val="18"/>
                <w:szCs w:val="18"/>
              </w:rPr>
              <w:t>arty’s territory at the date of entry</w:t>
            </w:r>
            <w:r w:rsidR="009C3FA9" w:rsidRPr="001B5022">
              <w:rPr>
                <w:sz w:val="18"/>
                <w:szCs w:val="18"/>
              </w:rPr>
              <w:t xml:space="preserve"> into force of the Convention for that party</w:t>
            </w:r>
            <w:r w:rsidRPr="001B5022">
              <w:rPr>
                <w:sz w:val="18"/>
                <w:szCs w:val="18"/>
              </w:rPr>
              <w:t xml:space="preserve"> is to cease 15 years after that date</w:t>
            </w:r>
            <w:r w:rsidR="009C3FA9" w:rsidRPr="001B5022">
              <w:rPr>
                <w:sz w:val="18"/>
                <w:szCs w:val="18"/>
              </w:rPr>
              <w:t>.</w:t>
            </w:r>
          </w:p>
        </w:tc>
      </w:tr>
      <w:tr w:rsidR="00B1107F" w:rsidRPr="001B5022" w14:paraId="1263CBD7" w14:textId="77777777" w:rsidTr="001B5022">
        <w:trPr>
          <w:gridAfter w:val="1"/>
          <w:wAfter w:w="39" w:type="dxa"/>
          <w:trHeight w:val="57"/>
          <w:jc w:val="right"/>
        </w:trPr>
        <w:tc>
          <w:tcPr>
            <w:tcW w:w="750" w:type="dxa"/>
            <w:vMerge w:val="restart"/>
          </w:tcPr>
          <w:p w14:paraId="5F94EAD9"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2020*</w:t>
            </w:r>
          </w:p>
        </w:tc>
        <w:tc>
          <w:tcPr>
            <w:tcW w:w="1474" w:type="dxa"/>
          </w:tcPr>
          <w:p w14:paraId="6F027AD2" w14:textId="48BEE6CB"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5</w:t>
            </w:r>
            <w:r w:rsidR="006765E2" w:rsidRPr="001B5022">
              <w:rPr>
                <w:sz w:val="18"/>
                <w:szCs w:val="18"/>
              </w:rPr>
              <w:t>, para.</w:t>
            </w:r>
            <w:r w:rsidR="00C05ABA" w:rsidRPr="001B5022">
              <w:rPr>
                <w:sz w:val="18"/>
                <w:szCs w:val="18"/>
              </w:rPr>
              <w:t> </w:t>
            </w:r>
            <w:r w:rsidR="006765E2" w:rsidRPr="001B5022">
              <w:rPr>
                <w:sz w:val="18"/>
                <w:szCs w:val="18"/>
              </w:rPr>
              <w:t>5</w:t>
            </w:r>
            <w:r w:rsidR="00C05ABA" w:rsidRPr="001B5022">
              <w:rPr>
                <w:sz w:val="18"/>
                <w:szCs w:val="18"/>
              </w:rPr>
              <w:t xml:space="preserve"> </w:t>
            </w:r>
            <w:r w:rsidR="006765E2" w:rsidRPr="001B5022">
              <w:rPr>
                <w:sz w:val="18"/>
                <w:szCs w:val="18"/>
              </w:rPr>
              <w:t>(c)</w:t>
            </w:r>
          </w:p>
        </w:tc>
        <w:tc>
          <w:tcPr>
            <w:tcW w:w="6044" w:type="dxa"/>
          </w:tcPr>
          <w:p w14:paraId="4D2EAB05" w14:textId="3E698F68"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Submit to the secretariat</w:t>
            </w:r>
            <w:r w:rsidR="009C3FA9" w:rsidRPr="001B5022">
              <w:rPr>
                <w:sz w:val="18"/>
                <w:szCs w:val="18"/>
              </w:rPr>
              <w:t xml:space="preserve">, no later than three years after </w:t>
            </w:r>
            <w:r w:rsidR="001730EF" w:rsidRPr="001B5022">
              <w:rPr>
                <w:sz w:val="18"/>
                <w:szCs w:val="18"/>
              </w:rPr>
              <w:t xml:space="preserve">the date of </w:t>
            </w:r>
            <w:r w:rsidR="009C3FA9" w:rsidRPr="001B5022">
              <w:rPr>
                <w:sz w:val="18"/>
                <w:szCs w:val="18"/>
              </w:rPr>
              <w:t>entry into force</w:t>
            </w:r>
            <w:r w:rsidR="001730EF" w:rsidRPr="001B5022">
              <w:rPr>
                <w:sz w:val="18"/>
                <w:szCs w:val="18"/>
              </w:rPr>
              <w:t xml:space="preserve"> for the party</w:t>
            </w:r>
            <w:r w:rsidR="009C3FA9" w:rsidRPr="001B5022">
              <w:rPr>
                <w:sz w:val="18"/>
                <w:szCs w:val="18"/>
              </w:rPr>
              <w:t>,</w:t>
            </w:r>
            <w:r w:rsidRPr="001B5022">
              <w:rPr>
                <w:sz w:val="18"/>
                <w:szCs w:val="18"/>
              </w:rPr>
              <w:t xml:space="preserve"> information on the number and types of facilities </w:t>
            </w:r>
            <w:r w:rsidR="009C3FA9" w:rsidRPr="001B5022">
              <w:rPr>
                <w:sz w:val="18"/>
                <w:szCs w:val="18"/>
              </w:rPr>
              <w:t xml:space="preserve">that use mercury or mercury compounds for processes listed in </w:t>
            </w:r>
            <w:r w:rsidR="00162B18" w:rsidRPr="001B5022">
              <w:rPr>
                <w:sz w:val="18"/>
                <w:szCs w:val="18"/>
              </w:rPr>
              <w:t>a</w:t>
            </w:r>
            <w:r w:rsidRPr="001B5022">
              <w:rPr>
                <w:sz w:val="18"/>
                <w:szCs w:val="18"/>
              </w:rPr>
              <w:t xml:space="preserve">nnex B, and the </w:t>
            </w:r>
            <w:r w:rsidR="009C3FA9" w:rsidRPr="001B5022">
              <w:rPr>
                <w:sz w:val="18"/>
                <w:szCs w:val="18"/>
              </w:rPr>
              <w:t xml:space="preserve">estimated annual </w:t>
            </w:r>
            <w:r w:rsidRPr="001B5022">
              <w:rPr>
                <w:sz w:val="18"/>
                <w:szCs w:val="18"/>
              </w:rPr>
              <w:t>amount of mercury or mercury compounds used</w:t>
            </w:r>
            <w:r w:rsidR="009C3FA9" w:rsidRPr="001B5022">
              <w:rPr>
                <w:sz w:val="18"/>
                <w:szCs w:val="18"/>
              </w:rPr>
              <w:t xml:space="preserve"> in those facilities. </w:t>
            </w:r>
          </w:p>
        </w:tc>
      </w:tr>
      <w:tr w:rsidR="00B1107F" w:rsidRPr="001B5022" w14:paraId="0CE10652" w14:textId="77777777" w:rsidTr="001B5022">
        <w:trPr>
          <w:gridAfter w:val="1"/>
          <w:wAfter w:w="39" w:type="dxa"/>
          <w:trHeight w:val="57"/>
          <w:jc w:val="right"/>
        </w:trPr>
        <w:tc>
          <w:tcPr>
            <w:tcW w:w="750" w:type="dxa"/>
            <w:vMerge/>
          </w:tcPr>
          <w:p w14:paraId="198FB599" w14:textId="77777777" w:rsidR="00B1107F" w:rsidRPr="001B5022" w:rsidRDefault="00B1107F" w:rsidP="009C10DF">
            <w:pPr>
              <w:tabs>
                <w:tab w:val="clear" w:pos="1814"/>
                <w:tab w:val="left" w:pos="624"/>
                <w:tab w:val="left" w:pos="1134"/>
                <w:tab w:val="left" w:pos="3119"/>
              </w:tabs>
              <w:spacing w:after="80"/>
              <w:rPr>
                <w:sz w:val="18"/>
                <w:szCs w:val="18"/>
              </w:rPr>
            </w:pPr>
          </w:p>
        </w:tc>
        <w:tc>
          <w:tcPr>
            <w:tcW w:w="1474" w:type="dxa"/>
          </w:tcPr>
          <w:p w14:paraId="393674CA" w14:textId="5EA8D322"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7</w:t>
            </w:r>
            <w:r w:rsidR="00C05ABA" w:rsidRPr="001B5022">
              <w:rPr>
                <w:sz w:val="18"/>
                <w:szCs w:val="18"/>
              </w:rPr>
              <w:t>, para. 3 (b)</w:t>
            </w:r>
          </w:p>
        </w:tc>
        <w:tc>
          <w:tcPr>
            <w:tcW w:w="6044" w:type="dxa"/>
          </w:tcPr>
          <w:p w14:paraId="792B4AC9" w14:textId="0376EA8C" w:rsidR="00B1107F" w:rsidRPr="001B5022" w:rsidRDefault="001A63F4" w:rsidP="009C10DF">
            <w:pPr>
              <w:tabs>
                <w:tab w:val="clear" w:pos="1814"/>
                <w:tab w:val="left" w:pos="624"/>
                <w:tab w:val="left" w:pos="1134"/>
                <w:tab w:val="left" w:pos="3119"/>
              </w:tabs>
              <w:spacing w:after="80"/>
              <w:rPr>
                <w:sz w:val="18"/>
                <w:szCs w:val="18"/>
              </w:rPr>
            </w:pPr>
            <w:r w:rsidRPr="001B5022">
              <w:rPr>
                <w:sz w:val="18"/>
                <w:szCs w:val="18"/>
              </w:rPr>
              <w:t>For a party that determines that artisanal and small-scale gold mining and processing in its territory is more than insignificant, s</w:t>
            </w:r>
            <w:r w:rsidR="00B1107F" w:rsidRPr="001B5022">
              <w:rPr>
                <w:sz w:val="18"/>
                <w:szCs w:val="18"/>
              </w:rPr>
              <w:t xml:space="preserve">ubmit </w:t>
            </w:r>
            <w:r w:rsidR="00E97922" w:rsidRPr="001B5022">
              <w:rPr>
                <w:sz w:val="18"/>
                <w:szCs w:val="18"/>
              </w:rPr>
              <w:t>a</w:t>
            </w:r>
            <w:r w:rsidR="009C3FA9" w:rsidRPr="001B5022">
              <w:rPr>
                <w:sz w:val="18"/>
                <w:szCs w:val="18"/>
              </w:rPr>
              <w:t xml:space="preserve"> national action plan </w:t>
            </w:r>
            <w:r w:rsidR="00B1107F" w:rsidRPr="001B5022">
              <w:rPr>
                <w:sz w:val="18"/>
                <w:szCs w:val="18"/>
              </w:rPr>
              <w:t xml:space="preserve">to </w:t>
            </w:r>
            <w:r w:rsidR="009C3FA9" w:rsidRPr="001B5022">
              <w:rPr>
                <w:sz w:val="18"/>
                <w:szCs w:val="18"/>
              </w:rPr>
              <w:t xml:space="preserve">the </w:t>
            </w:r>
            <w:r w:rsidR="00B1107F" w:rsidRPr="001B5022">
              <w:rPr>
                <w:sz w:val="18"/>
                <w:szCs w:val="18"/>
              </w:rPr>
              <w:t xml:space="preserve">secretariat </w:t>
            </w:r>
            <w:r w:rsidR="009C3FA9" w:rsidRPr="001B5022">
              <w:rPr>
                <w:sz w:val="18"/>
                <w:szCs w:val="18"/>
              </w:rPr>
              <w:t>no later than</w:t>
            </w:r>
            <w:r w:rsidR="00B1107F" w:rsidRPr="001B5022">
              <w:rPr>
                <w:sz w:val="18"/>
                <w:szCs w:val="18"/>
              </w:rPr>
              <w:t xml:space="preserve"> three years after </w:t>
            </w:r>
            <w:r w:rsidRPr="001B5022">
              <w:rPr>
                <w:sz w:val="18"/>
                <w:szCs w:val="18"/>
              </w:rPr>
              <w:t xml:space="preserve">the date of </w:t>
            </w:r>
            <w:r w:rsidR="00B1107F" w:rsidRPr="001B5022">
              <w:rPr>
                <w:sz w:val="18"/>
                <w:szCs w:val="18"/>
              </w:rPr>
              <w:t>entry into force</w:t>
            </w:r>
            <w:r w:rsidR="00C05ABA" w:rsidRPr="001B5022">
              <w:rPr>
                <w:sz w:val="18"/>
                <w:szCs w:val="18"/>
              </w:rPr>
              <w:t xml:space="preserve"> for </w:t>
            </w:r>
            <w:r w:rsidR="001730EF" w:rsidRPr="001B5022">
              <w:rPr>
                <w:sz w:val="18"/>
                <w:szCs w:val="18"/>
              </w:rPr>
              <w:t>the party</w:t>
            </w:r>
            <w:r w:rsidR="00C05D45" w:rsidRPr="001B5022">
              <w:rPr>
                <w:sz w:val="18"/>
                <w:szCs w:val="18"/>
              </w:rPr>
              <w:t xml:space="preserve"> or three years after </w:t>
            </w:r>
            <w:r w:rsidR="001730EF" w:rsidRPr="001B5022">
              <w:rPr>
                <w:sz w:val="18"/>
                <w:szCs w:val="18"/>
              </w:rPr>
              <w:t xml:space="preserve">the party </w:t>
            </w:r>
            <w:r w:rsidR="00C05D45" w:rsidRPr="001B5022">
              <w:rPr>
                <w:sz w:val="18"/>
                <w:szCs w:val="18"/>
              </w:rPr>
              <w:t>notifi</w:t>
            </w:r>
            <w:r w:rsidR="001730EF" w:rsidRPr="001B5022">
              <w:rPr>
                <w:sz w:val="18"/>
                <w:szCs w:val="18"/>
              </w:rPr>
              <w:t>es</w:t>
            </w:r>
            <w:r w:rsidR="00C05D45" w:rsidRPr="001B5022">
              <w:rPr>
                <w:sz w:val="18"/>
                <w:szCs w:val="18"/>
              </w:rPr>
              <w:t xml:space="preserve"> the secretariat </w:t>
            </w:r>
            <w:r w:rsidRPr="001B5022">
              <w:rPr>
                <w:sz w:val="18"/>
                <w:szCs w:val="18"/>
              </w:rPr>
              <w:t>of its determination</w:t>
            </w:r>
            <w:r w:rsidR="00C05D45" w:rsidRPr="001B5022">
              <w:rPr>
                <w:sz w:val="18"/>
                <w:szCs w:val="18"/>
              </w:rPr>
              <w:t>, whichever is later</w:t>
            </w:r>
            <w:r w:rsidR="00E97922" w:rsidRPr="001B5022">
              <w:rPr>
                <w:sz w:val="18"/>
                <w:szCs w:val="18"/>
              </w:rPr>
              <w:t>.</w:t>
            </w:r>
          </w:p>
        </w:tc>
      </w:tr>
      <w:tr w:rsidR="00B1107F" w:rsidRPr="001B5022" w14:paraId="0D29C288" w14:textId="77777777" w:rsidTr="001B5022">
        <w:trPr>
          <w:gridAfter w:val="1"/>
          <w:wAfter w:w="39" w:type="dxa"/>
          <w:trHeight w:val="57"/>
          <w:jc w:val="right"/>
        </w:trPr>
        <w:tc>
          <w:tcPr>
            <w:tcW w:w="750" w:type="dxa"/>
            <w:vMerge/>
          </w:tcPr>
          <w:p w14:paraId="2FBC30A9" w14:textId="77777777" w:rsidR="00B1107F" w:rsidRPr="001B5022" w:rsidRDefault="00B1107F" w:rsidP="009C10DF">
            <w:pPr>
              <w:tabs>
                <w:tab w:val="clear" w:pos="1814"/>
                <w:tab w:val="left" w:pos="624"/>
                <w:tab w:val="left" w:pos="1134"/>
                <w:tab w:val="left" w:pos="3119"/>
              </w:tabs>
              <w:spacing w:after="80"/>
              <w:rPr>
                <w:sz w:val="18"/>
                <w:szCs w:val="18"/>
              </w:rPr>
            </w:pPr>
          </w:p>
        </w:tc>
        <w:tc>
          <w:tcPr>
            <w:tcW w:w="1474" w:type="dxa"/>
          </w:tcPr>
          <w:p w14:paraId="61A39810" w14:textId="7C69D1B5"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9</w:t>
            </w:r>
            <w:r w:rsidR="00C05ABA" w:rsidRPr="001B5022">
              <w:rPr>
                <w:sz w:val="18"/>
                <w:szCs w:val="18"/>
              </w:rPr>
              <w:t>, para. 3</w:t>
            </w:r>
          </w:p>
        </w:tc>
        <w:tc>
          <w:tcPr>
            <w:tcW w:w="6044" w:type="dxa"/>
          </w:tcPr>
          <w:p w14:paraId="5C0D8164" w14:textId="0410BBF4"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Identify relevant point source categories</w:t>
            </w:r>
            <w:r w:rsidR="00E97922" w:rsidRPr="001B5022">
              <w:rPr>
                <w:sz w:val="18"/>
                <w:szCs w:val="18"/>
              </w:rPr>
              <w:t xml:space="preserve"> no later than</w:t>
            </w:r>
            <w:r w:rsidRPr="001B5022">
              <w:rPr>
                <w:sz w:val="18"/>
                <w:szCs w:val="18"/>
              </w:rPr>
              <w:t xml:space="preserve"> three years after </w:t>
            </w:r>
            <w:r w:rsidR="00C05ABA" w:rsidRPr="001B5022">
              <w:rPr>
                <w:sz w:val="18"/>
                <w:szCs w:val="18"/>
              </w:rPr>
              <w:t xml:space="preserve">the date of </w:t>
            </w:r>
            <w:r w:rsidRPr="001B5022">
              <w:rPr>
                <w:sz w:val="18"/>
                <w:szCs w:val="18"/>
              </w:rPr>
              <w:t>entry into force</w:t>
            </w:r>
            <w:r w:rsidR="00C05ABA" w:rsidRPr="001B5022">
              <w:rPr>
                <w:sz w:val="18"/>
                <w:szCs w:val="18"/>
              </w:rPr>
              <w:t xml:space="preserve"> for </w:t>
            </w:r>
            <w:r w:rsidR="001730EF" w:rsidRPr="001B5022">
              <w:rPr>
                <w:sz w:val="18"/>
                <w:szCs w:val="18"/>
              </w:rPr>
              <w:t>the</w:t>
            </w:r>
            <w:r w:rsidR="00C05ABA" w:rsidRPr="001B5022">
              <w:rPr>
                <w:sz w:val="18"/>
                <w:szCs w:val="18"/>
              </w:rPr>
              <w:t xml:space="preserve"> party</w:t>
            </w:r>
            <w:r w:rsidR="001730EF" w:rsidRPr="001B5022">
              <w:rPr>
                <w:sz w:val="18"/>
                <w:szCs w:val="18"/>
              </w:rPr>
              <w:t>.</w:t>
            </w:r>
          </w:p>
        </w:tc>
      </w:tr>
      <w:tr w:rsidR="00B1107F" w:rsidRPr="001B5022" w14:paraId="78225872" w14:textId="77777777" w:rsidTr="001B5022">
        <w:trPr>
          <w:gridAfter w:val="1"/>
          <w:wAfter w:w="39" w:type="dxa"/>
          <w:trHeight w:val="57"/>
          <w:jc w:val="right"/>
        </w:trPr>
        <w:tc>
          <w:tcPr>
            <w:tcW w:w="750" w:type="dxa"/>
          </w:tcPr>
          <w:p w14:paraId="16188FC9"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2021*</w:t>
            </w:r>
          </w:p>
        </w:tc>
        <w:tc>
          <w:tcPr>
            <w:tcW w:w="1474" w:type="dxa"/>
          </w:tcPr>
          <w:p w14:paraId="4750C439" w14:textId="110730DF"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C05ABA" w:rsidRPr="001B5022">
              <w:rPr>
                <w:sz w:val="18"/>
                <w:szCs w:val="18"/>
              </w:rPr>
              <w:t>s</w:t>
            </w:r>
            <w:r w:rsidR="00402697" w:rsidRPr="001B5022">
              <w:rPr>
                <w:sz w:val="18"/>
                <w:szCs w:val="18"/>
              </w:rPr>
              <w:t>.</w:t>
            </w:r>
            <w:r w:rsidRPr="001B5022">
              <w:rPr>
                <w:sz w:val="18"/>
                <w:szCs w:val="18"/>
              </w:rPr>
              <w:t xml:space="preserve"> 8</w:t>
            </w:r>
            <w:r w:rsidR="00A14C07" w:rsidRPr="001B5022">
              <w:rPr>
                <w:sz w:val="18"/>
                <w:szCs w:val="18"/>
              </w:rPr>
              <w:t>, para. 3</w:t>
            </w:r>
            <w:r w:rsidR="007F29E3" w:rsidRPr="001B5022">
              <w:rPr>
                <w:sz w:val="18"/>
                <w:szCs w:val="18"/>
              </w:rPr>
              <w:t>,</w:t>
            </w:r>
            <w:r w:rsidR="00A14C07" w:rsidRPr="001B5022">
              <w:rPr>
                <w:sz w:val="18"/>
                <w:szCs w:val="18"/>
              </w:rPr>
              <w:t xml:space="preserve"> and art.</w:t>
            </w:r>
            <w:r w:rsidRPr="001B5022">
              <w:rPr>
                <w:sz w:val="18"/>
                <w:szCs w:val="18"/>
              </w:rPr>
              <w:t xml:space="preserve"> 9</w:t>
            </w:r>
            <w:r w:rsidR="00A14C07" w:rsidRPr="001B5022">
              <w:rPr>
                <w:sz w:val="18"/>
                <w:szCs w:val="18"/>
              </w:rPr>
              <w:t>, para. 4</w:t>
            </w:r>
          </w:p>
        </w:tc>
        <w:tc>
          <w:tcPr>
            <w:tcW w:w="6044" w:type="dxa"/>
          </w:tcPr>
          <w:p w14:paraId="00848D03" w14:textId="3939C16A"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 xml:space="preserve">Submit </w:t>
            </w:r>
            <w:r w:rsidR="00E97922" w:rsidRPr="001B5022">
              <w:rPr>
                <w:sz w:val="18"/>
                <w:szCs w:val="18"/>
              </w:rPr>
              <w:t>a</w:t>
            </w:r>
            <w:r w:rsidR="00A84BFD" w:rsidRPr="001B5022">
              <w:rPr>
                <w:sz w:val="18"/>
                <w:szCs w:val="18"/>
              </w:rPr>
              <w:t>n</w:t>
            </w:r>
            <w:r w:rsidR="00E97922" w:rsidRPr="001B5022">
              <w:rPr>
                <w:sz w:val="18"/>
                <w:szCs w:val="18"/>
              </w:rPr>
              <w:t xml:space="preserve"> </w:t>
            </w:r>
            <w:r w:rsidR="00490F85" w:rsidRPr="001B5022">
              <w:rPr>
                <w:sz w:val="18"/>
                <w:szCs w:val="18"/>
              </w:rPr>
              <w:t>i</w:t>
            </w:r>
            <w:r w:rsidRPr="001B5022">
              <w:rPr>
                <w:sz w:val="18"/>
                <w:szCs w:val="18"/>
              </w:rPr>
              <w:t xml:space="preserve">mplementation </w:t>
            </w:r>
            <w:r w:rsidR="00490F85" w:rsidRPr="001B5022">
              <w:rPr>
                <w:sz w:val="18"/>
                <w:szCs w:val="18"/>
              </w:rPr>
              <w:t>p</w:t>
            </w:r>
            <w:r w:rsidRPr="001B5022">
              <w:rPr>
                <w:sz w:val="18"/>
                <w:szCs w:val="18"/>
              </w:rPr>
              <w:t>lan</w:t>
            </w:r>
            <w:r w:rsidR="00E97922" w:rsidRPr="001B5022">
              <w:rPr>
                <w:sz w:val="18"/>
                <w:szCs w:val="18"/>
              </w:rPr>
              <w:t>,</w:t>
            </w:r>
            <w:r w:rsidRPr="001B5022">
              <w:rPr>
                <w:sz w:val="18"/>
                <w:szCs w:val="18"/>
              </w:rPr>
              <w:t xml:space="preserve"> if one has been developed, </w:t>
            </w:r>
            <w:r w:rsidR="00A14C07" w:rsidRPr="001B5022">
              <w:rPr>
                <w:sz w:val="18"/>
                <w:szCs w:val="18"/>
              </w:rPr>
              <w:t xml:space="preserve">within </w:t>
            </w:r>
            <w:r w:rsidR="00162B18" w:rsidRPr="001B5022">
              <w:rPr>
                <w:sz w:val="18"/>
                <w:szCs w:val="18"/>
              </w:rPr>
              <w:t>four</w:t>
            </w:r>
            <w:r w:rsidRPr="001B5022">
              <w:rPr>
                <w:sz w:val="18"/>
                <w:szCs w:val="18"/>
              </w:rPr>
              <w:t xml:space="preserve"> years </w:t>
            </w:r>
            <w:r w:rsidR="00A14C07" w:rsidRPr="001B5022">
              <w:rPr>
                <w:sz w:val="18"/>
                <w:szCs w:val="18"/>
              </w:rPr>
              <w:t xml:space="preserve">of the date of </w:t>
            </w:r>
            <w:r w:rsidRPr="001B5022">
              <w:rPr>
                <w:sz w:val="18"/>
                <w:szCs w:val="18"/>
              </w:rPr>
              <w:t>entry into force</w:t>
            </w:r>
            <w:r w:rsidR="00A14C07" w:rsidRPr="001B5022">
              <w:rPr>
                <w:sz w:val="18"/>
                <w:szCs w:val="18"/>
              </w:rPr>
              <w:t xml:space="preserve"> for the party.</w:t>
            </w:r>
          </w:p>
        </w:tc>
      </w:tr>
      <w:tr w:rsidR="00B1107F" w:rsidRPr="001B5022" w14:paraId="2A69DC14" w14:textId="77777777" w:rsidTr="001B5022">
        <w:trPr>
          <w:gridAfter w:val="1"/>
          <w:wAfter w:w="39" w:type="dxa"/>
          <w:trHeight w:val="57"/>
          <w:jc w:val="right"/>
        </w:trPr>
        <w:tc>
          <w:tcPr>
            <w:tcW w:w="750" w:type="dxa"/>
          </w:tcPr>
          <w:p w14:paraId="58A7FBA2"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2022*</w:t>
            </w:r>
          </w:p>
        </w:tc>
        <w:tc>
          <w:tcPr>
            <w:tcW w:w="1474" w:type="dxa"/>
          </w:tcPr>
          <w:p w14:paraId="3F6D62B9" w14:textId="0CDE54B4"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8</w:t>
            </w:r>
            <w:r w:rsidR="00A14C07" w:rsidRPr="001B5022">
              <w:rPr>
                <w:sz w:val="18"/>
                <w:szCs w:val="18"/>
              </w:rPr>
              <w:t>, para. 4</w:t>
            </w:r>
          </w:p>
        </w:tc>
        <w:tc>
          <w:tcPr>
            <w:tcW w:w="6044" w:type="dxa"/>
          </w:tcPr>
          <w:p w14:paraId="62712A1F" w14:textId="7C5A63A1" w:rsidR="00B1107F" w:rsidRPr="001B5022" w:rsidRDefault="001777EB" w:rsidP="009C10DF">
            <w:pPr>
              <w:tabs>
                <w:tab w:val="clear" w:pos="1814"/>
                <w:tab w:val="left" w:pos="624"/>
                <w:tab w:val="left" w:pos="1134"/>
                <w:tab w:val="left" w:pos="3119"/>
              </w:tabs>
              <w:spacing w:after="80"/>
              <w:rPr>
                <w:sz w:val="18"/>
                <w:szCs w:val="18"/>
              </w:rPr>
            </w:pPr>
            <w:r w:rsidRPr="001B5022">
              <w:rPr>
                <w:sz w:val="18"/>
                <w:szCs w:val="18"/>
              </w:rPr>
              <w:t>For new sources, r</w:t>
            </w:r>
            <w:r w:rsidR="00B1107F" w:rsidRPr="001B5022">
              <w:rPr>
                <w:sz w:val="18"/>
                <w:szCs w:val="18"/>
              </w:rPr>
              <w:t xml:space="preserve">equire </w:t>
            </w:r>
            <w:r w:rsidRPr="001B5022">
              <w:rPr>
                <w:sz w:val="18"/>
                <w:szCs w:val="18"/>
              </w:rPr>
              <w:t>the use of best available techniques and best environmental practices</w:t>
            </w:r>
            <w:r w:rsidR="00B1107F" w:rsidRPr="001B5022">
              <w:rPr>
                <w:sz w:val="18"/>
                <w:szCs w:val="18"/>
              </w:rPr>
              <w:t xml:space="preserve"> </w:t>
            </w:r>
            <w:r w:rsidR="00A14C07" w:rsidRPr="001B5022">
              <w:rPr>
                <w:sz w:val="18"/>
                <w:szCs w:val="18"/>
              </w:rPr>
              <w:t>no later than five</w:t>
            </w:r>
            <w:r w:rsidR="00B1107F" w:rsidRPr="001B5022">
              <w:rPr>
                <w:sz w:val="18"/>
                <w:szCs w:val="18"/>
              </w:rPr>
              <w:t xml:space="preserve"> years after </w:t>
            </w:r>
            <w:r w:rsidR="00A14C07" w:rsidRPr="001B5022">
              <w:rPr>
                <w:sz w:val="18"/>
                <w:szCs w:val="18"/>
              </w:rPr>
              <w:t xml:space="preserve">the date of </w:t>
            </w:r>
            <w:r w:rsidR="00B1107F" w:rsidRPr="001B5022">
              <w:rPr>
                <w:sz w:val="18"/>
                <w:szCs w:val="18"/>
              </w:rPr>
              <w:t>entry into force</w:t>
            </w:r>
            <w:r w:rsidR="00A14C07" w:rsidRPr="001B5022">
              <w:rPr>
                <w:sz w:val="18"/>
                <w:szCs w:val="18"/>
              </w:rPr>
              <w:t xml:space="preserve"> for the party.</w:t>
            </w:r>
          </w:p>
        </w:tc>
      </w:tr>
      <w:tr w:rsidR="00B1107F" w:rsidRPr="001B5022" w14:paraId="3FCB47C3" w14:textId="77777777" w:rsidTr="001B5022">
        <w:trPr>
          <w:gridAfter w:val="1"/>
          <w:wAfter w:w="39" w:type="dxa"/>
          <w:trHeight w:val="57"/>
          <w:jc w:val="right"/>
        </w:trPr>
        <w:tc>
          <w:tcPr>
            <w:tcW w:w="750" w:type="dxa"/>
            <w:vMerge w:val="restart"/>
          </w:tcPr>
          <w:p w14:paraId="3A2CA58F"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2023*</w:t>
            </w:r>
          </w:p>
        </w:tc>
        <w:tc>
          <w:tcPr>
            <w:tcW w:w="1474" w:type="dxa"/>
          </w:tcPr>
          <w:p w14:paraId="5DD844ED" w14:textId="05B42FD6"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8</w:t>
            </w:r>
            <w:r w:rsidR="001777EB" w:rsidRPr="001B5022">
              <w:rPr>
                <w:sz w:val="18"/>
                <w:szCs w:val="18"/>
              </w:rPr>
              <w:t>, para. 7</w:t>
            </w:r>
          </w:p>
        </w:tc>
        <w:tc>
          <w:tcPr>
            <w:tcW w:w="6044" w:type="dxa"/>
          </w:tcPr>
          <w:p w14:paraId="4CD91A1A" w14:textId="0065E6E9" w:rsidR="00B1107F" w:rsidRPr="001B5022" w:rsidRDefault="001777EB" w:rsidP="009C10DF">
            <w:pPr>
              <w:tabs>
                <w:tab w:val="clear" w:pos="1814"/>
                <w:tab w:val="left" w:pos="624"/>
                <w:tab w:val="left" w:pos="1134"/>
                <w:tab w:val="left" w:pos="3119"/>
              </w:tabs>
              <w:spacing w:after="80"/>
              <w:rPr>
                <w:sz w:val="18"/>
                <w:szCs w:val="18"/>
              </w:rPr>
            </w:pPr>
            <w:r w:rsidRPr="001B5022">
              <w:rPr>
                <w:sz w:val="18"/>
                <w:szCs w:val="18"/>
              </w:rPr>
              <w:t xml:space="preserve">Establish </w:t>
            </w:r>
            <w:r w:rsidR="00B1107F" w:rsidRPr="001B5022">
              <w:rPr>
                <w:sz w:val="18"/>
                <w:szCs w:val="18"/>
              </w:rPr>
              <w:t xml:space="preserve">and maintain an inventory of emissions sources </w:t>
            </w:r>
            <w:r w:rsidRPr="001B5022">
              <w:rPr>
                <w:sz w:val="18"/>
                <w:szCs w:val="18"/>
              </w:rPr>
              <w:t xml:space="preserve">no later than </w:t>
            </w:r>
            <w:r w:rsidR="00162B18" w:rsidRPr="001B5022">
              <w:rPr>
                <w:sz w:val="18"/>
                <w:szCs w:val="18"/>
              </w:rPr>
              <w:t>five</w:t>
            </w:r>
            <w:r w:rsidR="00B1107F" w:rsidRPr="001B5022">
              <w:rPr>
                <w:sz w:val="18"/>
                <w:szCs w:val="18"/>
              </w:rPr>
              <w:t xml:space="preserve"> years after </w:t>
            </w:r>
            <w:r w:rsidRPr="001B5022">
              <w:rPr>
                <w:sz w:val="18"/>
                <w:szCs w:val="18"/>
              </w:rPr>
              <w:t xml:space="preserve">the date of </w:t>
            </w:r>
            <w:r w:rsidR="00B1107F" w:rsidRPr="001B5022">
              <w:rPr>
                <w:sz w:val="18"/>
                <w:szCs w:val="18"/>
              </w:rPr>
              <w:t>entry into force</w:t>
            </w:r>
            <w:r w:rsidRPr="001B5022">
              <w:rPr>
                <w:sz w:val="18"/>
                <w:szCs w:val="18"/>
              </w:rPr>
              <w:t xml:space="preserve"> for the party.</w:t>
            </w:r>
          </w:p>
        </w:tc>
      </w:tr>
      <w:tr w:rsidR="00B1107F" w:rsidRPr="001B5022" w14:paraId="602B2CDD" w14:textId="77777777" w:rsidTr="001B5022">
        <w:trPr>
          <w:gridAfter w:val="1"/>
          <w:wAfter w:w="39" w:type="dxa"/>
          <w:trHeight w:val="57"/>
          <w:jc w:val="right"/>
        </w:trPr>
        <w:tc>
          <w:tcPr>
            <w:tcW w:w="750" w:type="dxa"/>
            <w:vMerge/>
          </w:tcPr>
          <w:p w14:paraId="748CE864" w14:textId="77777777" w:rsidR="00B1107F" w:rsidRPr="001B5022" w:rsidRDefault="00B1107F" w:rsidP="009C10DF">
            <w:pPr>
              <w:tabs>
                <w:tab w:val="clear" w:pos="1814"/>
                <w:tab w:val="left" w:pos="624"/>
                <w:tab w:val="left" w:pos="1134"/>
                <w:tab w:val="left" w:pos="3119"/>
              </w:tabs>
              <w:spacing w:after="80"/>
              <w:rPr>
                <w:sz w:val="18"/>
                <w:szCs w:val="18"/>
              </w:rPr>
            </w:pPr>
          </w:p>
        </w:tc>
        <w:tc>
          <w:tcPr>
            <w:tcW w:w="1474" w:type="dxa"/>
          </w:tcPr>
          <w:p w14:paraId="5CBC3B63" w14:textId="4ADFDD62"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9</w:t>
            </w:r>
            <w:r w:rsidR="001777EB" w:rsidRPr="001B5022">
              <w:rPr>
                <w:sz w:val="18"/>
                <w:szCs w:val="18"/>
              </w:rPr>
              <w:t>, para. 6</w:t>
            </w:r>
          </w:p>
        </w:tc>
        <w:tc>
          <w:tcPr>
            <w:tcW w:w="6044" w:type="dxa"/>
          </w:tcPr>
          <w:p w14:paraId="3C3F36EE" w14:textId="68834581" w:rsidR="00B1107F" w:rsidRPr="001B5022" w:rsidRDefault="001777EB" w:rsidP="009C10DF">
            <w:pPr>
              <w:tabs>
                <w:tab w:val="clear" w:pos="1814"/>
                <w:tab w:val="left" w:pos="624"/>
                <w:tab w:val="left" w:pos="1134"/>
                <w:tab w:val="left" w:pos="3119"/>
              </w:tabs>
              <w:spacing w:after="80"/>
              <w:rPr>
                <w:sz w:val="18"/>
                <w:szCs w:val="18"/>
              </w:rPr>
            </w:pPr>
            <w:r w:rsidRPr="001B5022">
              <w:rPr>
                <w:sz w:val="18"/>
                <w:szCs w:val="18"/>
              </w:rPr>
              <w:t xml:space="preserve">Establish </w:t>
            </w:r>
            <w:r w:rsidR="00B1107F" w:rsidRPr="001B5022">
              <w:rPr>
                <w:sz w:val="18"/>
                <w:szCs w:val="18"/>
              </w:rPr>
              <w:t xml:space="preserve">and maintain an inventory of release sources </w:t>
            </w:r>
            <w:r w:rsidRPr="001B5022">
              <w:rPr>
                <w:sz w:val="18"/>
                <w:szCs w:val="18"/>
              </w:rPr>
              <w:t xml:space="preserve">no later than </w:t>
            </w:r>
            <w:r w:rsidR="00162B18" w:rsidRPr="001B5022">
              <w:rPr>
                <w:sz w:val="18"/>
                <w:szCs w:val="18"/>
              </w:rPr>
              <w:t>five</w:t>
            </w:r>
            <w:r w:rsidR="00B1107F" w:rsidRPr="001B5022">
              <w:rPr>
                <w:sz w:val="18"/>
                <w:szCs w:val="18"/>
              </w:rPr>
              <w:t xml:space="preserve"> years after </w:t>
            </w:r>
            <w:r w:rsidRPr="001B5022">
              <w:rPr>
                <w:sz w:val="18"/>
                <w:szCs w:val="18"/>
              </w:rPr>
              <w:t xml:space="preserve">the date of </w:t>
            </w:r>
            <w:r w:rsidR="00B1107F" w:rsidRPr="001B5022">
              <w:rPr>
                <w:sz w:val="18"/>
                <w:szCs w:val="18"/>
              </w:rPr>
              <w:t>entry into force</w:t>
            </w:r>
            <w:r w:rsidRPr="001B5022">
              <w:rPr>
                <w:sz w:val="18"/>
                <w:szCs w:val="18"/>
              </w:rPr>
              <w:t xml:space="preserve"> for the party.</w:t>
            </w:r>
          </w:p>
        </w:tc>
      </w:tr>
      <w:tr w:rsidR="00B1107F" w:rsidRPr="001B5022" w14:paraId="4D14A955" w14:textId="77777777" w:rsidTr="001B5022">
        <w:trPr>
          <w:gridAfter w:val="1"/>
          <w:wAfter w:w="39" w:type="dxa"/>
          <w:trHeight w:val="57"/>
          <w:jc w:val="right"/>
        </w:trPr>
        <w:tc>
          <w:tcPr>
            <w:tcW w:w="750" w:type="dxa"/>
          </w:tcPr>
          <w:p w14:paraId="73650368" w14:textId="77777777" w:rsidR="00B1107F" w:rsidRPr="001B5022" w:rsidRDefault="00B1107F" w:rsidP="009C10DF">
            <w:pPr>
              <w:tabs>
                <w:tab w:val="clear" w:pos="1814"/>
                <w:tab w:val="left" w:pos="624"/>
                <w:tab w:val="left" w:pos="1134"/>
                <w:tab w:val="left" w:pos="3119"/>
              </w:tabs>
              <w:spacing w:after="80"/>
              <w:rPr>
                <w:sz w:val="18"/>
                <w:szCs w:val="18"/>
              </w:rPr>
            </w:pPr>
            <w:r w:rsidRPr="001B5022">
              <w:rPr>
                <w:sz w:val="18"/>
                <w:szCs w:val="18"/>
              </w:rPr>
              <w:t>2027*</w:t>
            </w:r>
          </w:p>
        </w:tc>
        <w:tc>
          <w:tcPr>
            <w:tcW w:w="1474" w:type="dxa"/>
          </w:tcPr>
          <w:p w14:paraId="0540A6EB" w14:textId="22C28BDB" w:rsidR="00B1107F" w:rsidRPr="001B5022" w:rsidRDefault="00B1107F" w:rsidP="009C10DF">
            <w:pPr>
              <w:tabs>
                <w:tab w:val="clear" w:pos="1247"/>
                <w:tab w:val="clear" w:pos="1814"/>
                <w:tab w:val="left" w:pos="3119"/>
              </w:tabs>
              <w:spacing w:after="80"/>
              <w:ind w:right="-11"/>
              <w:rPr>
                <w:sz w:val="18"/>
                <w:szCs w:val="18"/>
              </w:rPr>
            </w:pPr>
            <w:r w:rsidRPr="001B5022">
              <w:rPr>
                <w:sz w:val="18"/>
                <w:szCs w:val="18"/>
              </w:rPr>
              <w:t>Art</w:t>
            </w:r>
            <w:r w:rsidR="00402697" w:rsidRPr="001B5022">
              <w:rPr>
                <w:sz w:val="18"/>
                <w:szCs w:val="18"/>
              </w:rPr>
              <w:t>.</w:t>
            </w:r>
            <w:r w:rsidRPr="001B5022">
              <w:rPr>
                <w:sz w:val="18"/>
                <w:szCs w:val="18"/>
              </w:rPr>
              <w:t xml:space="preserve"> 8</w:t>
            </w:r>
            <w:r w:rsidR="001777EB" w:rsidRPr="001B5022">
              <w:rPr>
                <w:sz w:val="18"/>
                <w:szCs w:val="18"/>
              </w:rPr>
              <w:t>, para. 5</w:t>
            </w:r>
          </w:p>
        </w:tc>
        <w:tc>
          <w:tcPr>
            <w:tcW w:w="6044" w:type="dxa"/>
          </w:tcPr>
          <w:p w14:paraId="1C503BD9" w14:textId="78B055B2" w:rsidR="00B1107F" w:rsidRPr="001B5022" w:rsidRDefault="00330050" w:rsidP="009C10DF">
            <w:pPr>
              <w:tabs>
                <w:tab w:val="clear" w:pos="1814"/>
                <w:tab w:val="left" w:pos="624"/>
                <w:tab w:val="left" w:pos="1134"/>
                <w:tab w:val="left" w:pos="3119"/>
              </w:tabs>
              <w:spacing w:after="80"/>
              <w:rPr>
                <w:sz w:val="18"/>
                <w:szCs w:val="18"/>
              </w:rPr>
            </w:pPr>
            <w:r w:rsidRPr="001B5022">
              <w:rPr>
                <w:sz w:val="18"/>
                <w:szCs w:val="18"/>
              </w:rPr>
              <w:t xml:space="preserve">Implement control </w:t>
            </w:r>
            <w:r w:rsidR="00B1107F" w:rsidRPr="001B5022">
              <w:rPr>
                <w:sz w:val="18"/>
                <w:szCs w:val="18"/>
              </w:rPr>
              <w:t xml:space="preserve">measures for existing facilities </w:t>
            </w:r>
            <w:r w:rsidR="001777EB" w:rsidRPr="001B5022">
              <w:rPr>
                <w:sz w:val="18"/>
                <w:szCs w:val="18"/>
              </w:rPr>
              <w:t xml:space="preserve">no more than </w:t>
            </w:r>
            <w:r w:rsidR="00B1107F" w:rsidRPr="001B5022">
              <w:rPr>
                <w:sz w:val="18"/>
                <w:szCs w:val="18"/>
              </w:rPr>
              <w:t xml:space="preserve">10 years after </w:t>
            </w:r>
            <w:r w:rsidR="001777EB" w:rsidRPr="001B5022">
              <w:rPr>
                <w:sz w:val="18"/>
                <w:szCs w:val="18"/>
              </w:rPr>
              <w:t xml:space="preserve">the date of </w:t>
            </w:r>
            <w:r w:rsidR="00B1107F" w:rsidRPr="001B5022">
              <w:rPr>
                <w:sz w:val="18"/>
                <w:szCs w:val="18"/>
              </w:rPr>
              <w:t>entry into force</w:t>
            </w:r>
            <w:r w:rsidR="001777EB" w:rsidRPr="001B5022">
              <w:rPr>
                <w:sz w:val="18"/>
                <w:szCs w:val="18"/>
              </w:rPr>
              <w:t xml:space="preserve"> for the party.</w:t>
            </w:r>
          </w:p>
        </w:tc>
      </w:tr>
      <w:tr w:rsidR="00B1107F" w:rsidRPr="001B5022" w14:paraId="1AEF67F4" w14:textId="77777777" w:rsidTr="001B5022">
        <w:trPr>
          <w:trHeight w:val="57"/>
          <w:jc w:val="right"/>
        </w:trPr>
        <w:tc>
          <w:tcPr>
            <w:tcW w:w="8307" w:type="dxa"/>
            <w:gridSpan w:val="4"/>
            <w:vAlign w:val="center"/>
          </w:tcPr>
          <w:p w14:paraId="2CB0EFE1" w14:textId="1FD48FAB" w:rsidR="00B1107F" w:rsidRPr="001B5022" w:rsidRDefault="00B1107F" w:rsidP="008B09D4">
            <w:pPr>
              <w:tabs>
                <w:tab w:val="clear" w:pos="1814"/>
                <w:tab w:val="left" w:pos="624"/>
                <w:tab w:val="left" w:pos="1134"/>
                <w:tab w:val="left" w:pos="3119"/>
              </w:tabs>
              <w:rPr>
                <w:sz w:val="18"/>
                <w:szCs w:val="18"/>
              </w:rPr>
            </w:pPr>
            <w:r w:rsidRPr="001B5022">
              <w:rPr>
                <w:sz w:val="18"/>
                <w:szCs w:val="18"/>
              </w:rPr>
              <w:t xml:space="preserve">* Denotes first possible date, depending on when the Convention entered into force for that </w:t>
            </w:r>
            <w:r w:rsidR="00162B18" w:rsidRPr="001B5022">
              <w:rPr>
                <w:sz w:val="18"/>
                <w:szCs w:val="18"/>
              </w:rPr>
              <w:t>p</w:t>
            </w:r>
            <w:r w:rsidRPr="001B5022">
              <w:rPr>
                <w:sz w:val="18"/>
                <w:szCs w:val="18"/>
              </w:rPr>
              <w:t>arty.</w:t>
            </w:r>
          </w:p>
        </w:tc>
      </w:tr>
    </w:tbl>
    <w:p w14:paraId="09D86629" w14:textId="32207D97" w:rsidR="00B1107F" w:rsidRPr="0080620A" w:rsidRDefault="00B1107F" w:rsidP="009E249F">
      <w:pPr>
        <w:pStyle w:val="Normalnumber"/>
      </w:pPr>
      <w:r w:rsidRPr="0080620A">
        <w:lastRenderedPageBreak/>
        <w:t xml:space="preserve">Second, various important identified data sets and information sources that have been produced in the past are not required under the Convention, and thus the production of similar reports in the future is not assured or governed by Convention requirements. These include Minamata </w:t>
      </w:r>
      <w:r w:rsidR="00CB77B0" w:rsidRPr="0080620A">
        <w:t>Convention i</w:t>
      </w:r>
      <w:r w:rsidRPr="0080620A">
        <w:t xml:space="preserve">nitial </w:t>
      </w:r>
      <w:r w:rsidR="00CB77B0" w:rsidRPr="0080620A">
        <w:t>a</w:t>
      </w:r>
      <w:r w:rsidRPr="0080620A">
        <w:t>ssessment</w:t>
      </w:r>
      <w:r w:rsidR="00CB77B0" w:rsidRPr="0080620A">
        <w:t>s</w:t>
      </w:r>
      <w:r w:rsidRPr="0080620A">
        <w:t xml:space="preserve">, as well as </w:t>
      </w:r>
      <w:r w:rsidRPr="00651EFE">
        <w:t>the</w:t>
      </w:r>
      <w:r w:rsidR="00CB77B0" w:rsidRPr="00651EFE">
        <w:t xml:space="preserve"> UNEP</w:t>
      </w:r>
      <w:r w:rsidRPr="00651EFE">
        <w:t xml:space="preserve"> </w:t>
      </w:r>
      <w:r w:rsidR="00CB77B0" w:rsidRPr="00651EFE">
        <w:t>g</w:t>
      </w:r>
      <w:r w:rsidRPr="00651EFE">
        <w:t xml:space="preserve">lobal </w:t>
      </w:r>
      <w:r w:rsidR="00CB77B0" w:rsidRPr="00651EFE">
        <w:t>m</w:t>
      </w:r>
      <w:r w:rsidRPr="00651EFE">
        <w:t xml:space="preserve">ercury </w:t>
      </w:r>
      <w:r w:rsidR="00CB77B0" w:rsidRPr="00651EFE">
        <w:t>a</w:t>
      </w:r>
      <w:r w:rsidRPr="00651EFE">
        <w:t>ssessment</w:t>
      </w:r>
      <w:r w:rsidR="00330050" w:rsidRPr="00651EFE">
        <w:t xml:space="preserve"> report</w:t>
      </w:r>
      <w:r w:rsidRPr="00651EFE">
        <w:t xml:space="preserve"> (</w:t>
      </w:r>
      <w:r w:rsidR="007F29E3" w:rsidRPr="00651EFE">
        <w:t>published</w:t>
      </w:r>
      <w:r w:rsidRPr="00651EFE">
        <w:t xml:space="preserve"> </w:t>
      </w:r>
      <w:r w:rsidR="009C10DF" w:rsidRPr="00651EFE">
        <w:t xml:space="preserve">in </w:t>
      </w:r>
      <w:r w:rsidRPr="00651EFE">
        <w:t>2002, 2008, 2013 and 2018</w:t>
      </w:r>
      <w:r w:rsidR="00F65E4E" w:rsidRPr="00651EFE">
        <w:fldChar w:fldCharType="begin"/>
      </w:r>
      <w:r w:rsidR="00F65E4E" w:rsidRPr="00651EFE">
        <w:instrText xml:space="preserve"> NOTEREF _Ref23323081 \f \h </w:instrText>
      </w:r>
      <w:r w:rsidR="00651EFE">
        <w:instrText xml:space="preserve"> \* MERGEFORMAT </w:instrText>
      </w:r>
      <w:r w:rsidR="00F65E4E" w:rsidRPr="00651EFE">
        <w:fldChar w:fldCharType="separate"/>
      </w:r>
      <w:r w:rsidR="00A929BE" w:rsidRPr="00A929BE">
        <w:rPr>
          <w:rStyle w:val="FootnoteReference"/>
        </w:rPr>
        <w:t>6</w:t>
      </w:r>
      <w:r w:rsidR="00F65E4E" w:rsidRPr="00651EFE">
        <w:fldChar w:fldCharType="end"/>
      </w:r>
      <w:r w:rsidRPr="00651EFE">
        <w:t xml:space="preserve">) and the </w:t>
      </w:r>
      <w:r w:rsidR="00CB77B0" w:rsidRPr="00651EFE">
        <w:t xml:space="preserve">UNEP </w:t>
      </w:r>
      <w:r w:rsidRPr="00651EFE">
        <w:t xml:space="preserve">report on </w:t>
      </w:r>
      <w:r w:rsidR="00CB77B0" w:rsidRPr="00651EFE">
        <w:t>g</w:t>
      </w:r>
      <w:r w:rsidRPr="00651EFE">
        <w:t xml:space="preserve">lobal </w:t>
      </w:r>
      <w:r w:rsidR="00CB77B0" w:rsidRPr="00651EFE">
        <w:t>m</w:t>
      </w:r>
      <w:r w:rsidRPr="00651EFE">
        <w:t xml:space="preserve">ercury </w:t>
      </w:r>
      <w:r w:rsidR="00CB77B0" w:rsidRPr="00651EFE">
        <w:t>s</w:t>
      </w:r>
      <w:r w:rsidRPr="00651EFE">
        <w:t xml:space="preserve">upply, </w:t>
      </w:r>
      <w:r w:rsidR="00780EA2" w:rsidRPr="00651EFE">
        <w:t xml:space="preserve">trade and </w:t>
      </w:r>
      <w:r w:rsidR="00CB77B0" w:rsidRPr="00651EFE">
        <w:t>d</w:t>
      </w:r>
      <w:r w:rsidRPr="00651EFE">
        <w:t>emand (</w:t>
      </w:r>
      <w:r w:rsidR="007F29E3" w:rsidRPr="00651EFE">
        <w:t xml:space="preserve">published in </w:t>
      </w:r>
      <w:r w:rsidRPr="00651EFE">
        <w:t>2006 and 2017</w:t>
      </w:r>
      <w:r w:rsidR="00F65E4E" w:rsidRPr="00651EFE">
        <w:fldChar w:fldCharType="begin"/>
      </w:r>
      <w:r w:rsidR="00F65E4E" w:rsidRPr="00651EFE">
        <w:instrText xml:space="preserve"> NOTEREF _Ref23323106 \f \h </w:instrText>
      </w:r>
      <w:r w:rsidR="00651EFE">
        <w:instrText xml:space="preserve"> \* MERGEFORMAT </w:instrText>
      </w:r>
      <w:r w:rsidR="00F65E4E" w:rsidRPr="00651EFE">
        <w:fldChar w:fldCharType="separate"/>
      </w:r>
      <w:r w:rsidR="00A929BE" w:rsidRPr="00A929BE">
        <w:rPr>
          <w:rStyle w:val="FootnoteReference"/>
        </w:rPr>
        <w:t>7</w:t>
      </w:r>
      <w:r w:rsidR="00F65E4E" w:rsidRPr="00651EFE">
        <w:fldChar w:fldCharType="end"/>
      </w:r>
      <w:r w:rsidRPr="00651EFE">
        <w:t>).</w:t>
      </w:r>
    </w:p>
    <w:p w14:paraId="4DD3EBC4" w14:textId="310AB4FC" w:rsidR="00B1107F" w:rsidRPr="0080620A" w:rsidRDefault="00B1107F" w:rsidP="009E249F">
      <w:pPr>
        <w:pStyle w:val="Normalnumber"/>
      </w:pPr>
      <w:r w:rsidRPr="0080620A">
        <w:t xml:space="preserve">Third, some information sources differ in </w:t>
      </w:r>
      <w:r w:rsidR="00CB77B0" w:rsidRPr="0080620A">
        <w:t xml:space="preserve">production </w:t>
      </w:r>
      <w:r w:rsidRPr="0080620A">
        <w:t xml:space="preserve">frequency. The </w:t>
      </w:r>
      <w:r w:rsidR="00883B5B" w:rsidRPr="0080620A">
        <w:t xml:space="preserve">artisanal and small-scale gold mining </w:t>
      </w:r>
      <w:r w:rsidR="00E777BB" w:rsidRPr="0080620A">
        <w:t>n</w:t>
      </w:r>
      <w:r w:rsidRPr="0080620A">
        <w:t xml:space="preserve">ational </w:t>
      </w:r>
      <w:r w:rsidR="00E777BB" w:rsidRPr="0080620A">
        <w:t>a</w:t>
      </w:r>
      <w:r w:rsidRPr="0080620A">
        <w:t xml:space="preserve">ction </w:t>
      </w:r>
      <w:r w:rsidR="00E777BB" w:rsidRPr="0080620A">
        <w:t>p</w:t>
      </w:r>
      <w:r w:rsidRPr="0080620A">
        <w:t xml:space="preserve">lans </w:t>
      </w:r>
      <w:r w:rsidR="00CB77B0" w:rsidRPr="0080620A">
        <w:t xml:space="preserve">are </w:t>
      </w:r>
      <w:r w:rsidRPr="0080620A">
        <w:t xml:space="preserve">due </w:t>
      </w:r>
      <w:r w:rsidR="00E777BB" w:rsidRPr="0080620A">
        <w:t>three</w:t>
      </w:r>
      <w:r w:rsidRPr="0080620A">
        <w:t xml:space="preserve"> years after the entry into force of the Convention for </w:t>
      </w:r>
      <w:r w:rsidR="00CB77B0" w:rsidRPr="0080620A">
        <w:t xml:space="preserve">a </w:t>
      </w:r>
      <w:r w:rsidRPr="0080620A">
        <w:t xml:space="preserve">party (or three years after </w:t>
      </w:r>
      <w:r w:rsidR="00CB77B0" w:rsidRPr="0080620A">
        <w:t>the party notifies</w:t>
      </w:r>
      <w:r w:rsidRPr="0080620A">
        <w:t xml:space="preserve"> the </w:t>
      </w:r>
      <w:r w:rsidR="00EA5C32" w:rsidRPr="0080620A">
        <w:t>s</w:t>
      </w:r>
      <w:r w:rsidRPr="0080620A">
        <w:t xml:space="preserve">ecretariat that it has more than insignificant </w:t>
      </w:r>
      <w:r w:rsidR="00883B5B" w:rsidRPr="0080620A">
        <w:t>artisanal and small-scale gold mining</w:t>
      </w:r>
      <w:r w:rsidRPr="0080620A">
        <w:t xml:space="preserve">) and </w:t>
      </w:r>
      <w:r w:rsidR="00330050" w:rsidRPr="0080620A">
        <w:t xml:space="preserve">progress </w:t>
      </w:r>
      <w:r w:rsidRPr="0080620A">
        <w:t xml:space="preserve">must be reviewed every three years thereafter. The regular reports under </w:t>
      </w:r>
      <w:r w:rsidR="00E777BB" w:rsidRPr="0080620A">
        <w:t>a</w:t>
      </w:r>
      <w:r w:rsidRPr="0080620A">
        <w:t>rticle 21 are to be completed every two years for specified questions, with the first short reports due at the end of 2019 and the first full reports respond</w:t>
      </w:r>
      <w:r w:rsidR="00CB77B0" w:rsidRPr="0080620A">
        <w:t>ing</w:t>
      </w:r>
      <w:r w:rsidRPr="0080620A">
        <w:t xml:space="preserve"> to all reporting requirements due at the end of 2021. </w:t>
      </w:r>
    </w:p>
    <w:p w14:paraId="560892DF" w14:textId="73A7EEA3" w:rsidR="00B1107F" w:rsidRPr="0080620A" w:rsidRDefault="00B1107F" w:rsidP="009E249F">
      <w:pPr>
        <w:pStyle w:val="Normalnumber"/>
      </w:pPr>
      <w:r w:rsidRPr="0080620A">
        <w:t xml:space="preserve">Last is the consideration of the availability of relevant and comparable scientific and environmental monitoring data. </w:t>
      </w:r>
      <w:r w:rsidR="00CB77B0" w:rsidRPr="0080620A">
        <w:t>While</w:t>
      </w:r>
      <w:r w:rsidRPr="0080620A">
        <w:t xml:space="preserve"> mercury is one of the longest</w:t>
      </w:r>
      <w:r w:rsidR="00B84832" w:rsidRPr="0080620A">
        <w:t>-</w:t>
      </w:r>
      <w:r w:rsidRPr="0080620A">
        <w:t>studied chemicals, in considering the available monitoring information and available data on mercury and mercury compounds</w:t>
      </w:r>
      <w:r w:rsidR="007F29E3" w:rsidRPr="0080620A">
        <w:t>,</w:t>
      </w:r>
      <w:r w:rsidRPr="0080620A">
        <w:t xml:space="preserve"> the ad</w:t>
      </w:r>
      <w:r w:rsidR="00CE2B02">
        <w:t> </w:t>
      </w:r>
      <w:r w:rsidRPr="0080620A">
        <w:t xml:space="preserve">hoc technical expert group </w:t>
      </w:r>
      <w:r w:rsidR="00CB77B0" w:rsidRPr="0080620A">
        <w:t xml:space="preserve">observed </w:t>
      </w:r>
      <w:r w:rsidRPr="0080620A">
        <w:t>that not all data and matrices are suitable for direct comparison or analysis at the global level</w:t>
      </w:r>
      <w:r w:rsidR="00CB77B0" w:rsidRPr="0080620A">
        <w:t>. M</w:t>
      </w:r>
      <w:r w:rsidRPr="0080620A">
        <w:t xml:space="preserve">odelling will </w:t>
      </w:r>
      <w:r w:rsidR="00CB77B0" w:rsidRPr="0080620A">
        <w:t xml:space="preserve">thus </w:t>
      </w:r>
      <w:r w:rsidRPr="0080620A">
        <w:t>be critical to shap</w:t>
      </w:r>
      <w:r w:rsidR="00CB77B0" w:rsidRPr="0080620A">
        <w:t>ing</w:t>
      </w:r>
      <w:r w:rsidRPr="0080620A">
        <w:t xml:space="preserve"> </w:t>
      </w:r>
      <w:r w:rsidR="00CB77B0" w:rsidRPr="0080620A">
        <w:t xml:space="preserve">a </w:t>
      </w:r>
      <w:r w:rsidRPr="0080620A">
        <w:t xml:space="preserve">fuller understanding of the presence of mercury and its trends in </w:t>
      </w:r>
      <w:r w:rsidR="00CB77B0" w:rsidRPr="0080620A">
        <w:t xml:space="preserve">the </w:t>
      </w:r>
      <w:r w:rsidRPr="0080620A">
        <w:t>environment, as well as to attribut</w:t>
      </w:r>
      <w:r w:rsidR="00CB77B0" w:rsidRPr="0080620A">
        <w:t>ing</w:t>
      </w:r>
      <w:r w:rsidRPr="0080620A">
        <w:t xml:space="preserve"> changes in mercury levels to </w:t>
      </w:r>
      <w:r w:rsidR="00B84832" w:rsidRPr="0080620A">
        <w:t xml:space="preserve">the </w:t>
      </w:r>
      <w:r w:rsidRPr="0080620A">
        <w:t xml:space="preserve">Convention measures. </w:t>
      </w:r>
    </w:p>
    <w:p w14:paraId="290E820E" w14:textId="7145984B" w:rsidR="00B1107F" w:rsidRPr="0080620A" w:rsidRDefault="00676B36" w:rsidP="009E249F">
      <w:pPr>
        <w:pStyle w:val="Normalnumber"/>
        <w:rPr>
          <w:color w:val="000000" w:themeColor="text1"/>
        </w:rPr>
      </w:pPr>
      <w:r w:rsidRPr="0080620A">
        <w:t>C</w:t>
      </w:r>
      <w:r w:rsidR="00B1107F" w:rsidRPr="0080620A">
        <w:t xml:space="preserve">urrent mercury monitoring </w:t>
      </w:r>
      <w:r w:rsidR="00257B17" w:rsidRPr="0080620A">
        <w:t>activities and efforts</w:t>
      </w:r>
      <w:r w:rsidR="00B1107F" w:rsidRPr="0080620A">
        <w:t xml:space="preserve"> and modelling </w:t>
      </w:r>
      <w:r w:rsidR="00AB7C74">
        <w:t>arrangements</w:t>
      </w:r>
      <w:r w:rsidR="00AB7C74" w:rsidRPr="0080620A">
        <w:t xml:space="preserve"> </w:t>
      </w:r>
      <w:r w:rsidR="00B1107F" w:rsidRPr="0080620A">
        <w:t xml:space="preserve">are outlined in more detail in </w:t>
      </w:r>
      <w:r w:rsidR="00883B5B" w:rsidRPr="0080620A">
        <w:t>a</w:t>
      </w:r>
      <w:r w:rsidR="00B1107F" w:rsidRPr="0080620A">
        <w:t xml:space="preserve">ppendix I on </w:t>
      </w:r>
      <w:r w:rsidR="00883B5B" w:rsidRPr="0080620A">
        <w:t>t</w:t>
      </w:r>
      <w:r w:rsidR="00B1107F" w:rsidRPr="0080620A">
        <w:t xml:space="preserve">echnical </w:t>
      </w:r>
      <w:r w:rsidR="00883B5B" w:rsidRPr="0080620A">
        <w:t>i</w:t>
      </w:r>
      <w:r w:rsidR="00B1107F" w:rsidRPr="0080620A">
        <w:t xml:space="preserve">nformation on </w:t>
      </w:r>
      <w:r w:rsidR="00883B5B" w:rsidRPr="0080620A">
        <w:t>m</w:t>
      </w:r>
      <w:r w:rsidR="00B1107F" w:rsidRPr="0080620A">
        <w:t>onitoring (UNEP/MC/COP.3</w:t>
      </w:r>
      <w:r w:rsidR="000F5FAF" w:rsidRPr="0080620A">
        <w:t>/</w:t>
      </w:r>
      <w:r w:rsidR="00B1107F" w:rsidRPr="0080620A">
        <w:t xml:space="preserve">14/Add.1) and </w:t>
      </w:r>
      <w:r w:rsidR="00883B5B" w:rsidRPr="0080620A">
        <w:t>a</w:t>
      </w:r>
      <w:r w:rsidR="00B1107F" w:rsidRPr="0080620A">
        <w:t xml:space="preserve">ppendix </w:t>
      </w:r>
      <w:r w:rsidR="00883B5B" w:rsidRPr="0080620A">
        <w:t>III</w:t>
      </w:r>
      <w:r w:rsidR="00B1107F" w:rsidRPr="0080620A">
        <w:t xml:space="preserve"> on the proposed global monitoring arrangements and draft terms of reference for the </w:t>
      </w:r>
      <w:r w:rsidR="00883B5B" w:rsidRPr="0080620A">
        <w:t>m</w:t>
      </w:r>
      <w:r w:rsidR="00B1107F" w:rsidRPr="0080620A">
        <w:t xml:space="preserve">onitoring </w:t>
      </w:r>
      <w:r w:rsidR="00883B5B" w:rsidRPr="0080620A">
        <w:t>g</w:t>
      </w:r>
      <w:r w:rsidR="00B1107F" w:rsidRPr="0080620A">
        <w:t>roup. Table 4 give</w:t>
      </w:r>
      <w:r w:rsidR="0066267B" w:rsidRPr="0080620A">
        <w:t>s</w:t>
      </w:r>
      <w:r w:rsidR="00B1107F" w:rsidRPr="0080620A">
        <w:t xml:space="preserve"> an indicative </w:t>
      </w:r>
      <w:r w:rsidR="007C37D3" w:rsidRPr="0080620A">
        <w:t xml:space="preserve">list </w:t>
      </w:r>
      <w:r w:rsidR="00B1107F" w:rsidRPr="0080620A">
        <w:t xml:space="preserve">of monitoring indicators </w:t>
      </w:r>
      <w:r w:rsidR="007C37D3" w:rsidRPr="0080620A">
        <w:t>by media, along with the sources of information used</w:t>
      </w:r>
      <w:r w:rsidR="00B1107F" w:rsidRPr="0080620A">
        <w:t>. The</w:t>
      </w:r>
      <w:r w:rsidR="007C37D3" w:rsidRPr="0080620A">
        <w:t xml:space="preserve"> monitoring indicators</w:t>
      </w:r>
      <w:r w:rsidR="00B1107F" w:rsidRPr="0080620A">
        <w:t xml:space="preserve"> complement</w:t>
      </w:r>
      <w:r w:rsidR="0066267B" w:rsidRPr="0080620A">
        <w:t xml:space="preserve"> </w:t>
      </w:r>
      <w:r w:rsidR="00B1107F" w:rsidRPr="0080620A">
        <w:t xml:space="preserve">the indicators presented in </w:t>
      </w:r>
      <w:r w:rsidR="00883B5B" w:rsidRPr="0080620A">
        <w:t>t</w:t>
      </w:r>
      <w:r w:rsidR="00B1107F" w:rsidRPr="0080620A">
        <w:t>able 2</w:t>
      </w:r>
      <w:r w:rsidR="000F5FAF" w:rsidRPr="0080620A">
        <w:t>.</w:t>
      </w:r>
    </w:p>
    <w:p w14:paraId="180AD038" w14:textId="531F1173" w:rsidR="00B1107F" w:rsidRPr="0080620A" w:rsidRDefault="00883B5B" w:rsidP="00C54064">
      <w:pPr>
        <w:pStyle w:val="Titletable"/>
        <w:rPr>
          <w:rFonts w:asciiTheme="majorBidi" w:hAnsiTheme="majorBidi" w:cstheme="majorBidi"/>
        </w:rPr>
      </w:pPr>
      <w:bookmarkStart w:id="11" w:name="_Hlk15486676"/>
      <w:r w:rsidRPr="00C54064">
        <w:rPr>
          <w:b w:val="0"/>
        </w:rPr>
        <w:t xml:space="preserve">Table </w:t>
      </w:r>
      <w:r w:rsidRPr="00C54064">
        <w:rPr>
          <w:b w:val="0"/>
        </w:rPr>
        <w:fldChar w:fldCharType="begin"/>
      </w:r>
      <w:r w:rsidRPr="00C54064">
        <w:rPr>
          <w:b w:val="0"/>
        </w:rPr>
        <w:instrText xml:space="preserve"> SEQ Table \* ARABIC </w:instrText>
      </w:r>
      <w:r w:rsidRPr="00C54064">
        <w:rPr>
          <w:b w:val="0"/>
        </w:rPr>
        <w:fldChar w:fldCharType="separate"/>
      </w:r>
      <w:r w:rsidR="00A929BE">
        <w:rPr>
          <w:b w:val="0"/>
          <w:noProof/>
        </w:rPr>
        <w:t>4</w:t>
      </w:r>
      <w:r w:rsidRPr="00C54064">
        <w:rPr>
          <w:b w:val="0"/>
        </w:rPr>
        <w:fldChar w:fldCharType="end"/>
      </w:r>
      <w:r w:rsidRPr="00C54064">
        <w:rPr>
          <w:b w:val="0"/>
        </w:rPr>
        <w:t xml:space="preserve"> </w:t>
      </w:r>
      <w:bookmarkStart w:id="12" w:name="_GoBack"/>
      <w:bookmarkEnd w:id="12"/>
      <w:r w:rsidR="00C54064" w:rsidRPr="00C54064">
        <w:rPr>
          <w:b w:val="0"/>
        </w:rPr>
        <w:br/>
      </w:r>
      <w:r w:rsidR="0066267B" w:rsidRPr="0080620A">
        <w:rPr>
          <w:rFonts w:asciiTheme="majorBidi" w:hAnsiTheme="majorBidi" w:cstheme="majorBidi"/>
        </w:rPr>
        <w:t xml:space="preserve">Indicative </w:t>
      </w:r>
      <w:r w:rsidR="007C37D3" w:rsidRPr="0080620A">
        <w:rPr>
          <w:rFonts w:asciiTheme="majorBidi" w:hAnsiTheme="majorBidi" w:cstheme="majorBidi"/>
        </w:rPr>
        <w:t>list</w:t>
      </w:r>
      <w:r w:rsidR="0066267B" w:rsidRPr="0080620A">
        <w:rPr>
          <w:rFonts w:asciiTheme="majorBidi" w:hAnsiTheme="majorBidi" w:cstheme="majorBidi"/>
        </w:rPr>
        <w:t xml:space="preserve"> of m</w:t>
      </w:r>
      <w:r w:rsidRPr="0080620A">
        <w:rPr>
          <w:rFonts w:asciiTheme="majorBidi" w:hAnsiTheme="majorBidi" w:cstheme="majorBidi"/>
        </w:rPr>
        <w:t>onitoring indicators</w:t>
      </w:r>
      <w:r w:rsidR="0066267B" w:rsidRPr="0080620A">
        <w:rPr>
          <w:rFonts w:asciiTheme="majorBidi" w:hAnsiTheme="majorBidi" w:cstheme="majorBidi"/>
        </w:rPr>
        <w:t>,</w:t>
      </w:r>
      <w:r w:rsidRPr="0080620A">
        <w:rPr>
          <w:rFonts w:asciiTheme="majorBidi" w:hAnsiTheme="majorBidi" w:cstheme="majorBidi"/>
        </w:rPr>
        <w:t xml:space="preserve"> by media </w:t>
      </w:r>
    </w:p>
    <w:tbl>
      <w:tblPr>
        <w:tblW w:w="833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84"/>
        <w:gridCol w:w="3425"/>
        <w:gridCol w:w="3426"/>
      </w:tblGrid>
      <w:tr w:rsidR="00B1107F" w:rsidRPr="0080620A" w14:paraId="612D1AEC" w14:textId="77777777" w:rsidTr="00BC69B4">
        <w:trPr>
          <w:trHeight w:val="57"/>
          <w:jc w:val="right"/>
        </w:trPr>
        <w:tc>
          <w:tcPr>
            <w:tcW w:w="1484"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1CD66F9E" w14:textId="77777777" w:rsidR="00B1107F" w:rsidRPr="0080620A" w:rsidRDefault="00B1107F" w:rsidP="00BC69B4">
            <w:pPr>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rPr>
            </w:pPr>
            <w:r w:rsidRPr="0080620A">
              <w:rPr>
                <w:rFonts w:asciiTheme="majorBidi" w:hAnsiTheme="majorBidi" w:cstheme="majorBidi"/>
                <w:b/>
                <w:sz w:val="18"/>
                <w:szCs w:val="18"/>
              </w:rPr>
              <w:t>Overall media</w:t>
            </w:r>
          </w:p>
        </w:tc>
        <w:tc>
          <w:tcPr>
            <w:tcW w:w="3425"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6984BB4A" w14:textId="77777777" w:rsidR="00B1107F" w:rsidRPr="0080620A" w:rsidRDefault="00B1107F" w:rsidP="00BC69B4">
            <w:pPr>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rPr>
            </w:pPr>
            <w:r w:rsidRPr="0080620A">
              <w:rPr>
                <w:rFonts w:asciiTheme="majorBidi" w:hAnsiTheme="majorBidi" w:cstheme="majorBidi"/>
                <w:b/>
                <w:sz w:val="18"/>
                <w:szCs w:val="18"/>
              </w:rPr>
              <w:t>Indicator</w:t>
            </w:r>
          </w:p>
        </w:tc>
        <w:tc>
          <w:tcPr>
            <w:tcW w:w="3426"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2411FD3F" w14:textId="02D07C1E" w:rsidR="00B1107F" w:rsidRPr="0080620A" w:rsidRDefault="00B1107F" w:rsidP="00BC69B4">
            <w:pPr>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rPr>
            </w:pPr>
            <w:r w:rsidRPr="0080620A">
              <w:rPr>
                <w:rFonts w:asciiTheme="majorBidi" w:hAnsiTheme="majorBidi" w:cstheme="majorBidi"/>
                <w:b/>
                <w:sz w:val="18"/>
                <w:szCs w:val="18"/>
              </w:rPr>
              <w:t>Source of info</w:t>
            </w:r>
            <w:r w:rsidR="0066267B" w:rsidRPr="0080620A">
              <w:rPr>
                <w:rFonts w:asciiTheme="majorBidi" w:hAnsiTheme="majorBidi" w:cstheme="majorBidi"/>
                <w:b/>
                <w:sz w:val="18"/>
                <w:szCs w:val="18"/>
              </w:rPr>
              <w:t>rmation</w:t>
            </w:r>
          </w:p>
        </w:tc>
      </w:tr>
      <w:tr w:rsidR="00065AE4" w:rsidRPr="0080620A" w14:paraId="5854E869" w14:textId="77777777" w:rsidTr="00BC69B4">
        <w:trPr>
          <w:trHeight w:val="411"/>
          <w:jc w:val="right"/>
        </w:trPr>
        <w:tc>
          <w:tcPr>
            <w:tcW w:w="1484"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1A6EC30D" w14:textId="77777777" w:rsidR="00065AE4" w:rsidRPr="0080620A" w:rsidRDefault="00065AE4" w:rsidP="00BC69B4">
            <w:pPr>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rPr>
            </w:pPr>
            <w:r w:rsidRPr="0080620A">
              <w:rPr>
                <w:rFonts w:asciiTheme="majorBidi" w:hAnsiTheme="majorBidi" w:cstheme="majorBidi"/>
                <w:b/>
                <w:sz w:val="18"/>
                <w:szCs w:val="18"/>
              </w:rPr>
              <w:t>1. Air</w:t>
            </w:r>
          </w:p>
        </w:tc>
        <w:tc>
          <w:tcPr>
            <w:tcW w:w="34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263D921B" w14:textId="77777777" w:rsidR="00065AE4" w:rsidRPr="0080620A" w:rsidRDefault="00065AE4" w:rsidP="00BC69B4">
            <w:pPr>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Cs/>
                <w:sz w:val="18"/>
                <w:szCs w:val="18"/>
              </w:rPr>
            </w:pPr>
            <w:r w:rsidRPr="0080620A">
              <w:rPr>
                <w:rFonts w:asciiTheme="majorBidi" w:hAnsiTheme="majorBidi" w:cstheme="majorBidi"/>
                <w:bCs/>
                <w:sz w:val="18"/>
                <w:szCs w:val="18"/>
              </w:rPr>
              <w:t>M1. Total gaseous mercury/gaseous elemental mercury in the ambient air</w:t>
            </w:r>
          </w:p>
        </w:tc>
        <w:tc>
          <w:tcPr>
            <w:tcW w:w="34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231ADB1F" w14:textId="77777777" w:rsidR="00065AE4" w:rsidRPr="0080620A" w:rsidRDefault="00065AE4" w:rsidP="00BC69B4">
            <w:pPr>
              <w:pBdr>
                <w:top w:val="nil"/>
                <w:left w:val="nil"/>
                <w:bottom w:val="nil"/>
                <w:right w:val="nil"/>
                <w:between w:val="nil"/>
                <w:bar w:val="nil"/>
              </w:pBdr>
              <w:tabs>
                <w:tab w:val="clear" w:pos="1814"/>
                <w:tab w:val="left" w:pos="624"/>
                <w:tab w:val="left" w:pos="1134"/>
                <w:tab w:val="left" w:pos="3119"/>
              </w:tabs>
              <w:ind w:left="170" w:hanging="170"/>
              <w:rPr>
                <w:rFonts w:asciiTheme="majorBidi" w:hAnsiTheme="majorBidi" w:cstheme="majorBidi"/>
                <w:bCs/>
                <w:sz w:val="18"/>
                <w:szCs w:val="18"/>
              </w:rPr>
            </w:pPr>
            <w:r w:rsidRPr="0080620A">
              <w:rPr>
                <w:rFonts w:asciiTheme="majorBidi" w:hAnsiTheme="majorBidi" w:cstheme="majorBidi"/>
                <w:sz w:val="18"/>
                <w:szCs w:val="18"/>
              </w:rPr>
              <w:t>Existing/expanded monitoring activities and networks</w:t>
            </w:r>
          </w:p>
        </w:tc>
      </w:tr>
      <w:tr w:rsidR="00065AE4" w:rsidRPr="0080620A" w14:paraId="30AA1D52" w14:textId="77777777" w:rsidTr="00BC69B4">
        <w:trPr>
          <w:trHeight w:val="57"/>
          <w:jc w:val="right"/>
        </w:trPr>
        <w:tc>
          <w:tcPr>
            <w:tcW w:w="1484"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4EE2B" w14:textId="77777777" w:rsidR="00065AE4" w:rsidRPr="0080620A" w:rsidRDefault="00065AE4" w:rsidP="00BC69B4">
            <w:pPr>
              <w:rPr>
                <w:rFonts w:asciiTheme="majorBidi" w:hAnsiTheme="majorBidi" w:cstheme="majorBidi"/>
                <w:b/>
                <w:sz w:val="18"/>
                <w:szCs w:val="18"/>
              </w:rPr>
            </w:pPr>
          </w:p>
        </w:tc>
        <w:tc>
          <w:tcPr>
            <w:tcW w:w="3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1C249" w14:textId="77777777" w:rsidR="00065AE4" w:rsidRPr="0080620A" w:rsidRDefault="00065AE4" w:rsidP="00BC69B4">
            <w:pPr>
              <w:rPr>
                <w:rFonts w:asciiTheme="majorBidi" w:hAnsiTheme="majorBidi" w:cstheme="majorBidi"/>
                <w:sz w:val="18"/>
                <w:szCs w:val="18"/>
              </w:rPr>
            </w:pPr>
            <w:r w:rsidRPr="0080620A">
              <w:rPr>
                <w:rFonts w:asciiTheme="majorBidi" w:hAnsiTheme="majorBidi" w:cstheme="majorBidi"/>
                <w:sz w:val="18"/>
                <w:szCs w:val="18"/>
              </w:rPr>
              <w:t>M2. Mercury level in precipitation</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73C1D" w14:textId="77777777"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Existing/expanded monitoring activities and networks</w:t>
            </w:r>
          </w:p>
        </w:tc>
      </w:tr>
      <w:tr w:rsidR="00065AE4" w:rsidRPr="0080620A" w14:paraId="6DF10E77" w14:textId="77777777" w:rsidTr="00BC69B4">
        <w:trPr>
          <w:trHeight w:val="57"/>
          <w:jc w:val="right"/>
        </w:trPr>
        <w:tc>
          <w:tcPr>
            <w:tcW w:w="1484"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0933A524" w14:textId="1BE164D7" w:rsidR="00065AE4" w:rsidRPr="0080620A" w:rsidRDefault="00065AE4" w:rsidP="00BC69B4">
            <w:pPr>
              <w:rPr>
                <w:rFonts w:asciiTheme="majorBidi" w:hAnsiTheme="majorBidi" w:cstheme="majorBidi"/>
                <w:b/>
                <w:sz w:val="18"/>
                <w:szCs w:val="18"/>
              </w:rPr>
            </w:pPr>
            <w:r w:rsidRPr="0080620A">
              <w:rPr>
                <w:rFonts w:asciiTheme="majorBidi" w:hAnsiTheme="majorBidi" w:cstheme="majorBidi"/>
                <w:b/>
                <w:sz w:val="18"/>
                <w:szCs w:val="18"/>
              </w:rPr>
              <w:t>2. Humans</w:t>
            </w:r>
          </w:p>
        </w:tc>
        <w:tc>
          <w:tcPr>
            <w:tcW w:w="34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D52FB18" w14:textId="2285B27A" w:rsidR="00065AE4" w:rsidRPr="0080620A" w:rsidRDefault="00065AE4" w:rsidP="00BC69B4">
            <w:pPr>
              <w:rPr>
                <w:rFonts w:asciiTheme="majorBidi" w:hAnsiTheme="majorBidi" w:cstheme="majorBidi"/>
                <w:sz w:val="18"/>
                <w:szCs w:val="18"/>
              </w:rPr>
            </w:pPr>
            <w:r w:rsidRPr="0080620A">
              <w:rPr>
                <w:rFonts w:asciiTheme="majorBidi" w:hAnsiTheme="majorBidi" w:cstheme="majorBidi"/>
                <w:sz w:val="18"/>
                <w:szCs w:val="18"/>
              </w:rPr>
              <w:t xml:space="preserve">M3. Mercury level in hair as </w:t>
            </w:r>
            <w:r w:rsidR="00E317BB" w:rsidRPr="0080620A">
              <w:rPr>
                <w:rFonts w:asciiTheme="majorBidi" w:hAnsiTheme="majorBidi" w:cstheme="majorBidi"/>
                <w:sz w:val="18"/>
                <w:szCs w:val="18"/>
              </w:rPr>
              <w:t xml:space="preserve">a </w:t>
            </w:r>
            <w:r w:rsidRPr="0080620A">
              <w:rPr>
                <w:rFonts w:asciiTheme="majorBidi" w:hAnsiTheme="majorBidi" w:cstheme="majorBidi"/>
                <w:sz w:val="18"/>
                <w:szCs w:val="18"/>
              </w:rPr>
              <w:t>primary matrix</w:t>
            </w:r>
          </w:p>
        </w:tc>
        <w:tc>
          <w:tcPr>
            <w:tcW w:w="34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3779739" w14:textId="1DC7B694"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Epidemiological studies by parties</w:t>
            </w:r>
          </w:p>
        </w:tc>
      </w:tr>
      <w:tr w:rsidR="00065AE4" w:rsidRPr="0080620A" w14:paraId="532DBA2C" w14:textId="77777777" w:rsidTr="00BC69B4">
        <w:trPr>
          <w:trHeight w:val="57"/>
          <w:jc w:val="right"/>
        </w:trPr>
        <w:tc>
          <w:tcPr>
            <w:tcW w:w="1484"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53C4E43D" w14:textId="77777777" w:rsidR="00065AE4" w:rsidRPr="0080620A" w:rsidRDefault="00065AE4" w:rsidP="00BC69B4">
            <w:pPr>
              <w:rPr>
                <w:rFonts w:asciiTheme="majorBidi" w:hAnsiTheme="majorBidi" w:cstheme="majorBidi"/>
                <w:b/>
                <w:sz w:val="18"/>
                <w:szCs w:val="18"/>
              </w:rPr>
            </w:pPr>
          </w:p>
        </w:tc>
        <w:tc>
          <w:tcPr>
            <w:tcW w:w="34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4374DF7D" w14:textId="587A9CFF" w:rsidR="00065AE4" w:rsidRPr="0080620A" w:rsidRDefault="00065AE4" w:rsidP="00BC69B4">
            <w:pPr>
              <w:rPr>
                <w:rFonts w:asciiTheme="majorBidi" w:hAnsiTheme="majorBidi" w:cstheme="majorBidi"/>
                <w:sz w:val="18"/>
                <w:szCs w:val="18"/>
              </w:rPr>
            </w:pPr>
            <w:r w:rsidRPr="0080620A">
              <w:rPr>
                <w:rFonts w:asciiTheme="majorBidi" w:hAnsiTheme="majorBidi" w:cstheme="majorBidi"/>
                <w:sz w:val="18"/>
                <w:szCs w:val="18"/>
              </w:rPr>
              <w:t xml:space="preserve">M4. Mercury level in blood as </w:t>
            </w:r>
            <w:r w:rsidR="00E317BB" w:rsidRPr="0080620A">
              <w:rPr>
                <w:rFonts w:asciiTheme="majorBidi" w:hAnsiTheme="majorBidi" w:cstheme="majorBidi"/>
                <w:sz w:val="18"/>
                <w:szCs w:val="18"/>
              </w:rPr>
              <w:t xml:space="preserve">an </w:t>
            </w:r>
            <w:r w:rsidRPr="0080620A">
              <w:rPr>
                <w:rFonts w:asciiTheme="majorBidi" w:hAnsiTheme="majorBidi" w:cstheme="majorBidi"/>
                <w:sz w:val="18"/>
                <w:szCs w:val="18"/>
              </w:rPr>
              <w:t>alternative</w:t>
            </w:r>
          </w:p>
        </w:tc>
        <w:tc>
          <w:tcPr>
            <w:tcW w:w="34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5AE8464" w14:textId="77777777"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International and national biomonitoring programme</w:t>
            </w:r>
          </w:p>
          <w:p w14:paraId="4319E331" w14:textId="77777777"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 xml:space="preserve">Longitudinal birth cohort and cross-sectional studies </w:t>
            </w:r>
          </w:p>
        </w:tc>
      </w:tr>
      <w:tr w:rsidR="00065AE4" w:rsidRPr="0080620A" w14:paraId="576AACF0" w14:textId="77777777" w:rsidTr="00BC69B4">
        <w:trPr>
          <w:trHeight w:val="57"/>
          <w:jc w:val="right"/>
        </w:trPr>
        <w:tc>
          <w:tcPr>
            <w:tcW w:w="148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1C4C0EFD" w14:textId="3209181F" w:rsidR="00065AE4" w:rsidRPr="0080620A" w:rsidRDefault="00065AE4" w:rsidP="00BC69B4">
            <w:pPr>
              <w:rPr>
                <w:rFonts w:asciiTheme="majorBidi" w:hAnsiTheme="majorBidi" w:cstheme="majorBidi"/>
                <w:b/>
                <w:sz w:val="18"/>
                <w:szCs w:val="18"/>
              </w:rPr>
            </w:pPr>
            <w:r w:rsidRPr="0080620A">
              <w:rPr>
                <w:rFonts w:asciiTheme="majorBidi" w:hAnsiTheme="majorBidi" w:cstheme="majorBidi"/>
                <w:b/>
                <w:sz w:val="18"/>
                <w:szCs w:val="18"/>
              </w:rPr>
              <w:t>3. Biotic media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7D40E" w14:textId="12814122" w:rsidR="00065AE4" w:rsidRPr="0080620A" w:rsidRDefault="00065AE4" w:rsidP="00BC69B4">
            <w:pPr>
              <w:rPr>
                <w:rFonts w:asciiTheme="majorBidi" w:hAnsiTheme="majorBidi" w:cstheme="majorBidi"/>
                <w:sz w:val="18"/>
                <w:szCs w:val="18"/>
              </w:rPr>
            </w:pPr>
            <w:r w:rsidRPr="0080620A">
              <w:rPr>
                <w:rFonts w:asciiTheme="majorBidi" w:hAnsiTheme="majorBidi" w:cstheme="majorBidi"/>
                <w:sz w:val="18"/>
                <w:szCs w:val="18"/>
              </w:rPr>
              <w:t>M6. Mercury levels in biotic media</w:t>
            </w:r>
          </w:p>
        </w:tc>
        <w:tc>
          <w:tcPr>
            <w:tcW w:w="3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9D4EF" w14:textId="11B40949"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Continental network</w:t>
            </w:r>
          </w:p>
        </w:tc>
      </w:tr>
      <w:tr w:rsidR="00065AE4" w:rsidRPr="0080620A" w14:paraId="6C7FF413" w14:textId="77777777" w:rsidTr="00BC69B4">
        <w:trPr>
          <w:trHeight w:val="57"/>
          <w:jc w:val="right"/>
        </w:trPr>
        <w:tc>
          <w:tcPr>
            <w:tcW w:w="1484" w:type="dxa"/>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32796468" w14:textId="77777777" w:rsidR="00065AE4" w:rsidRPr="0080620A" w:rsidRDefault="00065AE4" w:rsidP="00BC69B4">
            <w:pPr>
              <w:rPr>
                <w:rFonts w:asciiTheme="majorBidi" w:hAnsiTheme="majorBidi" w:cstheme="majorBidi"/>
                <w:b/>
                <w:sz w:val="18"/>
                <w:szCs w:val="18"/>
              </w:rPr>
            </w:pPr>
          </w:p>
        </w:tc>
        <w:tc>
          <w:tcPr>
            <w:tcW w:w="3425"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60DAEDD" w14:textId="79184E4D" w:rsidR="00065AE4" w:rsidRPr="0080620A" w:rsidRDefault="00065AE4" w:rsidP="00BC69B4">
            <w:pPr>
              <w:rPr>
                <w:rFonts w:asciiTheme="majorBidi" w:hAnsiTheme="majorBidi" w:cstheme="majorBidi"/>
                <w:sz w:val="18"/>
                <w:szCs w:val="18"/>
              </w:rPr>
            </w:pPr>
            <w:r w:rsidRPr="0080620A">
              <w:rPr>
                <w:rFonts w:asciiTheme="majorBidi" w:hAnsiTheme="majorBidi" w:cstheme="majorBidi"/>
                <w:sz w:val="18"/>
                <w:szCs w:val="18"/>
              </w:rPr>
              <w:t xml:space="preserve">M7. Mercury levels in biotic media </w:t>
            </w:r>
          </w:p>
        </w:tc>
        <w:tc>
          <w:tcPr>
            <w:tcW w:w="342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05FA4043" w14:textId="77777777" w:rsidR="00065AE4" w:rsidRPr="0080620A" w:rsidRDefault="00065AE4" w:rsidP="00BC69B4">
            <w:pPr>
              <w:ind w:left="170" w:hanging="170"/>
              <w:rPr>
                <w:rFonts w:asciiTheme="majorBidi" w:hAnsiTheme="majorBidi" w:cstheme="majorBidi"/>
                <w:sz w:val="18"/>
                <w:szCs w:val="18"/>
              </w:rPr>
            </w:pPr>
            <w:r w:rsidRPr="0080620A">
              <w:rPr>
                <w:rFonts w:asciiTheme="majorBidi" w:hAnsiTheme="majorBidi" w:cstheme="majorBidi"/>
                <w:sz w:val="18"/>
                <w:szCs w:val="18"/>
              </w:rPr>
              <w:t>Oceanic framework</w:t>
            </w:r>
          </w:p>
        </w:tc>
      </w:tr>
      <w:tr w:rsidR="00B1107F" w:rsidRPr="0080620A" w14:paraId="10E43F83" w14:textId="77777777" w:rsidTr="00BC69B4">
        <w:trPr>
          <w:trHeight w:val="57"/>
          <w:jc w:val="right"/>
        </w:trPr>
        <w:tc>
          <w:tcPr>
            <w:tcW w:w="1484"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35D6A" w14:textId="51CD630B" w:rsidR="00B1107F" w:rsidRPr="0080620A" w:rsidRDefault="00B1107F" w:rsidP="00BC69B4">
            <w:pPr>
              <w:rPr>
                <w:rFonts w:asciiTheme="majorBidi" w:hAnsiTheme="majorBidi" w:cstheme="majorBidi"/>
                <w:b/>
                <w:sz w:val="18"/>
                <w:szCs w:val="18"/>
              </w:rPr>
            </w:pPr>
            <w:r w:rsidRPr="0080620A">
              <w:rPr>
                <w:rFonts w:asciiTheme="majorBidi" w:hAnsiTheme="majorBidi" w:cstheme="majorBidi"/>
                <w:b/>
                <w:sz w:val="18"/>
                <w:szCs w:val="18"/>
              </w:rPr>
              <w:t>4. Water</w:t>
            </w:r>
          </w:p>
        </w:tc>
        <w:tc>
          <w:tcPr>
            <w:tcW w:w="3425"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35D2F" w14:textId="77777777" w:rsidR="00B1107F" w:rsidRPr="0080620A" w:rsidRDefault="00B1107F" w:rsidP="00BC69B4">
            <w:pPr>
              <w:rPr>
                <w:rFonts w:asciiTheme="majorBidi" w:hAnsiTheme="majorBidi" w:cstheme="majorBidi"/>
                <w:sz w:val="18"/>
                <w:szCs w:val="18"/>
              </w:rPr>
            </w:pPr>
            <w:r w:rsidRPr="0080620A">
              <w:rPr>
                <w:rFonts w:asciiTheme="majorBidi" w:hAnsiTheme="majorBidi" w:cstheme="majorBidi"/>
                <w:sz w:val="18"/>
                <w:szCs w:val="18"/>
              </w:rPr>
              <w:t>M8. Mercury levels in sea water covering horizontal and vertical distribution</w:t>
            </w:r>
          </w:p>
        </w:tc>
        <w:tc>
          <w:tcPr>
            <w:tcW w:w="3426"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ABE53" w14:textId="77777777" w:rsidR="00B1107F" w:rsidRPr="0080620A" w:rsidRDefault="00B1107F" w:rsidP="00BC69B4">
            <w:pPr>
              <w:ind w:left="170" w:hanging="170"/>
              <w:rPr>
                <w:rFonts w:asciiTheme="majorBidi" w:hAnsiTheme="majorBidi" w:cstheme="majorBidi"/>
                <w:sz w:val="18"/>
                <w:szCs w:val="18"/>
              </w:rPr>
            </w:pPr>
            <w:r w:rsidRPr="0080620A">
              <w:rPr>
                <w:rFonts w:asciiTheme="majorBidi" w:hAnsiTheme="majorBidi" w:cstheme="majorBidi"/>
                <w:sz w:val="18"/>
                <w:szCs w:val="18"/>
              </w:rPr>
              <w:t>Existing/expanded monitoring activities and networks</w:t>
            </w:r>
          </w:p>
        </w:tc>
      </w:tr>
    </w:tbl>
    <w:bookmarkEnd w:id="11"/>
    <w:p w14:paraId="0824E15D" w14:textId="2C2387F3" w:rsidR="00B1107F" w:rsidRPr="0080620A" w:rsidRDefault="00B84832" w:rsidP="00C54064">
      <w:pPr>
        <w:pStyle w:val="CH2"/>
        <w:spacing w:before="240"/>
      </w:pPr>
      <w:r w:rsidRPr="0080620A">
        <w:tab/>
      </w:r>
      <w:r w:rsidR="00B66A03" w:rsidRPr="0080620A">
        <w:t>D</w:t>
      </w:r>
      <w:r w:rsidR="00B1107F" w:rsidRPr="0080620A">
        <w:t>.</w:t>
      </w:r>
      <w:r w:rsidR="00B66A03" w:rsidRPr="0080620A">
        <w:tab/>
      </w:r>
      <w:r w:rsidR="00B1107F" w:rsidRPr="0080620A">
        <w:t xml:space="preserve">Use of modelling in the effectiveness evaluation </w:t>
      </w:r>
    </w:p>
    <w:p w14:paraId="09E64EF5" w14:textId="0C9CE163" w:rsidR="00B1107F" w:rsidRPr="0080620A" w:rsidRDefault="00B1107F" w:rsidP="009E249F">
      <w:pPr>
        <w:pStyle w:val="Normalnumber"/>
        <w:rPr>
          <w:color w:val="000000" w:themeColor="text1"/>
        </w:rPr>
      </w:pPr>
      <w:r w:rsidRPr="0080620A">
        <w:t>Models provide for the attribution and integration of mechanisms and observations</w:t>
      </w:r>
      <w:r w:rsidR="00B84832" w:rsidRPr="0080620A">
        <w:t>,</w:t>
      </w:r>
      <w:r w:rsidRPr="0080620A">
        <w:t xml:space="preserve"> </w:t>
      </w:r>
      <w:r w:rsidR="007453EA">
        <w:t xml:space="preserve">and </w:t>
      </w:r>
      <w:r w:rsidRPr="0080620A">
        <w:t xml:space="preserve">use </w:t>
      </w:r>
      <w:r w:rsidR="007453EA">
        <w:t xml:space="preserve">that </w:t>
      </w:r>
      <w:r w:rsidRPr="0080620A">
        <w:t xml:space="preserve">to assess projections for future source apportionment. It can </w:t>
      </w:r>
      <w:r w:rsidR="00E317BB" w:rsidRPr="0080620A">
        <w:t xml:space="preserve">therefore </w:t>
      </w:r>
      <w:r w:rsidRPr="0080620A">
        <w:t xml:space="preserve">be said that models </w:t>
      </w:r>
      <w:r w:rsidRPr="0080620A">
        <w:rPr>
          <w:color w:val="000000" w:themeColor="text1"/>
        </w:rPr>
        <w:t>formali</w:t>
      </w:r>
      <w:r w:rsidR="007129E3" w:rsidRPr="0080620A">
        <w:rPr>
          <w:color w:val="000000" w:themeColor="text1"/>
        </w:rPr>
        <w:t>z</w:t>
      </w:r>
      <w:r w:rsidRPr="0080620A">
        <w:rPr>
          <w:color w:val="000000" w:themeColor="text1"/>
        </w:rPr>
        <w:t xml:space="preserve">e the scientific understanding of mechanisms affecting mercury behaviour. </w:t>
      </w:r>
      <w:r w:rsidR="007453EA">
        <w:rPr>
          <w:color w:val="000000" w:themeColor="text1"/>
        </w:rPr>
        <w:t>M</w:t>
      </w:r>
      <w:r w:rsidRPr="0080620A">
        <w:rPr>
          <w:color w:val="000000" w:themeColor="text1"/>
        </w:rPr>
        <w:t xml:space="preserve">odels provide a tool for linking and spatially/temporally extrapolating monitoring data collected globally as part of ongoing research programmes, policy activities and data provided to provide a comprehensive picture of the state of </w:t>
      </w:r>
      <w:r w:rsidRPr="009E249F">
        <w:t>mercury</w:t>
      </w:r>
      <w:r w:rsidRPr="0080620A">
        <w:rPr>
          <w:color w:val="000000" w:themeColor="text1"/>
        </w:rPr>
        <w:t xml:space="preserve"> pollution globally. Moreover, </w:t>
      </w:r>
      <w:r w:rsidR="00D463B5" w:rsidRPr="0080620A">
        <w:rPr>
          <w:color w:val="000000" w:themeColor="text1"/>
        </w:rPr>
        <w:t xml:space="preserve">an </w:t>
      </w:r>
      <w:r w:rsidR="005767F7" w:rsidRPr="0080620A">
        <w:rPr>
          <w:color w:val="000000" w:themeColor="text1"/>
        </w:rPr>
        <w:t xml:space="preserve">integrated </w:t>
      </w:r>
      <w:r w:rsidRPr="0080620A">
        <w:rPr>
          <w:color w:val="000000" w:themeColor="text1"/>
        </w:rPr>
        <w:t xml:space="preserve">modelling framework </w:t>
      </w:r>
      <w:r w:rsidR="00D463B5" w:rsidRPr="0080620A">
        <w:rPr>
          <w:color w:val="000000" w:themeColor="text1"/>
        </w:rPr>
        <w:t>is</w:t>
      </w:r>
      <w:r w:rsidR="00FE39FA" w:rsidRPr="0080620A">
        <w:rPr>
          <w:color w:val="000000" w:themeColor="text1"/>
        </w:rPr>
        <w:t xml:space="preserve"> </w:t>
      </w:r>
      <w:r w:rsidRPr="0080620A">
        <w:rPr>
          <w:color w:val="000000" w:themeColor="text1"/>
        </w:rPr>
        <w:t xml:space="preserve">a tool </w:t>
      </w:r>
      <w:r w:rsidR="00FE39FA" w:rsidRPr="0080620A">
        <w:rPr>
          <w:color w:val="000000" w:themeColor="text1"/>
        </w:rPr>
        <w:t xml:space="preserve">for </w:t>
      </w:r>
      <w:r w:rsidRPr="0080620A">
        <w:rPr>
          <w:color w:val="000000" w:themeColor="text1"/>
        </w:rPr>
        <w:t>work</w:t>
      </w:r>
      <w:r w:rsidR="00FE39FA" w:rsidRPr="0080620A">
        <w:rPr>
          <w:color w:val="000000" w:themeColor="text1"/>
        </w:rPr>
        <w:t>ing</w:t>
      </w:r>
      <w:r w:rsidRPr="0080620A">
        <w:rPr>
          <w:color w:val="000000" w:themeColor="text1"/>
        </w:rPr>
        <w:t xml:space="preserve"> across media, </w:t>
      </w:r>
      <w:r w:rsidR="004E1675" w:rsidRPr="0080620A">
        <w:rPr>
          <w:color w:val="000000" w:themeColor="text1"/>
        </w:rPr>
        <w:t>i.e.</w:t>
      </w:r>
      <w:r w:rsidRPr="0080620A">
        <w:rPr>
          <w:color w:val="000000" w:themeColor="text1"/>
        </w:rPr>
        <w:t xml:space="preserve">, for linking releases of mercury to </w:t>
      </w:r>
      <w:r w:rsidR="00FE39FA" w:rsidRPr="0080620A">
        <w:rPr>
          <w:color w:val="000000" w:themeColor="text1"/>
        </w:rPr>
        <w:t>air</w:t>
      </w:r>
      <w:r w:rsidRPr="0080620A">
        <w:rPr>
          <w:color w:val="000000" w:themeColor="text1"/>
        </w:rPr>
        <w:t xml:space="preserve">, land and water to methylmercury </w:t>
      </w:r>
      <w:r w:rsidR="00FE39FA" w:rsidRPr="0080620A">
        <w:rPr>
          <w:color w:val="000000" w:themeColor="text1"/>
        </w:rPr>
        <w:t xml:space="preserve">levels </w:t>
      </w:r>
      <w:r w:rsidRPr="0080620A">
        <w:rPr>
          <w:color w:val="000000" w:themeColor="text1"/>
        </w:rPr>
        <w:t xml:space="preserve">in fish and wildlife, as well as exposure of human populations. </w:t>
      </w:r>
    </w:p>
    <w:p w14:paraId="636FB9E2" w14:textId="1F4667C3" w:rsidR="00B1107F" w:rsidRPr="0080620A" w:rsidRDefault="00FE39FA" w:rsidP="009E249F">
      <w:pPr>
        <w:pStyle w:val="Normalnumber"/>
      </w:pPr>
      <w:r w:rsidRPr="0080620A">
        <w:t>M</w:t>
      </w:r>
      <w:r w:rsidR="00B1107F" w:rsidRPr="0080620A">
        <w:t xml:space="preserve">odels </w:t>
      </w:r>
      <w:r w:rsidRPr="0080620A">
        <w:t>can also be use</w:t>
      </w:r>
      <w:r w:rsidR="00D463B5" w:rsidRPr="0080620A">
        <w:t>ful</w:t>
      </w:r>
      <w:r w:rsidRPr="0080620A">
        <w:t xml:space="preserve"> </w:t>
      </w:r>
      <w:r w:rsidR="00B1107F" w:rsidRPr="0080620A">
        <w:t xml:space="preserve">in effectiveness evaluation </w:t>
      </w:r>
      <w:r w:rsidR="00D463B5" w:rsidRPr="0080620A">
        <w:t>for</w:t>
      </w:r>
      <w:r w:rsidR="00B1107F" w:rsidRPr="0080620A">
        <w:t xml:space="preserve"> attribut</w:t>
      </w:r>
      <w:r w:rsidR="00D463B5" w:rsidRPr="0080620A">
        <w:t>ing</w:t>
      </w:r>
      <w:r w:rsidR="00B1107F" w:rsidRPr="0080620A">
        <w:t xml:space="preserve"> changes </w:t>
      </w:r>
      <w:r w:rsidRPr="0080620A">
        <w:t>in</w:t>
      </w:r>
      <w:r w:rsidR="00B1107F" w:rsidRPr="0080620A">
        <w:t xml:space="preserve"> </w:t>
      </w:r>
      <w:r w:rsidRPr="0080620A">
        <w:t xml:space="preserve">mercury </w:t>
      </w:r>
      <w:r w:rsidR="00B1107F" w:rsidRPr="0080620A">
        <w:t xml:space="preserve">levels to Convention measures. </w:t>
      </w:r>
    </w:p>
    <w:p w14:paraId="503B0BBC" w14:textId="02E10A31" w:rsidR="00B1107F" w:rsidRPr="0080620A" w:rsidRDefault="00B1107F" w:rsidP="009E249F">
      <w:pPr>
        <w:pStyle w:val="Normalnumber"/>
        <w:rPr>
          <w:rFonts w:eastAsia="Helvetica"/>
        </w:rPr>
      </w:pPr>
      <w:r w:rsidRPr="0080620A">
        <w:lastRenderedPageBreak/>
        <w:t>Models for different media (air, human</w:t>
      </w:r>
      <w:r w:rsidR="0091711D" w:rsidRPr="0080620A">
        <w:t>s</w:t>
      </w:r>
      <w:r w:rsidRPr="0080620A">
        <w:t xml:space="preserve">, </w:t>
      </w:r>
      <w:r w:rsidR="00D807B2" w:rsidRPr="0080620A">
        <w:t>biota</w:t>
      </w:r>
      <w:r w:rsidRPr="0080620A">
        <w:t xml:space="preserve">, water and soil) vary in their ability and state of development. For example, for air and atmosphere, many monitoring groups have developed global modelling tools that can be used to assess the impact of changes in anthropogenic mercury emissions and releases on global atmosphere concentrations, and mercury inputs to terrestrial ecosystems and the ocean. </w:t>
      </w:r>
      <w:r w:rsidR="00C26D2C" w:rsidRPr="0080620A">
        <w:t xml:space="preserve">Such </w:t>
      </w:r>
      <w:r w:rsidRPr="0080620A">
        <w:t xml:space="preserve">models have been extensively evaluated and can be applied to assess spatial gradients in atmospheric mercury concentrations and deposition, as well as temporal changes. By contrast, models for other media </w:t>
      </w:r>
      <w:r w:rsidR="00457BAD" w:rsidRPr="0080620A">
        <w:t>tend to</w:t>
      </w:r>
      <w:r w:rsidRPr="0080620A">
        <w:t xml:space="preserve"> </w:t>
      </w:r>
      <w:r w:rsidR="00457BAD" w:rsidRPr="0080620A">
        <w:t xml:space="preserve">be </w:t>
      </w:r>
      <w:r w:rsidRPr="0080620A">
        <w:t xml:space="preserve">used in research applications. </w:t>
      </w:r>
    </w:p>
    <w:p w14:paraId="5CE18428" w14:textId="6F09FD32" w:rsidR="00B1107F" w:rsidRPr="0080620A" w:rsidRDefault="00C26D2C" w:rsidP="009E249F">
      <w:pPr>
        <w:pStyle w:val="Normalnumber"/>
        <w:rPr>
          <w:rFonts w:eastAsia="Helvetica"/>
        </w:rPr>
      </w:pPr>
      <w:r w:rsidRPr="0080620A">
        <w:t>I</w:t>
      </w:r>
      <w:r w:rsidR="00B1107F" w:rsidRPr="0080620A">
        <w:t>ntegrated model</w:t>
      </w:r>
      <w:r w:rsidR="005767F7" w:rsidRPr="0080620A">
        <w:t>ling</w:t>
      </w:r>
      <w:r w:rsidR="00B1107F" w:rsidRPr="0080620A">
        <w:t xml:space="preserve"> frameworks seek to link </w:t>
      </w:r>
      <w:r w:rsidR="005767F7" w:rsidRPr="0080620A">
        <w:t xml:space="preserve">the </w:t>
      </w:r>
      <w:r w:rsidR="00B1107F" w:rsidRPr="0080620A">
        <w:t>various models used for different media</w:t>
      </w:r>
      <w:r w:rsidRPr="0080620A">
        <w:t xml:space="preserve"> to </w:t>
      </w:r>
      <w:r w:rsidR="00B1107F" w:rsidRPr="0080620A">
        <w:t xml:space="preserve">provide a tool for linking emissions of mercury to the atmosphere and releases to land and water to methylmercury </w:t>
      </w:r>
      <w:r w:rsidR="005767F7" w:rsidRPr="0080620A">
        <w:t xml:space="preserve">levels </w:t>
      </w:r>
      <w:r w:rsidR="00B1107F" w:rsidRPr="0080620A">
        <w:t xml:space="preserve">in fish and wildlife, and to exposure of some fish-consuming human populations. It </w:t>
      </w:r>
      <w:r w:rsidRPr="0080620A">
        <w:t>should be</w:t>
      </w:r>
      <w:r w:rsidR="00B1107F" w:rsidRPr="0080620A">
        <w:t xml:space="preserve"> noted</w:t>
      </w:r>
      <w:r w:rsidRPr="0080620A">
        <w:t>, however,</w:t>
      </w:r>
      <w:r w:rsidR="00B1107F" w:rsidRPr="0080620A">
        <w:t xml:space="preserve"> that </w:t>
      </w:r>
      <w:r w:rsidRPr="0080620A">
        <w:t>it is</w:t>
      </w:r>
      <w:r w:rsidR="00B1107F" w:rsidRPr="0080620A">
        <w:t xml:space="preserve"> difficult </w:t>
      </w:r>
      <w:r w:rsidRPr="0080620A">
        <w:t xml:space="preserve">to </w:t>
      </w:r>
      <w:r w:rsidR="00B1107F" w:rsidRPr="0080620A">
        <w:t xml:space="preserve">link human exposure and health outcomes due to the diversity of dietary preferences, food consumption patterns and individual variability in toxicokinetics affecting methylmercury uptake and elimination. </w:t>
      </w:r>
    </w:p>
    <w:p w14:paraId="5297E7A5" w14:textId="5C3B36A1" w:rsidR="00B1107F" w:rsidRPr="0080620A" w:rsidRDefault="00B1107F" w:rsidP="009E249F">
      <w:pPr>
        <w:pStyle w:val="Normalnumber"/>
      </w:pPr>
      <w:r w:rsidRPr="0080620A">
        <w:t xml:space="preserve">In addition to models that describe </w:t>
      </w:r>
      <w:r w:rsidR="00833C95" w:rsidRPr="0080620A">
        <w:t xml:space="preserve">the </w:t>
      </w:r>
      <w:r w:rsidRPr="0080620A">
        <w:t>behaviour of mercury in the environment and receptors, a variety of models and quantitative techniques can simulate socioeconomic systems to forecast where mercury is present in society and where it might eventually enter the environment. In this way</w:t>
      </w:r>
      <w:r w:rsidR="00D2018C" w:rsidRPr="0080620A">
        <w:t>,</w:t>
      </w:r>
      <w:r w:rsidRPr="0080620A">
        <w:t xml:space="preserve"> models can be used to develop scenarios that represent </w:t>
      </w:r>
      <w:r w:rsidR="00D2018C" w:rsidRPr="0080620A">
        <w:t xml:space="preserve">a </w:t>
      </w:r>
      <w:r w:rsidRPr="0080620A">
        <w:t>baseline and different policy alternatives. Inputs to these models include commercial data (e.g.</w:t>
      </w:r>
      <w:r w:rsidR="00D2018C" w:rsidRPr="0080620A">
        <w:t>,</w:t>
      </w:r>
      <w:r w:rsidRPr="0080620A">
        <w:t xml:space="preserve"> </w:t>
      </w:r>
      <w:r w:rsidR="00C04BFF" w:rsidRPr="0080620A">
        <w:t xml:space="preserve">the </w:t>
      </w:r>
      <w:r w:rsidRPr="0080620A">
        <w:t xml:space="preserve">amount of mercury in products), technological performance, economic information, energy data, demographic information, policy specifications and institutional analysis. Outputs can include </w:t>
      </w:r>
      <w:r w:rsidR="00D2018C" w:rsidRPr="0080620A">
        <w:t xml:space="preserve">mercury </w:t>
      </w:r>
      <w:r w:rsidRPr="0080620A">
        <w:t>emissions and releases and socioeconomic parameters. Other types of models that are relevant to understanding socioeconomic systems of relevance to mercury include life</w:t>
      </w:r>
      <w:r w:rsidR="00D2018C" w:rsidRPr="0080620A">
        <w:t xml:space="preserve"> </w:t>
      </w:r>
      <w:r w:rsidRPr="0080620A">
        <w:t xml:space="preserve">cycle analysis, material flow analysis, input-output and economic models. </w:t>
      </w:r>
    </w:p>
    <w:p w14:paraId="289E7B1C" w14:textId="6421F5E5" w:rsidR="00B1107F" w:rsidRPr="0080620A" w:rsidRDefault="00B1107F" w:rsidP="009E249F">
      <w:pPr>
        <w:pStyle w:val="Normalnumber"/>
        <w:rPr>
          <w:rFonts w:eastAsia="Helvetica"/>
        </w:rPr>
      </w:pPr>
      <w:r w:rsidRPr="0080620A">
        <w:t xml:space="preserve">Developing and evaluating integrated models draws on expertise that bridges natural science, social science and engineering. The components for an integrated modelling framework are currently undergoing rapid development in the scientific and academic community and should be available </w:t>
      </w:r>
      <w:r w:rsidR="00D2018C" w:rsidRPr="0080620A">
        <w:t>in the near future to add to</w:t>
      </w:r>
      <w:r w:rsidRPr="0080620A">
        <w:t xml:space="preserve"> our understanding of mercury cycling and its impacts. It is expected </w:t>
      </w:r>
      <w:r w:rsidR="00457BAD" w:rsidRPr="0080620A">
        <w:t xml:space="preserve">that </w:t>
      </w:r>
      <w:r w:rsidRPr="0080620A">
        <w:t xml:space="preserve">such models </w:t>
      </w:r>
      <w:r w:rsidR="00457BAD" w:rsidRPr="0080620A">
        <w:t xml:space="preserve">will be </w:t>
      </w:r>
      <w:r w:rsidRPr="0080620A">
        <w:t xml:space="preserve">available by 2023 for policy-relevant analyses. </w:t>
      </w:r>
    </w:p>
    <w:p w14:paraId="219D7B44" w14:textId="12A70CE2" w:rsidR="00B1107F" w:rsidRPr="00281BA3" w:rsidRDefault="00B66A03" w:rsidP="00BC69B4">
      <w:pPr>
        <w:pStyle w:val="CH2"/>
        <w:rPr>
          <w:u w:color="4F81BD"/>
        </w:rPr>
      </w:pPr>
      <w:r w:rsidRPr="0080620A">
        <w:rPr>
          <w:u w:color="4F81BD"/>
        </w:rPr>
        <w:tab/>
        <w:t>E</w:t>
      </w:r>
      <w:r w:rsidR="00B1107F" w:rsidRPr="0080620A">
        <w:rPr>
          <w:u w:color="4F81BD"/>
        </w:rPr>
        <w:t>.</w:t>
      </w:r>
      <w:r w:rsidRPr="0080620A">
        <w:rPr>
          <w:u w:color="4F81BD"/>
        </w:rPr>
        <w:tab/>
      </w:r>
      <w:r w:rsidR="00B1107F" w:rsidRPr="00281BA3">
        <w:rPr>
          <w:u w:color="4F81BD"/>
        </w:rPr>
        <w:t>Scientific and technical functions</w:t>
      </w:r>
    </w:p>
    <w:p w14:paraId="46F30EE6" w14:textId="7C86823D" w:rsidR="00B1107F" w:rsidRPr="00281BA3" w:rsidRDefault="00B1107F" w:rsidP="009E249F">
      <w:pPr>
        <w:pStyle w:val="Normalnumber"/>
      </w:pPr>
      <w:r w:rsidRPr="00281BA3">
        <w:t>The</w:t>
      </w:r>
      <w:r w:rsidRPr="00281BA3">
        <w:rPr>
          <w:iCs/>
          <w:u w:color="4F81BD"/>
        </w:rPr>
        <w:t xml:space="preserve"> </w:t>
      </w:r>
      <w:r w:rsidR="00D2018C" w:rsidRPr="00281BA3">
        <w:rPr>
          <w:iCs/>
          <w:u w:color="4F81BD"/>
        </w:rPr>
        <w:t xml:space="preserve">Minamata effectiveness evaluation </w:t>
      </w:r>
      <w:r w:rsidRPr="00281BA3">
        <w:rPr>
          <w:iCs/>
          <w:u w:color="4F81BD"/>
        </w:rPr>
        <w:t xml:space="preserve">framework </w:t>
      </w:r>
      <w:r w:rsidRPr="00281BA3">
        <w:t>foresees</w:t>
      </w:r>
      <w:r w:rsidRPr="00281BA3">
        <w:rPr>
          <w:iCs/>
          <w:u w:color="4F81BD"/>
        </w:rPr>
        <w:t xml:space="preserve"> four scientific and technical function</w:t>
      </w:r>
      <w:r w:rsidRPr="00281BA3">
        <w:t xml:space="preserve">s to </w:t>
      </w:r>
      <w:r w:rsidR="00BA7625" w:rsidRPr="00281BA3">
        <w:t xml:space="preserve">be </w:t>
      </w:r>
      <w:r w:rsidRPr="00281BA3">
        <w:t>performed for the effectiveness evaluation, namely</w:t>
      </w:r>
      <w:r w:rsidR="00D907C9">
        <w:t>,</w:t>
      </w:r>
      <w:r w:rsidRPr="00281BA3">
        <w:t xml:space="preserve"> monitoring, synthesis, modelling and attribution (when possible), and integration. These function</w:t>
      </w:r>
      <w:r w:rsidR="00330B20" w:rsidRPr="00281BA3">
        <w:t>s</w:t>
      </w:r>
      <w:r w:rsidRPr="00281BA3">
        <w:t xml:space="preserve"> </w:t>
      </w:r>
      <w:r w:rsidR="003125D2" w:rsidRPr="00281BA3">
        <w:t xml:space="preserve">come into play </w:t>
      </w:r>
      <w:r w:rsidRPr="00281BA3">
        <w:t xml:space="preserve">at different levels of the framework. </w:t>
      </w:r>
    </w:p>
    <w:p w14:paraId="6961A485" w14:textId="40CF95D5" w:rsidR="002978D6" w:rsidRPr="001B5022" w:rsidRDefault="002978D6" w:rsidP="009E249F">
      <w:pPr>
        <w:pStyle w:val="Normalnumber"/>
      </w:pPr>
      <w:r w:rsidRPr="00281BA3">
        <w:t>On synthesis, this scientific and technical function entails collecting and compiling information from level</w:t>
      </w:r>
      <w:r w:rsidR="008D6DA4" w:rsidRPr="00281BA3">
        <w:t>s</w:t>
      </w:r>
      <w:r w:rsidRPr="00281BA3">
        <w:t xml:space="preserve"> 1 </w:t>
      </w:r>
      <w:r w:rsidR="008D6DA4" w:rsidRPr="00281BA3">
        <w:t>and</w:t>
      </w:r>
      <w:r w:rsidRPr="00281BA3">
        <w:t xml:space="preserve"> 2. This function is conducted at level 3. The function is delivered by/through the </w:t>
      </w:r>
      <w:r w:rsidRPr="001B5022">
        <w:t xml:space="preserve">secretariat with/through </w:t>
      </w:r>
      <w:r w:rsidR="0090361B" w:rsidRPr="001B5022">
        <w:t>partners</w:t>
      </w:r>
      <w:r w:rsidRPr="001B5022">
        <w:t xml:space="preserve">. Besides the </w:t>
      </w:r>
      <w:r w:rsidR="009C6D79" w:rsidRPr="001B5022">
        <w:t>m</w:t>
      </w:r>
      <w:r w:rsidRPr="001B5022">
        <w:t xml:space="preserve">onitoring </w:t>
      </w:r>
      <w:r w:rsidR="009C6D79" w:rsidRPr="001B5022">
        <w:t>r</w:t>
      </w:r>
      <w:r w:rsidRPr="001B5022">
        <w:t xml:space="preserve">eport mentioned above, the </w:t>
      </w:r>
      <w:r w:rsidR="009F0EB7" w:rsidRPr="001B5022">
        <w:t xml:space="preserve">effectiveness evaluation </w:t>
      </w:r>
      <w:r w:rsidRPr="001B5022">
        <w:t xml:space="preserve">framework foresees the production of the following additional four synthesis reports: the </w:t>
      </w:r>
      <w:r w:rsidR="009C6D79" w:rsidRPr="001B5022">
        <w:t>a</w:t>
      </w:r>
      <w:r w:rsidRPr="001B5022">
        <w:t xml:space="preserve">rticle 21 </w:t>
      </w:r>
      <w:r w:rsidR="009C6D79" w:rsidRPr="001B5022">
        <w:t>s</w:t>
      </w:r>
      <w:r w:rsidRPr="001B5022">
        <w:t xml:space="preserve">ynthesis </w:t>
      </w:r>
      <w:r w:rsidR="009C6D79" w:rsidRPr="001B5022">
        <w:t>r</w:t>
      </w:r>
      <w:r w:rsidRPr="001B5022">
        <w:t xml:space="preserve">eport, the </w:t>
      </w:r>
      <w:r w:rsidR="009C6D79" w:rsidRPr="001B5022">
        <w:t>e</w:t>
      </w:r>
      <w:r w:rsidRPr="001B5022">
        <w:t xml:space="preserve">missions and </w:t>
      </w:r>
      <w:r w:rsidR="009C6D79" w:rsidRPr="001B5022">
        <w:t>r</w:t>
      </w:r>
      <w:r w:rsidRPr="001B5022">
        <w:t xml:space="preserve">eleases </w:t>
      </w:r>
      <w:r w:rsidR="009C6D79" w:rsidRPr="001B5022">
        <w:t>r</w:t>
      </w:r>
      <w:r w:rsidRPr="001B5022">
        <w:t xml:space="preserve">eport, the </w:t>
      </w:r>
      <w:r w:rsidR="009C6D79" w:rsidRPr="001B5022">
        <w:t>t</w:t>
      </w:r>
      <w:r w:rsidRPr="001B5022">
        <w:t xml:space="preserve">rade, </w:t>
      </w:r>
      <w:r w:rsidR="009C6D79" w:rsidRPr="001B5022">
        <w:t>s</w:t>
      </w:r>
      <w:r w:rsidRPr="001B5022">
        <w:t xml:space="preserve">upply and </w:t>
      </w:r>
      <w:r w:rsidR="009C6D79" w:rsidRPr="001B5022">
        <w:t>d</w:t>
      </w:r>
      <w:r w:rsidRPr="001B5022">
        <w:t xml:space="preserve">emand </w:t>
      </w:r>
      <w:r w:rsidR="009C6D79" w:rsidRPr="001B5022">
        <w:t>r</w:t>
      </w:r>
      <w:r w:rsidRPr="001B5022">
        <w:t xml:space="preserve">eport and the </w:t>
      </w:r>
      <w:r w:rsidR="009C6D79" w:rsidRPr="001B5022">
        <w:t>w</w:t>
      </w:r>
      <w:r w:rsidRPr="001B5022">
        <w:t xml:space="preserve">aste </w:t>
      </w:r>
      <w:r w:rsidR="009C6D79" w:rsidRPr="001B5022">
        <w:t>r</w:t>
      </w:r>
      <w:r w:rsidRPr="001B5022">
        <w:t xml:space="preserve">eport. </w:t>
      </w:r>
    </w:p>
    <w:p w14:paraId="60F49B2E" w14:textId="266ACF4F" w:rsidR="00971D2C" w:rsidRPr="00281BA3" w:rsidRDefault="009819C3" w:rsidP="009E249F">
      <w:pPr>
        <w:pStyle w:val="Normalnumber"/>
      </w:pPr>
      <w:r w:rsidRPr="001B5022">
        <w:t xml:space="preserve">On </w:t>
      </w:r>
      <w:r w:rsidR="00971D2C" w:rsidRPr="001B5022">
        <w:t>monitoring</w:t>
      </w:r>
      <w:r w:rsidRPr="001B5022">
        <w:t>, this scientific and technical</w:t>
      </w:r>
      <w:r w:rsidR="00971D2C" w:rsidRPr="001B5022">
        <w:t xml:space="preserve"> function entails compiling, assessing and summarizing available monitoring data, as per the global monitoring arrangements set out in appendix III, to describe the current state of mercury concentrations and trends in the environment, biotic media and vulnerable populations, working with modelling experts as appropriate. This function is to be performed by the monitoring</w:t>
      </w:r>
      <w:r w:rsidR="00971D2C" w:rsidRPr="00281BA3">
        <w:t xml:space="preserve"> group, which will develop the monitoring report at level 3. The monitoring report will be submitted to the Effectiveness Evaluation Committee for its consideration and formulation of findings. The monitoring report and work of the monitoring group will also be input to an attribution report when such a report is being developed by the modelling subgroup, at level 4</w:t>
      </w:r>
      <w:r w:rsidR="00BC69B4">
        <w:t>.</w:t>
      </w:r>
    </w:p>
    <w:p w14:paraId="193F2236" w14:textId="76E9866F" w:rsidR="00B1107F" w:rsidRPr="00281BA3" w:rsidRDefault="00B1107F" w:rsidP="009E249F">
      <w:pPr>
        <w:pStyle w:val="Normalnumber"/>
      </w:pPr>
      <w:r w:rsidRPr="00281BA3">
        <w:t>On</w:t>
      </w:r>
      <w:r w:rsidR="00BA7625" w:rsidRPr="00281BA3">
        <w:t xml:space="preserve"> </w:t>
      </w:r>
      <w:r w:rsidR="002978D6" w:rsidRPr="00281BA3">
        <w:t>attribution</w:t>
      </w:r>
      <w:r w:rsidRPr="00281BA3">
        <w:t xml:space="preserve">, this scientific and technical function entails analysing the contribution of emissions and releases covered by the Convention to overall mercury concentrations in the environment, </w:t>
      </w:r>
      <w:r w:rsidR="001D256E" w:rsidRPr="00281BA3">
        <w:t>biotic media and vulnerable populations</w:t>
      </w:r>
      <w:r w:rsidRPr="00281BA3">
        <w:t xml:space="preserve">. This function </w:t>
      </w:r>
      <w:r w:rsidR="00951C4A" w:rsidRPr="00281BA3">
        <w:t>will</w:t>
      </w:r>
      <w:r w:rsidRPr="00281BA3">
        <w:t xml:space="preserve"> be </w:t>
      </w:r>
      <w:r w:rsidR="00951C4A" w:rsidRPr="00281BA3">
        <w:t xml:space="preserve">filled </w:t>
      </w:r>
      <w:r w:rsidRPr="00281BA3">
        <w:t xml:space="preserve">by the </w:t>
      </w:r>
      <w:r w:rsidR="003C4FEC" w:rsidRPr="00281BA3">
        <w:t>m</w:t>
      </w:r>
      <w:r w:rsidRPr="00281BA3">
        <w:t xml:space="preserve">odelling </w:t>
      </w:r>
      <w:r w:rsidR="003C4FEC" w:rsidRPr="00281BA3">
        <w:t>s</w:t>
      </w:r>
      <w:r w:rsidRPr="00281BA3">
        <w:t>ub</w:t>
      </w:r>
      <w:r w:rsidR="003C4FEC" w:rsidRPr="00281BA3">
        <w:t>g</w:t>
      </w:r>
      <w:r w:rsidRPr="00281BA3">
        <w:t>roup</w:t>
      </w:r>
      <w:r w:rsidR="00951C4A" w:rsidRPr="00281BA3">
        <w:t xml:space="preserve"> once</w:t>
      </w:r>
      <w:r w:rsidRPr="00281BA3">
        <w:t xml:space="preserve"> established. This function </w:t>
      </w:r>
      <w:r w:rsidR="00951C4A" w:rsidRPr="00281BA3">
        <w:t>will be</w:t>
      </w:r>
      <w:r w:rsidRPr="00281BA3">
        <w:t xml:space="preserve"> conducted at level 4 and will estimate future mercury concentrations </w:t>
      </w:r>
      <w:r w:rsidR="0090361B" w:rsidRPr="00281BA3">
        <w:t>to capture</w:t>
      </w:r>
      <w:r w:rsidRPr="00281BA3">
        <w:t xml:space="preserve"> </w:t>
      </w:r>
      <w:r w:rsidR="00951C4A" w:rsidRPr="00281BA3">
        <w:t xml:space="preserve">the </w:t>
      </w:r>
      <w:r w:rsidRPr="00281BA3">
        <w:t>overall impacts of mercury emissions and releases</w:t>
      </w:r>
      <w:r w:rsidR="00951C4A" w:rsidRPr="00281BA3">
        <w:t>,</w:t>
      </w:r>
      <w:r w:rsidRPr="00281BA3">
        <w:t xml:space="preserve"> from legacy </w:t>
      </w:r>
      <w:r w:rsidR="00951C4A" w:rsidRPr="00281BA3">
        <w:t xml:space="preserve">to predicted future </w:t>
      </w:r>
      <w:r w:rsidRPr="00281BA3">
        <w:t>emissions and releases</w:t>
      </w:r>
      <w:r w:rsidR="00951C4A" w:rsidRPr="00281BA3">
        <w:t>,</w:t>
      </w:r>
      <w:r w:rsidRPr="00281BA3">
        <w:t xml:space="preserve"> under various scenarios</w:t>
      </w:r>
      <w:r w:rsidR="00951C4A" w:rsidRPr="00281BA3">
        <w:t>,</w:t>
      </w:r>
      <w:r w:rsidRPr="00281BA3">
        <w:t xml:space="preserve"> based on the reports made available in the effectiveness evaluation process</w:t>
      </w:r>
      <w:r w:rsidR="00875ED5" w:rsidRPr="00281BA3">
        <w:t>,</w:t>
      </w:r>
      <w:r w:rsidRPr="00281BA3">
        <w:t xml:space="preserve"> as well as available relevant socioeconomic information. </w:t>
      </w:r>
    </w:p>
    <w:p w14:paraId="5671441C" w14:textId="61FE9EB4" w:rsidR="00B1107F" w:rsidRPr="0080620A" w:rsidRDefault="00B1107F" w:rsidP="009E249F">
      <w:pPr>
        <w:pStyle w:val="Normalnumber"/>
      </w:pPr>
      <w:r w:rsidRPr="00281BA3">
        <w:t xml:space="preserve">On integration, this scientific and technical function </w:t>
      </w:r>
      <w:r w:rsidR="00951C4A" w:rsidRPr="00281BA3">
        <w:t xml:space="preserve">will </w:t>
      </w:r>
      <w:r w:rsidRPr="00281BA3">
        <w:t xml:space="preserve">occur at level 5 and </w:t>
      </w:r>
      <w:r w:rsidR="00875ED5" w:rsidRPr="00281BA3">
        <w:t>involve</w:t>
      </w:r>
      <w:r w:rsidRPr="00281BA3">
        <w:t xml:space="preserve"> interpret</w:t>
      </w:r>
      <w:r w:rsidR="0090361B" w:rsidRPr="00281BA3">
        <w:t>ing</w:t>
      </w:r>
      <w:r w:rsidRPr="00281BA3">
        <w:t xml:space="preserve"> the information and knowledge collected, compiled and synthesi</w:t>
      </w:r>
      <w:r w:rsidR="007129E3" w:rsidRPr="00281BA3">
        <w:t>z</w:t>
      </w:r>
      <w:r w:rsidRPr="00281BA3">
        <w:t xml:space="preserve">ed (including the </w:t>
      </w:r>
      <w:r w:rsidR="003C4FEC" w:rsidRPr="00281BA3">
        <w:t>a</w:t>
      </w:r>
      <w:r w:rsidRPr="00281BA3">
        <w:t xml:space="preserve">ttribution </w:t>
      </w:r>
      <w:r w:rsidR="003C4FEC" w:rsidRPr="00281BA3">
        <w:t>r</w:t>
      </w:r>
      <w:r w:rsidRPr="00281BA3">
        <w:t xml:space="preserve">eport when available) to </w:t>
      </w:r>
      <w:r w:rsidR="00875ED5" w:rsidRPr="00281BA3">
        <w:t xml:space="preserve">determine </w:t>
      </w:r>
      <w:r w:rsidRPr="00281BA3">
        <w:t xml:space="preserve">the linkages between policy action, emission reductions </w:t>
      </w:r>
      <w:r w:rsidRPr="00281BA3">
        <w:lastRenderedPageBreak/>
        <w:t>and mercury levels</w:t>
      </w:r>
      <w:r w:rsidR="0090361B" w:rsidRPr="00281BA3">
        <w:t>,</w:t>
      </w:r>
      <w:r w:rsidRPr="00281BA3">
        <w:t xml:space="preserve"> and </w:t>
      </w:r>
      <w:r w:rsidR="0090361B" w:rsidRPr="00281BA3">
        <w:t xml:space="preserve">to </w:t>
      </w:r>
      <w:r w:rsidRPr="00281BA3">
        <w:t>formulate findings on the effectiveness of the Convention. This</w:t>
      </w:r>
      <w:r w:rsidRPr="0080620A">
        <w:t xml:space="preserve"> function is </w:t>
      </w:r>
      <w:r w:rsidR="0090361B" w:rsidRPr="0080620A">
        <w:t xml:space="preserve">to be </w:t>
      </w:r>
      <w:r w:rsidRPr="0080620A">
        <w:t xml:space="preserve">delivered by the Effectiveness Evaluation Committee. </w:t>
      </w:r>
      <w:r w:rsidRPr="0080620A">
        <w:rPr>
          <w:u w:color="4F81BD"/>
        </w:rPr>
        <w:t xml:space="preserve">The draft terms of </w:t>
      </w:r>
      <w:r w:rsidRPr="0080620A">
        <w:t>reference</w:t>
      </w:r>
      <w:r w:rsidRPr="0080620A">
        <w:rPr>
          <w:u w:color="4F81BD"/>
        </w:rPr>
        <w:t xml:space="preserve"> for the </w:t>
      </w:r>
      <w:r w:rsidR="00797100" w:rsidRPr="0080620A">
        <w:rPr>
          <w:u w:color="4F81BD"/>
        </w:rPr>
        <w:t>C</w:t>
      </w:r>
      <w:r w:rsidRPr="0080620A">
        <w:rPr>
          <w:u w:color="4F81BD"/>
        </w:rPr>
        <w:t xml:space="preserve">ommittee are found in </w:t>
      </w:r>
      <w:r w:rsidR="003C4FEC" w:rsidRPr="0080620A">
        <w:rPr>
          <w:u w:color="4F81BD"/>
        </w:rPr>
        <w:t>a</w:t>
      </w:r>
      <w:r w:rsidRPr="0080620A">
        <w:rPr>
          <w:u w:color="4F81BD"/>
        </w:rPr>
        <w:t xml:space="preserve">ppendix II. In formulating its </w:t>
      </w:r>
      <w:r w:rsidR="00DA7B0F" w:rsidRPr="0080620A">
        <w:rPr>
          <w:u w:color="4F81BD"/>
        </w:rPr>
        <w:t>findings,</w:t>
      </w:r>
      <w:r w:rsidRPr="0080620A">
        <w:rPr>
          <w:u w:color="4F81BD"/>
        </w:rPr>
        <w:t xml:space="preserve"> the </w:t>
      </w:r>
      <w:r w:rsidR="00797100" w:rsidRPr="0080620A">
        <w:rPr>
          <w:u w:color="4F81BD"/>
        </w:rPr>
        <w:t>C</w:t>
      </w:r>
      <w:r w:rsidRPr="0080620A">
        <w:rPr>
          <w:u w:color="4F81BD"/>
        </w:rPr>
        <w:t xml:space="preserve">ommittee will indicate where the objective of the Convention is being met and where </w:t>
      </w:r>
      <w:r w:rsidR="00951C4A" w:rsidRPr="0080620A">
        <w:rPr>
          <w:u w:color="4F81BD"/>
        </w:rPr>
        <w:t xml:space="preserve">it is </w:t>
      </w:r>
      <w:r w:rsidRPr="0080620A">
        <w:rPr>
          <w:u w:color="4F81BD"/>
        </w:rPr>
        <w:t>not</w:t>
      </w:r>
      <w:r w:rsidR="00951C4A" w:rsidRPr="0080620A">
        <w:rPr>
          <w:u w:color="4F81BD"/>
        </w:rPr>
        <w:t xml:space="preserve"> being met</w:t>
      </w:r>
      <w:r w:rsidRPr="0080620A">
        <w:rPr>
          <w:u w:color="4F81BD"/>
        </w:rPr>
        <w:t>.</w:t>
      </w:r>
    </w:p>
    <w:p w14:paraId="35E91991" w14:textId="36402E00" w:rsidR="00B1107F" w:rsidRPr="0080620A" w:rsidRDefault="00B66A03" w:rsidP="00B66A03">
      <w:pPr>
        <w:pStyle w:val="CH2"/>
      </w:pPr>
      <w:r w:rsidRPr="0080620A">
        <w:tab/>
        <w:t>F</w:t>
      </w:r>
      <w:r w:rsidR="00B1107F" w:rsidRPr="0080620A">
        <w:t>.</w:t>
      </w:r>
      <w:r w:rsidRPr="0080620A">
        <w:tab/>
      </w:r>
      <w:r w:rsidR="00B1107F" w:rsidRPr="0080620A">
        <w:t xml:space="preserve">Institutional </w:t>
      </w:r>
      <w:r w:rsidR="00EA5C32" w:rsidRPr="0080620A">
        <w:t>a</w:t>
      </w:r>
      <w:r w:rsidR="00B1107F" w:rsidRPr="0080620A">
        <w:t xml:space="preserve">rrangements for the </w:t>
      </w:r>
      <w:r w:rsidR="00EA5C32" w:rsidRPr="0080620A">
        <w:t>e</w:t>
      </w:r>
      <w:r w:rsidR="00B1107F" w:rsidRPr="0080620A">
        <w:t xml:space="preserve">ffectiveness </w:t>
      </w:r>
      <w:r w:rsidR="00EA5C32" w:rsidRPr="0080620A">
        <w:t>e</w:t>
      </w:r>
      <w:r w:rsidR="00B1107F" w:rsidRPr="0080620A">
        <w:t>valuation</w:t>
      </w:r>
    </w:p>
    <w:p w14:paraId="4A86ADB6" w14:textId="1434D0B2" w:rsidR="00B1107F" w:rsidRPr="0080620A" w:rsidRDefault="00B1107F" w:rsidP="009E249F">
      <w:pPr>
        <w:pStyle w:val="Normalnumber"/>
        <w:rPr>
          <w:iCs/>
          <w:u w:color="4F81BD"/>
        </w:rPr>
      </w:pPr>
      <w:r w:rsidRPr="0080620A">
        <w:t xml:space="preserve">To implement the effectiveness evaluation process described thus far, the framework identifies </w:t>
      </w:r>
      <w:r w:rsidR="007D7CD3" w:rsidRPr="0080620A">
        <w:t>the various</w:t>
      </w:r>
      <w:r w:rsidRPr="0080620A">
        <w:t xml:space="preserve"> entities that deliver input</w:t>
      </w:r>
      <w:r w:rsidR="007D7CD3" w:rsidRPr="0080620A">
        <w:t>s,</w:t>
      </w:r>
      <w:r w:rsidRPr="0080620A">
        <w:t xml:space="preserve"> and </w:t>
      </w:r>
      <w:r w:rsidR="007D7CD3" w:rsidRPr="0080620A">
        <w:t xml:space="preserve">identifies </w:t>
      </w:r>
      <w:r w:rsidRPr="0080620A">
        <w:t>tasks</w:t>
      </w:r>
      <w:r w:rsidR="007D7CD3" w:rsidRPr="0080620A">
        <w:t xml:space="preserve"> such as</w:t>
      </w:r>
      <w:r w:rsidRPr="0080620A">
        <w:t xml:space="preserve"> compil</w:t>
      </w:r>
      <w:r w:rsidR="007D7CD3" w:rsidRPr="0080620A">
        <w:t>ing</w:t>
      </w:r>
      <w:r w:rsidRPr="0080620A">
        <w:t>, summariz</w:t>
      </w:r>
      <w:r w:rsidR="007D7CD3" w:rsidRPr="0080620A">
        <w:t>ing</w:t>
      </w:r>
      <w:r w:rsidRPr="0080620A">
        <w:t xml:space="preserve"> and integrat</w:t>
      </w:r>
      <w:r w:rsidR="007D7CD3" w:rsidRPr="0080620A">
        <w:t>ing</w:t>
      </w:r>
      <w:r w:rsidRPr="0080620A">
        <w:t xml:space="preserve"> data and knowledge, and perform</w:t>
      </w:r>
      <w:r w:rsidR="007D7CD3" w:rsidRPr="0080620A">
        <w:t>ing</w:t>
      </w:r>
      <w:r w:rsidRPr="0080620A">
        <w:t xml:space="preserve"> relevant scientific and technical analyses at the various levels. </w:t>
      </w:r>
      <w:r w:rsidR="006053AF" w:rsidRPr="0080620A">
        <w:t xml:space="preserve">Figure </w:t>
      </w:r>
      <w:r w:rsidRPr="0080620A">
        <w:t xml:space="preserve">2 </w:t>
      </w:r>
      <w:r w:rsidR="00BB2F17" w:rsidRPr="0080620A">
        <w:t>depicts</w:t>
      </w:r>
      <w:r w:rsidRPr="0080620A">
        <w:t xml:space="preserve"> the data inputs, the analys</w:t>
      </w:r>
      <w:r w:rsidR="00EA5C32" w:rsidRPr="0080620A">
        <w:t>i</w:t>
      </w:r>
      <w:r w:rsidRPr="0080620A">
        <w:t>s outputs and the flow of</w:t>
      </w:r>
      <w:r w:rsidRPr="0080620A">
        <w:rPr>
          <w:iCs/>
          <w:u w:color="4F81BD"/>
        </w:rPr>
        <w:t xml:space="preserve"> information and knowledge between the entities. The entities identified are: the </w:t>
      </w:r>
      <w:r w:rsidR="00EA5C32" w:rsidRPr="0080620A">
        <w:rPr>
          <w:iCs/>
          <w:u w:color="4F81BD"/>
        </w:rPr>
        <w:t>p</w:t>
      </w:r>
      <w:r w:rsidRPr="0080620A">
        <w:rPr>
          <w:iCs/>
          <w:u w:color="4F81BD"/>
        </w:rPr>
        <w:t xml:space="preserve">arties to the Convention, the </w:t>
      </w:r>
      <w:r w:rsidR="00EA5C32" w:rsidRPr="0080620A">
        <w:rPr>
          <w:iCs/>
          <w:u w:color="4F81BD"/>
        </w:rPr>
        <w:t>s</w:t>
      </w:r>
      <w:r w:rsidRPr="0080620A">
        <w:rPr>
          <w:iCs/>
          <w:u w:color="4F81BD"/>
        </w:rPr>
        <w:t xml:space="preserve">ecretariat, </w:t>
      </w:r>
      <w:r w:rsidR="00EA5C32" w:rsidRPr="0080620A">
        <w:rPr>
          <w:iCs/>
          <w:u w:color="4F81BD"/>
        </w:rPr>
        <w:t>s</w:t>
      </w:r>
      <w:r w:rsidRPr="0080620A">
        <w:rPr>
          <w:iCs/>
          <w:u w:color="4F81BD"/>
        </w:rPr>
        <w:t xml:space="preserve">ecretariat </w:t>
      </w:r>
      <w:r w:rsidR="007453EA">
        <w:rPr>
          <w:iCs/>
          <w:u w:color="4F81BD"/>
        </w:rPr>
        <w:t xml:space="preserve">collaboration </w:t>
      </w:r>
      <w:r w:rsidR="007D7CD3" w:rsidRPr="0080620A">
        <w:rPr>
          <w:iCs/>
          <w:u w:color="4F81BD"/>
        </w:rPr>
        <w:t xml:space="preserve">partners </w:t>
      </w:r>
      <w:r w:rsidRPr="0080620A">
        <w:rPr>
          <w:iCs/>
          <w:u w:color="4F81BD"/>
        </w:rPr>
        <w:t>(</w:t>
      </w:r>
      <w:r w:rsidR="00BB2F17" w:rsidRPr="0080620A">
        <w:rPr>
          <w:iCs/>
          <w:u w:color="4F81BD"/>
        </w:rPr>
        <w:t>in</w:t>
      </w:r>
      <w:r w:rsidRPr="0080620A">
        <w:rPr>
          <w:iCs/>
          <w:u w:color="4F81BD"/>
        </w:rPr>
        <w:t xml:space="preserve"> the form of institutional collaboration or contracted collaboration), the </w:t>
      </w:r>
      <w:r w:rsidR="00EA5C32" w:rsidRPr="0080620A">
        <w:rPr>
          <w:iCs/>
          <w:u w:color="4F81BD"/>
        </w:rPr>
        <w:t>m</w:t>
      </w:r>
      <w:r w:rsidRPr="0080620A">
        <w:rPr>
          <w:iCs/>
          <w:u w:color="4F81BD"/>
        </w:rPr>
        <w:t xml:space="preserve">onitoring </w:t>
      </w:r>
      <w:r w:rsidR="00EA5C32" w:rsidRPr="0080620A">
        <w:rPr>
          <w:iCs/>
          <w:u w:color="4F81BD"/>
        </w:rPr>
        <w:t>g</w:t>
      </w:r>
      <w:r w:rsidRPr="0080620A">
        <w:rPr>
          <w:iCs/>
          <w:u w:color="4F81BD"/>
        </w:rPr>
        <w:t>roup</w:t>
      </w:r>
      <w:r w:rsidR="00110CD6" w:rsidRPr="0080620A">
        <w:rPr>
          <w:iCs/>
          <w:u w:color="4F81BD"/>
        </w:rPr>
        <w:t xml:space="preserve"> (see </w:t>
      </w:r>
      <w:r w:rsidR="00EA5C32" w:rsidRPr="0080620A">
        <w:rPr>
          <w:iCs/>
          <w:u w:color="4F81BD"/>
        </w:rPr>
        <w:t>a</w:t>
      </w:r>
      <w:r w:rsidR="00110CD6" w:rsidRPr="0080620A">
        <w:rPr>
          <w:iCs/>
          <w:u w:color="4F81BD"/>
        </w:rPr>
        <w:t>ppendix III)</w:t>
      </w:r>
      <w:r w:rsidRPr="0080620A">
        <w:rPr>
          <w:iCs/>
          <w:u w:color="4F81BD"/>
        </w:rPr>
        <w:t xml:space="preserve">, the possible </w:t>
      </w:r>
      <w:r w:rsidR="00EA5C32" w:rsidRPr="0080620A">
        <w:rPr>
          <w:iCs/>
          <w:u w:color="4F81BD"/>
        </w:rPr>
        <w:t>m</w:t>
      </w:r>
      <w:r w:rsidRPr="0080620A">
        <w:rPr>
          <w:iCs/>
          <w:u w:color="4F81BD"/>
        </w:rPr>
        <w:t xml:space="preserve">odelling </w:t>
      </w:r>
      <w:r w:rsidR="00EA5C32" w:rsidRPr="0080620A">
        <w:rPr>
          <w:iCs/>
          <w:u w:color="4F81BD"/>
        </w:rPr>
        <w:t>s</w:t>
      </w:r>
      <w:r w:rsidRPr="0080620A">
        <w:rPr>
          <w:iCs/>
          <w:u w:color="4F81BD"/>
        </w:rPr>
        <w:t>ub</w:t>
      </w:r>
      <w:r w:rsidR="00EA5C32" w:rsidRPr="0080620A">
        <w:rPr>
          <w:iCs/>
          <w:u w:color="4F81BD"/>
        </w:rPr>
        <w:t>g</w:t>
      </w:r>
      <w:r w:rsidRPr="0080620A">
        <w:rPr>
          <w:iCs/>
          <w:u w:color="4F81BD"/>
        </w:rPr>
        <w:t>roup</w:t>
      </w:r>
      <w:r w:rsidR="00110CD6" w:rsidRPr="0080620A">
        <w:rPr>
          <w:iCs/>
          <w:u w:color="4F81BD"/>
        </w:rPr>
        <w:t xml:space="preserve"> (see </w:t>
      </w:r>
      <w:r w:rsidR="00EA5C32" w:rsidRPr="0080620A">
        <w:rPr>
          <w:iCs/>
          <w:u w:color="4F81BD"/>
        </w:rPr>
        <w:t>a</w:t>
      </w:r>
      <w:r w:rsidR="00110CD6" w:rsidRPr="0080620A">
        <w:rPr>
          <w:iCs/>
          <w:u w:color="4F81BD"/>
        </w:rPr>
        <w:t>ppendix IV)</w:t>
      </w:r>
      <w:r w:rsidRPr="0080620A">
        <w:rPr>
          <w:iCs/>
          <w:u w:color="4F81BD"/>
        </w:rPr>
        <w:t xml:space="preserve">, the Effectiveness Evaluation Committee </w:t>
      </w:r>
      <w:r w:rsidR="00110CD6" w:rsidRPr="0080620A">
        <w:rPr>
          <w:iCs/>
          <w:u w:color="4F81BD"/>
        </w:rPr>
        <w:t xml:space="preserve">(see </w:t>
      </w:r>
      <w:r w:rsidR="00EA5C32" w:rsidRPr="0080620A">
        <w:rPr>
          <w:iCs/>
          <w:u w:color="4F81BD"/>
        </w:rPr>
        <w:t>a</w:t>
      </w:r>
      <w:r w:rsidR="00110CD6" w:rsidRPr="0080620A">
        <w:rPr>
          <w:iCs/>
          <w:u w:color="4F81BD"/>
        </w:rPr>
        <w:t xml:space="preserve">ppendix II) </w:t>
      </w:r>
      <w:r w:rsidRPr="0080620A">
        <w:rPr>
          <w:iCs/>
          <w:u w:color="4F81BD"/>
        </w:rPr>
        <w:t xml:space="preserve">and the Conference of the Parties. </w:t>
      </w:r>
    </w:p>
    <w:p w14:paraId="0A3498DA" w14:textId="2F87C537" w:rsidR="00E537C4" w:rsidRPr="0080620A" w:rsidRDefault="00E537C4" w:rsidP="00C54064">
      <w:pPr>
        <w:pStyle w:val="Titlefigure"/>
        <w:rPr>
          <w:bCs/>
        </w:rPr>
      </w:pPr>
      <w:r w:rsidRPr="00C54064">
        <w:rPr>
          <w:b w:val="0"/>
        </w:rPr>
        <w:t xml:space="preserve">Figure </w:t>
      </w:r>
      <w:r w:rsidRPr="00C54064">
        <w:rPr>
          <w:b w:val="0"/>
        </w:rPr>
        <w:fldChar w:fldCharType="begin"/>
      </w:r>
      <w:r w:rsidRPr="00C54064">
        <w:rPr>
          <w:b w:val="0"/>
        </w:rPr>
        <w:instrText xml:space="preserve"> SEQ Figure \* ARABIC </w:instrText>
      </w:r>
      <w:r w:rsidRPr="00C54064">
        <w:rPr>
          <w:b w:val="0"/>
        </w:rPr>
        <w:fldChar w:fldCharType="separate"/>
      </w:r>
      <w:r w:rsidR="00A929BE">
        <w:rPr>
          <w:b w:val="0"/>
          <w:noProof/>
        </w:rPr>
        <w:t>2</w:t>
      </w:r>
      <w:r w:rsidRPr="00C54064">
        <w:rPr>
          <w:b w:val="0"/>
        </w:rPr>
        <w:fldChar w:fldCharType="end"/>
      </w:r>
      <w:r w:rsidR="00C54064" w:rsidRPr="00C54064">
        <w:rPr>
          <w:b w:val="0"/>
        </w:rPr>
        <w:t xml:space="preserve"> </w:t>
      </w:r>
      <w:r w:rsidR="00C54064" w:rsidRPr="00C54064">
        <w:rPr>
          <w:b w:val="0"/>
        </w:rPr>
        <w:br/>
      </w:r>
      <w:r w:rsidRPr="0080620A">
        <w:rPr>
          <w:bCs/>
        </w:rPr>
        <w:t xml:space="preserve">Framework </w:t>
      </w:r>
      <w:r w:rsidR="007E07DA" w:rsidRPr="0080620A">
        <w:rPr>
          <w:bCs/>
        </w:rPr>
        <w:t xml:space="preserve">institutional </w:t>
      </w:r>
      <w:r w:rsidRPr="0080620A">
        <w:rPr>
          <w:bCs/>
        </w:rPr>
        <w:t>arrangements</w:t>
      </w:r>
    </w:p>
    <w:p w14:paraId="056A8C4F" w14:textId="1B74DEF0" w:rsidR="00251884" w:rsidRPr="0080620A" w:rsidRDefault="00396D6A" w:rsidP="00C23075">
      <w:pPr>
        <w:jc w:val="center"/>
      </w:pPr>
      <w:r w:rsidRPr="00396D6A">
        <w:rPr>
          <w:noProof/>
          <w:lang w:eastAsia="en-GB"/>
        </w:rPr>
        <w:drawing>
          <wp:inline distT="0" distB="0" distL="0" distR="0" wp14:anchorId="277A537A" wp14:editId="1BBE6BA1">
            <wp:extent cx="5051390" cy="6148316"/>
            <wp:effectExtent l="0" t="0" r="0" b="508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67350" cy="6167742"/>
                    </a:xfrm>
                    <a:prstGeom prst="rect">
                      <a:avLst/>
                    </a:prstGeom>
                  </pic:spPr>
                </pic:pic>
              </a:graphicData>
            </a:graphic>
          </wp:inline>
        </w:drawing>
      </w:r>
    </w:p>
    <w:p w14:paraId="18A3C48A" w14:textId="42A8612E" w:rsidR="006E7830" w:rsidRPr="00C54064" w:rsidRDefault="006E7830" w:rsidP="00C54064">
      <w:pPr>
        <w:pStyle w:val="NormalNonumber"/>
        <w:spacing w:before="40"/>
        <w:rPr>
          <w:sz w:val="17"/>
          <w:szCs w:val="17"/>
        </w:rPr>
      </w:pPr>
      <w:r w:rsidRPr="00C54064">
        <w:rPr>
          <w:i/>
          <w:iCs/>
          <w:sz w:val="17"/>
          <w:szCs w:val="17"/>
        </w:rPr>
        <w:t>Abbreviations</w:t>
      </w:r>
      <w:r w:rsidRPr="00C54064">
        <w:rPr>
          <w:sz w:val="17"/>
          <w:szCs w:val="17"/>
        </w:rPr>
        <w:t xml:space="preserve">: </w:t>
      </w:r>
      <w:r w:rsidR="008D1777" w:rsidRPr="00C54064">
        <w:rPr>
          <w:sz w:val="17"/>
          <w:szCs w:val="17"/>
        </w:rPr>
        <w:t xml:space="preserve">COP, Conference of the Parties; </w:t>
      </w:r>
      <w:r w:rsidR="00431332" w:rsidRPr="00C54064">
        <w:rPr>
          <w:sz w:val="17"/>
          <w:szCs w:val="17"/>
        </w:rPr>
        <w:t xml:space="preserve">ICC, Implementation and Compliance Committee; </w:t>
      </w:r>
      <w:r w:rsidR="008D1777" w:rsidRPr="00C54064">
        <w:rPr>
          <w:sz w:val="17"/>
          <w:szCs w:val="17"/>
        </w:rPr>
        <w:t xml:space="preserve">MIA, Minamata </w:t>
      </w:r>
      <w:r w:rsidR="00BB2F17" w:rsidRPr="00C54064">
        <w:rPr>
          <w:sz w:val="17"/>
          <w:szCs w:val="17"/>
        </w:rPr>
        <w:t xml:space="preserve">Convention </w:t>
      </w:r>
      <w:r w:rsidR="008D1777" w:rsidRPr="00C54064">
        <w:rPr>
          <w:sz w:val="17"/>
          <w:szCs w:val="17"/>
        </w:rPr>
        <w:t xml:space="preserve">initial assessment; </w:t>
      </w:r>
      <w:r w:rsidRPr="00C54064">
        <w:rPr>
          <w:sz w:val="17"/>
          <w:szCs w:val="17"/>
        </w:rPr>
        <w:t>NAP</w:t>
      </w:r>
      <w:r w:rsidR="008D1777" w:rsidRPr="00C54064">
        <w:rPr>
          <w:sz w:val="17"/>
          <w:szCs w:val="17"/>
        </w:rPr>
        <w:t>, national action plan; NIP, national implementation plan; SIP, specific international programme</w:t>
      </w:r>
      <w:r w:rsidR="00BB2F17" w:rsidRPr="00C54064">
        <w:rPr>
          <w:sz w:val="17"/>
          <w:szCs w:val="17"/>
        </w:rPr>
        <w:t xml:space="preserve"> to support capacity-building and technical assistance</w:t>
      </w:r>
      <w:r w:rsidR="008D1777" w:rsidRPr="00C54064">
        <w:rPr>
          <w:sz w:val="17"/>
          <w:szCs w:val="17"/>
        </w:rPr>
        <w:t>.</w:t>
      </w:r>
    </w:p>
    <w:p w14:paraId="59DF9BD2" w14:textId="4207E6FD" w:rsidR="00B1107F" w:rsidRPr="0080620A" w:rsidRDefault="00B66A03" w:rsidP="00B66A03">
      <w:pPr>
        <w:pStyle w:val="CH2"/>
        <w:rPr>
          <w:u w:color="4F81BD"/>
        </w:rPr>
      </w:pPr>
      <w:r w:rsidRPr="0080620A">
        <w:rPr>
          <w:u w:color="4F81BD"/>
        </w:rPr>
        <w:lastRenderedPageBreak/>
        <w:tab/>
        <w:t>G.</w:t>
      </w:r>
      <w:r w:rsidRPr="0080620A">
        <w:rPr>
          <w:u w:color="4F81BD"/>
        </w:rPr>
        <w:tab/>
      </w:r>
      <w:r w:rsidR="00B1107F" w:rsidRPr="0080620A">
        <w:rPr>
          <w:u w:color="4F81BD"/>
        </w:rPr>
        <w:t xml:space="preserve">Secretariat of the Minamata Convention </w:t>
      </w:r>
    </w:p>
    <w:p w14:paraId="72699B5B" w14:textId="41CE1280" w:rsidR="00B1107F" w:rsidRPr="0080620A" w:rsidRDefault="00B1107F" w:rsidP="009E249F">
      <w:pPr>
        <w:pStyle w:val="Normalnumber"/>
        <w:rPr>
          <w:iCs/>
          <w:u w:color="4F81BD"/>
        </w:rPr>
      </w:pPr>
      <w:r w:rsidRPr="0080620A">
        <w:t xml:space="preserve">The </w:t>
      </w:r>
      <w:r w:rsidR="00EA5C32" w:rsidRPr="0080620A">
        <w:t>s</w:t>
      </w:r>
      <w:r w:rsidRPr="0080620A">
        <w:t xml:space="preserve">ecretariat will play a role in collecting, compiling, summarizing and synthesizing </w:t>
      </w:r>
      <w:r w:rsidR="00A84BFD" w:rsidRPr="0080620A">
        <w:t xml:space="preserve">the </w:t>
      </w:r>
      <w:r w:rsidRPr="0080620A">
        <w:t xml:space="preserve">available data. The </w:t>
      </w:r>
      <w:r w:rsidR="00EA5C32" w:rsidRPr="0080620A">
        <w:t>s</w:t>
      </w:r>
      <w:r w:rsidRPr="0080620A">
        <w:t xml:space="preserve">ecretariat already has a role, prescribed by the Convention, to act as the mechanism through which </w:t>
      </w:r>
      <w:r w:rsidR="00EA5C32" w:rsidRPr="0080620A">
        <w:t>p</w:t>
      </w:r>
      <w:r w:rsidRPr="0080620A">
        <w:t xml:space="preserve">arties submit reports under </w:t>
      </w:r>
      <w:r w:rsidR="00EA5C32" w:rsidRPr="0080620A">
        <w:t>a</w:t>
      </w:r>
      <w:r w:rsidRPr="0080620A">
        <w:t xml:space="preserve">rticle 21, which in turn will contain references to progress reports on the </w:t>
      </w:r>
      <w:r w:rsidR="00A84BFD" w:rsidRPr="0080620A">
        <w:t>national action plans</w:t>
      </w:r>
      <w:r w:rsidRPr="0080620A">
        <w:t xml:space="preserve"> under </w:t>
      </w:r>
      <w:r w:rsidR="00EA5C32" w:rsidRPr="0080620A">
        <w:t>a</w:t>
      </w:r>
      <w:r w:rsidRPr="0080620A">
        <w:t>rticle 7</w:t>
      </w:r>
      <w:r w:rsidR="004B1DA7" w:rsidRPr="0080620A">
        <w:t>,</w:t>
      </w:r>
      <w:r w:rsidRPr="0080620A">
        <w:t xml:space="preserve"> inventories under </w:t>
      </w:r>
      <w:r w:rsidR="00EA5C32" w:rsidRPr="0080620A">
        <w:t>a</w:t>
      </w:r>
      <w:r w:rsidRPr="0080620A">
        <w:t xml:space="preserve">rticles 8 and 9 and voluntary </w:t>
      </w:r>
      <w:r w:rsidR="00A84BFD" w:rsidRPr="0080620A">
        <w:t xml:space="preserve">implementation plans </w:t>
      </w:r>
      <w:r w:rsidRPr="0080620A">
        <w:t xml:space="preserve">under </w:t>
      </w:r>
      <w:r w:rsidR="00EA5C32" w:rsidRPr="0080620A">
        <w:t>a</w:t>
      </w:r>
      <w:r w:rsidRPr="0080620A">
        <w:t xml:space="preserve">rticle 20. The </w:t>
      </w:r>
      <w:r w:rsidR="00EA5C32" w:rsidRPr="0080620A">
        <w:t>s</w:t>
      </w:r>
      <w:r w:rsidRPr="0080620A">
        <w:t xml:space="preserve">ecretariat may, as appropriate, be assisted by </w:t>
      </w:r>
      <w:r w:rsidR="007453EA">
        <w:t xml:space="preserve">collaboration </w:t>
      </w:r>
      <w:r w:rsidR="00441988" w:rsidRPr="0080620A">
        <w:t>partners</w:t>
      </w:r>
      <w:r w:rsidRPr="0080620A">
        <w:t xml:space="preserve"> and experts </w:t>
      </w:r>
      <w:r w:rsidR="00D127D5" w:rsidRPr="0080620A">
        <w:t xml:space="preserve">in </w:t>
      </w:r>
      <w:r w:rsidRPr="0080620A">
        <w:t>conduct</w:t>
      </w:r>
      <w:r w:rsidR="00D127D5" w:rsidRPr="0080620A">
        <w:t>ing</w:t>
      </w:r>
      <w:r w:rsidRPr="0080620A">
        <w:t xml:space="preserve"> literature reviews, produc</w:t>
      </w:r>
      <w:r w:rsidR="00D127D5" w:rsidRPr="0080620A">
        <w:t>ing</w:t>
      </w:r>
      <w:r w:rsidRPr="0080620A">
        <w:t xml:space="preserve"> datasets for further analysis or organiz</w:t>
      </w:r>
      <w:r w:rsidR="00D127D5" w:rsidRPr="0080620A">
        <w:t>ing</w:t>
      </w:r>
      <w:r w:rsidRPr="0080620A">
        <w:t xml:space="preserve"> synthesis and peer review</w:t>
      </w:r>
      <w:r w:rsidR="00441988" w:rsidRPr="0080620A">
        <w:t>s</w:t>
      </w:r>
      <w:r w:rsidRPr="0080620A">
        <w:t xml:space="preserve">. </w:t>
      </w:r>
    </w:p>
    <w:p w14:paraId="5879EA9E" w14:textId="580AA29F" w:rsidR="00B1107F" w:rsidRPr="0080620A" w:rsidRDefault="00D127D5" w:rsidP="009E249F">
      <w:pPr>
        <w:pStyle w:val="Normalnumber"/>
        <w:rPr>
          <w:iCs/>
          <w:u w:color="4F81BD"/>
        </w:rPr>
      </w:pPr>
      <w:r w:rsidRPr="0080620A">
        <w:t>Drawing on</w:t>
      </w:r>
      <w:r w:rsidR="00B1107F" w:rsidRPr="0080620A">
        <w:t xml:space="preserve"> past experiences at </w:t>
      </w:r>
      <w:r w:rsidRPr="0080620A">
        <w:t>UNEP</w:t>
      </w:r>
      <w:r w:rsidR="00B1107F" w:rsidRPr="0080620A">
        <w:t xml:space="preserve"> </w:t>
      </w:r>
      <w:r w:rsidRPr="0080620A">
        <w:t>in</w:t>
      </w:r>
      <w:r w:rsidR="00B1107F" w:rsidRPr="0080620A">
        <w:t xml:space="preserve"> collaborat</w:t>
      </w:r>
      <w:r w:rsidRPr="0080620A">
        <w:t>ing</w:t>
      </w:r>
      <w:r w:rsidR="00B1107F" w:rsidRPr="0080620A">
        <w:t xml:space="preserve"> with experts on the production of scientific and technical report, the </w:t>
      </w:r>
      <w:r w:rsidR="00EA5C32" w:rsidRPr="0080620A">
        <w:t>s</w:t>
      </w:r>
      <w:r w:rsidR="00B1107F" w:rsidRPr="0080620A">
        <w:t>ecretariat of the Minamata Convention will be responsible for facilitating the production of synthesis reports</w:t>
      </w:r>
      <w:r w:rsidRPr="0080620A">
        <w:t>, which</w:t>
      </w:r>
      <w:r w:rsidR="00B1107F" w:rsidRPr="0080620A">
        <w:t xml:space="preserve"> may be delivered through institutional collaboration or contracted expertise</w:t>
      </w:r>
      <w:r w:rsidR="00EA5C32" w:rsidRPr="0080620A">
        <w:t>.</w:t>
      </w:r>
      <w:r w:rsidR="00B1107F" w:rsidRPr="0080620A">
        <w:rPr>
          <w:rStyle w:val="FootnoteReference"/>
          <w:rFonts w:asciiTheme="majorBidi" w:hAnsiTheme="majorBidi"/>
          <w:szCs w:val="20"/>
        </w:rPr>
        <w:footnoteReference w:id="14"/>
      </w:r>
      <w:r w:rsidR="00B1107F" w:rsidRPr="0080620A">
        <w:t xml:space="preserve"> It is to be noted that the UNEP Chemicals and Health Branch led and/or facilitated the production of the Global Mercury Assessment 2018</w:t>
      </w:r>
      <w:r w:rsidR="00487987" w:rsidRPr="0080620A">
        <w:t xml:space="preserve"> report</w:t>
      </w:r>
      <w:r w:rsidR="00B1107F" w:rsidRPr="0080620A">
        <w:t xml:space="preserve">, the </w:t>
      </w:r>
      <w:r w:rsidRPr="0080620A">
        <w:t xml:space="preserve">2017 </w:t>
      </w:r>
      <w:r w:rsidR="00B1107F" w:rsidRPr="0080620A">
        <w:t xml:space="preserve">report on </w:t>
      </w:r>
      <w:r w:rsidRPr="0080620A">
        <w:t>g</w:t>
      </w:r>
      <w:r w:rsidR="00B1107F" w:rsidRPr="0080620A">
        <w:t xml:space="preserve">lobal </w:t>
      </w:r>
      <w:r w:rsidRPr="0080620A">
        <w:t>m</w:t>
      </w:r>
      <w:r w:rsidR="00B1107F" w:rsidRPr="0080620A">
        <w:t xml:space="preserve">ercury </w:t>
      </w:r>
      <w:r w:rsidRPr="0080620A">
        <w:t>s</w:t>
      </w:r>
      <w:r w:rsidR="00B1107F" w:rsidRPr="0080620A">
        <w:t xml:space="preserve">upply, </w:t>
      </w:r>
      <w:r w:rsidRPr="0080620A">
        <w:t>t</w:t>
      </w:r>
      <w:r w:rsidR="00B1107F" w:rsidRPr="0080620A">
        <w:t xml:space="preserve">rade and </w:t>
      </w:r>
      <w:r w:rsidRPr="0080620A">
        <w:t>d</w:t>
      </w:r>
      <w:r w:rsidR="00B1107F" w:rsidRPr="0080620A">
        <w:t xml:space="preserve">emand and the </w:t>
      </w:r>
      <w:r w:rsidRPr="0080620A">
        <w:t xml:space="preserve">2018 </w:t>
      </w:r>
      <w:r w:rsidR="00B1107F" w:rsidRPr="0080620A">
        <w:t>Global Mercury Waste Assessment</w:t>
      </w:r>
      <w:r w:rsidRPr="0080620A">
        <w:t xml:space="preserve"> report</w:t>
      </w:r>
      <w:r w:rsidR="00B1107F" w:rsidRPr="0080620A">
        <w:t xml:space="preserve">, as well as </w:t>
      </w:r>
      <w:r w:rsidRPr="0080620A">
        <w:t xml:space="preserve">earlier </w:t>
      </w:r>
      <w:r w:rsidR="00B1107F" w:rsidRPr="0080620A">
        <w:t>iterations of some of th</w:t>
      </w:r>
      <w:r w:rsidR="00EA5C32" w:rsidRPr="0080620A">
        <w:t>o</w:t>
      </w:r>
      <w:r w:rsidR="00B1107F" w:rsidRPr="0080620A">
        <w:t>se reports.</w:t>
      </w:r>
    </w:p>
    <w:p w14:paraId="582A9347" w14:textId="1B593963" w:rsidR="00B1107F" w:rsidRPr="0080620A" w:rsidRDefault="00B1107F" w:rsidP="009E249F">
      <w:pPr>
        <w:pStyle w:val="Normalnumber"/>
        <w:rPr>
          <w:iCs/>
          <w:u w:color="4F81BD"/>
        </w:rPr>
      </w:pPr>
      <w:r w:rsidRPr="0080620A">
        <w:t xml:space="preserve">The </w:t>
      </w:r>
      <w:r w:rsidR="00EA5C32" w:rsidRPr="0080620A">
        <w:t>s</w:t>
      </w:r>
      <w:r w:rsidRPr="0080620A">
        <w:t xml:space="preserve">ecretariat will also compile summaries and synthesis reports resulting from other processes mandated by the Convention, such as reports from the Implementation and Compliance Committee under </w:t>
      </w:r>
      <w:r w:rsidR="00EA5C32" w:rsidRPr="0080620A">
        <w:t>a</w:t>
      </w:r>
      <w:r w:rsidRPr="0080620A">
        <w:t xml:space="preserve">rticle 15, reports from bodies implementing the financial mechanism, reports on the </w:t>
      </w:r>
      <w:r w:rsidR="00C90B1F" w:rsidRPr="0080620A">
        <w:t xml:space="preserve">review </w:t>
      </w:r>
      <w:r w:rsidRPr="0080620A">
        <w:t xml:space="preserve">of the finance mechanism </w:t>
      </w:r>
      <w:r w:rsidR="00D127D5" w:rsidRPr="0080620A">
        <w:t>pursuant to</w:t>
      </w:r>
      <w:r w:rsidRPr="0080620A">
        <w:t xml:space="preserve"> </w:t>
      </w:r>
      <w:r w:rsidR="00EA5C32" w:rsidRPr="0080620A">
        <w:t>a</w:t>
      </w:r>
      <w:r w:rsidRPr="0080620A">
        <w:t>rticle 13, paragraph 11 (which will draw</w:t>
      </w:r>
      <w:r w:rsidR="00BB2F17" w:rsidRPr="0080620A">
        <w:t>,</w:t>
      </w:r>
      <w:r w:rsidRPr="0080620A">
        <w:t xml:space="preserve"> inter alia</w:t>
      </w:r>
      <w:r w:rsidR="00BB2F17" w:rsidRPr="0080620A">
        <w:t>,</w:t>
      </w:r>
      <w:r w:rsidRPr="0080620A">
        <w:t xml:space="preserve"> on reports of the Global Environment Facility and the </w:t>
      </w:r>
      <w:r w:rsidR="00BB2F17" w:rsidRPr="0080620A">
        <w:t>s</w:t>
      </w:r>
      <w:r w:rsidRPr="0080620A">
        <w:t xml:space="preserve">pecific </w:t>
      </w:r>
      <w:r w:rsidR="00BB2F17" w:rsidRPr="0080620A">
        <w:t>i</w:t>
      </w:r>
      <w:r w:rsidRPr="0080620A">
        <w:t xml:space="preserve">nternational </w:t>
      </w:r>
      <w:r w:rsidR="00BB2F17" w:rsidRPr="0080620A">
        <w:t>p</w:t>
      </w:r>
      <w:r w:rsidRPr="0080620A">
        <w:t>rogramme</w:t>
      </w:r>
      <w:r w:rsidR="00BB2F17" w:rsidRPr="0080620A">
        <w:t xml:space="preserve"> to support capacity-building and technical assistance</w:t>
      </w:r>
      <w:r w:rsidRPr="0080620A">
        <w:t xml:space="preserve">) </w:t>
      </w:r>
      <w:r w:rsidR="004B1DA7" w:rsidRPr="0080620A">
        <w:t>and</w:t>
      </w:r>
      <w:r w:rsidRPr="0080620A">
        <w:t xml:space="preserve"> reports on capacity-building, technical assistance and technology transfer under </w:t>
      </w:r>
      <w:r w:rsidR="00EA5C32" w:rsidRPr="0080620A">
        <w:t>a</w:t>
      </w:r>
      <w:r w:rsidRPr="0080620A">
        <w:t xml:space="preserve">rticle 14. </w:t>
      </w:r>
    </w:p>
    <w:p w14:paraId="44EAC41E" w14:textId="654207FD" w:rsidR="00B1107F" w:rsidRPr="0080620A" w:rsidRDefault="00B66A03" w:rsidP="00B66A03">
      <w:pPr>
        <w:pStyle w:val="CH2"/>
        <w:rPr>
          <w:u w:color="4F81BD"/>
        </w:rPr>
      </w:pPr>
      <w:r w:rsidRPr="0080620A">
        <w:rPr>
          <w:u w:color="4F81BD"/>
        </w:rPr>
        <w:tab/>
        <w:t>H.</w:t>
      </w:r>
      <w:r w:rsidRPr="0080620A">
        <w:rPr>
          <w:u w:color="4F81BD"/>
        </w:rPr>
        <w:tab/>
      </w:r>
      <w:r w:rsidR="00B1107F" w:rsidRPr="0080620A">
        <w:rPr>
          <w:u w:color="4F81BD"/>
        </w:rPr>
        <w:t>Conference of the Parties</w:t>
      </w:r>
    </w:p>
    <w:p w14:paraId="7D728D09" w14:textId="0162D8CD" w:rsidR="00B1107F" w:rsidRPr="0080620A" w:rsidRDefault="00C90B1F" w:rsidP="009E249F">
      <w:pPr>
        <w:pStyle w:val="Normalnumber"/>
        <w:rPr>
          <w:u w:color="4F81BD"/>
        </w:rPr>
      </w:pPr>
      <w:r w:rsidRPr="0080620A">
        <w:rPr>
          <w:u w:color="4F81BD"/>
        </w:rPr>
        <w:t xml:space="preserve">The Conference of the Parties, at level 6 of the framework, has </w:t>
      </w:r>
      <w:r w:rsidR="00B1107F" w:rsidRPr="0080620A">
        <w:rPr>
          <w:u w:color="4F81BD"/>
        </w:rPr>
        <w:t xml:space="preserve">the ultimate responsibility for </w:t>
      </w:r>
      <w:r w:rsidR="00B1107F" w:rsidRPr="0080620A">
        <w:t>evaluating</w:t>
      </w:r>
      <w:r w:rsidR="00B1107F" w:rsidRPr="0080620A">
        <w:rPr>
          <w:u w:color="4F81BD"/>
        </w:rPr>
        <w:t xml:space="preserve"> the </w:t>
      </w:r>
      <w:r w:rsidR="00B1107F" w:rsidRPr="009E249F">
        <w:t>effectiveness</w:t>
      </w:r>
      <w:r w:rsidR="00B1107F" w:rsidRPr="0080620A">
        <w:rPr>
          <w:u w:color="4F81BD"/>
        </w:rPr>
        <w:t xml:space="preserve"> of the Convention</w:t>
      </w:r>
      <w:r w:rsidRPr="0080620A">
        <w:rPr>
          <w:u w:color="4F81BD"/>
        </w:rPr>
        <w:t xml:space="preserve">, based on the findings of the </w:t>
      </w:r>
      <w:r w:rsidR="00797100" w:rsidRPr="0080620A">
        <w:rPr>
          <w:u w:color="4F81BD"/>
        </w:rPr>
        <w:t>E</w:t>
      </w:r>
      <w:r w:rsidRPr="0080620A">
        <w:rPr>
          <w:u w:color="4F81BD"/>
        </w:rPr>
        <w:t xml:space="preserve">ffectiveness </w:t>
      </w:r>
      <w:r w:rsidR="00797100" w:rsidRPr="0080620A">
        <w:rPr>
          <w:u w:color="4F81BD"/>
        </w:rPr>
        <w:t>E</w:t>
      </w:r>
      <w:r w:rsidRPr="0080620A">
        <w:rPr>
          <w:u w:color="4F81BD"/>
        </w:rPr>
        <w:t xml:space="preserve">valuation </w:t>
      </w:r>
      <w:r w:rsidR="00797100" w:rsidRPr="0080620A">
        <w:rPr>
          <w:u w:color="4F81BD"/>
        </w:rPr>
        <w:t>C</w:t>
      </w:r>
      <w:r w:rsidRPr="0080620A">
        <w:rPr>
          <w:u w:color="4F81BD"/>
        </w:rPr>
        <w:t>ommittee</w:t>
      </w:r>
      <w:r w:rsidR="00B1107F" w:rsidRPr="0080620A">
        <w:rPr>
          <w:u w:color="4F81BD"/>
        </w:rPr>
        <w:t xml:space="preserve">. Recommendations on the effectiveness of the Convention are fully </w:t>
      </w:r>
      <w:r w:rsidRPr="0080620A">
        <w:rPr>
          <w:u w:color="4F81BD"/>
        </w:rPr>
        <w:t>with</w:t>
      </w:r>
      <w:r w:rsidR="00B1107F" w:rsidRPr="0080620A">
        <w:rPr>
          <w:u w:color="4F81BD"/>
        </w:rPr>
        <w:t>in the purv</w:t>
      </w:r>
      <w:r w:rsidR="00BB2F17" w:rsidRPr="0080620A">
        <w:rPr>
          <w:u w:color="4F81BD"/>
        </w:rPr>
        <w:t>iew</w:t>
      </w:r>
      <w:r w:rsidR="00B1107F" w:rsidRPr="0080620A">
        <w:rPr>
          <w:u w:color="4F81BD"/>
        </w:rPr>
        <w:t xml:space="preserve"> of the Conference of the Parties. The Conference </w:t>
      </w:r>
      <w:r w:rsidR="00086D76" w:rsidRPr="0080620A">
        <w:rPr>
          <w:u w:color="4F81BD"/>
        </w:rPr>
        <w:t xml:space="preserve">of the Parties </w:t>
      </w:r>
      <w:r w:rsidR="00B1107F" w:rsidRPr="0080620A">
        <w:rPr>
          <w:u w:color="4F81BD"/>
        </w:rPr>
        <w:t xml:space="preserve">may also choose to mandate changes </w:t>
      </w:r>
      <w:r w:rsidRPr="0080620A">
        <w:rPr>
          <w:u w:color="4F81BD"/>
        </w:rPr>
        <w:t>to the process</w:t>
      </w:r>
      <w:r w:rsidR="00B1107F" w:rsidRPr="0080620A">
        <w:rPr>
          <w:u w:color="4F81BD"/>
        </w:rPr>
        <w:t xml:space="preserve"> for future effectiveness evaluation cycles.  </w:t>
      </w:r>
    </w:p>
    <w:p w14:paraId="305BA3D8" w14:textId="4B86C97B" w:rsidR="00B1107F" w:rsidRPr="0080620A" w:rsidRDefault="00B66A03" w:rsidP="00B66A03">
      <w:pPr>
        <w:pStyle w:val="CH2"/>
      </w:pPr>
      <w:r w:rsidRPr="0080620A">
        <w:tab/>
        <w:t>I</w:t>
      </w:r>
      <w:r w:rsidR="00B1107F" w:rsidRPr="0080620A">
        <w:t>.</w:t>
      </w:r>
      <w:r w:rsidRPr="0080620A">
        <w:tab/>
      </w:r>
      <w:r w:rsidR="00B1107F" w:rsidRPr="0080620A">
        <w:t>Schedule and timetable</w:t>
      </w:r>
    </w:p>
    <w:p w14:paraId="6D6AB802" w14:textId="019206F7" w:rsidR="00B1107F" w:rsidRPr="0080620A" w:rsidRDefault="00B1107F" w:rsidP="009E249F">
      <w:pPr>
        <w:pStyle w:val="Normalnumber"/>
      </w:pPr>
      <w:r w:rsidRPr="0080620A">
        <w:t xml:space="preserve">Paragraph 1 of </w:t>
      </w:r>
      <w:r w:rsidR="00086D76" w:rsidRPr="0080620A">
        <w:t>a</w:t>
      </w:r>
      <w:r w:rsidRPr="0080620A">
        <w:t xml:space="preserve">rticle </w:t>
      </w:r>
      <w:r w:rsidR="00086D76" w:rsidRPr="0080620A">
        <w:t>2</w:t>
      </w:r>
      <w:r w:rsidRPr="0080620A">
        <w:t xml:space="preserve">2 on </w:t>
      </w:r>
      <w:r w:rsidR="00086D76" w:rsidRPr="0080620A">
        <w:t>e</w:t>
      </w:r>
      <w:r w:rsidRPr="0080620A">
        <w:t xml:space="preserve">ffectiveness </w:t>
      </w:r>
      <w:r w:rsidR="00086D76" w:rsidRPr="0080620A">
        <w:t>e</w:t>
      </w:r>
      <w:r w:rsidRPr="0080620A">
        <w:t xml:space="preserve">valuation indicates that the Conference of the Parties </w:t>
      </w:r>
      <w:r w:rsidR="0071167F" w:rsidRPr="0080620A">
        <w:t xml:space="preserve">will </w:t>
      </w:r>
      <w:r w:rsidRPr="0080620A">
        <w:t xml:space="preserve">evaluate the effectiveness of the Convention no later than six years after the </w:t>
      </w:r>
      <w:r w:rsidR="00086D76" w:rsidRPr="0080620A">
        <w:t xml:space="preserve">date of </w:t>
      </w:r>
      <w:r w:rsidRPr="0080620A">
        <w:t>entry into force of the Convention and periodically thereafter</w:t>
      </w:r>
      <w:r w:rsidR="00D15726" w:rsidRPr="0080620A">
        <w:t>,</w:t>
      </w:r>
      <w:r w:rsidRPr="0080620A">
        <w:t xml:space="preserve"> at intervals to be decided </w:t>
      </w:r>
      <w:r w:rsidR="00086D76" w:rsidRPr="0080620A">
        <w:t>by it</w:t>
      </w:r>
      <w:r w:rsidRPr="0080620A">
        <w:t xml:space="preserve">. As the Convention entered into force on 16 August 2017, the </w:t>
      </w:r>
      <w:r w:rsidR="00C90B1F" w:rsidRPr="0080620A">
        <w:t xml:space="preserve">framework prepared by the </w:t>
      </w:r>
      <w:r w:rsidRPr="0080620A">
        <w:t>ad hoc technical expert group allow</w:t>
      </w:r>
      <w:r w:rsidR="00C90B1F" w:rsidRPr="0080620A">
        <w:t>s</w:t>
      </w:r>
      <w:r w:rsidRPr="0080620A">
        <w:t xml:space="preserve"> the outcome of the first cycle of evaluation to be submitted in 2023</w:t>
      </w:r>
      <w:r w:rsidR="00086D76" w:rsidRPr="0080620A">
        <w:t>, the year of t</w:t>
      </w:r>
      <w:r w:rsidRPr="0080620A">
        <w:t xml:space="preserve">he fifth meeting of the Conference of the Parties. </w:t>
      </w:r>
      <w:r w:rsidR="00086D76" w:rsidRPr="0080620A">
        <w:t>T</w:t>
      </w:r>
      <w:r w:rsidRPr="0080620A">
        <w:t>his</w:t>
      </w:r>
      <w:r w:rsidR="00D15726" w:rsidRPr="0080620A">
        <w:t>, however,</w:t>
      </w:r>
      <w:r w:rsidR="00086D76" w:rsidRPr="0080620A">
        <w:t xml:space="preserve"> requires that</w:t>
      </w:r>
      <w:r w:rsidRPr="0080620A">
        <w:t xml:space="preserve"> the Conference of the Parties adopt the framework at its third meeting. </w:t>
      </w:r>
    </w:p>
    <w:p w14:paraId="3222060F" w14:textId="1807470D" w:rsidR="00B1107F" w:rsidRPr="0080620A" w:rsidRDefault="00C90B1F" w:rsidP="009E249F">
      <w:pPr>
        <w:pStyle w:val="Normalnumber"/>
      </w:pPr>
      <w:r w:rsidRPr="0080620A">
        <w:t>It should be noted that t</w:t>
      </w:r>
      <w:r w:rsidR="00B1107F" w:rsidRPr="0080620A">
        <w:t xml:space="preserve">aking into account the reporting cycles agreed for the Convention, the two-year cycle under </w:t>
      </w:r>
      <w:r w:rsidR="00F22A1B" w:rsidRPr="0080620A">
        <w:t>a</w:t>
      </w:r>
      <w:r w:rsidR="00B1107F" w:rsidRPr="0080620A">
        <w:t xml:space="preserve">rticle </w:t>
      </w:r>
      <w:r w:rsidR="00F22A1B" w:rsidRPr="0080620A">
        <w:t>21</w:t>
      </w:r>
      <w:r w:rsidR="00B1107F" w:rsidRPr="0080620A">
        <w:t xml:space="preserve"> on </w:t>
      </w:r>
      <w:r w:rsidR="00F22A1B" w:rsidRPr="0080620A">
        <w:t>r</w:t>
      </w:r>
      <w:r w:rsidR="00B1107F" w:rsidRPr="0080620A">
        <w:t xml:space="preserve">eporting requires the first short reports in December 2019 and the first four-year cycle of reports in December 2021. </w:t>
      </w:r>
      <w:r w:rsidR="00933C1C" w:rsidRPr="0080620A">
        <w:t xml:space="preserve">Assuming that </w:t>
      </w:r>
      <w:r w:rsidR="00B1107F" w:rsidRPr="0080620A">
        <w:t>this information com</w:t>
      </w:r>
      <w:r w:rsidR="00933C1C" w:rsidRPr="0080620A">
        <w:t>es</w:t>
      </w:r>
      <w:r w:rsidR="00B1107F" w:rsidRPr="0080620A">
        <w:t xml:space="preserve"> together and </w:t>
      </w:r>
      <w:r w:rsidR="00933C1C" w:rsidRPr="0080620A">
        <w:t xml:space="preserve">given </w:t>
      </w:r>
      <w:r w:rsidR="00B1107F" w:rsidRPr="0080620A">
        <w:t xml:space="preserve">the regular reports </w:t>
      </w:r>
      <w:r w:rsidR="00D15726" w:rsidRPr="0080620A">
        <w:t xml:space="preserve">to the Conference of the Parties </w:t>
      </w:r>
      <w:r w:rsidR="00B1107F" w:rsidRPr="0080620A">
        <w:t xml:space="preserve">from the Implementation and Compliance Committee as per </w:t>
      </w:r>
      <w:r w:rsidR="00086D76" w:rsidRPr="0080620A">
        <w:t>a</w:t>
      </w:r>
      <w:r w:rsidR="00B1107F" w:rsidRPr="0080620A">
        <w:t xml:space="preserve">rticle 15, on financial resources and the financial mechanism as per </w:t>
      </w:r>
      <w:r w:rsidRPr="0080620A">
        <w:t>a</w:t>
      </w:r>
      <w:r w:rsidR="00B1107F" w:rsidRPr="0080620A">
        <w:t xml:space="preserve">rticle 13 and on capacity-building, technical assistance and technology transfer as per </w:t>
      </w:r>
      <w:r w:rsidRPr="0080620A">
        <w:t>a</w:t>
      </w:r>
      <w:r w:rsidR="00B1107F" w:rsidRPr="0080620A">
        <w:t xml:space="preserve">rticle 14, as well as monitoring data available following the implementation of the global monitoring arrangement proposed in </w:t>
      </w:r>
      <w:r w:rsidR="007129E3" w:rsidRPr="0080620A">
        <w:t>a</w:t>
      </w:r>
      <w:r w:rsidR="00B1107F" w:rsidRPr="0080620A">
        <w:t>ppendix III, the d</w:t>
      </w:r>
      <w:r w:rsidR="00933C1C" w:rsidRPr="0080620A">
        <w:t>ead</w:t>
      </w:r>
      <w:r w:rsidR="00B1107F" w:rsidRPr="0080620A">
        <w:t>line for comparable information for th</w:t>
      </w:r>
      <w:r w:rsidR="00933C1C" w:rsidRPr="0080620A">
        <w:t>e</w:t>
      </w:r>
      <w:r w:rsidR="00B1107F" w:rsidRPr="0080620A">
        <w:t xml:space="preserve"> first cycle of evaluation is recommended to be set as 2021</w:t>
      </w:r>
      <w:r w:rsidR="00933C1C" w:rsidRPr="0080620A">
        <w:t>, at which</w:t>
      </w:r>
      <w:r w:rsidR="00B1107F" w:rsidRPr="0080620A">
        <w:t xml:space="preserve"> stage </w:t>
      </w:r>
      <w:r w:rsidR="00933C1C" w:rsidRPr="0080620A">
        <w:t xml:space="preserve">all parties will have submitted </w:t>
      </w:r>
      <w:r w:rsidR="00B1107F" w:rsidRPr="0080620A">
        <w:t xml:space="preserve">a national short report (2019) and a national long report (2021) from which pertinent information </w:t>
      </w:r>
      <w:r w:rsidR="00933C1C" w:rsidRPr="0080620A">
        <w:t xml:space="preserve">can be extracted </w:t>
      </w:r>
      <w:r w:rsidR="00B1107F" w:rsidRPr="0080620A">
        <w:t>for the first effectiveness evaluation cycle.</w:t>
      </w:r>
    </w:p>
    <w:p w14:paraId="5E4F457D" w14:textId="4FF03770" w:rsidR="00B1107F" w:rsidRPr="0080620A" w:rsidRDefault="00B1107F" w:rsidP="009E249F">
      <w:pPr>
        <w:pStyle w:val="Normalnumber"/>
      </w:pPr>
      <w:r w:rsidRPr="0080620A">
        <w:t>The fourth meeting of the Conference of the Parties is to convene in 2021</w:t>
      </w:r>
      <w:r w:rsidR="00933C1C" w:rsidRPr="0080620A">
        <w:t>,</w:t>
      </w:r>
      <w:r w:rsidRPr="0080620A">
        <w:t xml:space="preserve"> and it is proposed that the Effectiveness Evaluation Committee </w:t>
      </w:r>
      <w:r w:rsidR="00933C1C" w:rsidRPr="0080620A">
        <w:t>be</w:t>
      </w:r>
      <w:r w:rsidRPr="0080620A">
        <w:t xml:space="preserve"> established </w:t>
      </w:r>
      <w:r w:rsidR="00933C1C" w:rsidRPr="0080620A">
        <w:t xml:space="preserve">at </w:t>
      </w:r>
      <w:r w:rsidRPr="0080620A">
        <w:t xml:space="preserve">that meeting. This </w:t>
      </w:r>
      <w:r w:rsidR="00933C1C" w:rsidRPr="0080620A">
        <w:t xml:space="preserve">would </w:t>
      </w:r>
      <w:r w:rsidRPr="0080620A">
        <w:t xml:space="preserve">allow </w:t>
      </w:r>
      <w:r w:rsidR="007129E3" w:rsidRPr="0080620A">
        <w:t xml:space="preserve">the </w:t>
      </w:r>
      <w:r w:rsidR="00797100" w:rsidRPr="0080620A">
        <w:t>C</w:t>
      </w:r>
      <w:r w:rsidR="007129E3" w:rsidRPr="0080620A">
        <w:t xml:space="preserve">ommittee to use </w:t>
      </w:r>
      <w:r w:rsidRPr="0080620A">
        <w:t xml:space="preserve">2022 and 2023 for its review, analysis and evaluation of the proposed reports, so as </w:t>
      </w:r>
      <w:r w:rsidRPr="0080620A">
        <w:lastRenderedPageBreak/>
        <w:t xml:space="preserve">to formulate </w:t>
      </w:r>
      <w:r w:rsidR="007129E3" w:rsidRPr="0080620A">
        <w:t>its</w:t>
      </w:r>
      <w:r w:rsidRPr="0080620A">
        <w:t xml:space="preserve"> findings for presentation to the Conference of the Parties at its fifth meeting</w:t>
      </w:r>
      <w:r w:rsidR="007129E3" w:rsidRPr="0080620A">
        <w:t>, which</w:t>
      </w:r>
      <w:r w:rsidRPr="0080620A">
        <w:t xml:space="preserve"> is to take place in 2023. </w:t>
      </w:r>
    </w:p>
    <w:p w14:paraId="2229B6A9" w14:textId="5FD42C85" w:rsidR="00B1107F" w:rsidRPr="0080620A" w:rsidRDefault="00B1107F" w:rsidP="009E249F">
      <w:pPr>
        <w:pStyle w:val="Normalnumber"/>
      </w:pPr>
      <w:r w:rsidRPr="0080620A">
        <w:t>It is proposed that the Effectiveness Evaluation Committee meet twice</w:t>
      </w:r>
      <w:r w:rsidR="00745572" w:rsidRPr="0080620A">
        <w:t>, first in November 2022 and then in April 2023,</w:t>
      </w:r>
      <w:r w:rsidRPr="0080620A">
        <w:t xml:space="preserve"> to formulate its findings. It is assumed that </w:t>
      </w:r>
      <w:r w:rsidR="00D15726" w:rsidRPr="0080620A">
        <w:t xml:space="preserve">at its </w:t>
      </w:r>
      <w:r w:rsidRPr="0080620A">
        <w:t xml:space="preserve">first meeting </w:t>
      </w:r>
      <w:r w:rsidR="00D15726" w:rsidRPr="0080620A">
        <w:t xml:space="preserve">it </w:t>
      </w:r>
      <w:r w:rsidR="00933C1C" w:rsidRPr="0080620A">
        <w:t xml:space="preserve">would </w:t>
      </w:r>
      <w:r w:rsidRPr="0080620A">
        <w:t xml:space="preserve">produce draft findings for possible comment and </w:t>
      </w:r>
      <w:r w:rsidR="00D15726" w:rsidRPr="0080620A">
        <w:t>at its</w:t>
      </w:r>
      <w:r w:rsidRPr="0080620A">
        <w:t xml:space="preserve"> second meeting </w:t>
      </w:r>
      <w:r w:rsidR="00D15726" w:rsidRPr="0080620A">
        <w:t xml:space="preserve">it </w:t>
      </w:r>
      <w:r w:rsidRPr="0080620A">
        <w:t>would finali</w:t>
      </w:r>
      <w:r w:rsidR="007129E3" w:rsidRPr="0080620A">
        <w:t>z</w:t>
      </w:r>
      <w:r w:rsidRPr="0080620A">
        <w:t xml:space="preserve">e the findings for presentation to the Conference of the Parties. </w:t>
      </w:r>
    </w:p>
    <w:p w14:paraId="0841EB2F" w14:textId="2E28E761" w:rsidR="00B1107F" w:rsidRPr="0080620A" w:rsidRDefault="00B1107F" w:rsidP="009E249F">
      <w:pPr>
        <w:pStyle w:val="Normalnumber"/>
      </w:pPr>
      <w:r w:rsidRPr="0080620A">
        <w:t xml:space="preserve">The timeline for the first effectiveness evaluation cycle is set out in </w:t>
      </w:r>
      <w:r w:rsidR="007E07DA" w:rsidRPr="0080620A">
        <w:t>figure</w:t>
      </w:r>
      <w:r w:rsidRPr="0080620A">
        <w:t xml:space="preserve"> 3</w:t>
      </w:r>
      <w:r w:rsidR="004D3F15" w:rsidRPr="0080620A">
        <w:t>.</w:t>
      </w:r>
      <w:r w:rsidR="00745572" w:rsidRPr="0080620A">
        <w:t xml:space="preserve"> </w:t>
      </w:r>
    </w:p>
    <w:p w14:paraId="68B224E0" w14:textId="22B04D16" w:rsidR="007E07DA" w:rsidRPr="0080620A" w:rsidRDefault="007E07DA" w:rsidP="00C54064">
      <w:pPr>
        <w:pStyle w:val="Titlefigure"/>
        <w:rPr>
          <w:bCs/>
        </w:rPr>
      </w:pPr>
      <w:r w:rsidRPr="00C54064">
        <w:rPr>
          <w:b w:val="0"/>
        </w:rPr>
        <w:t xml:space="preserve">Figure </w:t>
      </w:r>
      <w:r w:rsidRPr="00C54064">
        <w:rPr>
          <w:b w:val="0"/>
        </w:rPr>
        <w:fldChar w:fldCharType="begin"/>
      </w:r>
      <w:r w:rsidRPr="00C54064">
        <w:rPr>
          <w:b w:val="0"/>
        </w:rPr>
        <w:instrText xml:space="preserve"> SEQ Figure \* ARABIC </w:instrText>
      </w:r>
      <w:r w:rsidRPr="00C54064">
        <w:rPr>
          <w:b w:val="0"/>
        </w:rPr>
        <w:fldChar w:fldCharType="separate"/>
      </w:r>
      <w:r w:rsidR="00A929BE">
        <w:rPr>
          <w:b w:val="0"/>
          <w:noProof/>
        </w:rPr>
        <w:t>3</w:t>
      </w:r>
      <w:r w:rsidRPr="00C54064">
        <w:rPr>
          <w:b w:val="0"/>
        </w:rPr>
        <w:fldChar w:fldCharType="end"/>
      </w:r>
      <w:r w:rsidR="00C54064" w:rsidRPr="00C54064">
        <w:rPr>
          <w:b w:val="0"/>
        </w:rPr>
        <w:t xml:space="preserve"> </w:t>
      </w:r>
      <w:r w:rsidR="00C54064" w:rsidRPr="00C54064">
        <w:rPr>
          <w:bCs/>
        </w:rPr>
        <w:br/>
      </w:r>
      <w:r w:rsidRPr="0080620A">
        <w:rPr>
          <w:bCs/>
        </w:rPr>
        <w:t>Timeline for the first effectiveness evaluation cycle of the Minamata Convention, 2017</w:t>
      </w:r>
      <w:r w:rsidRPr="0080620A">
        <w:rPr>
          <w:bCs/>
        </w:rPr>
        <w:sym w:font="Symbol" w:char="F02D"/>
      </w:r>
      <w:r w:rsidRPr="0080620A">
        <w:rPr>
          <w:bCs/>
        </w:rPr>
        <w:t>2023</w:t>
      </w:r>
    </w:p>
    <w:p w14:paraId="59D106C2" w14:textId="7241484E" w:rsidR="00B1107F" w:rsidRPr="0080620A" w:rsidRDefault="000A70B5" w:rsidP="00C23075">
      <w:r>
        <w:rPr>
          <w:noProof/>
          <w:lang w:eastAsia="en-GB"/>
        </w:rPr>
        <w:drawing>
          <wp:inline distT="0" distB="0" distL="0" distR="0" wp14:anchorId="0BB2CCF2" wp14:editId="6B16EF62">
            <wp:extent cx="6029960" cy="3242310"/>
            <wp:effectExtent l="0" t="0" r="889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029960" cy="3242310"/>
                    </a:xfrm>
                    <a:prstGeom prst="rect">
                      <a:avLst/>
                    </a:prstGeom>
                  </pic:spPr>
                </pic:pic>
              </a:graphicData>
            </a:graphic>
          </wp:inline>
        </w:drawing>
      </w:r>
      <w:r w:rsidR="00B1107F" w:rsidRPr="0080620A">
        <w:t xml:space="preserve"> </w:t>
      </w:r>
    </w:p>
    <w:p w14:paraId="0A7DBF39" w14:textId="6C9FC46E" w:rsidR="00933C1C" w:rsidRPr="00C54064" w:rsidRDefault="00933C1C" w:rsidP="00C54064">
      <w:pPr>
        <w:pStyle w:val="NormalNonumber"/>
        <w:rPr>
          <w:sz w:val="17"/>
          <w:szCs w:val="17"/>
        </w:rPr>
      </w:pPr>
      <w:r w:rsidRPr="00C54064">
        <w:rPr>
          <w:i/>
          <w:iCs/>
          <w:sz w:val="17"/>
          <w:szCs w:val="17"/>
        </w:rPr>
        <w:t>Abbreviations</w:t>
      </w:r>
      <w:r w:rsidRPr="00C54064">
        <w:rPr>
          <w:sz w:val="17"/>
          <w:szCs w:val="17"/>
        </w:rPr>
        <w:t xml:space="preserve">: COP, Conference of the Parties; EEC, </w:t>
      </w:r>
      <w:r w:rsidR="00797100" w:rsidRPr="00C54064">
        <w:rPr>
          <w:sz w:val="17"/>
          <w:szCs w:val="17"/>
        </w:rPr>
        <w:t>E</w:t>
      </w:r>
      <w:r w:rsidRPr="00C54064">
        <w:rPr>
          <w:sz w:val="17"/>
          <w:szCs w:val="17"/>
        </w:rPr>
        <w:t xml:space="preserve">ffectiveness </w:t>
      </w:r>
      <w:r w:rsidR="00797100" w:rsidRPr="00C54064">
        <w:rPr>
          <w:sz w:val="17"/>
          <w:szCs w:val="17"/>
        </w:rPr>
        <w:t>E</w:t>
      </w:r>
      <w:r w:rsidRPr="00C54064">
        <w:rPr>
          <w:sz w:val="17"/>
          <w:szCs w:val="17"/>
        </w:rPr>
        <w:t xml:space="preserve">valuation </w:t>
      </w:r>
      <w:r w:rsidR="00797100" w:rsidRPr="00C54064">
        <w:rPr>
          <w:sz w:val="17"/>
          <w:szCs w:val="17"/>
        </w:rPr>
        <w:t>C</w:t>
      </w:r>
      <w:r w:rsidRPr="00C54064">
        <w:rPr>
          <w:sz w:val="17"/>
          <w:szCs w:val="17"/>
        </w:rPr>
        <w:t>ommittee.</w:t>
      </w:r>
    </w:p>
    <w:p w14:paraId="723AE866" w14:textId="0281FAFD" w:rsidR="00B1107F" w:rsidRPr="0080620A" w:rsidRDefault="00B1107F" w:rsidP="0099132D">
      <w:pPr>
        <w:pStyle w:val="Normalnumber"/>
      </w:pPr>
      <w:r w:rsidRPr="0080620A">
        <w:t>Following the first effectiveness evaluation cycle (2017</w:t>
      </w:r>
      <w:r w:rsidR="00B000A7" w:rsidRPr="0080620A">
        <w:sym w:font="Symbol" w:char="F02D"/>
      </w:r>
      <w:r w:rsidRPr="0080620A">
        <w:t>2023), the Conference of the Parties is to review the Convention periodically at intervals to be decided by it</w:t>
      </w:r>
      <w:r w:rsidR="001621E4" w:rsidRPr="0080620A">
        <w:t>,</w:t>
      </w:r>
      <w:r w:rsidRPr="0080620A">
        <w:t xml:space="preserve"> as per </w:t>
      </w:r>
      <w:r w:rsidR="00933C1C" w:rsidRPr="0080620A">
        <w:t>a</w:t>
      </w:r>
      <w:r w:rsidRPr="0080620A">
        <w:t>rticle 22</w:t>
      </w:r>
      <w:r w:rsidR="00933C1C" w:rsidRPr="0080620A">
        <w:t>,</w:t>
      </w:r>
      <w:r w:rsidRPr="0080620A">
        <w:t xml:space="preserve"> paragraph 1. </w:t>
      </w:r>
      <w:r w:rsidR="0099132D" w:rsidRPr="0080620A">
        <w:t>T</w:t>
      </w:r>
      <w:r w:rsidRPr="0080620A">
        <w:t xml:space="preserve">he Conference </w:t>
      </w:r>
      <w:r w:rsidR="001621E4" w:rsidRPr="0080620A">
        <w:t xml:space="preserve">of the Parties </w:t>
      </w:r>
      <w:r w:rsidRPr="0080620A">
        <w:t>may wish to take into consideration the following parameters</w:t>
      </w:r>
      <w:r w:rsidR="0099132D" w:rsidRPr="0080620A">
        <w:t xml:space="preserve"> in determining the periodicity of the effectiveness evaluation cycle</w:t>
      </w:r>
      <w:r w:rsidRPr="0080620A">
        <w:t xml:space="preserve">: </w:t>
      </w:r>
    </w:p>
    <w:p w14:paraId="6AE6D7BA" w14:textId="1148A9B4" w:rsidR="00B1107F" w:rsidRPr="0080620A" w:rsidRDefault="001621E4" w:rsidP="00A00B9F">
      <w:pPr>
        <w:pStyle w:val="Normalnumber"/>
        <w:numPr>
          <w:ilvl w:val="0"/>
          <w:numId w:val="30"/>
        </w:numPr>
        <w:ind w:left="1247" w:firstLine="624"/>
      </w:pPr>
      <w:r w:rsidRPr="0080620A">
        <w:t>The availability of the s</w:t>
      </w:r>
      <w:r w:rsidR="00B1107F" w:rsidRPr="0080620A">
        <w:t xml:space="preserve">hort reports </w:t>
      </w:r>
      <w:r w:rsidRPr="0080620A">
        <w:t xml:space="preserve">for </w:t>
      </w:r>
      <w:r w:rsidR="00B1107F" w:rsidRPr="0080620A">
        <w:t xml:space="preserve">the next cycle in 2023, 2027 and 2031 </w:t>
      </w:r>
      <w:r w:rsidRPr="0080620A">
        <w:t xml:space="preserve">and of </w:t>
      </w:r>
      <w:r w:rsidR="00B1107F" w:rsidRPr="0080620A">
        <w:t xml:space="preserve">the long reports in 2025, 2029 and 2033; </w:t>
      </w:r>
    </w:p>
    <w:p w14:paraId="34EEE784" w14:textId="7F8D13C5" w:rsidR="00B1107F" w:rsidRPr="0080620A" w:rsidRDefault="00E777BB" w:rsidP="00A00B9F">
      <w:pPr>
        <w:pStyle w:val="Normalnumber"/>
        <w:numPr>
          <w:ilvl w:val="0"/>
          <w:numId w:val="30"/>
        </w:numPr>
        <w:ind w:left="1247" w:firstLine="624"/>
      </w:pPr>
      <w:r w:rsidRPr="0080620A">
        <w:t>T</w:t>
      </w:r>
      <w:r w:rsidR="00B1107F" w:rsidRPr="0080620A">
        <w:t xml:space="preserve">he </w:t>
      </w:r>
      <w:r w:rsidR="0099132D" w:rsidRPr="0080620A">
        <w:t xml:space="preserve">timing of the </w:t>
      </w:r>
      <w:r w:rsidR="001621E4" w:rsidRPr="0080620A">
        <w:t xml:space="preserve">meetings of the </w:t>
      </w:r>
      <w:r w:rsidR="00B1107F" w:rsidRPr="0080620A">
        <w:t>Conference of the Parties</w:t>
      </w:r>
      <w:r w:rsidR="001621E4" w:rsidRPr="0080620A">
        <w:t>,</w:t>
      </w:r>
      <w:r w:rsidR="00B1107F" w:rsidRPr="0080620A">
        <w:t xml:space="preserve"> in 2025 (</w:t>
      </w:r>
      <w:r w:rsidRPr="0080620A">
        <w:t>sixth meeting</w:t>
      </w:r>
      <w:r w:rsidR="00B1107F" w:rsidRPr="0080620A">
        <w:t>), 2027 (</w:t>
      </w:r>
      <w:r w:rsidRPr="0080620A">
        <w:t>seventh meeting</w:t>
      </w:r>
      <w:r w:rsidR="00B1107F" w:rsidRPr="0080620A">
        <w:t>), 2029 (</w:t>
      </w:r>
      <w:r w:rsidRPr="0080620A">
        <w:t>eighth meeting</w:t>
      </w:r>
      <w:r w:rsidR="00B1107F" w:rsidRPr="0080620A">
        <w:t>), 2031 (</w:t>
      </w:r>
      <w:r w:rsidRPr="0080620A">
        <w:t>ninth meeting</w:t>
      </w:r>
      <w:r w:rsidR="00B1107F" w:rsidRPr="0080620A">
        <w:t>) and 2033 (</w:t>
      </w:r>
      <w:r w:rsidRPr="0080620A">
        <w:t>tenth meeting</w:t>
      </w:r>
      <w:r w:rsidR="00B1107F" w:rsidRPr="0080620A">
        <w:t xml:space="preserve">); </w:t>
      </w:r>
    </w:p>
    <w:p w14:paraId="4C3490FD" w14:textId="4EFEF639" w:rsidR="00B1107F" w:rsidRPr="0080620A" w:rsidRDefault="00E777BB" w:rsidP="00A00B9F">
      <w:pPr>
        <w:pStyle w:val="Normalnumber"/>
        <w:numPr>
          <w:ilvl w:val="0"/>
          <w:numId w:val="30"/>
        </w:numPr>
        <w:ind w:left="1247" w:firstLine="624"/>
      </w:pPr>
      <w:r w:rsidRPr="0080620A">
        <w:t>T</w:t>
      </w:r>
      <w:r w:rsidR="00B1107F" w:rsidRPr="0080620A">
        <w:t xml:space="preserve">he phase-out timelines set by the Convention (see </w:t>
      </w:r>
      <w:r w:rsidRPr="0080620A">
        <w:t>t</w:t>
      </w:r>
      <w:r w:rsidR="00B1107F" w:rsidRPr="0080620A">
        <w:t>able 3)</w:t>
      </w:r>
      <w:r w:rsidRPr="0080620A">
        <w:t>;</w:t>
      </w:r>
      <w:r w:rsidR="00B1107F" w:rsidRPr="0080620A">
        <w:t xml:space="preserve"> </w:t>
      </w:r>
    </w:p>
    <w:p w14:paraId="17AB122E" w14:textId="6B2D3F49" w:rsidR="00B1107F" w:rsidRPr="0080620A" w:rsidRDefault="0099132D" w:rsidP="00A00B9F">
      <w:pPr>
        <w:pStyle w:val="Normalnumber"/>
        <w:numPr>
          <w:ilvl w:val="0"/>
          <w:numId w:val="30"/>
        </w:numPr>
        <w:ind w:left="1247" w:firstLine="624"/>
      </w:pPr>
      <w:r w:rsidRPr="0080620A">
        <w:t>The c</w:t>
      </w:r>
      <w:r w:rsidR="00B1107F" w:rsidRPr="0080620A">
        <w:t xml:space="preserve">oncurrent timelines and expected outcomes </w:t>
      </w:r>
      <w:r w:rsidRPr="0080620A">
        <w:t xml:space="preserve">of </w:t>
      </w:r>
      <w:r w:rsidR="00B1107F" w:rsidRPr="0080620A">
        <w:t>the climate and sustainable development processes set for 2030.</w:t>
      </w:r>
    </w:p>
    <w:p w14:paraId="29351EEC" w14:textId="0F4D85CD" w:rsidR="00B1107F" w:rsidRPr="0080620A" w:rsidRDefault="00B1107F" w:rsidP="009E249F">
      <w:pPr>
        <w:pStyle w:val="Normalnumber"/>
      </w:pPr>
      <w:r w:rsidRPr="0080620A">
        <w:t>As such</w:t>
      </w:r>
      <w:r w:rsidR="00B000A7" w:rsidRPr="0080620A">
        <w:t>,</w:t>
      </w:r>
      <w:r w:rsidRPr="0080620A">
        <w:t xml:space="preserve"> the next effectiveness evaluation cycle could again be six years (to report at </w:t>
      </w:r>
      <w:r w:rsidR="00E777BB" w:rsidRPr="0080620A">
        <w:t>the eighth meeting of the Conference of the Parties</w:t>
      </w:r>
      <w:r w:rsidR="00892D93" w:rsidRPr="0080620A">
        <w:t>,</w:t>
      </w:r>
      <w:r w:rsidRPr="0080620A">
        <w:t xml:space="preserve"> in 2029)</w:t>
      </w:r>
      <w:r w:rsidR="0068525D" w:rsidRPr="0080620A">
        <w:t>,</w:t>
      </w:r>
      <w:r w:rsidRPr="0080620A">
        <w:t xml:space="preserve"> </w:t>
      </w:r>
      <w:r w:rsidR="0068525D" w:rsidRPr="0080620A">
        <w:t>to</w:t>
      </w:r>
      <w:r w:rsidRPr="0080620A">
        <w:t xml:space="preserve"> capture the </w:t>
      </w:r>
      <w:r w:rsidR="0068525D" w:rsidRPr="0080620A">
        <w:t xml:space="preserve">dynamics of the </w:t>
      </w:r>
      <w:r w:rsidRPr="0080620A">
        <w:t xml:space="preserve">Convention. It could also be extended to eight years (to report at </w:t>
      </w:r>
      <w:r w:rsidR="00E777BB" w:rsidRPr="0080620A">
        <w:t>the ninth meeting of the Conference of the Parties</w:t>
      </w:r>
      <w:r w:rsidR="00892D93" w:rsidRPr="0080620A">
        <w:t>,</w:t>
      </w:r>
      <w:r w:rsidR="00E777BB" w:rsidRPr="0080620A" w:rsidDel="00E777BB">
        <w:t xml:space="preserve"> </w:t>
      </w:r>
      <w:r w:rsidRPr="0080620A">
        <w:t xml:space="preserve">in 2031) or ten years (to report at </w:t>
      </w:r>
      <w:r w:rsidR="00E777BB" w:rsidRPr="0080620A">
        <w:t>the tenth meeting of the Conference of the Parties</w:t>
      </w:r>
      <w:r w:rsidR="00892D93" w:rsidRPr="0080620A">
        <w:t>,</w:t>
      </w:r>
      <w:r w:rsidR="00E777BB" w:rsidRPr="0080620A" w:rsidDel="00E777BB">
        <w:t xml:space="preserve"> </w:t>
      </w:r>
      <w:r w:rsidRPr="0080620A">
        <w:t xml:space="preserve">in 2033). </w:t>
      </w:r>
      <w:r w:rsidR="00E777BB" w:rsidRPr="0080620A">
        <w:t>W</w:t>
      </w:r>
      <w:r w:rsidRPr="0080620A">
        <w:t>ith the longer periods</w:t>
      </w:r>
      <w:r w:rsidR="00E777BB" w:rsidRPr="0080620A">
        <w:t>, however,</w:t>
      </w:r>
      <w:r w:rsidRPr="0080620A">
        <w:t xml:space="preserve"> additional external factors would need to be taken into account when performing the attribution function.</w:t>
      </w:r>
    </w:p>
    <w:p w14:paraId="14C003B4" w14:textId="635C1469"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bookmarkStart w:id="13" w:name="_Hlk15589405"/>
      <w:r>
        <w:rPr>
          <w:rFonts w:ascii="Times New Roman" w:hAnsi="Times New Roman" w:cs="Times New Roman"/>
        </w:rPr>
        <w:tab/>
      </w:r>
      <w:r w:rsidR="00483B21" w:rsidRPr="00E52267">
        <w:rPr>
          <w:rFonts w:ascii="Times New Roman" w:hAnsi="Times New Roman" w:cs="Times New Roman"/>
        </w:rPr>
        <w:t>I</w:t>
      </w:r>
      <w:r w:rsidR="00992554" w:rsidRPr="00E52267">
        <w:rPr>
          <w:rFonts w:ascii="Times New Roman" w:hAnsi="Times New Roman" w:cs="Times New Roman"/>
        </w:rPr>
        <w:t>V</w:t>
      </w:r>
      <w:r w:rsidR="00483B21" w:rsidRPr="00E52267">
        <w:rPr>
          <w:rFonts w:ascii="Times New Roman" w:hAnsi="Times New Roman" w:cs="Times New Roman"/>
        </w:rPr>
        <w:t>.</w:t>
      </w:r>
      <w:r w:rsidR="00483B21" w:rsidRPr="00E52267">
        <w:rPr>
          <w:rFonts w:ascii="Times New Roman" w:hAnsi="Times New Roman" w:cs="Times New Roman"/>
        </w:rPr>
        <w:tab/>
      </w:r>
      <w:r w:rsidR="00B1107F" w:rsidRPr="00E52267">
        <w:rPr>
          <w:rFonts w:ascii="Times New Roman" w:hAnsi="Times New Roman" w:cs="Times New Roman"/>
        </w:rPr>
        <w:t>Issues for further consideration</w:t>
      </w:r>
    </w:p>
    <w:p w14:paraId="6A54B08D" w14:textId="239901CF" w:rsidR="00B1107F" w:rsidRPr="0080620A" w:rsidRDefault="00B1107F" w:rsidP="009E249F">
      <w:pPr>
        <w:pStyle w:val="Normalnumber"/>
      </w:pPr>
      <w:r w:rsidRPr="0080620A">
        <w:t xml:space="preserve">The comments </w:t>
      </w:r>
      <w:r w:rsidR="0068525D" w:rsidRPr="0080620A">
        <w:t xml:space="preserve">on the draft report </w:t>
      </w:r>
      <w:r w:rsidRPr="0080620A">
        <w:t xml:space="preserve">and input received </w:t>
      </w:r>
      <w:r w:rsidR="0068525D" w:rsidRPr="0080620A">
        <w:t xml:space="preserve">during the </w:t>
      </w:r>
      <w:r w:rsidRPr="0080620A">
        <w:t xml:space="preserve">comment period from </w:t>
      </w:r>
      <w:r w:rsidR="0099132D" w:rsidRPr="0080620A">
        <w:t>1 </w:t>
      </w:r>
      <w:r w:rsidRPr="0080620A">
        <w:t xml:space="preserve">August to 5 September 2019 provided the ad hoc technical expert group with much valuable information and guidance from </w:t>
      </w:r>
      <w:r w:rsidR="00B000A7" w:rsidRPr="0080620A">
        <w:t>p</w:t>
      </w:r>
      <w:r w:rsidRPr="0080620A">
        <w:t xml:space="preserve">arties and </w:t>
      </w:r>
      <w:r w:rsidR="0068525D" w:rsidRPr="0080620A">
        <w:t xml:space="preserve">from </w:t>
      </w:r>
      <w:r w:rsidRPr="0080620A">
        <w:t xml:space="preserve">a stakeholder </w:t>
      </w:r>
      <w:r w:rsidR="0068525D" w:rsidRPr="0080620A">
        <w:t>for the completion of</w:t>
      </w:r>
      <w:r w:rsidRPr="0080620A">
        <w:t xml:space="preserve"> its report to the Conference of the Parties on the proposed framework for the evaluation of the </w:t>
      </w:r>
      <w:r w:rsidR="0068525D" w:rsidRPr="0080620A">
        <w:t>effective</w:t>
      </w:r>
      <w:r w:rsidR="0099132D" w:rsidRPr="0080620A">
        <w:t>ness</w:t>
      </w:r>
      <w:r w:rsidR="0068525D" w:rsidRPr="0080620A">
        <w:t xml:space="preserve"> of the </w:t>
      </w:r>
      <w:r w:rsidRPr="0080620A">
        <w:t>Convention.</w:t>
      </w:r>
      <w:r w:rsidR="0099132D" w:rsidRPr="0080620A">
        <w:t xml:space="preserve"> </w:t>
      </w:r>
      <w:r w:rsidRPr="0080620A">
        <w:t>While almost all comments could be addressed and/or incorporated in</w:t>
      </w:r>
      <w:r w:rsidR="0068525D" w:rsidRPr="0080620A">
        <w:t>to</w:t>
      </w:r>
      <w:r w:rsidRPr="0080620A">
        <w:t xml:space="preserve"> the report, there </w:t>
      </w:r>
      <w:r w:rsidRPr="0080620A">
        <w:lastRenderedPageBreak/>
        <w:t>remained areas where views differ</w:t>
      </w:r>
      <w:r w:rsidR="0068525D" w:rsidRPr="0080620A">
        <w:t>ed</w:t>
      </w:r>
      <w:r w:rsidRPr="0080620A">
        <w:t>. Th</w:t>
      </w:r>
      <w:r w:rsidR="0068525D" w:rsidRPr="0080620A">
        <w:t>o</w:t>
      </w:r>
      <w:r w:rsidRPr="0080620A">
        <w:t xml:space="preserve">se areas are outlined below for further consideration by the Conference of the Parties. </w:t>
      </w:r>
    </w:p>
    <w:p w14:paraId="4E05F6D3" w14:textId="4DC40D72" w:rsidR="00B1107F" w:rsidRPr="0080620A" w:rsidRDefault="00B1107F" w:rsidP="009E249F">
      <w:pPr>
        <w:pStyle w:val="Normalnumber"/>
      </w:pPr>
      <w:r w:rsidRPr="0080620A">
        <w:t xml:space="preserve"> There </w:t>
      </w:r>
      <w:r w:rsidR="0068525D" w:rsidRPr="0080620A">
        <w:t>a</w:t>
      </w:r>
      <w:r w:rsidRPr="0080620A">
        <w:t xml:space="preserve">re different views on whether it is possible to produce the </w:t>
      </w:r>
      <w:r w:rsidR="008070CC" w:rsidRPr="0080620A">
        <w:t>a</w:t>
      </w:r>
      <w:r w:rsidRPr="0080620A">
        <w:t xml:space="preserve">ttribution </w:t>
      </w:r>
      <w:r w:rsidR="008070CC" w:rsidRPr="0080620A">
        <w:t>r</w:t>
      </w:r>
      <w:r w:rsidRPr="0080620A">
        <w:t>eport (</w:t>
      </w:r>
      <w:r w:rsidR="0068525D" w:rsidRPr="0080620A">
        <w:t xml:space="preserve">referred to as the integrated assessment report </w:t>
      </w:r>
      <w:r w:rsidRPr="0080620A">
        <w:t>in the draft report circulated for comment). Some hold that th</w:t>
      </w:r>
      <w:r w:rsidR="0068525D" w:rsidRPr="0080620A">
        <w:t>e attribution</w:t>
      </w:r>
      <w:r w:rsidRPr="0080620A">
        <w:t xml:space="preserve"> report is scientifically imperative for the effectiveness evaluation</w:t>
      </w:r>
      <w:r w:rsidR="0068525D" w:rsidRPr="0080620A">
        <w:t>, while</w:t>
      </w:r>
      <w:r w:rsidRPr="0080620A">
        <w:t xml:space="preserve"> </w:t>
      </w:r>
      <w:r w:rsidR="0068525D" w:rsidRPr="0080620A">
        <w:t>o</w:t>
      </w:r>
      <w:r w:rsidRPr="0080620A">
        <w:t xml:space="preserve">thers </w:t>
      </w:r>
      <w:r w:rsidR="008070CC" w:rsidRPr="0080620A">
        <w:t>consider</w:t>
      </w:r>
      <w:r w:rsidRPr="0080620A">
        <w:t xml:space="preserve"> that the tools and models required </w:t>
      </w:r>
      <w:r w:rsidR="0068525D" w:rsidRPr="0080620A">
        <w:t xml:space="preserve">to produce such a report </w:t>
      </w:r>
      <w:r w:rsidRPr="0080620A">
        <w:t xml:space="preserve">are </w:t>
      </w:r>
      <w:r w:rsidR="008070CC" w:rsidRPr="0080620A">
        <w:t xml:space="preserve">not yet </w:t>
      </w:r>
      <w:r w:rsidRPr="0080620A">
        <w:t>proven reliable and robust</w:t>
      </w:r>
      <w:r w:rsidR="0068525D" w:rsidRPr="0080620A">
        <w:t xml:space="preserve"> and that the report should be removed from the first effectiveness evaluation cycle, but </w:t>
      </w:r>
      <w:r w:rsidR="008070CC" w:rsidRPr="0080620A">
        <w:t>could be included in</w:t>
      </w:r>
      <w:r w:rsidRPr="0080620A">
        <w:t xml:space="preserve"> </w:t>
      </w:r>
      <w:r w:rsidR="0068525D" w:rsidRPr="0080620A">
        <w:t xml:space="preserve">a </w:t>
      </w:r>
      <w:r w:rsidRPr="0080620A">
        <w:t>future refinement of the framework</w:t>
      </w:r>
      <w:r w:rsidR="008070CC" w:rsidRPr="0080620A">
        <w:t>,</w:t>
      </w:r>
      <w:r w:rsidRPr="0080620A">
        <w:t xml:space="preserve"> for future cycles. </w:t>
      </w:r>
      <w:r w:rsidR="008070CC" w:rsidRPr="00AE130B">
        <w:t xml:space="preserve">Given </w:t>
      </w:r>
      <w:r w:rsidRPr="00AE130B">
        <w:t xml:space="preserve">these comments, the </w:t>
      </w:r>
      <w:r w:rsidR="0068525D" w:rsidRPr="00AE130B">
        <w:t xml:space="preserve">attribution </w:t>
      </w:r>
      <w:r w:rsidRPr="00AE130B">
        <w:t>report continues to be listed and described</w:t>
      </w:r>
      <w:r w:rsidR="0068525D" w:rsidRPr="00AE130B">
        <w:t xml:space="preserve"> in th</w:t>
      </w:r>
      <w:r w:rsidR="00230051" w:rsidRPr="00AE130B">
        <w:t>e</w:t>
      </w:r>
      <w:r w:rsidR="0068525D" w:rsidRPr="00AE130B">
        <w:t xml:space="preserve"> </w:t>
      </w:r>
      <w:r w:rsidR="00230051" w:rsidRPr="00AE130B">
        <w:t xml:space="preserve">present </w:t>
      </w:r>
      <w:r w:rsidR="0068525D" w:rsidRPr="00AE130B">
        <w:t>report</w:t>
      </w:r>
      <w:r w:rsidRPr="00AE130B">
        <w:t xml:space="preserve"> but</w:t>
      </w:r>
      <w:r w:rsidR="0068525D" w:rsidRPr="00AE130B">
        <w:t xml:space="preserve"> such</w:t>
      </w:r>
      <w:r w:rsidRPr="00AE130B">
        <w:t xml:space="preserve"> instances are footnoted and/or highlighted in grey</w:t>
      </w:r>
      <w:r w:rsidR="0068525D" w:rsidRPr="00AE130B">
        <w:t xml:space="preserve"> to indicate that there are differ</w:t>
      </w:r>
      <w:r w:rsidR="00111814" w:rsidRPr="00AE130B">
        <w:t>ing</w:t>
      </w:r>
      <w:r w:rsidR="0068525D" w:rsidRPr="00AE130B">
        <w:t xml:space="preserve"> views on the matter</w:t>
      </w:r>
      <w:r w:rsidRPr="00AE130B">
        <w:t>.</w:t>
      </w:r>
      <w:r w:rsidRPr="0080620A">
        <w:t xml:space="preserve"> </w:t>
      </w:r>
    </w:p>
    <w:p w14:paraId="55DAE22E" w14:textId="7544B477" w:rsidR="00B1107F" w:rsidRPr="0080620A" w:rsidRDefault="00B1107F" w:rsidP="009E249F">
      <w:pPr>
        <w:pStyle w:val="Normalnumber"/>
      </w:pPr>
      <w:r w:rsidRPr="0080620A">
        <w:t>Besides valuable comments and edits to sharpen the proposed indicators</w:t>
      </w:r>
      <w:r w:rsidR="00C6642A" w:rsidRPr="0080620A">
        <w:t>, several</w:t>
      </w:r>
      <w:r w:rsidRPr="0080620A">
        <w:t xml:space="preserve"> </w:t>
      </w:r>
      <w:r w:rsidR="00C6642A" w:rsidRPr="0080620A">
        <w:t xml:space="preserve">other </w:t>
      </w:r>
      <w:r w:rsidRPr="0080620A">
        <w:t xml:space="preserve">items were </w:t>
      </w:r>
      <w:r w:rsidR="00C6642A" w:rsidRPr="0080620A">
        <w:t>mentioned</w:t>
      </w:r>
      <w:r w:rsidRPr="0080620A">
        <w:t xml:space="preserve"> </w:t>
      </w:r>
      <w:r w:rsidR="00230051" w:rsidRPr="0080620A">
        <w:t>regarding</w:t>
      </w:r>
      <w:r w:rsidRPr="0080620A">
        <w:t xml:space="preserve"> indicators: </w:t>
      </w:r>
    </w:p>
    <w:p w14:paraId="4923DD45" w14:textId="391909D5" w:rsidR="00B1107F" w:rsidRPr="0080620A" w:rsidRDefault="00B1107F" w:rsidP="009E249F">
      <w:pPr>
        <w:pStyle w:val="Normalnumber"/>
      </w:pPr>
      <w:r w:rsidRPr="0080620A">
        <w:t>There were different views on the approach to identifying the indicators and the subsequent proposed list. Identifying indicators article</w:t>
      </w:r>
      <w:r w:rsidR="00F80CFA" w:rsidRPr="0080620A">
        <w:t xml:space="preserve"> </w:t>
      </w:r>
      <w:r w:rsidRPr="0080620A">
        <w:t>by</w:t>
      </w:r>
      <w:r w:rsidR="00F80CFA" w:rsidRPr="0080620A">
        <w:t xml:space="preserve"> </w:t>
      </w:r>
      <w:r w:rsidRPr="0080620A">
        <w:t xml:space="preserve">article and clustering related </w:t>
      </w:r>
      <w:r w:rsidR="00F80CFA" w:rsidRPr="0080620A">
        <w:t xml:space="preserve">articles </w:t>
      </w:r>
      <w:r w:rsidRPr="0080620A">
        <w:t>was general</w:t>
      </w:r>
      <w:r w:rsidR="008A0544" w:rsidRPr="0080620A">
        <w:t>ly</w:t>
      </w:r>
      <w:r w:rsidRPr="0080620A">
        <w:t xml:space="preserve"> regarded as useful and valuable, but </w:t>
      </w:r>
      <w:r w:rsidR="008A0544" w:rsidRPr="0080620A">
        <w:t>some took the</w:t>
      </w:r>
      <w:r w:rsidRPr="0080620A">
        <w:t xml:space="preserve"> view that this might mean that indicators </w:t>
      </w:r>
      <w:r w:rsidR="00230051" w:rsidRPr="0080620A">
        <w:t xml:space="preserve">did not </w:t>
      </w:r>
      <w:r w:rsidRPr="0080620A">
        <w:t xml:space="preserve">need to be identified for each article. </w:t>
      </w:r>
    </w:p>
    <w:p w14:paraId="7FEC82BE" w14:textId="5AC93AA1" w:rsidR="00B1107F" w:rsidRPr="0080620A" w:rsidRDefault="00B1107F" w:rsidP="009E249F">
      <w:pPr>
        <w:pStyle w:val="Normalnumber"/>
      </w:pPr>
      <w:r w:rsidRPr="0080620A">
        <w:t xml:space="preserve">Furthermore, </w:t>
      </w:r>
      <w:r w:rsidR="008A0544" w:rsidRPr="0080620A">
        <w:t>some were of the</w:t>
      </w:r>
      <w:r w:rsidRPr="0080620A">
        <w:t xml:space="preserve"> view that indicators should only be identified for legal obligations</w:t>
      </w:r>
      <w:r w:rsidR="008A0544" w:rsidRPr="0080620A">
        <w:t>, while o</w:t>
      </w:r>
      <w:r w:rsidRPr="0080620A">
        <w:t xml:space="preserve">thers </w:t>
      </w:r>
      <w:r w:rsidR="00BC2A86" w:rsidRPr="0080620A">
        <w:t xml:space="preserve">said </w:t>
      </w:r>
      <w:r w:rsidRPr="0080620A">
        <w:t xml:space="preserve">that indicators </w:t>
      </w:r>
      <w:r w:rsidR="00230051" w:rsidRPr="0080620A">
        <w:t>were</w:t>
      </w:r>
      <w:r w:rsidRPr="0080620A">
        <w:t xml:space="preserve"> needed for </w:t>
      </w:r>
      <w:r w:rsidR="00BC2A86" w:rsidRPr="0080620A">
        <w:t xml:space="preserve">both </w:t>
      </w:r>
      <w:r w:rsidRPr="0080620A">
        <w:t xml:space="preserve">legal and voluntary obligations. </w:t>
      </w:r>
    </w:p>
    <w:p w14:paraId="2F60BBB2" w14:textId="63273FD2" w:rsidR="00B1107F" w:rsidRPr="0080620A" w:rsidRDefault="00B1107F" w:rsidP="009E249F">
      <w:pPr>
        <w:pStyle w:val="Normalnumber"/>
      </w:pPr>
      <w:r w:rsidRPr="0080620A">
        <w:t>A view was also expressed on the interpretability of the findings coming from indicators</w:t>
      </w:r>
      <w:r w:rsidR="00BC2A86" w:rsidRPr="0080620A">
        <w:t>, hence</w:t>
      </w:r>
      <w:r w:rsidRPr="0080620A">
        <w:t xml:space="preserve"> the suggestion </w:t>
      </w:r>
      <w:r w:rsidR="00BC2A86" w:rsidRPr="0080620A">
        <w:t>that</w:t>
      </w:r>
      <w:r w:rsidRPr="0080620A">
        <w:t xml:space="preserve"> only indicators where the direction of association is linked with emissions and releases</w:t>
      </w:r>
      <w:r w:rsidR="00BC2A86" w:rsidRPr="0080620A">
        <w:t xml:space="preserve"> be selected</w:t>
      </w:r>
      <w:r w:rsidRPr="0080620A">
        <w:t xml:space="preserve">. While </w:t>
      </w:r>
      <w:r w:rsidR="008A0544" w:rsidRPr="0080620A">
        <w:t xml:space="preserve">some saw </w:t>
      </w:r>
      <w:r w:rsidRPr="0080620A">
        <w:t>causality and interpretability as critical, others held that</w:t>
      </w:r>
      <w:r w:rsidR="00230051" w:rsidRPr="0080620A">
        <w:t>,</w:t>
      </w:r>
      <w:r w:rsidR="008A0544" w:rsidRPr="0080620A">
        <w:t xml:space="preserve"> for the overall integrative perspective </w:t>
      </w:r>
      <w:r w:rsidR="00D409D4" w:rsidRPr="0080620A">
        <w:t>on</w:t>
      </w:r>
      <w:r w:rsidR="008A0544" w:rsidRPr="0080620A">
        <w:t xml:space="preserve"> the effectiveness of the Convention,</w:t>
      </w:r>
      <w:r w:rsidRPr="0080620A">
        <w:t xml:space="preserve"> </w:t>
      </w:r>
      <w:r w:rsidR="008A0544" w:rsidRPr="0080620A">
        <w:t xml:space="preserve">it is imperative to capture </w:t>
      </w:r>
      <w:r w:rsidRPr="0080620A">
        <w:t xml:space="preserve">the information coming from other indicators. </w:t>
      </w:r>
    </w:p>
    <w:p w14:paraId="2D0D5B21" w14:textId="2026B1EE" w:rsidR="00B1107F" w:rsidRPr="0080620A" w:rsidRDefault="00D409D4" w:rsidP="009E249F">
      <w:pPr>
        <w:pStyle w:val="Normalnumber"/>
      </w:pPr>
      <w:r w:rsidRPr="0080620A">
        <w:t>T</w:t>
      </w:r>
      <w:r w:rsidR="008A0544" w:rsidRPr="0080620A">
        <w:t>here were comments</w:t>
      </w:r>
      <w:r w:rsidR="00B1107F" w:rsidRPr="0080620A">
        <w:t xml:space="preserve"> </w:t>
      </w:r>
      <w:r w:rsidR="008A0544" w:rsidRPr="0080620A">
        <w:t xml:space="preserve">to the effect </w:t>
      </w:r>
      <w:r w:rsidR="00B1107F" w:rsidRPr="0080620A">
        <w:t xml:space="preserve">that the proposed indicator </w:t>
      </w:r>
      <w:r w:rsidR="008A0544" w:rsidRPr="0080620A">
        <w:t>for</w:t>
      </w:r>
      <w:r w:rsidR="00B1107F" w:rsidRPr="0080620A">
        <w:t xml:space="preserve"> </w:t>
      </w:r>
      <w:r w:rsidR="00CB05C4" w:rsidRPr="0080620A">
        <w:t>a</w:t>
      </w:r>
      <w:r w:rsidR="00B1107F" w:rsidRPr="0080620A">
        <w:t>rticle 22 (K1)</w:t>
      </w:r>
      <w:r w:rsidR="004B5046" w:rsidRPr="0080620A">
        <w:t xml:space="preserve"> should be deleted</w:t>
      </w:r>
      <w:r w:rsidR="008A0544" w:rsidRPr="0080620A">
        <w:t xml:space="preserve">, </w:t>
      </w:r>
      <w:r w:rsidR="00111814" w:rsidRPr="0080620A">
        <w:t>along with</w:t>
      </w:r>
      <w:r w:rsidR="008A0544" w:rsidRPr="0080620A">
        <w:t xml:space="preserve"> </w:t>
      </w:r>
      <w:r w:rsidR="00B1107F" w:rsidRPr="0080620A">
        <w:t>a select</w:t>
      </w:r>
      <w:r w:rsidR="00111814" w:rsidRPr="0080620A">
        <w:t>ion</w:t>
      </w:r>
      <w:r w:rsidR="00B1107F" w:rsidRPr="0080620A">
        <w:t xml:space="preserve"> of other proposed indicators. </w:t>
      </w:r>
      <w:r w:rsidR="004B5046" w:rsidRPr="0080620A">
        <w:t xml:space="preserve">In the current </w:t>
      </w:r>
      <w:r w:rsidR="00B1107F" w:rsidRPr="0080620A">
        <w:t xml:space="preserve">report, K1 </w:t>
      </w:r>
      <w:r w:rsidR="004B5046" w:rsidRPr="0080620A">
        <w:t xml:space="preserve">has been </w:t>
      </w:r>
      <w:r w:rsidR="00B1107F" w:rsidRPr="0080620A">
        <w:t xml:space="preserve">highlighted in grey to indicate </w:t>
      </w:r>
      <w:r w:rsidR="008A0544" w:rsidRPr="0080620A">
        <w:t xml:space="preserve">the </w:t>
      </w:r>
      <w:r w:rsidR="00111814" w:rsidRPr="0080620A">
        <w:t>differing</w:t>
      </w:r>
      <w:r w:rsidR="00B1107F" w:rsidRPr="0080620A">
        <w:t xml:space="preserve"> views. The </w:t>
      </w:r>
      <w:r w:rsidR="008A0544" w:rsidRPr="0080620A">
        <w:t xml:space="preserve">first cycle will present </w:t>
      </w:r>
      <w:r w:rsidR="00D84C1C" w:rsidRPr="0080620A">
        <w:t>an</w:t>
      </w:r>
      <w:r w:rsidR="008A0544" w:rsidRPr="0080620A">
        <w:t xml:space="preserve"> opportunity to resolve </w:t>
      </w:r>
      <w:r w:rsidR="00B1107F" w:rsidRPr="0080620A">
        <w:t xml:space="preserve">other </w:t>
      </w:r>
      <w:r w:rsidR="00111814" w:rsidRPr="0080620A">
        <w:t>divergences</w:t>
      </w:r>
      <w:r w:rsidR="00B1107F" w:rsidRPr="0080620A">
        <w:t xml:space="preserve"> on specific indicators. </w:t>
      </w:r>
    </w:p>
    <w:p w14:paraId="746DD50E" w14:textId="72DA6184" w:rsidR="00B1107F" w:rsidRPr="0080620A" w:rsidRDefault="00B1107F" w:rsidP="009E249F">
      <w:pPr>
        <w:pStyle w:val="Normalnumber"/>
      </w:pPr>
      <w:r w:rsidRPr="0080620A">
        <w:t xml:space="preserve">There were different views on whether a </w:t>
      </w:r>
      <w:r w:rsidR="00F80CFA" w:rsidRPr="0080620A">
        <w:t>w</w:t>
      </w:r>
      <w:r w:rsidRPr="0080620A">
        <w:t xml:space="preserve">aste </w:t>
      </w:r>
      <w:r w:rsidR="00F80CFA" w:rsidRPr="0080620A">
        <w:t>r</w:t>
      </w:r>
      <w:r w:rsidRPr="0080620A">
        <w:t xml:space="preserve">eport </w:t>
      </w:r>
      <w:r w:rsidR="00D749CF" w:rsidRPr="0080620A">
        <w:t>is</w:t>
      </w:r>
      <w:r w:rsidRPr="0080620A">
        <w:t xml:space="preserve"> needed. Some </w:t>
      </w:r>
      <w:r w:rsidR="008A0544" w:rsidRPr="00C23075">
        <w:t xml:space="preserve">people </w:t>
      </w:r>
      <w:r w:rsidR="00BC2A86" w:rsidRPr="0080620A">
        <w:t xml:space="preserve">were of </w:t>
      </w:r>
      <w:r w:rsidRPr="0080620A">
        <w:t xml:space="preserve">the view that </w:t>
      </w:r>
      <w:r w:rsidR="008A0544" w:rsidRPr="0080620A">
        <w:t xml:space="preserve">a </w:t>
      </w:r>
      <w:r w:rsidRPr="0080620A">
        <w:t>report focus</w:t>
      </w:r>
      <w:r w:rsidR="008A0544" w:rsidRPr="0080620A">
        <w:t>ing</w:t>
      </w:r>
      <w:r w:rsidRPr="0080620A">
        <w:t xml:space="preserve"> on waste management practices</w:t>
      </w:r>
      <w:r w:rsidR="008A0544" w:rsidRPr="0080620A">
        <w:t xml:space="preserve"> would</w:t>
      </w:r>
      <w:r w:rsidRPr="0080620A">
        <w:t xml:space="preserve"> not </w:t>
      </w:r>
      <w:r w:rsidR="00BC2A86" w:rsidRPr="0080620A">
        <w:t xml:space="preserve">provide </w:t>
      </w:r>
      <w:r w:rsidRPr="0080620A">
        <w:t>inform</w:t>
      </w:r>
      <w:r w:rsidR="00BC2A86" w:rsidRPr="0080620A">
        <w:t>ation</w:t>
      </w:r>
      <w:r w:rsidRPr="0080620A">
        <w:t xml:space="preserve"> on the effectiveness of the Convention</w:t>
      </w:r>
      <w:r w:rsidR="00111814" w:rsidRPr="0080620A">
        <w:t>;</w:t>
      </w:r>
      <w:r w:rsidRPr="0080620A">
        <w:t xml:space="preserve"> </w:t>
      </w:r>
      <w:r w:rsidR="00111814" w:rsidRPr="0080620A">
        <w:t>t</w:t>
      </w:r>
      <w:r w:rsidRPr="0080620A">
        <w:t xml:space="preserve">he proposed reports on </w:t>
      </w:r>
      <w:r w:rsidR="00F80CFA" w:rsidRPr="0080620A">
        <w:t>t</w:t>
      </w:r>
      <w:r w:rsidRPr="0080620A">
        <w:t xml:space="preserve">rade, </w:t>
      </w:r>
      <w:r w:rsidR="00F80CFA" w:rsidRPr="0080620A">
        <w:t>s</w:t>
      </w:r>
      <w:r w:rsidRPr="0080620A">
        <w:t xml:space="preserve">upply and </w:t>
      </w:r>
      <w:r w:rsidR="00F80CFA" w:rsidRPr="0080620A">
        <w:t>d</w:t>
      </w:r>
      <w:r w:rsidRPr="0080620A">
        <w:t xml:space="preserve">emand </w:t>
      </w:r>
      <w:r w:rsidR="00BC2A86" w:rsidRPr="0080620A">
        <w:t>could</w:t>
      </w:r>
      <w:r w:rsidR="008A0544" w:rsidRPr="0080620A">
        <w:t xml:space="preserve"> be expected to provide </w:t>
      </w:r>
      <w:r w:rsidRPr="0080620A">
        <w:t xml:space="preserve">information on the reuse of waste mercury for allowed uses and </w:t>
      </w:r>
      <w:r w:rsidR="008A0544" w:rsidRPr="0080620A">
        <w:t xml:space="preserve">would </w:t>
      </w:r>
      <w:r w:rsidRPr="0080620A">
        <w:t xml:space="preserve">therefore be a more useful lens. </w:t>
      </w:r>
      <w:r w:rsidR="00C6642A" w:rsidRPr="0080620A">
        <w:t>Therefore</w:t>
      </w:r>
      <w:r w:rsidRPr="0080620A">
        <w:t xml:space="preserve">, their request </w:t>
      </w:r>
      <w:r w:rsidR="008A0544" w:rsidRPr="0080620A">
        <w:t>that</w:t>
      </w:r>
      <w:r w:rsidRPr="0080620A">
        <w:t xml:space="preserve"> the </w:t>
      </w:r>
      <w:r w:rsidR="00F80CFA" w:rsidRPr="0080620A">
        <w:t>w</w:t>
      </w:r>
      <w:r w:rsidRPr="0080620A">
        <w:t xml:space="preserve">aste </w:t>
      </w:r>
      <w:r w:rsidR="00F80CFA" w:rsidRPr="0080620A">
        <w:t>r</w:t>
      </w:r>
      <w:r w:rsidRPr="0080620A">
        <w:t xml:space="preserve">eport </w:t>
      </w:r>
      <w:r w:rsidR="008A0544" w:rsidRPr="0080620A">
        <w:t xml:space="preserve">be deleted </w:t>
      </w:r>
      <w:r w:rsidRPr="0080620A">
        <w:t>from the list of reports to be prepared in th</w:t>
      </w:r>
      <w:r w:rsidR="00D84C1C" w:rsidRPr="0080620A">
        <w:t>e</w:t>
      </w:r>
      <w:r w:rsidRPr="0080620A">
        <w:t xml:space="preserve"> </w:t>
      </w:r>
      <w:r w:rsidR="00D84C1C" w:rsidRPr="0080620A">
        <w:t xml:space="preserve">first </w:t>
      </w:r>
      <w:r w:rsidRPr="0080620A">
        <w:t xml:space="preserve">effectiveness evaluation cycle. </w:t>
      </w:r>
      <w:r w:rsidR="008A0544" w:rsidRPr="0080620A">
        <w:t>The</w:t>
      </w:r>
      <w:r w:rsidR="00111814" w:rsidRPr="0080620A">
        <w:t xml:space="preserve"> opposing view is</w:t>
      </w:r>
      <w:r w:rsidRPr="0080620A">
        <w:t xml:space="preserve"> that it is critical for the Effectiveness Evaluation Committee to have independent background information on available technical and policy options for waste management and recycling</w:t>
      </w:r>
      <w:r w:rsidR="00BC2A86" w:rsidRPr="0080620A">
        <w:t>, so as</w:t>
      </w:r>
      <w:r w:rsidRPr="0080620A">
        <w:t xml:space="preserve"> </w:t>
      </w:r>
      <w:r w:rsidR="00BA2806" w:rsidRPr="0080620A">
        <w:t>to gain perspective on the</w:t>
      </w:r>
      <w:r w:rsidRPr="0080620A">
        <w:t xml:space="preserve"> </w:t>
      </w:r>
      <w:r w:rsidR="00F80CFA" w:rsidRPr="0080620A">
        <w:t>a</w:t>
      </w:r>
      <w:r w:rsidRPr="0080620A">
        <w:t>rticle 21 reports on th</w:t>
      </w:r>
      <w:r w:rsidR="00BA2806" w:rsidRPr="0080620A">
        <w:t>o</w:t>
      </w:r>
      <w:r w:rsidRPr="0080620A">
        <w:t xml:space="preserve">se matters. </w:t>
      </w:r>
      <w:r w:rsidR="00111814" w:rsidRPr="0080620A">
        <w:t>In the light of these differing views, t</w:t>
      </w:r>
      <w:r w:rsidRPr="0080620A">
        <w:t xml:space="preserve">he </w:t>
      </w:r>
      <w:r w:rsidR="00F80CFA" w:rsidRPr="0080620A">
        <w:t>w</w:t>
      </w:r>
      <w:r w:rsidRPr="0080620A">
        <w:t xml:space="preserve">aste </w:t>
      </w:r>
      <w:r w:rsidR="00F80CFA" w:rsidRPr="0080620A">
        <w:t>r</w:t>
      </w:r>
      <w:r w:rsidRPr="0080620A">
        <w:t xml:space="preserve">eport </w:t>
      </w:r>
      <w:r w:rsidR="00111814" w:rsidRPr="0080620A">
        <w:t>remains part of</w:t>
      </w:r>
      <w:r w:rsidRPr="0080620A">
        <w:t xml:space="preserve"> the proposed framework</w:t>
      </w:r>
      <w:r w:rsidR="00D84C1C" w:rsidRPr="0080620A">
        <w:t>,</w:t>
      </w:r>
      <w:r w:rsidRPr="0080620A">
        <w:t xml:space="preserve"> but</w:t>
      </w:r>
      <w:r w:rsidR="00BA2806" w:rsidRPr="0080620A">
        <w:t xml:space="preserve"> </w:t>
      </w:r>
      <w:r w:rsidRPr="0080620A">
        <w:t xml:space="preserve">the instances </w:t>
      </w:r>
      <w:r w:rsidR="00111814" w:rsidRPr="0080620A">
        <w:t xml:space="preserve">where it is mentioned </w:t>
      </w:r>
      <w:r w:rsidRPr="0080620A">
        <w:t>are highlighted in grey.</w:t>
      </w:r>
    </w:p>
    <w:p w14:paraId="349372A6" w14:textId="77777777" w:rsidR="00B1107F" w:rsidRPr="0080620A" w:rsidRDefault="00B1107F" w:rsidP="009E249F">
      <w:pPr>
        <w:pStyle w:val="Normalnumber"/>
      </w:pPr>
      <w:r w:rsidRPr="0080620A">
        <w:t xml:space="preserve">A view was also expressed that the collection of monitoring data should not use the resources of the Convention. </w:t>
      </w:r>
    </w:p>
    <w:p w14:paraId="17A207D3" w14:textId="1A90DEFD" w:rsidR="00B1107F" w:rsidRPr="0080620A" w:rsidRDefault="00B1107F" w:rsidP="009E249F">
      <w:pPr>
        <w:pStyle w:val="Normalnumber"/>
      </w:pPr>
      <w:r w:rsidRPr="0080620A">
        <w:t xml:space="preserve">There were also different views expressed </w:t>
      </w:r>
      <w:r w:rsidR="00EA1F90" w:rsidRPr="0080620A">
        <w:t>regarding</w:t>
      </w:r>
      <w:r w:rsidRPr="0080620A">
        <w:t xml:space="preserve"> the matrices for human biomonitoring</w:t>
      </w:r>
      <w:r w:rsidR="0037411A" w:rsidRPr="0080620A">
        <w:t>:</w:t>
      </w:r>
      <w:r w:rsidRPr="0080620A">
        <w:t xml:space="preserve"> </w:t>
      </w:r>
      <w:r w:rsidR="0037411A" w:rsidRPr="0080620A">
        <w:t>o</w:t>
      </w:r>
      <w:r w:rsidRPr="0080620A">
        <w:t>ne view held that blood sampling should be limited to cord blood</w:t>
      </w:r>
      <w:r w:rsidR="00BC2A86" w:rsidRPr="0080620A">
        <w:t>,</w:t>
      </w:r>
      <w:r w:rsidRPr="0080620A">
        <w:t xml:space="preserve"> </w:t>
      </w:r>
      <w:r w:rsidR="0037411A" w:rsidRPr="0080620A">
        <w:t>as this</w:t>
      </w:r>
      <w:r w:rsidRPr="0080620A">
        <w:t xml:space="preserve"> is non-invasive and can be used for pre-natal exposure assessment</w:t>
      </w:r>
      <w:r w:rsidR="0037411A" w:rsidRPr="0080620A">
        <w:t>, while the other</w:t>
      </w:r>
      <w:r w:rsidRPr="0080620A">
        <w:t xml:space="preserve"> held that cord blood </w:t>
      </w:r>
      <w:r w:rsidR="0037411A" w:rsidRPr="0080620A">
        <w:t xml:space="preserve">might </w:t>
      </w:r>
      <w:r w:rsidRPr="0080620A">
        <w:t xml:space="preserve">not be sufficient for human exposure assessment and </w:t>
      </w:r>
      <w:r w:rsidR="00BC2A86" w:rsidRPr="0080620A">
        <w:t xml:space="preserve">that </w:t>
      </w:r>
      <w:r w:rsidRPr="0080620A">
        <w:t>blood sampled from adults should also be used</w:t>
      </w:r>
      <w:r w:rsidR="0037411A" w:rsidRPr="0080620A">
        <w:t>,</w:t>
      </w:r>
      <w:r w:rsidR="005A3D16" w:rsidRPr="0080620A">
        <w:t xml:space="preserve"> </w:t>
      </w:r>
      <w:r w:rsidR="00EA1F90" w:rsidRPr="0080620A">
        <w:t xml:space="preserve">given that </w:t>
      </w:r>
      <w:r w:rsidR="005A3D16" w:rsidRPr="0080620A">
        <w:t xml:space="preserve">these groups </w:t>
      </w:r>
      <w:r w:rsidR="0037411A" w:rsidRPr="0080620A">
        <w:t>re</w:t>
      </w:r>
      <w:r w:rsidR="005A3D16" w:rsidRPr="0080620A">
        <w:t>present different vulnerable populations</w:t>
      </w:r>
      <w:r w:rsidRPr="0080620A">
        <w:t xml:space="preserve">. </w:t>
      </w:r>
    </w:p>
    <w:p w14:paraId="3E12E200" w14:textId="5DCE8443" w:rsidR="00B1107F" w:rsidRPr="0080620A" w:rsidRDefault="00B1107F" w:rsidP="009E249F">
      <w:pPr>
        <w:pStyle w:val="Normalnumber"/>
      </w:pPr>
      <w:r w:rsidRPr="0080620A">
        <w:t xml:space="preserve">Lastly, while the report </w:t>
      </w:r>
      <w:r w:rsidR="0037411A" w:rsidRPr="0080620A">
        <w:t>indicates</w:t>
      </w:r>
      <w:r w:rsidRPr="0080620A">
        <w:t xml:space="preserve"> that the production of the synthesis reports is to be facilitated by the secretariat and produced with/through </w:t>
      </w:r>
      <w:r w:rsidR="000D2531">
        <w:t xml:space="preserve">collaborating </w:t>
      </w:r>
      <w:r w:rsidR="00747A61">
        <w:t>partners</w:t>
      </w:r>
      <w:r w:rsidRPr="0080620A">
        <w:t xml:space="preserve">, </w:t>
      </w:r>
      <w:r w:rsidR="0037411A" w:rsidRPr="0080620A">
        <w:t>it</w:t>
      </w:r>
      <w:r w:rsidRPr="0080620A">
        <w:t xml:space="preserve"> does not list potential </w:t>
      </w:r>
      <w:r w:rsidR="000D2531">
        <w:t xml:space="preserve">collaborating </w:t>
      </w:r>
      <w:r w:rsidR="00747A61" w:rsidRPr="00747A61">
        <w:t>partners</w:t>
      </w:r>
      <w:r w:rsidRPr="0080620A">
        <w:t xml:space="preserve">. To inform the consideration of </w:t>
      </w:r>
      <w:r w:rsidR="0037411A" w:rsidRPr="0080620A">
        <w:t>possible</w:t>
      </w:r>
      <w:r w:rsidRPr="0080620A">
        <w:t xml:space="preserve"> </w:t>
      </w:r>
      <w:r w:rsidR="00747A61" w:rsidRPr="00747A61">
        <w:t>partners</w:t>
      </w:r>
      <w:r w:rsidRPr="0080620A">
        <w:t xml:space="preserve"> </w:t>
      </w:r>
      <w:r w:rsidR="0037411A" w:rsidRPr="0080620A">
        <w:t>for the production of</w:t>
      </w:r>
      <w:r w:rsidRPr="0080620A">
        <w:t xml:space="preserve"> the proposed </w:t>
      </w:r>
      <w:r w:rsidR="00BA2806" w:rsidRPr="0080620A">
        <w:t>e</w:t>
      </w:r>
      <w:r w:rsidRPr="0080620A">
        <w:t xml:space="preserve">missions and </w:t>
      </w:r>
      <w:r w:rsidR="00BA2806" w:rsidRPr="0080620A">
        <w:t>r</w:t>
      </w:r>
      <w:r w:rsidRPr="0080620A">
        <w:t xml:space="preserve">eleases </w:t>
      </w:r>
      <w:r w:rsidR="00BA2806" w:rsidRPr="0080620A">
        <w:t>r</w:t>
      </w:r>
      <w:r w:rsidRPr="0080620A">
        <w:t>eport</w:t>
      </w:r>
      <w:r w:rsidR="0037411A" w:rsidRPr="0080620A">
        <w:t>,</w:t>
      </w:r>
      <w:r w:rsidRPr="0080620A">
        <w:t xml:space="preserve"> </w:t>
      </w:r>
      <w:r w:rsidR="00BA2806" w:rsidRPr="0080620A">
        <w:t>t</w:t>
      </w:r>
      <w:r w:rsidRPr="0080620A">
        <w:t xml:space="preserve">rade, </w:t>
      </w:r>
      <w:r w:rsidR="00BA2806" w:rsidRPr="0080620A">
        <w:t>s</w:t>
      </w:r>
      <w:r w:rsidRPr="0080620A">
        <w:t xml:space="preserve">upply and </w:t>
      </w:r>
      <w:r w:rsidR="00BA2806" w:rsidRPr="0080620A">
        <w:t>d</w:t>
      </w:r>
      <w:r w:rsidRPr="0080620A">
        <w:t xml:space="preserve">emand </w:t>
      </w:r>
      <w:r w:rsidR="00BA2806" w:rsidRPr="0080620A">
        <w:t>r</w:t>
      </w:r>
      <w:r w:rsidRPr="0080620A">
        <w:t xml:space="preserve">eport and </w:t>
      </w:r>
      <w:r w:rsidR="00BA2806" w:rsidRPr="0080620A">
        <w:t>w</w:t>
      </w:r>
      <w:r w:rsidRPr="0080620A">
        <w:t xml:space="preserve">aste </w:t>
      </w:r>
      <w:r w:rsidR="00BA2806" w:rsidRPr="0080620A">
        <w:t>r</w:t>
      </w:r>
      <w:r w:rsidRPr="0080620A">
        <w:t xml:space="preserve">eport, it may be useful for the Conference of </w:t>
      </w:r>
      <w:r w:rsidR="00DC5C70" w:rsidRPr="0080620A">
        <w:t xml:space="preserve">the </w:t>
      </w:r>
      <w:r w:rsidRPr="0080620A">
        <w:t xml:space="preserve">Parties to recall the </w:t>
      </w:r>
      <w:r w:rsidR="000D2531">
        <w:t xml:space="preserve">collaborating </w:t>
      </w:r>
      <w:r w:rsidR="00747A61" w:rsidRPr="00747A61">
        <w:t>partners</w:t>
      </w:r>
      <w:r w:rsidRPr="0080620A">
        <w:t xml:space="preserve"> (both institutional and contracted) that worked with the UNEP Chemicals and Health Branch to produce the </w:t>
      </w:r>
      <w:r w:rsidR="002D189F">
        <w:t xml:space="preserve">report </w:t>
      </w:r>
      <w:r w:rsidRPr="00AE130B">
        <w:rPr>
          <w:i/>
        </w:rPr>
        <w:t>Global Mercury Assessment</w:t>
      </w:r>
      <w:r w:rsidR="00BA2806" w:rsidRPr="00AE130B">
        <w:rPr>
          <w:i/>
        </w:rPr>
        <w:t xml:space="preserve"> </w:t>
      </w:r>
      <w:r w:rsidR="0037411A" w:rsidRPr="00AE130B">
        <w:rPr>
          <w:i/>
        </w:rPr>
        <w:t>2018</w:t>
      </w:r>
      <w:r w:rsidR="00BA2806" w:rsidRPr="0080620A">
        <w:t>,</w:t>
      </w:r>
      <w:r w:rsidR="002C6C95">
        <w:fldChar w:fldCharType="begin"/>
      </w:r>
      <w:r w:rsidR="002C6C95">
        <w:instrText xml:space="preserve"> NOTEREF _Ref23323081 \f \h </w:instrText>
      </w:r>
      <w:r w:rsidR="002C6C95">
        <w:fldChar w:fldCharType="separate"/>
      </w:r>
      <w:r w:rsidR="00A929BE" w:rsidRPr="00A929BE">
        <w:rPr>
          <w:rStyle w:val="FootnoteReference"/>
        </w:rPr>
        <w:t>6</w:t>
      </w:r>
      <w:r w:rsidR="002C6C95">
        <w:fldChar w:fldCharType="end"/>
      </w:r>
      <w:r w:rsidRPr="0080620A">
        <w:t xml:space="preserve"> the </w:t>
      </w:r>
      <w:r w:rsidR="006C0253" w:rsidRPr="0080620A">
        <w:t xml:space="preserve">2017 report </w:t>
      </w:r>
      <w:r w:rsidRPr="00AE130B">
        <w:rPr>
          <w:i/>
        </w:rPr>
        <w:t>Global Mercury: Supply, Trade and Demand</w:t>
      </w:r>
      <w:r w:rsidR="00AE130B">
        <w:rPr>
          <w:i/>
        </w:rPr>
        <w:t xml:space="preserve"> </w:t>
      </w:r>
      <w:r w:rsidR="002C6C95">
        <w:fldChar w:fldCharType="begin"/>
      </w:r>
      <w:r w:rsidR="002C6C95">
        <w:instrText xml:space="preserve"> NOTEREF _Ref23323106 \f \h </w:instrText>
      </w:r>
      <w:r w:rsidR="002C6C95">
        <w:fldChar w:fldCharType="separate"/>
      </w:r>
      <w:r w:rsidR="00A929BE" w:rsidRPr="00A929BE">
        <w:rPr>
          <w:rStyle w:val="FootnoteReference"/>
        </w:rPr>
        <w:t>7</w:t>
      </w:r>
      <w:r w:rsidR="002C6C95">
        <w:fldChar w:fldCharType="end"/>
      </w:r>
      <w:r w:rsidRPr="0080620A">
        <w:t xml:space="preserve"> and the </w:t>
      </w:r>
      <w:r w:rsidR="006C0253" w:rsidRPr="0080620A">
        <w:t xml:space="preserve">2018 </w:t>
      </w:r>
      <w:r w:rsidR="00AE130B">
        <w:t xml:space="preserve">report </w:t>
      </w:r>
      <w:r w:rsidRPr="00AE130B">
        <w:rPr>
          <w:i/>
        </w:rPr>
        <w:t>Global Mercury Waste Assessment</w:t>
      </w:r>
      <w:r w:rsidR="00AE130B" w:rsidRPr="00AE130B">
        <w:rPr>
          <w:i/>
        </w:rPr>
        <w:t>:</w:t>
      </w:r>
      <w:r w:rsidR="00AE130B" w:rsidRPr="00AE130B">
        <w:rPr>
          <w:i/>
          <w:lang w:val="en-US"/>
        </w:rPr>
        <w:t xml:space="preserve"> Review of Current National Measures</w:t>
      </w:r>
      <w:r w:rsidR="00BA2806" w:rsidRPr="0080620A">
        <w:t>.</w:t>
      </w:r>
      <w:r w:rsidR="002C6C95">
        <w:fldChar w:fldCharType="begin"/>
      </w:r>
      <w:r w:rsidR="002C6C95">
        <w:instrText xml:space="preserve"> NOTEREF _Ref23323134 \f \h </w:instrText>
      </w:r>
      <w:r w:rsidR="002C6C95">
        <w:fldChar w:fldCharType="separate"/>
      </w:r>
      <w:r w:rsidR="00A929BE" w:rsidRPr="00A929BE">
        <w:rPr>
          <w:rStyle w:val="FootnoteReference"/>
        </w:rPr>
        <w:t>8</w:t>
      </w:r>
      <w:r w:rsidR="002C6C95">
        <w:fldChar w:fldCharType="end"/>
      </w:r>
      <w:r w:rsidRPr="0080620A">
        <w:t xml:space="preserve"> </w:t>
      </w:r>
    </w:p>
    <w:bookmarkEnd w:id="13"/>
    <w:p w14:paraId="5CA72456" w14:textId="77777777" w:rsidR="00B66A03" w:rsidRPr="00062378" w:rsidRDefault="00B66A03" w:rsidP="00C54064">
      <w:pPr>
        <w:pStyle w:val="Normalpool"/>
        <w:rPr>
          <w:lang w:val="en-GB"/>
        </w:rPr>
      </w:pPr>
      <w:r w:rsidRPr="00062378">
        <w:rPr>
          <w:lang w:val="en-GB"/>
        </w:rPr>
        <w:br w:type="page"/>
      </w:r>
    </w:p>
    <w:p w14:paraId="7A39911F" w14:textId="5723F2E8" w:rsidR="00B66A03" w:rsidRPr="0080620A" w:rsidRDefault="00B1107F" w:rsidP="00B66A03">
      <w:pPr>
        <w:pStyle w:val="ZZAnxheader"/>
      </w:pPr>
      <w:r w:rsidRPr="0080620A">
        <w:lastRenderedPageBreak/>
        <w:t>Appendix</w:t>
      </w:r>
      <w:r w:rsidR="006A5D6F" w:rsidRPr="0080620A">
        <w:t xml:space="preserve"> I</w:t>
      </w:r>
    </w:p>
    <w:p w14:paraId="6DE0B292" w14:textId="5FBD3F7D" w:rsidR="00B1107F" w:rsidRPr="0080620A" w:rsidRDefault="00B1107F" w:rsidP="00B66A03">
      <w:pPr>
        <w:pStyle w:val="ZZAnxtitle"/>
      </w:pPr>
      <w:r w:rsidRPr="0080620A">
        <w:t>Technical information on monitoring</w:t>
      </w:r>
    </w:p>
    <w:p w14:paraId="1B28B968" w14:textId="63958166" w:rsidR="00B1107F" w:rsidRPr="0080620A" w:rsidRDefault="0008012D" w:rsidP="00B66A03">
      <w:pPr>
        <w:ind w:left="1247"/>
        <w:rPr>
          <w:rFonts w:asciiTheme="majorBidi" w:hAnsiTheme="majorBidi" w:cstheme="majorBidi"/>
        </w:rPr>
      </w:pPr>
      <w:r>
        <w:rPr>
          <w:rFonts w:asciiTheme="majorBidi" w:hAnsiTheme="majorBidi" w:cstheme="majorBidi"/>
        </w:rPr>
        <w:t>[</w:t>
      </w:r>
      <w:r w:rsidR="00511A27" w:rsidRPr="000B0C89">
        <w:rPr>
          <w:rFonts w:asciiTheme="majorBidi" w:hAnsiTheme="majorBidi" w:cstheme="majorBidi"/>
          <w:i/>
          <w:iCs/>
        </w:rPr>
        <w:t>The text of appendix I is set out in</w:t>
      </w:r>
      <w:r w:rsidR="00B1107F" w:rsidRPr="000B0C89">
        <w:rPr>
          <w:rFonts w:asciiTheme="majorBidi" w:hAnsiTheme="majorBidi" w:cstheme="majorBidi"/>
          <w:i/>
          <w:iCs/>
        </w:rPr>
        <w:t xml:space="preserve"> </w:t>
      </w:r>
      <w:r w:rsidR="007129E3" w:rsidRPr="000B0C89">
        <w:rPr>
          <w:rFonts w:asciiTheme="majorBidi" w:hAnsiTheme="majorBidi" w:cstheme="majorBidi"/>
          <w:i/>
          <w:iCs/>
        </w:rPr>
        <w:t xml:space="preserve">document </w:t>
      </w:r>
      <w:r w:rsidR="00B1107F" w:rsidRPr="000B0C89">
        <w:rPr>
          <w:rFonts w:asciiTheme="majorBidi" w:hAnsiTheme="majorBidi" w:cstheme="majorBidi"/>
          <w:i/>
          <w:iCs/>
        </w:rPr>
        <w:t>UNEP/MC/COP.3</w:t>
      </w:r>
      <w:r w:rsidR="00A731D4" w:rsidRPr="000B0C89">
        <w:rPr>
          <w:rFonts w:asciiTheme="majorBidi" w:hAnsiTheme="majorBidi" w:cstheme="majorBidi"/>
          <w:i/>
          <w:iCs/>
        </w:rPr>
        <w:t>/</w:t>
      </w:r>
      <w:r w:rsidR="00B1107F" w:rsidRPr="000B0C89">
        <w:rPr>
          <w:rFonts w:asciiTheme="majorBidi" w:hAnsiTheme="majorBidi" w:cstheme="majorBidi"/>
          <w:i/>
          <w:iCs/>
        </w:rPr>
        <w:t>14</w:t>
      </w:r>
      <w:r w:rsidR="00A731D4" w:rsidRPr="000B0C89">
        <w:rPr>
          <w:rFonts w:asciiTheme="majorBidi" w:hAnsiTheme="majorBidi" w:cstheme="majorBidi"/>
          <w:i/>
          <w:iCs/>
        </w:rPr>
        <w:t>/</w:t>
      </w:r>
      <w:r w:rsidR="00B1107F" w:rsidRPr="000B0C89">
        <w:rPr>
          <w:rFonts w:asciiTheme="majorBidi" w:hAnsiTheme="majorBidi" w:cstheme="majorBidi"/>
          <w:i/>
          <w:iCs/>
        </w:rPr>
        <w:t>Add.1.</w:t>
      </w:r>
      <w:r>
        <w:rPr>
          <w:rFonts w:asciiTheme="majorBidi" w:hAnsiTheme="majorBidi" w:cstheme="majorBidi"/>
        </w:rPr>
        <w:t>]</w:t>
      </w:r>
    </w:p>
    <w:p w14:paraId="47A2B4A7" w14:textId="77777777" w:rsidR="00B66A03" w:rsidRPr="0080620A" w:rsidRDefault="00B66A03">
      <w:pPr>
        <w:tabs>
          <w:tab w:val="clear" w:pos="1247"/>
          <w:tab w:val="clear" w:pos="1814"/>
          <w:tab w:val="clear" w:pos="2381"/>
          <w:tab w:val="clear" w:pos="2948"/>
          <w:tab w:val="clear" w:pos="3515"/>
        </w:tabs>
        <w:rPr>
          <w:rFonts w:asciiTheme="majorBidi" w:hAnsiTheme="majorBidi" w:cstheme="majorBidi"/>
          <w:b/>
          <w:bCs/>
          <w:sz w:val="28"/>
          <w:szCs w:val="26"/>
        </w:rPr>
      </w:pPr>
      <w:r w:rsidRPr="0080620A">
        <w:rPr>
          <w:rFonts w:asciiTheme="majorBidi" w:hAnsiTheme="majorBidi" w:cstheme="majorBidi"/>
        </w:rPr>
        <w:br w:type="page"/>
      </w:r>
    </w:p>
    <w:p w14:paraId="24F9E65F" w14:textId="1450C1EF" w:rsidR="00B66A03" w:rsidRPr="0080620A" w:rsidRDefault="00B1107F" w:rsidP="00B66A03">
      <w:pPr>
        <w:pStyle w:val="ZZAnxheader"/>
      </w:pPr>
      <w:r w:rsidRPr="0080620A">
        <w:lastRenderedPageBreak/>
        <w:t>Appendix</w:t>
      </w:r>
      <w:r w:rsidR="006A5D6F" w:rsidRPr="0080620A">
        <w:t xml:space="preserve"> II</w:t>
      </w:r>
    </w:p>
    <w:p w14:paraId="1602EAA3" w14:textId="63BF6A40" w:rsidR="00B1107F" w:rsidRPr="0080620A" w:rsidRDefault="00B1107F" w:rsidP="00B66A03">
      <w:pPr>
        <w:pStyle w:val="ZZAnxtitle"/>
      </w:pPr>
      <w:r w:rsidRPr="0080620A">
        <w:t xml:space="preserve">Draft terms of reference </w:t>
      </w:r>
      <w:r w:rsidR="00D66F65" w:rsidRPr="0080620A">
        <w:t>for</w:t>
      </w:r>
      <w:r w:rsidRPr="0080620A">
        <w:t xml:space="preserve"> the Effectiveness Evaluation Committee</w:t>
      </w:r>
    </w:p>
    <w:p w14:paraId="0104FFBE" w14:textId="33D03013" w:rsidR="00B1107F" w:rsidRPr="0080620A" w:rsidRDefault="00843A05" w:rsidP="000B0C89">
      <w:pPr>
        <w:pStyle w:val="CH2"/>
        <w:rPr>
          <w:u w:color="000000"/>
        </w:rPr>
      </w:pPr>
      <w:r w:rsidRPr="0080620A">
        <w:rPr>
          <w:u w:color="000000"/>
        </w:rPr>
        <w:tab/>
        <w:t>A.</w:t>
      </w:r>
      <w:r w:rsidRPr="0080620A">
        <w:rPr>
          <w:u w:color="000000"/>
        </w:rPr>
        <w:tab/>
      </w:r>
      <w:r w:rsidR="00B1107F" w:rsidRPr="0080620A">
        <w:rPr>
          <w:u w:color="000000"/>
        </w:rPr>
        <w:t>Mandate</w:t>
      </w:r>
    </w:p>
    <w:p w14:paraId="37D3C96E" w14:textId="19874A84" w:rsidR="00B1107F" w:rsidRPr="0080620A" w:rsidRDefault="00D04F34" w:rsidP="009E249F">
      <w:pPr>
        <w:pStyle w:val="Normalnumber"/>
        <w:numPr>
          <w:ilvl w:val="0"/>
          <w:numId w:val="38"/>
        </w:numPr>
        <w:tabs>
          <w:tab w:val="clear" w:pos="1057"/>
        </w:tabs>
        <w:ind w:left="1247"/>
      </w:pPr>
      <w:r w:rsidRPr="0080620A">
        <w:t>The</w:t>
      </w:r>
      <w:r w:rsidR="00B1107F" w:rsidRPr="0080620A">
        <w:t xml:space="preserve"> Effectiveness Evaluation Committee (hereinafter, </w:t>
      </w:r>
      <w:r w:rsidR="00A2664A" w:rsidRPr="0080620A">
        <w:t xml:space="preserve">the </w:t>
      </w:r>
      <w:r w:rsidR="00B1107F" w:rsidRPr="0080620A">
        <w:t xml:space="preserve">“Committee”) </w:t>
      </w:r>
      <w:r w:rsidRPr="0080620A">
        <w:t>will</w:t>
      </w:r>
      <w:r w:rsidR="00B1107F" w:rsidRPr="0080620A">
        <w:t xml:space="preserve"> carry out tasks related </w:t>
      </w:r>
      <w:r w:rsidRPr="0080620A">
        <w:t>to</w:t>
      </w:r>
      <w:r w:rsidR="00B1107F" w:rsidRPr="0080620A">
        <w:t xml:space="preserve"> level 5 of the proposed methodology for the effectiveness evaluation.</w:t>
      </w:r>
    </w:p>
    <w:p w14:paraId="52E35DA6" w14:textId="77777777" w:rsidR="00B1107F" w:rsidRPr="0080620A" w:rsidRDefault="00B1107F" w:rsidP="000B0C89">
      <w:pPr>
        <w:pStyle w:val="CH2"/>
        <w:rPr>
          <w:u w:color="000000"/>
        </w:rPr>
      </w:pPr>
      <w:r w:rsidRPr="0080620A">
        <w:rPr>
          <w:u w:color="000000"/>
        </w:rPr>
        <w:tab/>
        <w:t>B.</w:t>
      </w:r>
      <w:r w:rsidRPr="0080620A">
        <w:rPr>
          <w:u w:color="000000"/>
        </w:rPr>
        <w:tab/>
        <w:t>Membership</w:t>
      </w:r>
    </w:p>
    <w:p w14:paraId="778C82B1" w14:textId="493EBC8D" w:rsidR="00B1107F" w:rsidRPr="0080620A" w:rsidRDefault="00B1107F" w:rsidP="009E249F">
      <w:pPr>
        <w:pStyle w:val="Normalnumber"/>
        <w:numPr>
          <w:ilvl w:val="0"/>
          <w:numId w:val="38"/>
        </w:numPr>
        <w:tabs>
          <w:tab w:val="clear" w:pos="1057"/>
        </w:tabs>
        <w:ind w:left="1247"/>
      </w:pPr>
      <w:r w:rsidRPr="0080620A">
        <w:t xml:space="preserve">The members of the Committee </w:t>
      </w:r>
      <w:r w:rsidR="00D04F34" w:rsidRPr="0080620A">
        <w:t xml:space="preserve">will </w:t>
      </w:r>
      <w:r w:rsidRPr="0080620A">
        <w:t xml:space="preserve">be appointed on the basis of equitable geographical distribution, taking into account </w:t>
      </w:r>
      <w:r w:rsidR="00797FA4" w:rsidRPr="0080620A">
        <w:t>the need for gender</w:t>
      </w:r>
      <w:r w:rsidRPr="0080620A">
        <w:t xml:space="preserve"> balance </w:t>
      </w:r>
      <w:r w:rsidR="00797FA4" w:rsidRPr="0080620A">
        <w:t>and various</w:t>
      </w:r>
      <w:r w:rsidRPr="0080620A">
        <w:t xml:space="preserve"> types of expertise.</w:t>
      </w:r>
    </w:p>
    <w:p w14:paraId="647EB4E3" w14:textId="175E1202" w:rsidR="00B1107F" w:rsidRPr="0080620A" w:rsidRDefault="00B1107F" w:rsidP="009E249F">
      <w:pPr>
        <w:pStyle w:val="Normalnumber"/>
        <w:numPr>
          <w:ilvl w:val="0"/>
          <w:numId w:val="38"/>
        </w:numPr>
        <w:tabs>
          <w:tab w:val="clear" w:pos="1057"/>
        </w:tabs>
        <w:ind w:left="1247"/>
      </w:pPr>
      <w:r w:rsidRPr="0080620A">
        <w:t xml:space="preserve">The Committee </w:t>
      </w:r>
      <w:r w:rsidR="00D04F34" w:rsidRPr="0080620A">
        <w:t xml:space="preserve">will </w:t>
      </w:r>
      <w:r w:rsidRPr="0080620A">
        <w:t xml:space="preserve">consist of </w:t>
      </w:r>
      <w:r w:rsidR="007104D6" w:rsidRPr="0080620A">
        <w:t xml:space="preserve">12 </w:t>
      </w:r>
      <w:r w:rsidRPr="0080620A">
        <w:t>experts, as follows:</w:t>
      </w:r>
    </w:p>
    <w:p w14:paraId="6BEE5A94" w14:textId="16418695" w:rsidR="00B1107F" w:rsidRPr="0080620A" w:rsidRDefault="00D04F34" w:rsidP="00A00B9F">
      <w:pPr>
        <w:pStyle w:val="Normalnumber"/>
        <w:numPr>
          <w:ilvl w:val="0"/>
          <w:numId w:val="31"/>
        </w:numPr>
        <w:ind w:left="1247" w:firstLine="624"/>
      </w:pPr>
      <w:r w:rsidRPr="0080620A">
        <w:t>Two experts nominated by e</w:t>
      </w:r>
      <w:r w:rsidR="00B1107F" w:rsidRPr="0080620A">
        <w:t xml:space="preserve">ach </w:t>
      </w:r>
      <w:r w:rsidR="008D15C3" w:rsidRPr="0080620A">
        <w:t xml:space="preserve">of the five </w:t>
      </w:r>
      <w:r w:rsidR="00B1107F" w:rsidRPr="0080620A">
        <w:t>United Nations region</w:t>
      </w:r>
      <w:r w:rsidR="008D15C3" w:rsidRPr="0080620A">
        <w:t>s</w:t>
      </w:r>
      <w:r w:rsidR="00B1107F" w:rsidRPr="0080620A">
        <w:t xml:space="preserve"> </w:t>
      </w:r>
      <w:r w:rsidRPr="0080620A">
        <w:t>and</w:t>
      </w:r>
      <w:r w:rsidR="00B1107F" w:rsidRPr="0080620A">
        <w:t xml:space="preserve"> confirmed by the Conference of the Parties;</w:t>
      </w:r>
    </w:p>
    <w:p w14:paraId="3DCFFD1B" w14:textId="6AD4CE7B" w:rsidR="00F0485C" w:rsidRPr="001B5022" w:rsidRDefault="00B1107F" w:rsidP="00A00B9F">
      <w:pPr>
        <w:pStyle w:val="Normalnumber"/>
        <w:numPr>
          <w:ilvl w:val="0"/>
          <w:numId w:val="31"/>
        </w:numPr>
        <w:ind w:left="1247" w:firstLine="624"/>
      </w:pPr>
      <w:r w:rsidRPr="001B5022">
        <w:t>One expert representing the global monitoring arrangements</w:t>
      </w:r>
      <w:r w:rsidRPr="001B5022">
        <w:rPr>
          <w:color w:val="0070C0"/>
          <w:u w:color="0070C0"/>
        </w:rPr>
        <w:t>;</w:t>
      </w:r>
    </w:p>
    <w:p w14:paraId="0A2A36D8" w14:textId="549A482E" w:rsidR="00B1107F" w:rsidRPr="000B0C89" w:rsidRDefault="00B1107F" w:rsidP="00A00B9F">
      <w:pPr>
        <w:pStyle w:val="Normalnumber"/>
        <w:numPr>
          <w:ilvl w:val="0"/>
          <w:numId w:val="31"/>
        </w:numPr>
        <w:ind w:left="1247" w:firstLine="624"/>
        <w:rPr>
          <w:highlight w:val="lightGray"/>
        </w:rPr>
      </w:pPr>
      <w:r w:rsidRPr="000B0C89">
        <w:rPr>
          <w:highlight w:val="lightGray"/>
        </w:rPr>
        <w:t>One expert representing the Implementation and Compliance Committee.</w:t>
      </w:r>
      <w:r w:rsidRPr="000B0C89">
        <w:rPr>
          <w:rStyle w:val="FootnoteReference"/>
          <w:rFonts w:asciiTheme="majorBidi" w:hAnsiTheme="majorBidi"/>
          <w:szCs w:val="20"/>
          <w:highlight w:val="lightGray"/>
        </w:rPr>
        <w:footnoteReference w:id="15"/>
      </w:r>
    </w:p>
    <w:p w14:paraId="1086B891" w14:textId="5FEDDFBF" w:rsidR="00B1107F" w:rsidRPr="001B5022" w:rsidRDefault="00D04F34" w:rsidP="009E249F">
      <w:pPr>
        <w:pStyle w:val="Normalnumber"/>
        <w:numPr>
          <w:ilvl w:val="0"/>
          <w:numId w:val="38"/>
        </w:numPr>
        <w:tabs>
          <w:tab w:val="clear" w:pos="1057"/>
        </w:tabs>
        <w:ind w:left="1247"/>
      </w:pPr>
      <w:r w:rsidRPr="001B5022">
        <w:t>The e</w:t>
      </w:r>
      <w:r w:rsidR="00B1107F" w:rsidRPr="001B5022">
        <w:t xml:space="preserve">xperts </w:t>
      </w:r>
      <w:r w:rsidRPr="001B5022">
        <w:t xml:space="preserve">nominated </w:t>
      </w:r>
      <w:r w:rsidR="00B1107F" w:rsidRPr="001B5022">
        <w:t xml:space="preserve">by </w:t>
      </w:r>
      <w:r w:rsidRPr="001B5022">
        <w:t>the regions</w:t>
      </w:r>
      <w:r w:rsidR="00B1107F" w:rsidRPr="001B5022">
        <w:t xml:space="preserve"> and confirmed by the Conference of the Parties </w:t>
      </w:r>
      <w:r w:rsidRPr="001B5022">
        <w:t xml:space="preserve">will </w:t>
      </w:r>
      <w:r w:rsidR="00B1107F" w:rsidRPr="001B5022">
        <w:t xml:space="preserve">have expertise in evaluation, reporting and national implementation, or other expertise relevant to the evaluation. </w:t>
      </w:r>
    </w:p>
    <w:p w14:paraId="1B6339B7" w14:textId="084EDDEF" w:rsidR="00B1107F" w:rsidRPr="001B5022" w:rsidRDefault="00B1107F" w:rsidP="009E249F">
      <w:pPr>
        <w:pStyle w:val="Normalnumber"/>
        <w:numPr>
          <w:ilvl w:val="0"/>
          <w:numId w:val="38"/>
        </w:numPr>
        <w:tabs>
          <w:tab w:val="clear" w:pos="1057"/>
        </w:tabs>
        <w:ind w:left="1247"/>
      </w:pPr>
      <w:r w:rsidRPr="001B5022">
        <w:t xml:space="preserve">The expert representing the global monitoring arrangements </w:t>
      </w:r>
      <w:r w:rsidR="00D04F34" w:rsidRPr="001B5022">
        <w:t xml:space="preserve">will </w:t>
      </w:r>
      <w:r w:rsidRPr="001B5022">
        <w:t xml:space="preserve">be selected from </w:t>
      </w:r>
      <w:r w:rsidR="00AE130B" w:rsidRPr="001B5022">
        <w:t xml:space="preserve">among </w:t>
      </w:r>
      <w:r w:rsidRPr="001B5022">
        <w:t xml:space="preserve">the members of the </w:t>
      </w:r>
      <w:r w:rsidR="004B5046" w:rsidRPr="001B5022">
        <w:t>m</w:t>
      </w:r>
      <w:r w:rsidRPr="001B5022">
        <w:t xml:space="preserve">onitoring </w:t>
      </w:r>
      <w:r w:rsidR="004B5046" w:rsidRPr="001B5022">
        <w:t>g</w:t>
      </w:r>
      <w:r w:rsidRPr="001B5022">
        <w:t>roup.</w:t>
      </w:r>
    </w:p>
    <w:p w14:paraId="48A9ED4F" w14:textId="171FC82C" w:rsidR="00B1107F" w:rsidRPr="000B0C89" w:rsidRDefault="00B1107F" w:rsidP="009E249F">
      <w:pPr>
        <w:pStyle w:val="Normalnumber"/>
        <w:numPr>
          <w:ilvl w:val="0"/>
          <w:numId w:val="38"/>
        </w:numPr>
        <w:tabs>
          <w:tab w:val="clear" w:pos="1057"/>
        </w:tabs>
        <w:ind w:left="1247"/>
        <w:rPr>
          <w:highlight w:val="lightGray"/>
        </w:rPr>
      </w:pPr>
      <w:r w:rsidRPr="000B0C89">
        <w:rPr>
          <w:highlight w:val="lightGray"/>
        </w:rPr>
        <w:t xml:space="preserve">The expert </w:t>
      </w:r>
      <w:r w:rsidR="007B2729" w:rsidRPr="000B0C89">
        <w:rPr>
          <w:highlight w:val="lightGray"/>
        </w:rPr>
        <w:t xml:space="preserve">representing </w:t>
      </w:r>
      <w:r w:rsidRPr="000B0C89">
        <w:rPr>
          <w:highlight w:val="lightGray"/>
        </w:rPr>
        <w:t xml:space="preserve">the Implementation and Compliance Committee </w:t>
      </w:r>
      <w:r w:rsidR="00D04F34" w:rsidRPr="000B0C89">
        <w:rPr>
          <w:highlight w:val="lightGray"/>
        </w:rPr>
        <w:t xml:space="preserve">will </w:t>
      </w:r>
      <w:r w:rsidRPr="000B0C89">
        <w:rPr>
          <w:highlight w:val="lightGray"/>
        </w:rPr>
        <w:t>be selected by and from among the members of th</w:t>
      </w:r>
      <w:r w:rsidR="00D04F34" w:rsidRPr="000B0C89">
        <w:rPr>
          <w:highlight w:val="lightGray"/>
        </w:rPr>
        <w:t>at</w:t>
      </w:r>
      <w:r w:rsidRPr="000B0C89">
        <w:rPr>
          <w:highlight w:val="lightGray"/>
        </w:rPr>
        <w:t xml:space="preserve"> committee. </w:t>
      </w:r>
    </w:p>
    <w:p w14:paraId="3A01C2A5" w14:textId="79920656" w:rsidR="00B1107F" w:rsidRPr="001B5022" w:rsidRDefault="00B1107F" w:rsidP="009E249F">
      <w:pPr>
        <w:pStyle w:val="Normalnumber"/>
        <w:numPr>
          <w:ilvl w:val="0"/>
          <w:numId w:val="38"/>
        </w:numPr>
        <w:tabs>
          <w:tab w:val="clear" w:pos="1057"/>
        </w:tabs>
        <w:ind w:left="1247"/>
      </w:pPr>
      <w:r w:rsidRPr="001B5022">
        <w:t xml:space="preserve">Members of the Committee </w:t>
      </w:r>
      <w:r w:rsidR="0071167F" w:rsidRPr="001B5022">
        <w:t xml:space="preserve">will </w:t>
      </w:r>
      <w:r w:rsidRPr="001B5022">
        <w:t>serve objectively and provide their expertise in a neutral and impartial manner, stand to the evidence presented to the Committee and act in the best interests of the Convention.</w:t>
      </w:r>
    </w:p>
    <w:p w14:paraId="709510B3" w14:textId="617EE7B9" w:rsidR="00B1107F" w:rsidRPr="001B5022" w:rsidRDefault="00B1107F" w:rsidP="009E249F">
      <w:pPr>
        <w:pStyle w:val="Normalnumber"/>
        <w:numPr>
          <w:ilvl w:val="0"/>
          <w:numId w:val="38"/>
        </w:numPr>
        <w:tabs>
          <w:tab w:val="clear" w:pos="1057"/>
        </w:tabs>
        <w:ind w:left="1247"/>
      </w:pPr>
      <w:r w:rsidRPr="001B5022">
        <w:t xml:space="preserve">The terms of office </w:t>
      </w:r>
      <w:r w:rsidR="00A94B2F" w:rsidRPr="001B5022">
        <w:t xml:space="preserve">of the members </w:t>
      </w:r>
      <w:r w:rsidR="0071167F" w:rsidRPr="001B5022">
        <w:t xml:space="preserve">will </w:t>
      </w:r>
      <w:r w:rsidRPr="001B5022">
        <w:t xml:space="preserve">coincide with </w:t>
      </w:r>
      <w:r w:rsidR="00A94B2F" w:rsidRPr="001B5022">
        <w:t>the effectiveness evaluation</w:t>
      </w:r>
      <w:r w:rsidRPr="001B5022">
        <w:t xml:space="preserve"> cycle determined by the Conference of the Parties.</w:t>
      </w:r>
    </w:p>
    <w:p w14:paraId="21AE9E49" w14:textId="5C8C8756" w:rsidR="00B1107F" w:rsidRPr="0080620A" w:rsidRDefault="00B1107F" w:rsidP="009E249F">
      <w:pPr>
        <w:pStyle w:val="Normalnumber"/>
        <w:numPr>
          <w:ilvl w:val="0"/>
          <w:numId w:val="38"/>
        </w:numPr>
        <w:tabs>
          <w:tab w:val="clear" w:pos="1057"/>
        </w:tabs>
        <w:ind w:left="1247"/>
      </w:pPr>
      <w:r w:rsidRPr="0080620A">
        <w:t xml:space="preserve">If a member is unable to complete his or her term of office, the region nominating that member </w:t>
      </w:r>
      <w:r w:rsidR="0071167F" w:rsidRPr="0080620A">
        <w:t xml:space="preserve">will </w:t>
      </w:r>
      <w:r w:rsidRPr="0080620A">
        <w:t xml:space="preserve">nominate another person to complete the term. </w:t>
      </w:r>
    </w:p>
    <w:p w14:paraId="42FB28B7" w14:textId="77777777" w:rsidR="00B1107F" w:rsidRPr="0080620A" w:rsidRDefault="00B1107F" w:rsidP="000B0C89">
      <w:pPr>
        <w:pStyle w:val="CH2"/>
        <w:rPr>
          <w:u w:color="000000"/>
        </w:rPr>
      </w:pPr>
      <w:r w:rsidRPr="0080620A">
        <w:rPr>
          <w:u w:color="000000"/>
        </w:rPr>
        <w:tab/>
        <w:t>C.</w:t>
      </w:r>
      <w:r w:rsidRPr="0080620A">
        <w:rPr>
          <w:u w:color="000000"/>
        </w:rPr>
        <w:tab/>
        <w:t>Invited experts and observers</w:t>
      </w:r>
    </w:p>
    <w:p w14:paraId="3855D849" w14:textId="01ADDE97" w:rsidR="00B1107F" w:rsidRPr="0080620A" w:rsidRDefault="00B1107F" w:rsidP="009E249F">
      <w:pPr>
        <w:pStyle w:val="Normalnumber"/>
        <w:numPr>
          <w:ilvl w:val="0"/>
          <w:numId w:val="38"/>
        </w:numPr>
        <w:tabs>
          <w:tab w:val="clear" w:pos="1057"/>
        </w:tabs>
        <w:ind w:left="1247"/>
      </w:pPr>
      <w:r w:rsidRPr="0080620A">
        <w:t xml:space="preserve">The </w:t>
      </w:r>
      <w:r w:rsidR="00EA5C32" w:rsidRPr="0080620A">
        <w:t>s</w:t>
      </w:r>
      <w:r w:rsidRPr="0080620A">
        <w:t xml:space="preserve">ecretariat </w:t>
      </w:r>
      <w:r w:rsidR="00F93CC1" w:rsidRPr="0080620A">
        <w:t xml:space="preserve">will </w:t>
      </w:r>
      <w:r w:rsidRPr="0080620A">
        <w:t xml:space="preserve">invite two internationally recognized experts in effectiveness evaluation </w:t>
      </w:r>
      <w:r w:rsidR="00F93CC1" w:rsidRPr="0080620A">
        <w:t xml:space="preserve">as observers, </w:t>
      </w:r>
      <w:r w:rsidRPr="0080620A">
        <w:t xml:space="preserve">with due consideration </w:t>
      </w:r>
      <w:r w:rsidR="00F93CC1" w:rsidRPr="0080620A">
        <w:t>for the</w:t>
      </w:r>
      <w:r w:rsidRPr="0080620A">
        <w:t xml:space="preserve"> available expertise</w:t>
      </w:r>
      <w:r w:rsidR="00DD3687">
        <w:t>.</w:t>
      </w:r>
    </w:p>
    <w:p w14:paraId="50574043" w14:textId="1BE637BF" w:rsidR="00B1107F" w:rsidRPr="0080620A" w:rsidRDefault="00B1107F" w:rsidP="009E249F">
      <w:pPr>
        <w:pStyle w:val="Normalnumber"/>
        <w:numPr>
          <w:ilvl w:val="0"/>
          <w:numId w:val="38"/>
        </w:numPr>
        <w:tabs>
          <w:tab w:val="clear" w:pos="1057"/>
        </w:tabs>
        <w:ind w:left="1247"/>
      </w:pPr>
      <w:r w:rsidRPr="0080620A">
        <w:t>The Committee will invite up to five experts from civil society, indigenous organizations, intergovernmental organizations, industry and the UNEP Global Mercury Partnership</w:t>
      </w:r>
      <w:r w:rsidR="00F93CC1" w:rsidRPr="0080620A">
        <w:t xml:space="preserve"> as observers</w:t>
      </w:r>
      <w:r w:rsidRPr="0080620A">
        <w:t xml:space="preserve">. The participation of observers will be balanced among the </w:t>
      </w:r>
      <w:r w:rsidR="00062378">
        <w:t>above</w:t>
      </w:r>
      <w:r w:rsidR="00062378">
        <w:noBreakHyphen/>
        <w:t>mentioned</w:t>
      </w:r>
      <w:r w:rsidRPr="0080620A">
        <w:t xml:space="preserve"> groups and </w:t>
      </w:r>
      <w:r w:rsidR="00F93CC1" w:rsidRPr="0080620A">
        <w:t xml:space="preserve">by </w:t>
      </w:r>
      <w:r w:rsidRPr="0080620A">
        <w:t>gender.</w:t>
      </w:r>
    </w:p>
    <w:p w14:paraId="3E4918B7" w14:textId="083A64C0" w:rsidR="00B1107F" w:rsidRPr="0080620A" w:rsidRDefault="00B1107F" w:rsidP="009E249F">
      <w:pPr>
        <w:pStyle w:val="Normalnumber"/>
        <w:numPr>
          <w:ilvl w:val="0"/>
          <w:numId w:val="38"/>
        </w:numPr>
        <w:tabs>
          <w:tab w:val="clear" w:pos="1057"/>
        </w:tabs>
        <w:ind w:left="1247"/>
      </w:pPr>
      <w:r w:rsidRPr="0080620A">
        <w:t>The Committee may allow additional observers within reasonable limits.</w:t>
      </w:r>
    </w:p>
    <w:p w14:paraId="1545FE2C" w14:textId="519CFF2B" w:rsidR="00B1107F" w:rsidRPr="0080620A" w:rsidRDefault="00B1107F" w:rsidP="009E249F">
      <w:pPr>
        <w:pStyle w:val="Normalnumber"/>
        <w:numPr>
          <w:ilvl w:val="0"/>
          <w:numId w:val="38"/>
        </w:numPr>
        <w:tabs>
          <w:tab w:val="clear" w:pos="1057"/>
        </w:tabs>
        <w:ind w:left="1247"/>
      </w:pPr>
      <w:r w:rsidRPr="0080620A">
        <w:t xml:space="preserve">Observers are expected to provide their technical expertise to help the </w:t>
      </w:r>
      <w:r w:rsidR="00F93CC1" w:rsidRPr="0080620A">
        <w:t>C</w:t>
      </w:r>
      <w:r w:rsidRPr="0080620A">
        <w:t xml:space="preserve">ommittee members interpret the information provided.  </w:t>
      </w:r>
    </w:p>
    <w:p w14:paraId="3934A1B8" w14:textId="77777777" w:rsidR="00B1107F" w:rsidRPr="0080620A" w:rsidRDefault="00B1107F" w:rsidP="000B0C89">
      <w:pPr>
        <w:pStyle w:val="CH2"/>
        <w:rPr>
          <w:u w:color="000000"/>
        </w:rPr>
      </w:pPr>
      <w:r w:rsidRPr="0080620A">
        <w:rPr>
          <w:u w:color="000000"/>
        </w:rPr>
        <w:tab/>
        <w:t>D.</w:t>
      </w:r>
      <w:r w:rsidRPr="0080620A">
        <w:rPr>
          <w:u w:color="000000"/>
        </w:rPr>
        <w:tab/>
        <w:t xml:space="preserve">Officers </w:t>
      </w:r>
    </w:p>
    <w:p w14:paraId="332CF17A" w14:textId="0C1D52CB" w:rsidR="00B1107F" w:rsidRPr="0080620A" w:rsidRDefault="00B1107F" w:rsidP="009E249F">
      <w:pPr>
        <w:pStyle w:val="Normalnumber"/>
        <w:numPr>
          <w:ilvl w:val="0"/>
          <w:numId w:val="38"/>
        </w:numPr>
        <w:tabs>
          <w:tab w:val="clear" w:pos="1057"/>
        </w:tabs>
        <w:ind w:left="1247"/>
      </w:pPr>
      <w:r w:rsidRPr="0080620A">
        <w:t xml:space="preserve">The Committee </w:t>
      </w:r>
      <w:r w:rsidR="00F93CC1" w:rsidRPr="0080620A">
        <w:t xml:space="preserve">will </w:t>
      </w:r>
      <w:r w:rsidRPr="0080620A">
        <w:t>elect a chair and a vice-chair</w:t>
      </w:r>
      <w:r w:rsidR="00F93CC1" w:rsidRPr="0080620A">
        <w:t xml:space="preserve"> from among its members</w:t>
      </w:r>
      <w:r w:rsidRPr="0080620A">
        <w:t>.</w:t>
      </w:r>
    </w:p>
    <w:p w14:paraId="5E38A2CB" w14:textId="77777777" w:rsidR="00B1107F" w:rsidRPr="0080620A" w:rsidRDefault="00B1107F" w:rsidP="000B0C89">
      <w:pPr>
        <w:pStyle w:val="CH2"/>
        <w:rPr>
          <w:u w:color="000000"/>
        </w:rPr>
      </w:pPr>
      <w:r w:rsidRPr="0080620A">
        <w:rPr>
          <w:u w:color="000000"/>
        </w:rPr>
        <w:tab/>
        <w:t>E.</w:t>
      </w:r>
      <w:r w:rsidRPr="0080620A">
        <w:rPr>
          <w:u w:color="000000"/>
        </w:rPr>
        <w:tab/>
        <w:t>Administrative and procedural matters</w:t>
      </w:r>
    </w:p>
    <w:p w14:paraId="3DCA3EE8" w14:textId="0FF1F489" w:rsidR="00B1107F" w:rsidRPr="0080620A" w:rsidRDefault="00B1107F" w:rsidP="009E249F">
      <w:pPr>
        <w:pStyle w:val="Normalnumber"/>
        <w:numPr>
          <w:ilvl w:val="0"/>
          <w:numId w:val="38"/>
        </w:numPr>
        <w:tabs>
          <w:tab w:val="clear" w:pos="1057"/>
        </w:tabs>
        <w:ind w:left="1247"/>
      </w:pPr>
      <w:r w:rsidRPr="0080620A">
        <w:t xml:space="preserve">The Committee </w:t>
      </w:r>
      <w:r w:rsidR="00F93CC1" w:rsidRPr="0080620A">
        <w:t xml:space="preserve">will </w:t>
      </w:r>
      <w:r w:rsidRPr="0080620A">
        <w:t xml:space="preserve">apply the rules of procedure of the Conference of the Parties, </w:t>
      </w:r>
      <w:r w:rsidR="00F93CC1" w:rsidRPr="0080620A">
        <w:t xml:space="preserve">mutatis mutandis, </w:t>
      </w:r>
      <w:r w:rsidRPr="0080620A">
        <w:t>unless otherwise provided in the</w:t>
      </w:r>
      <w:r w:rsidR="001943FF" w:rsidRPr="0080620A">
        <w:t xml:space="preserve"> present</w:t>
      </w:r>
      <w:r w:rsidRPr="0080620A">
        <w:t xml:space="preserve"> terms of reference.</w:t>
      </w:r>
    </w:p>
    <w:p w14:paraId="12DC191C" w14:textId="3BB5FEE9" w:rsidR="00B1107F" w:rsidRPr="0080620A" w:rsidRDefault="00B1107F" w:rsidP="009E249F">
      <w:pPr>
        <w:pStyle w:val="Normalnumber"/>
        <w:numPr>
          <w:ilvl w:val="0"/>
          <w:numId w:val="38"/>
        </w:numPr>
        <w:tabs>
          <w:tab w:val="clear" w:pos="1057"/>
        </w:tabs>
        <w:ind w:left="1247"/>
      </w:pPr>
      <w:r w:rsidRPr="0080620A">
        <w:t>The Committee may establish such arrangements as are necessary to facilitate its work</w:t>
      </w:r>
      <w:r w:rsidR="00F93CC1" w:rsidRPr="0080620A">
        <w:t>,</w:t>
      </w:r>
      <w:r w:rsidRPr="0080620A">
        <w:t xml:space="preserve"> in line with the present terms of reference.</w:t>
      </w:r>
    </w:p>
    <w:p w14:paraId="20BBFDF2" w14:textId="51BD306A" w:rsidR="00B1107F" w:rsidRPr="0080620A" w:rsidRDefault="00B1107F" w:rsidP="009E249F">
      <w:pPr>
        <w:pStyle w:val="Normalnumber"/>
        <w:numPr>
          <w:ilvl w:val="0"/>
          <w:numId w:val="38"/>
        </w:numPr>
        <w:tabs>
          <w:tab w:val="clear" w:pos="1057"/>
        </w:tabs>
        <w:ind w:left="1247"/>
      </w:pPr>
      <w:r w:rsidRPr="0080620A">
        <w:lastRenderedPageBreak/>
        <w:t xml:space="preserve">The Committee members </w:t>
      </w:r>
      <w:r w:rsidR="00F93CC1" w:rsidRPr="0080620A">
        <w:t xml:space="preserve">will </w:t>
      </w:r>
      <w:r w:rsidRPr="0080620A">
        <w:t xml:space="preserve">seek to reach agreement by consensus. Should </w:t>
      </w:r>
      <w:r w:rsidR="00F93CC1" w:rsidRPr="0080620A">
        <w:t xml:space="preserve">the members fail to reach </w:t>
      </w:r>
      <w:r w:rsidRPr="0080620A">
        <w:t xml:space="preserve">consensus, the range of their views </w:t>
      </w:r>
      <w:r w:rsidR="00F93CC1" w:rsidRPr="0080620A">
        <w:t xml:space="preserve">will </w:t>
      </w:r>
      <w:r w:rsidRPr="0080620A">
        <w:t xml:space="preserve">be reflected in </w:t>
      </w:r>
      <w:r w:rsidR="006C1798" w:rsidRPr="0080620A">
        <w:t>the relevant</w:t>
      </w:r>
      <w:r w:rsidRPr="0080620A">
        <w:t xml:space="preserve"> report to be submitted to the Conference of the Parties.</w:t>
      </w:r>
    </w:p>
    <w:p w14:paraId="6709FE49" w14:textId="77777777" w:rsidR="00B1107F" w:rsidRPr="0080620A" w:rsidRDefault="00B1107F" w:rsidP="000B0C89">
      <w:pPr>
        <w:pStyle w:val="CH2"/>
        <w:rPr>
          <w:u w:color="000000"/>
        </w:rPr>
      </w:pPr>
      <w:r w:rsidRPr="0080620A">
        <w:rPr>
          <w:u w:color="000000"/>
        </w:rPr>
        <w:tab/>
        <w:t>F.</w:t>
      </w:r>
      <w:r w:rsidRPr="0080620A">
        <w:rPr>
          <w:u w:color="000000"/>
        </w:rPr>
        <w:tab/>
        <w:t>Secretariat</w:t>
      </w:r>
    </w:p>
    <w:p w14:paraId="056D1A67" w14:textId="60FD348E" w:rsidR="00B1107F" w:rsidRPr="0080620A" w:rsidRDefault="00B1107F" w:rsidP="009E249F">
      <w:pPr>
        <w:pStyle w:val="Normalnumber"/>
        <w:numPr>
          <w:ilvl w:val="0"/>
          <w:numId w:val="38"/>
        </w:numPr>
        <w:tabs>
          <w:tab w:val="clear" w:pos="1057"/>
        </w:tabs>
        <w:ind w:left="1247"/>
      </w:pPr>
      <w:r w:rsidRPr="0080620A">
        <w:t xml:space="preserve">The </w:t>
      </w:r>
      <w:r w:rsidR="00EA5C32" w:rsidRPr="0080620A">
        <w:t>s</w:t>
      </w:r>
      <w:r w:rsidRPr="0080620A">
        <w:t xml:space="preserve">ecretariat will provide administrative, logistical, programmatic and substantive support </w:t>
      </w:r>
      <w:r w:rsidR="00F93CC1" w:rsidRPr="0080620A">
        <w:t>for</w:t>
      </w:r>
      <w:r w:rsidRPr="0080620A">
        <w:t xml:space="preserve"> the meetings and work of the Committee.</w:t>
      </w:r>
    </w:p>
    <w:p w14:paraId="459A99C4" w14:textId="77777777" w:rsidR="00B1107F" w:rsidRPr="0080620A" w:rsidRDefault="00B1107F" w:rsidP="000B0C89">
      <w:pPr>
        <w:pStyle w:val="CH2"/>
        <w:rPr>
          <w:u w:color="000000"/>
        </w:rPr>
      </w:pPr>
      <w:r w:rsidRPr="0080620A">
        <w:rPr>
          <w:u w:color="000000"/>
        </w:rPr>
        <w:tab/>
        <w:t>G.</w:t>
      </w:r>
      <w:r w:rsidRPr="0080620A">
        <w:rPr>
          <w:u w:color="000000"/>
        </w:rPr>
        <w:tab/>
        <w:t>Meetings</w:t>
      </w:r>
    </w:p>
    <w:p w14:paraId="5709BE75" w14:textId="7CDE7909" w:rsidR="00B1107F" w:rsidRPr="0080620A" w:rsidRDefault="00B1107F" w:rsidP="009E249F">
      <w:pPr>
        <w:pStyle w:val="Normalnumber"/>
        <w:numPr>
          <w:ilvl w:val="0"/>
          <w:numId w:val="38"/>
        </w:numPr>
        <w:tabs>
          <w:tab w:val="clear" w:pos="1057"/>
        </w:tabs>
        <w:ind w:left="1247"/>
      </w:pPr>
      <w:r w:rsidRPr="0080620A">
        <w:t xml:space="preserve">The Committee </w:t>
      </w:r>
      <w:r w:rsidR="00F93CC1" w:rsidRPr="0080620A">
        <w:t xml:space="preserve">will </w:t>
      </w:r>
      <w:r w:rsidRPr="0080620A">
        <w:t>hold two face-to-face meeting</w:t>
      </w:r>
      <w:r w:rsidR="00F93CC1" w:rsidRPr="0080620A">
        <w:t>s</w:t>
      </w:r>
      <w:r w:rsidRPr="0080620A">
        <w:t xml:space="preserve"> to review the information available for each evaluation cycle and develop a report of </w:t>
      </w:r>
      <w:r w:rsidR="00F93CC1" w:rsidRPr="0080620A">
        <w:t xml:space="preserve">its </w:t>
      </w:r>
      <w:r w:rsidRPr="0080620A">
        <w:t xml:space="preserve">findings to the Conference of the Parties, subject to the availability of funds and work requirements. </w:t>
      </w:r>
      <w:r w:rsidR="00F93CC1" w:rsidRPr="0080620A">
        <w:t>T</w:t>
      </w:r>
      <w:r w:rsidRPr="0080620A">
        <w:t>he frequency of Committee meetings may be amended as necessary</w:t>
      </w:r>
      <w:r w:rsidR="00F93CC1" w:rsidRPr="0080620A">
        <w:t xml:space="preserve"> based on the decisions of the Conference of the Parties</w:t>
      </w:r>
      <w:r w:rsidRPr="0080620A">
        <w:t>.</w:t>
      </w:r>
    </w:p>
    <w:p w14:paraId="2BDC6892" w14:textId="7209FABD" w:rsidR="00B1107F" w:rsidRPr="0080620A" w:rsidRDefault="00B1107F" w:rsidP="009E249F">
      <w:pPr>
        <w:pStyle w:val="Normalnumber"/>
        <w:numPr>
          <w:ilvl w:val="0"/>
          <w:numId w:val="38"/>
        </w:numPr>
        <w:tabs>
          <w:tab w:val="clear" w:pos="1057"/>
        </w:tabs>
        <w:ind w:left="1247"/>
      </w:pPr>
      <w:r w:rsidRPr="0080620A">
        <w:t xml:space="preserve">Documents to be transmitted to the Conference of the Parties </w:t>
      </w:r>
      <w:r w:rsidR="0071167F" w:rsidRPr="0080620A">
        <w:t xml:space="preserve">will </w:t>
      </w:r>
      <w:r w:rsidRPr="0080620A">
        <w:t>be finalized by the Committee at least four months before the meeting of the Conference of the Parties.</w:t>
      </w:r>
    </w:p>
    <w:p w14:paraId="41A46941" w14:textId="77777777" w:rsidR="00B1107F" w:rsidRPr="0080620A" w:rsidRDefault="00B1107F" w:rsidP="000B0C89">
      <w:pPr>
        <w:pStyle w:val="CH2"/>
        <w:rPr>
          <w:u w:color="000000"/>
        </w:rPr>
      </w:pPr>
      <w:r w:rsidRPr="0080620A">
        <w:rPr>
          <w:u w:color="000000"/>
        </w:rPr>
        <w:tab/>
        <w:t>H.</w:t>
      </w:r>
      <w:r w:rsidRPr="0080620A">
        <w:rPr>
          <w:u w:color="000000"/>
        </w:rPr>
        <w:tab/>
        <w:t>Language of meetings</w:t>
      </w:r>
    </w:p>
    <w:p w14:paraId="5B66AFA3" w14:textId="1EB32A8E" w:rsidR="00B1107F" w:rsidRPr="0080620A" w:rsidRDefault="00B1107F" w:rsidP="009E249F">
      <w:pPr>
        <w:pStyle w:val="Normalnumber"/>
        <w:numPr>
          <w:ilvl w:val="0"/>
          <w:numId w:val="38"/>
        </w:numPr>
        <w:tabs>
          <w:tab w:val="clear" w:pos="1057"/>
        </w:tabs>
        <w:ind w:left="1247"/>
      </w:pPr>
      <w:r w:rsidRPr="0080620A">
        <w:t xml:space="preserve">The working language of the Committee </w:t>
      </w:r>
      <w:r w:rsidR="00F93CC1" w:rsidRPr="0080620A">
        <w:t xml:space="preserve">will </w:t>
      </w:r>
      <w:r w:rsidRPr="0080620A">
        <w:t>be English.</w:t>
      </w:r>
    </w:p>
    <w:p w14:paraId="0D6CF5EE" w14:textId="77777777" w:rsidR="00B1107F" w:rsidRPr="0080620A" w:rsidRDefault="00B1107F" w:rsidP="000B0C89">
      <w:pPr>
        <w:pStyle w:val="CH2"/>
        <w:rPr>
          <w:u w:color="000000"/>
        </w:rPr>
      </w:pPr>
      <w:r w:rsidRPr="0080620A">
        <w:rPr>
          <w:u w:color="000000"/>
        </w:rPr>
        <w:tab/>
        <w:t>I.</w:t>
      </w:r>
      <w:r w:rsidRPr="0080620A">
        <w:rPr>
          <w:u w:color="000000"/>
        </w:rPr>
        <w:tab/>
        <w:t>Budget</w:t>
      </w:r>
    </w:p>
    <w:p w14:paraId="28236CA6" w14:textId="362964ED" w:rsidR="00B1107F" w:rsidRPr="0080620A" w:rsidRDefault="000D2531" w:rsidP="009E249F">
      <w:pPr>
        <w:pStyle w:val="Normalnumber"/>
        <w:numPr>
          <w:ilvl w:val="0"/>
          <w:numId w:val="38"/>
        </w:numPr>
        <w:tabs>
          <w:tab w:val="clear" w:pos="1057"/>
        </w:tabs>
        <w:ind w:left="1247"/>
      </w:pPr>
      <w:r>
        <w:t>F</w:t>
      </w:r>
      <w:r w:rsidR="00B1107F" w:rsidRPr="0080620A">
        <w:t>inancial support for travel and daily subsistence allowance should, subject to approval by the Conference of the Parties</w:t>
      </w:r>
      <w:r w:rsidR="00D17B30" w:rsidRPr="0080620A">
        <w:t>,</w:t>
      </w:r>
      <w:r w:rsidR="00B1107F" w:rsidRPr="0080620A">
        <w:t xml:space="preserve"> be made available to Committee members and invited experts and observers for participation in meetings of the Committee </w:t>
      </w:r>
      <w:r w:rsidR="00D17B30" w:rsidRPr="0080620A">
        <w:t>in accordance with</w:t>
      </w:r>
      <w:r w:rsidR="00B1107F" w:rsidRPr="0080620A">
        <w:t xml:space="preserve"> United Nations rules and practice.</w:t>
      </w:r>
    </w:p>
    <w:p w14:paraId="19D446E5" w14:textId="77777777" w:rsidR="00B66A03" w:rsidRPr="000B0C89" w:rsidRDefault="00B66A03" w:rsidP="000B0C89">
      <w:pPr>
        <w:pStyle w:val="Normalpool"/>
      </w:pPr>
      <w:r w:rsidRPr="0080620A">
        <w:br w:type="page"/>
      </w:r>
    </w:p>
    <w:p w14:paraId="2454EE79" w14:textId="50977489" w:rsidR="00B66A03" w:rsidRPr="0080620A" w:rsidRDefault="00B1107F" w:rsidP="00B66A03">
      <w:pPr>
        <w:pStyle w:val="ZZAnxheader"/>
      </w:pPr>
      <w:r w:rsidRPr="0080620A">
        <w:lastRenderedPageBreak/>
        <w:t xml:space="preserve">Appendix </w:t>
      </w:r>
      <w:r w:rsidR="006A5D6F" w:rsidRPr="0080620A">
        <w:t>III</w:t>
      </w:r>
    </w:p>
    <w:p w14:paraId="720BF731" w14:textId="00DC1EA8" w:rsidR="00B1107F" w:rsidRPr="0080620A" w:rsidRDefault="00B1107F" w:rsidP="00B66A03">
      <w:pPr>
        <w:pStyle w:val="ZZAnxtitle"/>
      </w:pPr>
      <w:r w:rsidRPr="0080620A">
        <w:t xml:space="preserve">Proposed global monitoring arrangements and draft terms of reference for the </w:t>
      </w:r>
      <w:r w:rsidR="007104D6" w:rsidRPr="0080620A">
        <w:t>m</w:t>
      </w:r>
      <w:r w:rsidRPr="0080620A">
        <w:t xml:space="preserve">onitoring </w:t>
      </w:r>
      <w:r w:rsidR="007104D6" w:rsidRPr="0080620A">
        <w:t>g</w:t>
      </w:r>
      <w:r w:rsidRPr="0080620A">
        <w:t>roup</w:t>
      </w:r>
    </w:p>
    <w:p w14:paraId="1C66EB65" w14:textId="32BFFD30"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sidR="000672E7" w:rsidRPr="00E52267">
        <w:rPr>
          <w:rFonts w:ascii="Times New Roman" w:hAnsi="Times New Roman" w:cs="Times New Roman"/>
        </w:rPr>
        <w:t>I.</w:t>
      </w:r>
      <w:r w:rsidR="000672E7" w:rsidRPr="00E52267">
        <w:rPr>
          <w:rFonts w:ascii="Times New Roman" w:hAnsi="Times New Roman" w:cs="Times New Roman"/>
        </w:rPr>
        <w:tab/>
      </w:r>
      <w:r w:rsidR="00B1107F" w:rsidRPr="00E52267">
        <w:rPr>
          <w:rFonts w:ascii="Times New Roman" w:hAnsi="Times New Roman" w:cs="Times New Roman"/>
        </w:rPr>
        <w:t>Introduction</w:t>
      </w:r>
    </w:p>
    <w:p w14:paraId="3361552A" w14:textId="4846D5FF" w:rsidR="00B1107F" w:rsidRPr="0080620A" w:rsidRDefault="00B1107F" w:rsidP="009E249F">
      <w:pPr>
        <w:pStyle w:val="Normalnumber"/>
        <w:numPr>
          <w:ilvl w:val="0"/>
          <w:numId w:val="35"/>
        </w:numPr>
        <w:tabs>
          <w:tab w:val="clear" w:pos="1057"/>
        </w:tabs>
        <w:ind w:left="1247"/>
      </w:pPr>
      <w:r w:rsidRPr="0080620A">
        <w:t>Th</w:t>
      </w:r>
      <w:r w:rsidR="006C1798" w:rsidRPr="0080620A">
        <w:t>e</w:t>
      </w:r>
      <w:r w:rsidRPr="0080620A">
        <w:t xml:space="preserve"> </w:t>
      </w:r>
      <w:r w:rsidR="006C1798" w:rsidRPr="0080620A">
        <w:t xml:space="preserve">present </w:t>
      </w:r>
      <w:r w:rsidR="004B09D7" w:rsidRPr="0080620A">
        <w:t>appendix</w:t>
      </w:r>
      <w:r w:rsidRPr="0080620A">
        <w:t xml:space="preserve"> describes the global monitoring arrangements proposed to support the effectiveness evaluation of the Minamata Convention. The proposed arrangements build on existing monitoring activities, knowledge and expertise. </w:t>
      </w:r>
    </w:p>
    <w:p w14:paraId="380CED12" w14:textId="61ADC3B1" w:rsidR="00B1107F" w:rsidRPr="0080620A" w:rsidRDefault="00B1107F" w:rsidP="009E249F">
      <w:pPr>
        <w:pStyle w:val="Normalnumber"/>
        <w:numPr>
          <w:ilvl w:val="0"/>
          <w:numId w:val="35"/>
        </w:numPr>
        <w:tabs>
          <w:tab w:val="clear" w:pos="1057"/>
        </w:tabs>
        <w:ind w:left="1247"/>
      </w:pPr>
      <w:r w:rsidRPr="0080620A">
        <w:t>Th</w:t>
      </w:r>
      <w:r w:rsidR="006C1798" w:rsidRPr="0080620A">
        <w:t>e</w:t>
      </w:r>
      <w:r w:rsidRPr="0080620A">
        <w:t xml:space="preserve"> </w:t>
      </w:r>
      <w:r w:rsidR="004B09D7" w:rsidRPr="0080620A">
        <w:t>present appendix</w:t>
      </w:r>
      <w:r w:rsidRPr="0080620A">
        <w:t xml:space="preserve"> </w:t>
      </w:r>
      <w:r w:rsidR="006C1798" w:rsidRPr="0080620A">
        <w:t>also</w:t>
      </w:r>
      <w:r w:rsidRPr="0080620A">
        <w:t xml:space="preserve"> includes the proposed terms of reference for the </w:t>
      </w:r>
      <w:r w:rsidR="007104D6" w:rsidRPr="0080620A">
        <w:t>m</w:t>
      </w:r>
      <w:r w:rsidRPr="0080620A">
        <w:t xml:space="preserve">onitoring </w:t>
      </w:r>
      <w:r w:rsidR="007104D6" w:rsidRPr="0080620A">
        <w:t>g</w:t>
      </w:r>
      <w:r w:rsidRPr="0080620A">
        <w:t xml:space="preserve">roup that </w:t>
      </w:r>
      <w:r w:rsidR="007104D6" w:rsidRPr="0080620A">
        <w:t>would</w:t>
      </w:r>
      <w:r w:rsidRPr="0080620A">
        <w:t xml:space="preserve"> carry out the </w:t>
      </w:r>
      <w:r w:rsidR="00CB0CCA" w:rsidRPr="0080620A">
        <w:t xml:space="preserve">monitoring-related </w:t>
      </w:r>
      <w:r w:rsidRPr="0080620A">
        <w:t>tasks identified in level</w:t>
      </w:r>
      <w:r w:rsidR="007104D6" w:rsidRPr="0080620A">
        <w:t>s</w:t>
      </w:r>
      <w:r w:rsidRPr="0080620A">
        <w:t xml:space="preserve"> 1, 2, and 3 of the methodology for the effectiveness evaluation and </w:t>
      </w:r>
      <w:r w:rsidR="00CB0CCA" w:rsidRPr="0080620A">
        <w:t>prepare</w:t>
      </w:r>
      <w:r w:rsidRPr="0080620A">
        <w:t xml:space="preserve"> a global monitoring report. </w:t>
      </w:r>
    </w:p>
    <w:p w14:paraId="62EFA9F2" w14:textId="77777777" w:rsidR="00B1107F" w:rsidRPr="0080620A" w:rsidRDefault="00B1107F" w:rsidP="009E249F">
      <w:pPr>
        <w:pStyle w:val="Normalnumber"/>
        <w:numPr>
          <w:ilvl w:val="0"/>
          <w:numId w:val="35"/>
        </w:numPr>
        <w:tabs>
          <w:tab w:val="clear" w:pos="1057"/>
        </w:tabs>
        <w:ind w:left="1247"/>
      </w:pPr>
      <w:r w:rsidRPr="0080620A">
        <w:t xml:space="preserve">The key elements of the proposed global monitoring arrangements are: </w:t>
      </w:r>
    </w:p>
    <w:p w14:paraId="0CB0D360" w14:textId="480251E1" w:rsidR="00EC3CC3" w:rsidRPr="0080620A" w:rsidRDefault="00DE6966" w:rsidP="00A00B9F">
      <w:pPr>
        <w:pStyle w:val="Normalnumber"/>
        <w:numPr>
          <w:ilvl w:val="0"/>
          <w:numId w:val="32"/>
        </w:numPr>
        <w:ind w:left="1247" w:firstLine="624"/>
      </w:pPr>
      <w:r w:rsidRPr="0080620A">
        <w:t>M</w:t>
      </w:r>
      <w:r w:rsidR="00B1107F" w:rsidRPr="0080620A">
        <w:t>ercury data and their availability from human health and environmental monitoring programmes that achieve global coverage and contain at least core representative data from all regions</w:t>
      </w:r>
      <w:r w:rsidRPr="0080620A">
        <w:t>;</w:t>
      </w:r>
      <w:r w:rsidR="00B1107F" w:rsidRPr="0080620A">
        <w:t xml:space="preserve"> </w:t>
      </w:r>
    </w:p>
    <w:p w14:paraId="003C3E5E" w14:textId="13BF1F1B" w:rsidR="00B1107F" w:rsidRPr="0080620A" w:rsidRDefault="00DE6966" w:rsidP="00A00B9F">
      <w:pPr>
        <w:pStyle w:val="Normalnumber"/>
        <w:numPr>
          <w:ilvl w:val="0"/>
          <w:numId w:val="32"/>
        </w:numPr>
        <w:ind w:left="1247" w:firstLine="624"/>
      </w:pPr>
      <w:r w:rsidRPr="0080620A">
        <w:t>T</w:t>
      </w:r>
      <w:r w:rsidR="00B1107F" w:rsidRPr="0080620A">
        <w:t>ools supporting data harmonization</w:t>
      </w:r>
      <w:r w:rsidRPr="0080620A">
        <w:t>,</w:t>
      </w:r>
      <w:r w:rsidR="00B1107F" w:rsidRPr="0080620A">
        <w:t xml:space="preserve"> such as standard operating procedures and </w:t>
      </w:r>
      <w:r w:rsidR="00840E72" w:rsidRPr="0080620A">
        <w:t xml:space="preserve">a </w:t>
      </w:r>
      <w:r w:rsidR="00B1107F" w:rsidRPr="0080620A">
        <w:t>monitoring guidance document</w:t>
      </w:r>
      <w:r w:rsidRPr="0080620A">
        <w:t>;</w:t>
      </w:r>
      <w:r w:rsidR="00B1107F" w:rsidRPr="0080620A">
        <w:t xml:space="preserve"> </w:t>
      </w:r>
    </w:p>
    <w:p w14:paraId="22315ADE" w14:textId="479EBB99" w:rsidR="00B1107F" w:rsidRPr="0080620A" w:rsidRDefault="00DE6966" w:rsidP="00A00B9F">
      <w:pPr>
        <w:pStyle w:val="Normalnumber"/>
        <w:numPr>
          <w:ilvl w:val="0"/>
          <w:numId w:val="32"/>
        </w:numPr>
        <w:ind w:left="1247" w:firstLine="624"/>
      </w:pPr>
      <w:r w:rsidRPr="0080620A">
        <w:t>E</w:t>
      </w:r>
      <w:r w:rsidR="00B1107F" w:rsidRPr="0080620A">
        <w:t xml:space="preserve">xpertise </w:t>
      </w:r>
      <w:r w:rsidR="00B1283A" w:rsidRPr="0080620A">
        <w:t>to</w:t>
      </w:r>
      <w:r w:rsidR="00B1107F" w:rsidRPr="0080620A">
        <w:t xml:space="preserve"> gather and consolidat</w:t>
      </w:r>
      <w:r w:rsidR="00B1283A" w:rsidRPr="0080620A">
        <w:t>e</w:t>
      </w:r>
      <w:r w:rsidR="00B1107F" w:rsidRPr="0080620A">
        <w:t xml:space="preserve"> harmonized information that ensures comparability and consistency in mercury monitoring data over the long</w:t>
      </w:r>
      <w:r w:rsidR="00B1283A" w:rsidRPr="0080620A">
        <w:t xml:space="preserve"> </w:t>
      </w:r>
      <w:r w:rsidR="00B1107F" w:rsidRPr="0080620A">
        <w:t>term</w:t>
      </w:r>
      <w:r w:rsidRPr="0080620A">
        <w:t>;</w:t>
      </w:r>
      <w:r w:rsidR="00B1107F" w:rsidRPr="0080620A">
        <w:t xml:space="preserve"> </w:t>
      </w:r>
    </w:p>
    <w:p w14:paraId="5A77AB66" w14:textId="34E93AD7" w:rsidR="00B1107F" w:rsidRPr="0080620A" w:rsidRDefault="00DE6966" w:rsidP="00A00B9F">
      <w:pPr>
        <w:pStyle w:val="Normalnumber"/>
        <w:numPr>
          <w:ilvl w:val="0"/>
          <w:numId w:val="32"/>
        </w:numPr>
        <w:ind w:left="1247" w:firstLine="624"/>
      </w:pPr>
      <w:r w:rsidRPr="0080620A">
        <w:t>M</w:t>
      </w:r>
      <w:r w:rsidR="00B1107F" w:rsidRPr="0080620A">
        <w:t>odelling capabilities</w:t>
      </w:r>
      <w:r w:rsidRPr="0080620A">
        <w:t>;</w:t>
      </w:r>
    </w:p>
    <w:p w14:paraId="3BF74B7C" w14:textId="427EB333" w:rsidR="00B1107F" w:rsidRPr="0080620A" w:rsidRDefault="00B1283A" w:rsidP="00A00B9F">
      <w:pPr>
        <w:pStyle w:val="Normalnumber"/>
        <w:numPr>
          <w:ilvl w:val="0"/>
          <w:numId w:val="32"/>
        </w:numPr>
        <w:ind w:left="1247" w:firstLine="624"/>
      </w:pPr>
      <w:r w:rsidRPr="0080620A">
        <w:t>A</w:t>
      </w:r>
      <w:r w:rsidR="00B1107F" w:rsidRPr="0080620A">
        <w:t xml:space="preserve"> periodic global monitoring report on </w:t>
      </w:r>
      <w:r w:rsidR="00840E72" w:rsidRPr="0080620A">
        <w:t xml:space="preserve">mercury </w:t>
      </w:r>
      <w:r w:rsidR="00B1107F" w:rsidRPr="0080620A">
        <w:t>levels and trends.</w:t>
      </w:r>
    </w:p>
    <w:p w14:paraId="1917AF50" w14:textId="26E3D1B3" w:rsidR="00B1107F" w:rsidRPr="0080620A" w:rsidRDefault="00B1107F" w:rsidP="009E249F">
      <w:pPr>
        <w:pStyle w:val="Normalnumber"/>
        <w:numPr>
          <w:ilvl w:val="0"/>
          <w:numId w:val="35"/>
        </w:numPr>
        <w:tabs>
          <w:tab w:val="clear" w:pos="1057"/>
        </w:tabs>
        <w:ind w:left="1247"/>
      </w:pPr>
      <w:r w:rsidRPr="0080620A">
        <w:t xml:space="preserve">Technical information on monitoring (including the proposal for three core media) is presented in </w:t>
      </w:r>
      <w:r w:rsidR="007129E3" w:rsidRPr="0080620A">
        <w:t>a</w:t>
      </w:r>
      <w:r w:rsidRPr="0080620A">
        <w:t>ppendix I to the report of the ad hoc technical expert group (UNEP/MC/COP.3</w:t>
      </w:r>
      <w:r w:rsidR="00464CAF" w:rsidRPr="0080620A">
        <w:t>/</w:t>
      </w:r>
      <w:r w:rsidRPr="0080620A">
        <w:t>14</w:t>
      </w:r>
      <w:r w:rsidR="002D1263" w:rsidRPr="0080620A">
        <w:t>/</w:t>
      </w:r>
      <w:r w:rsidRPr="0080620A">
        <w:t xml:space="preserve">Add.1). </w:t>
      </w:r>
      <w:r w:rsidR="00A272A2" w:rsidRPr="0080620A">
        <w:t>M</w:t>
      </w:r>
      <w:r w:rsidRPr="0080620A">
        <w:t xml:space="preserve">ore detailed information on monitoring, </w:t>
      </w:r>
      <w:r w:rsidR="00D10615" w:rsidRPr="0080620A">
        <w:t xml:space="preserve">additional </w:t>
      </w:r>
      <w:r w:rsidRPr="0080620A">
        <w:t>background</w:t>
      </w:r>
      <w:r w:rsidR="00D10615" w:rsidRPr="0080620A">
        <w:t xml:space="preserve"> information</w:t>
      </w:r>
      <w:r w:rsidRPr="0080620A">
        <w:t xml:space="preserve"> and further information on existing modelling capabilities is contained in </w:t>
      </w:r>
      <w:r w:rsidR="007129E3" w:rsidRPr="0080620A">
        <w:t xml:space="preserve">document </w:t>
      </w:r>
      <w:r w:rsidRPr="0080620A">
        <w:t>UNEP/MC/COP.3/INF</w:t>
      </w:r>
      <w:r w:rsidR="002D1263" w:rsidRPr="0080620A">
        <w:t>/</w:t>
      </w:r>
      <w:r w:rsidRPr="0080620A">
        <w:t xml:space="preserve">15. </w:t>
      </w:r>
    </w:p>
    <w:p w14:paraId="3CAD4CAE" w14:textId="16738F47" w:rsidR="00B1107F" w:rsidRPr="0080620A" w:rsidRDefault="00B1107F" w:rsidP="009E249F">
      <w:pPr>
        <w:pStyle w:val="Normalnumber"/>
        <w:numPr>
          <w:ilvl w:val="0"/>
          <w:numId w:val="35"/>
        </w:numPr>
        <w:tabs>
          <w:tab w:val="clear" w:pos="1057"/>
        </w:tabs>
        <w:ind w:left="1247"/>
      </w:pPr>
      <w:r w:rsidRPr="0080620A">
        <w:t xml:space="preserve">Regarding mercury data availability, a review presented in </w:t>
      </w:r>
      <w:r w:rsidR="007129E3" w:rsidRPr="0080620A">
        <w:t>a</w:t>
      </w:r>
      <w:r w:rsidRPr="0080620A">
        <w:t xml:space="preserve">ppendix I shows that even </w:t>
      </w:r>
      <w:r w:rsidR="00A272A2" w:rsidRPr="0080620A">
        <w:t xml:space="preserve">though </w:t>
      </w:r>
      <w:r w:rsidRPr="0080620A">
        <w:t>mercury has one of the largest available collective data sets of recognized environmental contaminants, significant data gaps</w:t>
      </w:r>
      <w:r w:rsidR="00A272A2" w:rsidRPr="0080620A">
        <w:t xml:space="preserve"> remain</w:t>
      </w:r>
      <w:r w:rsidRPr="0080620A">
        <w:t xml:space="preserve">. These gaps could be </w:t>
      </w:r>
      <w:r w:rsidR="00A272A2" w:rsidRPr="0080620A">
        <w:t xml:space="preserve">easily filled </w:t>
      </w:r>
      <w:r w:rsidRPr="0080620A">
        <w:t xml:space="preserve">by </w:t>
      </w:r>
      <w:r w:rsidR="00B000A7" w:rsidRPr="0080620A">
        <w:t>p</w:t>
      </w:r>
      <w:r w:rsidRPr="0080620A">
        <w:t xml:space="preserve">arties through the </w:t>
      </w:r>
      <w:r w:rsidR="004B09D7" w:rsidRPr="0080620A">
        <w:t xml:space="preserve">provision of </w:t>
      </w:r>
      <w:r w:rsidRPr="0080620A">
        <w:t xml:space="preserve">support </w:t>
      </w:r>
      <w:r w:rsidR="004B09D7" w:rsidRPr="0080620A">
        <w:t>for related</w:t>
      </w:r>
      <w:r w:rsidRPr="0080620A">
        <w:t xml:space="preserve"> scientific activities and the use of already developed materials.</w:t>
      </w:r>
    </w:p>
    <w:p w14:paraId="5F638706" w14:textId="14558194" w:rsidR="00B1107F" w:rsidRPr="0080620A" w:rsidRDefault="00B62EAB" w:rsidP="009E249F">
      <w:pPr>
        <w:pStyle w:val="Normalnumber"/>
        <w:numPr>
          <w:ilvl w:val="0"/>
          <w:numId w:val="35"/>
        </w:numPr>
        <w:tabs>
          <w:tab w:val="clear" w:pos="1057"/>
        </w:tabs>
        <w:ind w:left="1247"/>
      </w:pPr>
      <w:r w:rsidRPr="0080620A">
        <w:t>Assuming that</w:t>
      </w:r>
      <w:r w:rsidR="00B1107F" w:rsidRPr="0080620A">
        <w:t xml:space="preserve"> existing mercury monitoring activities </w:t>
      </w:r>
      <w:r w:rsidR="00A272A2" w:rsidRPr="0080620A">
        <w:t xml:space="preserve">continue </w:t>
      </w:r>
      <w:r w:rsidR="00B1107F" w:rsidRPr="0080620A">
        <w:t xml:space="preserve">in a harmonized manner and </w:t>
      </w:r>
      <w:r w:rsidR="00A272A2" w:rsidRPr="0080620A">
        <w:t xml:space="preserve">are </w:t>
      </w:r>
      <w:r w:rsidR="00B1107F" w:rsidRPr="0080620A">
        <w:t>supplement</w:t>
      </w:r>
      <w:r w:rsidR="004B09D7" w:rsidRPr="0080620A">
        <w:t>ed</w:t>
      </w:r>
      <w:r w:rsidR="00B1107F" w:rsidRPr="0080620A">
        <w:t xml:space="preserve"> </w:t>
      </w:r>
      <w:r w:rsidR="00A272A2" w:rsidRPr="0080620A">
        <w:t xml:space="preserve">by </w:t>
      </w:r>
      <w:r w:rsidR="00B1107F" w:rsidRPr="0080620A">
        <w:t xml:space="preserve">efforts to fill geographical gaps, data on levels of mercury and mercury compounds in air, </w:t>
      </w:r>
      <w:r w:rsidR="007411DD" w:rsidRPr="0080620A">
        <w:t>biotic media and vulnerable populations</w:t>
      </w:r>
      <w:r w:rsidR="00B1107F" w:rsidRPr="0080620A">
        <w:t xml:space="preserve"> </w:t>
      </w:r>
      <w:r w:rsidR="004B09D7" w:rsidRPr="0080620A">
        <w:t>should be</w:t>
      </w:r>
      <w:r w:rsidR="00EC4A12" w:rsidRPr="0080620A">
        <w:t xml:space="preserve"> </w:t>
      </w:r>
      <w:r w:rsidR="00B1107F" w:rsidRPr="0080620A">
        <w:t xml:space="preserve">available or obtainable and comparable on a global basis. </w:t>
      </w:r>
    </w:p>
    <w:p w14:paraId="176F9609" w14:textId="423F22F6"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sidR="000672E7" w:rsidRPr="00E52267">
        <w:rPr>
          <w:rFonts w:ascii="Times New Roman" w:hAnsi="Times New Roman" w:cs="Times New Roman"/>
        </w:rPr>
        <w:t>II.</w:t>
      </w:r>
      <w:r w:rsidR="000672E7" w:rsidRPr="00E52267">
        <w:rPr>
          <w:rFonts w:ascii="Times New Roman" w:hAnsi="Times New Roman" w:cs="Times New Roman"/>
        </w:rPr>
        <w:tab/>
      </w:r>
      <w:r w:rsidR="00B1107F" w:rsidRPr="00E52267">
        <w:rPr>
          <w:rFonts w:ascii="Times New Roman" w:hAnsi="Times New Roman" w:cs="Times New Roman"/>
        </w:rPr>
        <w:t>Tools supporting data harmoni</w:t>
      </w:r>
      <w:r w:rsidR="007129E3" w:rsidRPr="00E52267">
        <w:rPr>
          <w:rFonts w:ascii="Times New Roman" w:hAnsi="Times New Roman" w:cs="Times New Roman"/>
        </w:rPr>
        <w:t>z</w:t>
      </w:r>
      <w:r w:rsidR="00B1107F" w:rsidRPr="00E52267">
        <w:rPr>
          <w:rFonts w:ascii="Times New Roman" w:hAnsi="Times New Roman" w:cs="Times New Roman"/>
        </w:rPr>
        <w:t>ation</w:t>
      </w:r>
    </w:p>
    <w:p w14:paraId="2EDB9B61" w14:textId="5104EA51" w:rsidR="00B1107F" w:rsidRPr="0080620A" w:rsidRDefault="00B1107F" w:rsidP="009E249F">
      <w:pPr>
        <w:pStyle w:val="Normalnumber"/>
        <w:numPr>
          <w:ilvl w:val="0"/>
          <w:numId w:val="35"/>
        </w:numPr>
        <w:tabs>
          <w:tab w:val="clear" w:pos="1057"/>
        </w:tabs>
        <w:ind w:left="1247"/>
      </w:pPr>
      <w:r w:rsidRPr="0080620A">
        <w:t xml:space="preserve">It is prudent to have tools that support data harmonization </w:t>
      </w:r>
      <w:r w:rsidR="004B09D7" w:rsidRPr="0080620A">
        <w:t xml:space="preserve">so as </w:t>
      </w:r>
      <w:r w:rsidRPr="0080620A">
        <w:t>to ensure comparability. Such tools include standard operating procedures, guidance on global monitoring of mercury</w:t>
      </w:r>
      <w:r w:rsidR="00EC4A12" w:rsidRPr="0080620A">
        <w:t xml:space="preserve"> that</w:t>
      </w:r>
      <w:r w:rsidRPr="0080620A">
        <w:t xml:space="preserve"> is periodically updated as new information and technologies become available, </w:t>
      </w:r>
      <w:r w:rsidR="007129E3" w:rsidRPr="0080620A">
        <w:t>and</w:t>
      </w:r>
      <w:r w:rsidRPr="0080620A">
        <w:t xml:space="preserve"> intercalibration studies.</w:t>
      </w:r>
    </w:p>
    <w:p w14:paraId="39E4B659" w14:textId="764761E7" w:rsidR="00B1107F" w:rsidRPr="0080620A" w:rsidRDefault="00B1107F" w:rsidP="009E249F">
      <w:pPr>
        <w:pStyle w:val="Normalnumber"/>
        <w:numPr>
          <w:ilvl w:val="0"/>
          <w:numId w:val="35"/>
        </w:numPr>
        <w:tabs>
          <w:tab w:val="clear" w:pos="1057"/>
        </w:tabs>
        <w:ind w:left="1247"/>
      </w:pPr>
      <w:r w:rsidRPr="0080620A">
        <w:t>The development of guidance on global monitoring of mercury will be imperative to ensure and maintain harmoni</w:t>
      </w:r>
      <w:r w:rsidR="007129E3" w:rsidRPr="0080620A">
        <w:t>z</w:t>
      </w:r>
      <w:r w:rsidRPr="0080620A">
        <w:t xml:space="preserve">ed and comparable information on mercury levels in the environment. While the development of such guidance was included in the mandate of the ad hoc technical expert group, </w:t>
      </w:r>
      <w:r w:rsidR="00133D4F" w:rsidRPr="0080620A">
        <w:t>this</w:t>
      </w:r>
      <w:r w:rsidRPr="0080620A">
        <w:t xml:space="preserve"> is being postponed until </w:t>
      </w:r>
      <w:r w:rsidR="00133D4F" w:rsidRPr="0080620A">
        <w:t>the Conference of the Parties</w:t>
      </w:r>
      <w:r w:rsidR="00133D4F" w:rsidRPr="0080620A" w:rsidDel="00133D4F">
        <w:t xml:space="preserve"> </w:t>
      </w:r>
      <w:r w:rsidR="00133D4F" w:rsidRPr="0080620A">
        <w:t xml:space="preserve">decides on </w:t>
      </w:r>
      <w:r w:rsidRPr="0080620A">
        <w:t>monitoring arrangements</w:t>
      </w:r>
      <w:r w:rsidR="00133D4F" w:rsidRPr="0080620A">
        <w:t>,</w:t>
      </w:r>
      <w:r w:rsidRPr="0080620A">
        <w:t xml:space="preserve"> </w:t>
      </w:r>
      <w:r w:rsidR="00133D4F" w:rsidRPr="0080620A">
        <w:t xml:space="preserve">after </w:t>
      </w:r>
      <w:r w:rsidRPr="0080620A">
        <w:t xml:space="preserve">which the guidance can be swiftly prepared based on core matrices and available knowledge. A draft structure </w:t>
      </w:r>
      <w:r w:rsidR="00133D4F" w:rsidRPr="0080620A">
        <w:t>for the</w:t>
      </w:r>
      <w:r w:rsidRPr="0080620A">
        <w:t xml:space="preserve"> guidance has been developed and is contained in </w:t>
      </w:r>
      <w:r w:rsidR="007129E3" w:rsidRPr="0080620A">
        <w:t xml:space="preserve">document </w:t>
      </w:r>
      <w:r w:rsidRPr="0080620A">
        <w:t>UNEP/MC/COP.3/INF</w:t>
      </w:r>
      <w:r w:rsidR="002D1263" w:rsidRPr="0080620A">
        <w:t>/</w:t>
      </w:r>
      <w:r w:rsidRPr="0080620A">
        <w:t xml:space="preserve">15. </w:t>
      </w:r>
    </w:p>
    <w:p w14:paraId="7076B658" w14:textId="022EF664"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sidR="000672E7" w:rsidRPr="00E52267">
        <w:rPr>
          <w:rFonts w:ascii="Times New Roman" w:hAnsi="Times New Roman" w:cs="Times New Roman"/>
        </w:rPr>
        <w:t>III.</w:t>
      </w:r>
      <w:r w:rsidR="000672E7" w:rsidRPr="00E52267">
        <w:rPr>
          <w:rFonts w:ascii="Times New Roman" w:hAnsi="Times New Roman" w:cs="Times New Roman"/>
        </w:rPr>
        <w:tab/>
      </w:r>
      <w:r w:rsidR="00B1107F" w:rsidRPr="00E52267">
        <w:rPr>
          <w:rFonts w:ascii="Times New Roman" w:hAnsi="Times New Roman" w:cs="Times New Roman"/>
        </w:rPr>
        <w:t>The development of a periodic global monitoring report on mercury</w:t>
      </w:r>
    </w:p>
    <w:p w14:paraId="153E318D" w14:textId="276F1D15" w:rsidR="00B1107F" w:rsidRPr="0080620A" w:rsidRDefault="00133D4F" w:rsidP="009E249F">
      <w:pPr>
        <w:pStyle w:val="Normalnumber"/>
        <w:numPr>
          <w:ilvl w:val="0"/>
          <w:numId w:val="35"/>
        </w:numPr>
        <w:tabs>
          <w:tab w:val="clear" w:pos="1057"/>
        </w:tabs>
        <w:ind w:left="1247"/>
      </w:pPr>
      <w:r w:rsidRPr="0080620A">
        <w:t>The monitoring group</w:t>
      </w:r>
      <w:r w:rsidRPr="0080620A" w:rsidDel="00133D4F">
        <w:t xml:space="preserve"> </w:t>
      </w:r>
      <w:r w:rsidRPr="0080620A">
        <w:t>will prepare a</w:t>
      </w:r>
      <w:r w:rsidR="00B1107F" w:rsidRPr="0080620A">
        <w:t xml:space="preserve"> global monitoring report on mercury </w:t>
      </w:r>
      <w:r w:rsidRPr="0080620A">
        <w:t>for each</w:t>
      </w:r>
      <w:r w:rsidR="00B1107F" w:rsidRPr="0080620A">
        <w:t xml:space="preserve"> effectiveness evaluation cycle. </w:t>
      </w:r>
    </w:p>
    <w:p w14:paraId="0DFFB123" w14:textId="030D2D8B" w:rsidR="00B1107F" w:rsidRPr="0080620A" w:rsidRDefault="00B1107F" w:rsidP="009E249F">
      <w:pPr>
        <w:pStyle w:val="Normalnumber"/>
        <w:numPr>
          <w:ilvl w:val="0"/>
          <w:numId w:val="35"/>
        </w:numPr>
        <w:tabs>
          <w:tab w:val="clear" w:pos="1057"/>
        </w:tabs>
        <w:ind w:left="1247"/>
      </w:pPr>
      <w:r w:rsidRPr="0080620A">
        <w:lastRenderedPageBreak/>
        <w:t xml:space="preserve">The preparation of the </w:t>
      </w:r>
      <w:r w:rsidR="00B21306" w:rsidRPr="0080620A">
        <w:t>m</w:t>
      </w:r>
      <w:r w:rsidRPr="0080620A">
        <w:t xml:space="preserve">onitoring </w:t>
      </w:r>
      <w:r w:rsidR="00B21306" w:rsidRPr="0080620A">
        <w:t>r</w:t>
      </w:r>
      <w:r w:rsidRPr="0080620A">
        <w:t xml:space="preserve">eport </w:t>
      </w:r>
      <w:r w:rsidR="008C08EB" w:rsidRPr="0080620A">
        <w:t xml:space="preserve">will </w:t>
      </w:r>
      <w:r w:rsidRPr="0080620A">
        <w:t>require exten</w:t>
      </w:r>
      <w:r w:rsidR="008C08EB" w:rsidRPr="0080620A">
        <w:t>sive</w:t>
      </w:r>
      <w:r w:rsidRPr="0080620A">
        <w:t xml:space="preserve"> expertise to compile, assess and summarize monitoring data. </w:t>
      </w:r>
    </w:p>
    <w:p w14:paraId="253B470F" w14:textId="68ABDFFD" w:rsidR="00B1107F" w:rsidRPr="0080620A" w:rsidRDefault="00B1107F" w:rsidP="009E249F">
      <w:pPr>
        <w:pStyle w:val="Normalnumber"/>
        <w:numPr>
          <w:ilvl w:val="0"/>
          <w:numId w:val="35"/>
        </w:numPr>
        <w:tabs>
          <w:tab w:val="clear" w:pos="1057"/>
        </w:tabs>
        <w:ind w:left="1247"/>
      </w:pPr>
      <w:r w:rsidRPr="0080620A">
        <w:t xml:space="preserve">The </w:t>
      </w:r>
      <w:r w:rsidR="00B21306" w:rsidRPr="0080620A">
        <w:t>m</w:t>
      </w:r>
      <w:r w:rsidRPr="0080620A">
        <w:t xml:space="preserve">onitoring </w:t>
      </w:r>
      <w:r w:rsidR="00B21306" w:rsidRPr="0080620A">
        <w:t>r</w:t>
      </w:r>
      <w:r w:rsidRPr="0080620A">
        <w:t xml:space="preserve">eport </w:t>
      </w:r>
      <w:r w:rsidR="00133D4F" w:rsidRPr="0080620A">
        <w:t>will</w:t>
      </w:r>
      <w:r w:rsidRPr="0080620A">
        <w:t xml:space="preserve"> be organized by media and show </w:t>
      </w:r>
      <w:r w:rsidR="00133D4F" w:rsidRPr="0080620A">
        <w:t xml:space="preserve">the </w:t>
      </w:r>
      <w:r w:rsidRPr="0080620A">
        <w:t xml:space="preserve">available monitoring data and trends in </w:t>
      </w:r>
      <w:r w:rsidR="00133D4F" w:rsidRPr="0080620A">
        <w:t xml:space="preserve">mercury levels in </w:t>
      </w:r>
      <w:r w:rsidRPr="0080620A">
        <w:t xml:space="preserve">the environment, </w:t>
      </w:r>
      <w:r w:rsidR="00B94BEB" w:rsidRPr="0080620A">
        <w:t>biotic media and vulnerable populations</w:t>
      </w:r>
      <w:r w:rsidRPr="0080620A">
        <w:t xml:space="preserve">. </w:t>
      </w:r>
      <w:r w:rsidR="00D10615" w:rsidRPr="0080620A">
        <w:t>Where available, m</w:t>
      </w:r>
      <w:r w:rsidRPr="0080620A">
        <w:t>odels will be used to predict future trend developments.</w:t>
      </w:r>
    </w:p>
    <w:p w14:paraId="6E21DEE4" w14:textId="7B3DED1B" w:rsidR="00B1107F" w:rsidRPr="0080620A" w:rsidRDefault="00B1107F" w:rsidP="009E249F">
      <w:pPr>
        <w:pStyle w:val="Normalnumber"/>
        <w:numPr>
          <w:ilvl w:val="0"/>
          <w:numId w:val="35"/>
        </w:numPr>
        <w:tabs>
          <w:tab w:val="clear" w:pos="1057"/>
        </w:tabs>
        <w:ind w:left="1247"/>
      </w:pPr>
      <w:r w:rsidRPr="0080620A">
        <w:t xml:space="preserve">The first </w:t>
      </w:r>
      <w:r w:rsidR="00B21306" w:rsidRPr="0080620A">
        <w:t>m</w:t>
      </w:r>
      <w:r w:rsidRPr="0080620A">
        <w:t xml:space="preserve">onitoring </w:t>
      </w:r>
      <w:r w:rsidR="00B21306" w:rsidRPr="0080620A">
        <w:t>r</w:t>
      </w:r>
      <w:r w:rsidRPr="0080620A">
        <w:t xml:space="preserve">eport on </w:t>
      </w:r>
      <w:r w:rsidR="0097631A" w:rsidRPr="0080620A">
        <w:t xml:space="preserve">the </w:t>
      </w:r>
      <w:r w:rsidRPr="0080620A">
        <w:t xml:space="preserve">state of </w:t>
      </w:r>
      <w:r w:rsidR="0097631A" w:rsidRPr="0080620A">
        <w:t xml:space="preserve">mercury in </w:t>
      </w:r>
      <w:r w:rsidRPr="0080620A">
        <w:t>the environment will be available for the first meeting of the Effectiveness Evaluation Committee.</w:t>
      </w:r>
    </w:p>
    <w:p w14:paraId="2470C5DE" w14:textId="0EED1949" w:rsidR="00B1107F" w:rsidRPr="0080620A" w:rsidRDefault="00B1107F" w:rsidP="009E249F">
      <w:pPr>
        <w:pStyle w:val="Normalnumber"/>
        <w:numPr>
          <w:ilvl w:val="0"/>
          <w:numId w:val="35"/>
        </w:numPr>
        <w:tabs>
          <w:tab w:val="clear" w:pos="1057"/>
        </w:tabs>
        <w:ind w:left="1247"/>
      </w:pPr>
      <w:r w:rsidRPr="0080620A">
        <w:t xml:space="preserve">The ad hoc expert group also </w:t>
      </w:r>
      <w:r w:rsidR="00133D4F" w:rsidRPr="0080620A">
        <w:t>expects</w:t>
      </w:r>
      <w:r w:rsidRPr="0080620A">
        <w:t xml:space="preserve"> information from the </w:t>
      </w:r>
      <w:r w:rsidR="00B21306" w:rsidRPr="0080620A">
        <w:t>m</w:t>
      </w:r>
      <w:r w:rsidRPr="0080620A">
        <w:t xml:space="preserve">onitoring </w:t>
      </w:r>
      <w:r w:rsidR="00B21306" w:rsidRPr="0080620A">
        <w:t>r</w:t>
      </w:r>
      <w:r w:rsidRPr="0080620A">
        <w:t xml:space="preserve">eports </w:t>
      </w:r>
      <w:r w:rsidR="00133D4F" w:rsidRPr="0080620A">
        <w:t xml:space="preserve">to </w:t>
      </w:r>
      <w:r w:rsidRPr="0080620A">
        <w:t xml:space="preserve">be used for the contextualization of information in a multi-compartment model to capture the socioeconomic scenario, the baselines and policy alternatives. This task could be </w:t>
      </w:r>
      <w:r w:rsidR="00133D4F" w:rsidRPr="0080620A">
        <w:t xml:space="preserve">performed </w:t>
      </w:r>
      <w:r w:rsidRPr="0080620A">
        <w:t xml:space="preserve">by a </w:t>
      </w:r>
      <w:r w:rsidR="00B21306" w:rsidRPr="0080620A">
        <w:t>m</w:t>
      </w:r>
      <w:r w:rsidRPr="0080620A">
        <w:t xml:space="preserve">odelling </w:t>
      </w:r>
      <w:r w:rsidR="00B21306" w:rsidRPr="0080620A">
        <w:t>s</w:t>
      </w:r>
      <w:r w:rsidRPr="0080620A">
        <w:t>ub</w:t>
      </w:r>
      <w:r w:rsidR="00B21306" w:rsidRPr="0080620A">
        <w:t>g</w:t>
      </w:r>
      <w:r w:rsidRPr="0080620A">
        <w:t>roup.</w:t>
      </w:r>
    </w:p>
    <w:p w14:paraId="4A69B653" w14:textId="11B448D4" w:rsidR="00B1107F"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sidR="000672E7" w:rsidRPr="00E52267">
        <w:rPr>
          <w:rFonts w:ascii="Times New Roman" w:hAnsi="Times New Roman" w:cs="Times New Roman"/>
        </w:rPr>
        <w:t>IV</w:t>
      </w:r>
      <w:r w:rsidR="00B1107F" w:rsidRPr="00E52267">
        <w:rPr>
          <w:rFonts w:ascii="Times New Roman" w:hAnsi="Times New Roman" w:cs="Times New Roman"/>
        </w:rPr>
        <w:t>.</w:t>
      </w:r>
      <w:r w:rsidR="00E33049" w:rsidRPr="00E52267">
        <w:rPr>
          <w:rFonts w:ascii="Times New Roman" w:hAnsi="Times New Roman" w:cs="Times New Roman"/>
        </w:rPr>
        <w:tab/>
      </w:r>
      <w:r w:rsidR="00B1107F" w:rsidRPr="00E52267">
        <w:rPr>
          <w:rFonts w:ascii="Times New Roman" w:hAnsi="Times New Roman" w:cs="Times New Roman"/>
        </w:rPr>
        <w:t xml:space="preserve">Draft terms of reference for the </w:t>
      </w:r>
      <w:r w:rsidR="00B21306" w:rsidRPr="00E52267">
        <w:rPr>
          <w:rFonts w:ascii="Times New Roman" w:hAnsi="Times New Roman" w:cs="Times New Roman"/>
        </w:rPr>
        <w:t>m</w:t>
      </w:r>
      <w:r w:rsidR="00B1107F" w:rsidRPr="00E52267">
        <w:rPr>
          <w:rFonts w:ascii="Times New Roman" w:hAnsi="Times New Roman" w:cs="Times New Roman"/>
        </w:rPr>
        <w:t xml:space="preserve">onitoring </w:t>
      </w:r>
      <w:r w:rsidR="00B21306" w:rsidRPr="00E52267">
        <w:rPr>
          <w:rFonts w:ascii="Times New Roman" w:hAnsi="Times New Roman" w:cs="Times New Roman"/>
        </w:rPr>
        <w:t>g</w:t>
      </w:r>
      <w:r w:rsidR="00B1107F" w:rsidRPr="00E52267">
        <w:rPr>
          <w:rFonts w:ascii="Times New Roman" w:hAnsi="Times New Roman" w:cs="Times New Roman"/>
        </w:rPr>
        <w:t>roup</w:t>
      </w:r>
    </w:p>
    <w:p w14:paraId="548474A7" w14:textId="7185D7DC" w:rsidR="00B1107F" w:rsidRPr="0080620A" w:rsidRDefault="000672E7" w:rsidP="00FF10F4">
      <w:pPr>
        <w:pStyle w:val="CH2"/>
        <w:rPr>
          <w:bCs/>
        </w:rPr>
      </w:pPr>
      <w:r w:rsidRPr="0080620A">
        <w:tab/>
      </w:r>
      <w:r w:rsidR="00B1107F" w:rsidRPr="0080620A">
        <w:t>A</w:t>
      </w:r>
      <w:r w:rsidRPr="0080620A">
        <w:t>.</w:t>
      </w:r>
      <w:r w:rsidRPr="0080620A">
        <w:tab/>
      </w:r>
      <w:r w:rsidR="00B1107F" w:rsidRPr="00FF10F4">
        <w:t>Mandate</w:t>
      </w:r>
    </w:p>
    <w:p w14:paraId="787C1716" w14:textId="042E6BC0" w:rsidR="00B1107F" w:rsidRPr="0080620A" w:rsidRDefault="00B1107F" w:rsidP="009E249F">
      <w:pPr>
        <w:pStyle w:val="Normalnumber"/>
        <w:numPr>
          <w:ilvl w:val="0"/>
          <w:numId w:val="35"/>
        </w:numPr>
        <w:tabs>
          <w:tab w:val="clear" w:pos="1057"/>
        </w:tabs>
        <w:ind w:left="1247"/>
      </w:pPr>
      <w:r w:rsidRPr="0080620A">
        <w:t xml:space="preserve">The </w:t>
      </w:r>
      <w:r w:rsidR="00B21306" w:rsidRPr="0080620A">
        <w:t>m</w:t>
      </w:r>
      <w:r w:rsidRPr="0080620A">
        <w:t xml:space="preserve">onitoring </w:t>
      </w:r>
      <w:r w:rsidR="00B21306" w:rsidRPr="0080620A">
        <w:t>g</w:t>
      </w:r>
      <w:r w:rsidRPr="0080620A">
        <w:t xml:space="preserve">roup (hereinafter, </w:t>
      </w:r>
      <w:r w:rsidR="00B21306" w:rsidRPr="0080620A">
        <w:t xml:space="preserve">the </w:t>
      </w:r>
      <w:r w:rsidRPr="0080620A">
        <w:t>“</w:t>
      </w:r>
      <w:r w:rsidR="008C08EB" w:rsidRPr="0080620A">
        <w:t>g</w:t>
      </w:r>
      <w:r w:rsidRPr="0080620A">
        <w:t xml:space="preserve">roup”) </w:t>
      </w:r>
      <w:r w:rsidR="008870B7" w:rsidRPr="0080620A">
        <w:t>will</w:t>
      </w:r>
      <w:r w:rsidRPr="0080620A">
        <w:t xml:space="preserve"> carry out tasks related to monitoring as identified in levels 1, 2, and 3 of the proposed methodology for the effectiveness evaluation. </w:t>
      </w:r>
    </w:p>
    <w:p w14:paraId="4B8EA0D3" w14:textId="280F0645" w:rsidR="00B1107F" w:rsidRPr="0080620A" w:rsidRDefault="00B1107F" w:rsidP="009E249F">
      <w:pPr>
        <w:pStyle w:val="Normalnumber"/>
        <w:numPr>
          <w:ilvl w:val="0"/>
          <w:numId w:val="35"/>
        </w:numPr>
        <w:tabs>
          <w:tab w:val="clear" w:pos="1057"/>
        </w:tabs>
        <w:ind w:left="1247"/>
      </w:pPr>
      <w:r w:rsidRPr="0080620A">
        <w:t xml:space="preserve">The </w:t>
      </w:r>
      <w:r w:rsidR="008C08EB" w:rsidRPr="0080620A">
        <w:t>g</w:t>
      </w:r>
      <w:r w:rsidRPr="0080620A">
        <w:t xml:space="preserve">roup is tasked with the development of the </w:t>
      </w:r>
      <w:r w:rsidR="008870B7" w:rsidRPr="0080620A">
        <w:t>m</w:t>
      </w:r>
      <w:r w:rsidRPr="0080620A">
        <w:t xml:space="preserve">onitoring </w:t>
      </w:r>
      <w:r w:rsidR="008870B7" w:rsidRPr="0080620A">
        <w:t>r</w:t>
      </w:r>
      <w:r w:rsidRPr="0080620A">
        <w:t>eport</w:t>
      </w:r>
      <w:r w:rsidR="0097631A" w:rsidRPr="0080620A">
        <w:t>, which</w:t>
      </w:r>
      <w:r w:rsidRPr="0080620A">
        <w:t xml:space="preserve"> gathers, analyses and synthesi</w:t>
      </w:r>
      <w:r w:rsidR="008870B7" w:rsidRPr="0080620A">
        <w:t>z</w:t>
      </w:r>
      <w:r w:rsidRPr="0080620A">
        <w:t>e</w:t>
      </w:r>
      <w:r w:rsidR="008870B7" w:rsidRPr="0080620A">
        <w:t>s</w:t>
      </w:r>
      <w:r w:rsidRPr="0080620A">
        <w:t xml:space="preserve"> mercury monitoring data on changes in mercury concentrations over time and draws conclusions thereon for the </w:t>
      </w:r>
      <w:r w:rsidR="00B21306" w:rsidRPr="0080620A">
        <w:t xml:space="preserve">consideration of </w:t>
      </w:r>
      <w:r w:rsidR="008C08EB" w:rsidRPr="0080620A">
        <w:t xml:space="preserve">the </w:t>
      </w:r>
      <w:r w:rsidRPr="0080620A">
        <w:t>Effectiveness Evaluation Committee</w:t>
      </w:r>
      <w:r w:rsidR="00B21306" w:rsidRPr="0080620A">
        <w:t xml:space="preserve">, which </w:t>
      </w:r>
      <w:r w:rsidRPr="0080620A">
        <w:t xml:space="preserve">in turn develops findings for the consideration of the Conference of </w:t>
      </w:r>
      <w:r w:rsidR="00DC5C70" w:rsidRPr="0080620A">
        <w:t xml:space="preserve">the </w:t>
      </w:r>
      <w:r w:rsidRPr="0080620A">
        <w:t xml:space="preserve">Parties. </w:t>
      </w:r>
    </w:p>
    <w:p w14:paraId="39BCA5FB" w14:textId="193487A6" w:rsidR="00B1107F" w:rsidRPr="0080620A" w:rsidRDefault="00B1107F" w:rsidP="009E249F">
      <w:pPr>
        <w:pStyle w:val="Normalnumber"/>
        <w:numPr>
          <w:ilvl w:val="0"/>
          <w:numId w:val="35"/>
        </w:numPr>
        <w:tabs>
          <w:tab w:val="clear" w:pos="1057"/>
        </w:tabs>
        <w:ind w:left="1247"/>
      </w:pPr>
      <w:r w:rsidRPr="0080620A">
        <w:t xml:space="preserve">The </w:t>
      </w:r>
      <w:r w:rsidR="008870B7" w:rsidRPr="0080620A">
        <w:t>m</w:t>
      </w:r>
      <w:r w:rsidRPr="0080620A">
        <w:t xml:space="preserve">onitoring </w:t>
      </w:r>
      <w:r w:rsidR="008870B7" w:rsidRPr="0080620A">
        <w:t>r</w:t>
      </w:r>
      <w:r w:rsidRPr="0080620A">
        <w:t xml:space="preserve">eport </w:t>
      </w:r>
      <w:r w:rsidR="008870B7" w:rsidRPr="0080620A">
        <w:t>will</w:t>
      </w:r>
      <w:r w:rsidRPr="0080620A">
        <w:t xml:space="preserve"> include a section on the identification of gaps in information and knowledge, if relevant, as well as proposals to bridge such gaps in future cycles. </w:t>
      </w:r>
    </w:p>
    <w:p w14:paraId="1538542B" w14:textId="25E6C6D8" w:rsidR="00B1107F" w:rsidRPr="0080620A" w:rsidRDefault="00B1107F" w:rsidP="009E249F">
      <w:pPr>
        <w:pStyle w:val="Normalnumber"/>
        <w:numPr>
          <w:ilvl w:val="0"/>
          <w:numId w:val="35"/>
        </w:numPr>
        <w:tabs>
          <w:tab w:val="clear" w:pos="1057"/>
        </w:tabs>
        <w:ind w:left="1247"/>
      </w:pPr>
      <w:r w:rsidRPr="0080620A">
        <w:t xml:space="preserve">The </w:t>
      </w:r>
      <w:r w:rsidR="007D5610" w:rsidRPr="0080620A">
        <w:t>g</w:t>
      </w:r>
      <w:r w:rsidRPr="0080620A">
        <w:t xml:space="preserve">roup </w:t>
      </w:r>
      <w:r w:rsidR="008870B7" w:rsidRPr="0080620A">
        <w:t xml:space="preserve">will </w:t>
      </w:r>
      <w:r w:rsidRPr="0080620A">
        <w:t>also develop a guidance document on monitoring so as to ensure and maintain harmoni</w:t>
      </w:r>
      <w:r w:rsidR="008870B7" w:rsidRPr="0080620A">
        <w:t>z</w:t>
      </w:r>
      <w:r w:rsidRPr="0080620A">
        <w:t>ed</w:t>
      </w:r>
      <w:r w:rsidR="0097631A" w:rsidRPr="0080620A">
        <w:t>,</w:t>
      </w:r>
      <w:r w:rsidRPr="0080620A">
        <w:t xml:space="preserve"> comparable information on mercury levels in the environment. A draft structure </w:t>
      </w:r>
      <w:r w:rsidR="0097631A" w:rsidRPr="0080620A">
        <w:t>for</w:t>
      </w:r>
      <w:r w:rsidRPr="0080620A">
        <w:t xml:space="preserve"> this guidance has been developed and is contained in </w:t>
      </w:r>
      <w:r w:rsidR="007129E3" w:rsidRPr="0080620A">
        <w:t xml:space="preserve">document </w:t>
      </w:r>
      <w:r w:rsidRPr="0080620A">
        <w:t>UNEP/MC/COP.3/INF</w:t>
      </w:r>
      <w:r w:rsidR="002D1263" w:rsidRPr="0080620A">
        <w:t>/</w:t>
      </w:r>
      <w:r w:rsidRPr="0080620A">
        <w:t xml:space="preserve">15. </w:t>
      </w:r>
    </w:p>
    <w:p w14:paraId="37810A8F" w14:textId="1870A7C1" w:rsidR="00B1107F" w:rsidRPr="0080620A" w:rsidRDefault="00B1107F" w:rsidP="009E249F">
      <w:pPr>
        <w:pStyle w:val="Normalnumber"/>
        <w:numPr>
          <w:ilvl w:val="0"/>
          <w:numId w:val="35"/>
        </w:numPr>
        <w:tabs>
          <w:tab w:val="clear" w:pos="1057"/>
        </w:tabs>
        <w:ind w:left="1247"/>
      </w:pPr>
      <w:r w:rsidRPr="0080620A">
        <w:t xml:space="preserve">The </w:t>
      </w:r>
      <w:r w:rsidR="007D5610" w:rsidRPr="0080620A">
        <w:t>g</w:t>
      </w:r>
      <w:r w:rsidRPr="0080620A">
        <w:t xml:space="preserve">roup </w:t>
      </w:r>
      <w:r w:rsidR="008870B7" w:rsidRPr="0080620A">
        <w:t>will</w:t>
      </w:r>
      <w:r w:rsidRPr="0080620A">
        <w:t xml:space="preserve"> start its work immediately following the third meeting of the Conference of the Parties and </w:t>
      </w:r>
      <w:r w:rsidR="008870B7" w:rsidRPr="0080620A">
        <w:t xml:space="preserve">will </w:t>
      </w:r>
      <w:r w:rsidRPr="0080620A">
        <w:t xml:space="preserve">produce the </w:t>
      </w:r>
      <w:r w:rsidR="0071167F" w:rsidRPr="0080620A">
        <w:t>m</w:t>
      </w:r>
      <w:r w:rsidRPr="0080620A">
        <w:t xml:space="preserve">onitoring </w:t>
      </w:r>
      <w:r w:rsidR="0071167F" w:rsidRPr="0080620A">
        <w:t>r</w:t>
      </w:r>
      <w:r w:rsidRPr="0080620A">
        <w:t>eport for consideration by the Effectiveness Evaluation Committee at its first meeting</w:t>
      </w:r>
      <w:r w:rsidR="007D5610" w:rsidRPr="0080620A">
        <w:t>,</w:t>
      </w:r>
      <w:r w:rsidRPr="0080620A">
        <w:t xml:space="preserve"> in 2022. </w:t>
      </w:r>
    </w:p>
    <w:p w14:paraId="6C7EEDFB" w14:textId="1D5247CF" w:rsidR="00B1107F" w:rsidRPr="0080620A" w:rsidRDefault="000672E7" w:rsidP="000672E7">
      <w:pPr>
        <w:pStyle w:val="CH2"/>
      </w:pPr>
      <w:r w:rsidRPr="0080620A">
        <w:tab/>
      </w:r>
      <w:r w:rsidR="00B1107F" w:rsidRPr="0080620A">
        <w:t>B</w:t>
      </w:r>
      <w:r w:rsidRPr="0080620A">
        <w:t>.</w:t>
      </w:r>
      <w:r w:rsidRPr="0080620A">
        <w:tab/>
      </w:r>
      <w:r w:rsidR="00B1107F" w:rsidRPr="0080620A">
        <w:t xml:space="preserve">Membership </w:t>
      </w:r>
    </w:p>
    <w:p w14:paraId="5C7CB4D0" w14:textId="7B9E2557" w:rsidR="00B1107F" w:rsidRPr="0080620A" w:rsidRDefault="00B1107F" w:rsidP="009E249F">
      <w:pPr>
        <w:pStyle w:val="Normalnumber"/>
        <w:numPr>
          <w:ilvl w:val="0"/>
          <w:numId w:val="35"/>
        </w:numPr>
        <w:tabs>
          <w:tab w:val="clear" w:pos="1057"/>
        </w:tabs>
        <w:ind w:left="1247"/>
      </w:pPr>
      <w:r w:rsidRPr="0080620A">
        <w:t xml:space="preserve">The members of the </w:t>
      </w:r>
      <w:r w:rsidR="007D5610" w:rsidRPr="0080620A">
        <w:t>g</w:t>
      </w:r>
      <w:r w:rsidRPr="0080620A">
        <w:t xml:space="preserve">roup </w:t>
      </w:r>
      <w:r w:rsidR="0071167F" w:rsidRPr="0080620A">
        <w:t xml:space="preserve">will </w:t>
      </w:r>
      <w:r w:rsidRPr="0080620A">
        <w:t xml:space="preserve">be appointed based on equitable geographical distribution, taking into account </w:t>
      </w:r>
      <w:r w:rsidR="00133D4F" w:rsidRPr="0080620A">
        <w:t>the need for gender</w:t>
      </w:r>
      <w:r w:rsidRPr="0080620A">
        <w:t xml:space="preserve"> balance </w:t>
      </w:r>
      <w:r w:rsidR="00133D4F" w:rsidRPr="0080620A">
        <w:t>and</w:t>
      </w:r>
      <w:r w:rsidRPr="0080620A">
        <w:t xml:space="preserve"> different types of expertise. </w:t>
      </w:r>
    </w:p>
    <w:p w14:paraId="37316881" w14:textId="33887B89" w:rsidR="00B1107F" w:rsidRPr="0080620A" w:rsidRDefault="00B1107F" w:rsidP="009E249F">
      <w:pPr>
        <w:pStyle w:val="Normalnumber"/>
        <w:numPr>
          <w:ilvl w:val="0"/>
          <w:numId w:val="35"/>
        </w:numPr>
        <w:tabs>
          <w:tab w:val="clear" w:pos="1057"/>
        </w:tabs>
        <w:ind w:left="1247"/>
      </w:pPr>
      <w:r w:rsidRPr="0080620A">
        <w:t xml:space="preserve">Each </w:t>
      </w:r>
      <w:r w:rsidR="007D5610" w:rsidRPr="0080620A">
        <w:t xml:space="preserve">of the five United Nations </w:t>
      </w:r>
      <w:r w:rsidRPr="0080620A">
        <w:t>region</w:t>
      </w:r>
      <w:r w:rsidR="007D5610" w:rsidRPr="0080620A">
        <w:t>s</w:t>
      </w:r>
      <w:r w:rsidRPr="0080620A">
        <w:t xml:space="preserve"> </w:t>
      </w:r>
      <w:r w:rsidR="0071167F" w:rsidRPr="0080620A">
        <w:t>will</w:t>
      </w:r>
      <w:r w:rsidRPr="0080620A">
        <w:t xml:space="preserve"> nominate </w:t>
      </w:r>
      <w:r w:rsidR="0071167F" w:rsidRPr="0080620A">
        <w:t>two</w:t>
      </w:r>
      <w:r w:rsidRPr="0080620A">
        <w:t xml:space="preserve"> experts on monitoring</w:t>
      </w:r>
      <w:r w:rsidR="00DC3C48" w:rsidRPr="0080620A">
        <w:t>/modelling</w:t>
      </w:r>
      <w:r w:rsidRPr="0080620A">
        <w:t xml:space="preserve"> (experts on mercury monitoring in core media, experts participating in existing monitoring networks on mercury, </w:t>
      </w:r>
      <w:r w:rsidR="00DC3C48" w:rsidRPr="0080620A">
        <w:t>experts</w:t>
      </w:r>
      <w:r w:rsidRPr="0080620A">
        <w:t xml:space="preserve"> on modelling environmental trend</w:t>
      </w:r>
      <w:r w:rsidR="00DC3C48" w:rsidRPr="0080620A">
        <w:t>s</w:t>
      </w:r>
      <w:r w:rsidRPr="0080620A">
        <w:t>)</w:t>
      </w:r>
      <w:r w:rsidR="007D5610" w:rsidRPr="0080620A">
        <w:t xml:space="preserve"> to sit as members</w:t>
      </w:r>
      <w:r w:rsidRPr="0080620A">
        <w:t>.</w:t>
      </w:r>
    </w:p>
    <w:p w14:paraId="2584E23B" w14:textId="41E9B5D3" w:rsidR="00DC3C48" w:rsidRPr="0080620A" w:rsidRDefault="00DC3C48" w:rsidP="009E249F">
      <w:pPr>
        <w:pStyle w:val="Normalnumber"/>
        <w:numPr>
          <w:ilvl w:val="0"/>
          <w:numId w:val="35"/>
        </w:numPr>
        <w:tabs>
          <w:tab w:val="clear" w:pos="1057"/>
        </w:tabs>
        <w:ind w:left="1247"/>
      </w:pPr>
      <w:r w:rsidRPr="0080620A">
        <w:t xml:space="preserve">The </w:t>
      </w:r>
      <w:r w:rsidR="00EA5C32" w:rsidRPr="0080620A">
        <w:t>s</w:t>
      </w:r>
      <w:r w:rsidRPr="0080620A">
        <w:t xml:space="preserve">ecretariat </w:t>
      </w:r>
      <w:r w:rsidR="0071167F" w:rsidRPr="0080620A">
        <w:t>will</w:t>
      </w:r>
      <w:r w:rsidRPr="0080620A">
        <w:t xml:space="preserve"> invite two internationally recogni</w:t>
      </w:r>
      <w:r w:rsidR="0071167F" w:rsidRPr="0080620A">
        <w:t>z</w:t>
      </w:r>
      <w:r w:rsidRPr="0080620A">
        <w:t xml:space="preserve">ed experts with expertise </w:t>
      </w:r>
      <w:r w:rsidR="0097631A" w:rsidRPr="0080620A">
        <w:t>i</w:t>
      </w:r>
      <w:r w:rsidRPr="0080620A">
        <w:t xml:space="preserve">n modelling environmental trends/multi-compartment models </w:t>
      </w:r>
      <w:r w:rsidR="00A94B2F" w:rsidRPr="0080620A">
        <w:t xml:space="preserve">to sit </w:t>
      </w:r>
      <w:r w:rsidRPr="0080620A">
        <w:t>as members.</w:t>
      </w:r>
    </w:p>
    <w:p w14:paraId="7D82E7A3" w14:textId="1ADCD22F" w:rsidR="00B1107F" w:rsidRPr="0080620A" w:rsidRDefault="00B1107F" w:rsidP="009E249F">
      <w:pPr>
        <w:pStyle w:val="Normalnumber"/>
        <w:numPr>
          <w:ilvl w:val="0"/>
          <w:numId w:val="35"/>
        </w:numPr>
        <w:tabs>
          <w:tab w:val="clear" w:pos="1057"/>
        </w:tabs>
        <w:ind w:left="1247"/>
      </w:pPr>
      <w:r w:rsidRPr="0080620A">
        <w:t xml:space="preserve">The </w:t>
      </w:r>
      <w:r w:rsidR="00767F0C" w:rsidRPr="0080620A">
        <w:t>g</w:t>
      </w:r>
      <w:r w:rsidRPr="0080620A">
        <w:t xml:space="preserve">roup may invite the participation of up to </w:t>
      </w:r>
      <w:r w:rsidR="00A94B2F" w:rsidRPr="0080620A">
        <w:t>five</w:t>
      </w:r>
      <w:r w:rsidRPr="0080620A">
        <w:t xml:space="preserve"> experts from civil society, indigenous communities, intergovernmental organizations, research and academia, the Global Mercury Partnership and existing monitoring networks </w:t>
      </w:r>
      <w:r w:rsidR="00A94B2F" w:rsidRPr="0080620A">
        <w:t xml:space="preserve">to sit </w:t>
      </w:r>
      <w:r w:rsidRPr="0080620A">
        <w:t>as observers</w:t>
      </w:r>
      <w:r w:rsidR="007D5610" w:rsidRPr="0080620A">
        <w:t>, with a view</w:t>
      </w:r>
      <w:r w:rsidRPr="0080620A">
        <w:t xml:space="preserve"> to provid</w:t>
      </w:r>
      <w:r w:rsidR="007D5610" w:rsidRPr="0080620A">
        <w:t>ing</w:t>
      </w:r>
      <w:r w:rsidRPr="0080620A">
        <w:t xml:space="preserve"> up-to-date information, scientific knowledge and other relevant expertise that assists the </w:t>
      </w:r>
      <w:r w:rsidR="007D5610" w:rsidRPr="0080620A">
        <w:t>g</w:t>
      </w:r>
      <w:r w:rsidRPr="0080620A">
        <w:t xml:space="preserve">roup </w:t>
      </w:r>
      <w:r w:rsidR="00A94B2F" w:rsidRPr="0080620A">
        <w:t>in producing</w:t>
      </w:r>
      <w:r w:rsidRPr="0080620A">
        <w:t xml:space="preserve"> the </w:t>
      </w:r>
      <w:r w:rsidR="0071167F" w:rsidRPr="0080620A">
        <w:t>m</w:t>
      </w:r>
      <w:r w:rsidRPr="0080620A">
        <w:t xml:space="preserve">onitoring </w:t>
      </w:r>
      <w:r w:rsidR="0071167F" w:rsidRPr="0080620A">
        <w:t>r</w:t>
      </w:r>
      <w:r w:rsidRPr="0080620A">
        <w:t xml:space="preserve">eport. In addition, the </w:t>
      </w:r>
      <w:r w:rsidR="00767F0C" w:rsidRPr="0080620A">
        <w:t>g</w:t>
      </w:r>
      <w:r w:rsidRPr="0080620A">
        <w:t>roup may call on additional expertise</w:t>
      </w:r>
      <w:r w:rsidR="00A94B2F" w:rsidRPr="0080620A">
        <w:t>,</w:t>
      </w:r>
      <w:r w:rsidRPr="0080620A">
        <w:t xml:space="preserve"> </w:t>
      </w:r>
      <w:r w:rsidR="00A94B2F" w:rsidRPr="0080620A">
        <w:t>as</w:t>
      </w:r>
      <w:r w:rsidRPr="0080620A">
        <w:t xml:space="preserve"> required. </w:t>
      </w:r>
    </w:p>
    <w:p w14:paraId="21FD630F" w14:textId="306AA72A" w:rsidR="00B1107F" w:rsidRPr="0080620A" w:rsidRDefault="00B1107F" w:rsidP="009E249F">
      <w:pPr>
        <w:pStyle w:val="Normalnumber"/>
        <w:numPr>
          <w:ilvl w:val="0"/>
          <w:numId w:val="35"/>
        </w:numPr>
        <w:tabs>
          <w:tab w:val="clear" w:pos="1057"/>
        </w:tabs>
        <w:ind w:left="1247"/>
      </w:pPr>
      <w:r w:rsidRPr="0080620A">
        <w:t xml:space="preserve">The overall expertise of the </w:t>
      </w:r>
      <w:r w:rsidR="007D5610" w:rsidRPr="0080620A">
        <w:t>g</w:t>
      </w:r>
      <w:r w:rsidRPr="0080620A">
        <w:t xml:space="preserve">roup </w:t>
      </w:r>
      <w:r w:rsidR="0071167F" w:rsidRPr="0080620A">
        <w:t>will</w:t>
      </w:r>
      <w:r w:rsidRPr="0080620A">
        <w:t xml:space="preserve"> include at least one of each type of expertise/stakeholder group. </w:t>
      </w:r>
    </w:p>
    <w:p w14:paraId="49EC943B" w14:textId="602BABCC" w:rsidR="00B1107F" w:rsidRPr="0080620A" w:rsidRDefault="00B1107F" w:rsidP="009E249F">
      <w:pPr>
        <w:pStyle w:val="Normalnumber"/>
        <w:numPr>
          <w:ilvl w:val="0"/>
          <w:numId w:val="35"/>
        </w:numPr>
        <w:tabs>
          <w:tab w:val="clear" w:pos="1057"/>
        </w:tabs>
        <w:ind w:left="1247"/>
      </w:pPr>
      <w:r w:rsidRPr="0080620A">
        <w:t xml:space="preserve">The terms of office of the members </w:t>
      </w:r>
      <w:r w:rsidR="0071167F" w:rsidRPr="0080620A">
        <w:t xml:space="preserve">will </w:t>
      </w:r>
      <w:r w:rsidRPr="0080620A">
        <w:t xml:space="preserve">coincide with the effectiveness evaluation </w:t>
      </w:r>
      <w:r w:rsidR="007B3630" w:rsidRPr="0080620A">
        <w:t>cycle</w:t>
      </w:r>
      <w:r w:rsidRPr="0080620A">
        <w:t xml:space="preserve"> determined by the Conference of the Parties. To </w:t>
      </w:r>
      <w:r w:rsidR="007B3630" w:rsidRPr="0080620A">
        <w:t xml:space="preserve">provide </w:t>
      </w:r>
      <w:r w:rsidRPr="0080620A">
        <w:t xml:space="preserve">continuity, the Conference of the Parties may renew the terms of office of the members for subsequent evaluations. If a member is unable to complete his or her term of office, the region or stakeholder group nominating that member </w:t>
      </w:r>
      <w:r w:rsidR="0071167F" w:rsidRPr="0080620A">
        <w:t xml:space="preserve">will </w:t>
      </w:r>
      <w:r w:rsidRPr="0080620A">
        <w:t xml:space="preserve">nominate another person to complete the term. </w:t>
      </w:r>
    </w:p>
    <w:p w14:paraId="13FF7460" w14:textId="30F85AE9" w:rsidR="00B1107F" w:rsidRPr="0080620A" w:rsidRDefault="000672E7" w:rsidP="000672E7">
      <w:pPr>
        <w:pStyle w:val="CH2"/>
      </w:pPr>
      <w:r w:rsidRPr="0080620A">
        <w:tab/>
      </w:r>
      <w:r w:rsidR="00B1107F" w:rsidRPr="0080620A">
        <w:t>C</w:t>
      </w:r>
      <w:r w:rsidRPr="0080620A">
        <w:t>.</w:t>
      </w:r>
      <w:r w:rsidRPr="0080620A">
        <w:tab/>
      </w:r>
      <w:r w:rsidR="00B1107F" w:rsidRPr="0080620A">
        <w:t>Officers</w:t>
      </w:r>
    </w:p>
    <w:p w14:paraId="54E95825" w14:textId="43A56F21" w:rsidR="00B1107F" w:rsidRPr="0080620A" w:rsidRDefault="008870B7" w:rsidP="009E249F">
      <w:pPr>
        <w:pStyle w:val="Normalnumber"/>
        <w:numPr>
          <w:ilvl w:val="0"/>
          <w:numId w:val="35"/>
        </w:numPr>
        <w:tabs>
          <w:tab w:val="clear" w:pos="1057"/>
        </w:tabs>
        <w:ind w:left="1247"/>
      </w:pPr>
      <w:r w:rsidRPr="0080620A">
        <w:t xml:space="preserve">The </w:t>
      </w:r>
      <w:r w:rsidR="00BF03C2" w:rsidRPr="0080620A">
        <w:t>g</w:t>
      </w:r>
      <w:r w:rsidRPr="0080620A">
        <w:t>roup will elect t</w:t>
      </w:r>
      <w:r w:rsidR="00B1107F" w:rsidRPr="0080620A">
        <w:t xml:space="preserve">wo co-chairs to facilitate </w:t>
      </w:r>
      <w:r w:rsidRPr="0080620A">
        <w:t xml:space="preserve">its </w:t>
      </w:r>
      <w:r w:rsidR="00B1107F" w:rsidRPr="0080620A">
        <w:t xml:space="preserve">work and meetings. </w:t>
      </w:r>
    </w:p>
    <w:p w14:paraId="16E77389" w14:textId="5C9AA439" w:rsidR="00B1107F" w:rsidRPr="0080620A" w:rsidRDefault="000672E7" w:rsidP="000672E7">
      <w:pPr>
        <w:pStyle w:val="CH2"/>
      </w:pPr>
      <w:r w:rsidRPr="0080620A">
        <w:lastRenderedPageBreak/>
        <w:tab/>
      </w:r>
      <w:r w:rsidR="00B1107F" w:rsidRPr="0080620A">
        <w:t>D</w:t>
      </w:r>
      <w:r w:rsidRPr="0080620A">
        <w:t>.</w:t>
      </w:r>
      <w:r w:rsidRPr="0080620A">
        <w:tab/>
      </w:r>
      <w:r w:rsidR="00B1107F" w:rsidRPr="0080620A">
        <w:t>Secretariat</w:t>
      </w:r>
    </w:p>
    <w:p w14:paraId="11C3CBEF" w14:textId="6C252279" w:rsidR="00B1107F" w:rsidRPr="0080620A" w:rsidRDefault="00B1107F" w:rsidP="009E249F">
      <w:pPr>
        <w:pStyle w:val="Normalnumber"/>
        <w:numPr>
          <w:ilvl w:val="0"/>
          <w:numId w:val="35"/>
        </w:numPr>
        <w:tabs>
          <w:tab w:val="clear" w:pos="1057"/>
        </w:tabs>
        <w:ind w:left="1247"/>
      </w:pPr>
      <w:r w:rsidRPr="0080620A">
        <w:t xml:space="preserve">The </w:t>
      </w:r>
      <w:r w:rsidR="00EA5C32" w:rsidRPr="0080620A">
        <w:t>s</w:t>
      </w:r>
      <w:r w:rsidRPr="0080620A">
        <w:t xml:space="preserve">ecretariat will provide administrative, logistical, programmatic and substantive support </w:t>
      </w:r>
      <w:r w:rsidR="0071167F" w:rsidRPr="0080620A">
        <w:t>for</w:t>
      </w:r>
      <w:r w:rsidRPr="0080620A">
        <w:t xml:space="preserve"> the meetings and work of the </w:t>
      </w:r>
      <w:r w:rsidR="00BF03C2" w:rsidRPr="0080620A">
        <w:t>g</w:t>
      </w:r>
      <w:r w:rsidRPr="0080620A">
        <w:t>roup.</w:t>
      </w:r>
    </w:p>
    <w:p w14:paraId="1F735A3B" w14:textId="43CF7491" w:rsidR="00B1107F" w:rsidRPr="0080620A" w:rsidRDefault="000672E7" w:rsidP="000672E7">
      <w:pPr>
        <w:pStyle w:val="CH2"/>
      </w:pPr>
      <w:r w:rsidRPr="0080620A">
        <w:tab/>
      </w:r>
      <w:r w:rsidR="00B1107F" w:rsidRPr="0080620A">
        <w:t>E</w:t>
      </w:r>
      <w:r w:rsidRPr="0080620A">
        <w:t>.</w:t>
      </w:r>
      <w:r w:rsidRPr="0080620A">
        <w:tab/>
      </w:r>
      <w:r w:rsidR="00B1107F" w:rsidRPr="0080620A">
        <w:t>Meetings</w:t>
      </w:r>
    </w:p>
    <w:p w14:paraId="27A1CFE0" w14:textId="66E367D9" w:rsidR="00B1107F" w:rsidRPr="0080620A" w:rsidRDefault="00B1107F" w:rsidP="009E249F">
      <w:pPr>
        <w:pStyle w:val="Normalnumber"/>
        <w:numPr>
          <w:ilvl w:val="0"/>
          <w:numId w:val="35"/>
        </w:numPr>
        <w:tabs>
          <w:tab w:val="clear" w:pos="1057"/>
        </w:tabs>
        <w:ind w:left="1247"/>
      </w:pPr>
      <w:r w:rsidRPr="0080620A">
        <w:t xml:space="preserve">The </w:t>
      </w:r>
      <w:r w:rsidR="00BF03C2" w:rsidRPr="0080620A">
        <w:t>g</w:t>
      </w:r>
      <w:r w:rsidRPr="0080620A">
        <w:t xml:space="preserve">roup will meet face-to-face at least three times during an effectiveness evaluation cycle to coordinate monitoring activities on mercury and produce the </w:t>
      </w:r>
      <w:r w:rsidR="0071167F" w:rsidRPr="0080620A">
        <w:t>m</w:t>
      </w:r>
      <w:r w:rsidRPr="0080620A">
        <w:t xml:space="preserve">onitoring </w:t>
      </w:r>
      <w:r w:rsidR="0071167F" w:rsidRPr="0080620A">
        <w:t>r</w:t>
      </w:r>
      <w:r w:rsidRPr="0080620A">
        <w:t xml:space="preserve">eport on </w:t>
      </w:r>
      <w:r w:rsidR="0097631A" w:rsidRPr="0080620A">
        <w:t xml:space="preserve">the </w:t>
      </w:r>
      <w:r w:rsidRPr="0080620A">
        <w:t>state of mercury in the environment</w:t>
      </w:r>
      <w:r w:rsidR="006876CD" w:rsidRPr="0080620A">
        <w:t xml:space="preserve"> for the </w:t>
      </w:r>
      <w:r w:rsidR="00BF03C2" w:rsidRPr="0080620A">
        <w:t>E</w:t>
      </w:r>
      <w:r w:rsidR="006876CD" w:rsidRPr="0080620A">
        <w:t xml:space="preserve">ffectiveness </w:t>
      </w:r>
      <w:r w:rsidR="00BF03C2" w:rsidRPr="0080620A">
        <w:t>E</w:t>
      </w:r>
      <w:r w:rsidR="006876CD" w:rsidRPr="0080620A">
        <w:t xml:space="preserve">valuation </w:t>
      </w:r>
      <w:r w:rsidR="00BF03C2" w:rsidRPr="0080620A">
        <w:t>C</w:t>
      </w:r>
      <w:r w:rsidR="006876CD" w:rsidRPr="0080620A">
        <w:t>ommittee</w:t>
      </w:r>
      <w:r w:rsidRPr="0080620A">
        <w:t>.</w:t>
      </w:r>
    </w:p>
    <w:p w14:paraId="05B09228" w14:textId="79133B54" w:rsidR="00B1107F" w:rsidRPr="0080620A" w:rsidRDefault="000672E7" w:rsidP="000672E7">
      <w:pPr>
        <w:pStyle w:val="CH2"/>
      </w:pPr>
      <w:r w:rsidRPr="0080620A">
        <w:tab/>
      </w:r>
      <w:r w:rsidR="00B1107F" w:rsidRPr="0080620A">
        <w:t>F</w:t>
      </w:r>
      <w:r w:rsidRPr="0080620A">
        <w:t>.</w:t>
      </w:r>
      <w:r w:rsidRPr="0080620A">
        <w:tab/>
      </w:r>
      <w:r w:rsidR="00B1107F" w:rsidRPr="0080620A">
        <w:t>Language</w:t>
      </w:r>
    </w:p>
    <w:p w14:paraId="61E3AA79" w14:textId="3D13CE18" w:rsidR="00B1107F" w:rsidRPr="0080620A" w:rsidRDefault="00B1107F" w:rsidP="009E249F">
      <w:pPr>
        <w:pStyle w:val="Normalnumber"/>
        <w:numPr>
          <w:ilvl w:val="0"/>
          <w:numId w:val="35"/>
        </w:numPr>
        <w:tabs>
          <w:tab w:val="clear" w:pos="1057"/>
        </w:tabs>
        <w:ind w:left="1247"/>
      </w:pPr>
      <w:r w:rsidRPr="0080620A">
        <w:t xml:space="preserve">English will be the working language of the </w:t>
      </w:r>
      <w:r w:rsidR="00BF03C2" w:rsidRPr="0080620A">
        <w:t>g</w:t>
      </w:r>
      <w:r w:rsidRPr="0080620A">
        <w:t>roup.</w:t>
      </w:r>
    </w:p>
    <w:p w14:paraId="04BF93DB" w14:textId="77777777" w:rsidR="000672E7" w:rsidRPr="000B0C89" w:rsidRDefault="000672E7" w:rsidP="000B0C89">
      <w:pPr>
        <w:pStyle w:val="Normalpool"/>
      </w:pPr>
      <w:r w:rsidRPr="00FF10F4">
        <w:br w:type="page"/>
      </w:r>
    </w:p>
    <w:p w14:paraId="5E105FD0" w14:textId="23D04879" w:rsidR="000672E7" w:rsidRPr="0080620A" w:rsidRDefault="00CC7E80" w:rsidP="000672E7">
      <w:pPr>
        <w:pStyle w:val="ZZAnxheader"/>
      </w:pPr>
      <w:r w:rsidRPr="0080620A">
        <w:lastRenderedPageBreak/>
        <w:t>Appendix</w:t>
      </w:r>
      <w:r w:rsidR="00B1107F" w:rsidRPr="0080620A">
        <w:t xml:space="preserve"> </w:t>
      </w:r>
      <w:r w:rsidR="00B70B4D">
        <w:t>I</w:t>
      </w:r>
      <w:r w:rsidR="00555D09" w:rsidRPr="0080620A">
        <w:t>V</w:t>
      </w:r>
    </w:p>
    <w:p w14:paraId="5691DA07" w14:textId="6B55215F" w:rsidR="00B1107F" w:rsidRPr="0080620A" w:rsidRDefault="00B1107F" w:rsidP="000672E7">
      <w:pPr>
        <w:pStyle w:val="ZZAnxtitle"/>
      </w:pPr>
      <w:r w:rsidRPr="0080620A">
        <w:t>Description of the reports to be prepared for the Effectiveness Evaluation Committee</w:t>
      </w:r>
    </w:p>
    <w:p w14:paraId="476BBCA4" w14:textId="2668A6FB" w:rsidR="00B1107F" w:rsidRPr="00F2292D" w:rsidRDefault="00B1107F" w:rsidP="00E33049">
      <w:pPr>
        <w:pStyle w:val="Normalnumber"/>
        <w:numPr>
          <w:ilvl w:val="0"/>
          <w:numId w:val="36"/>
        </w:numPr>
        <w:ind w:left="1247"/>
      </w:pPr>
      <w:r w:rsidRPr="0080620A">
        <w:rPr>
          <w:u w:color="4F81BD"/>
        </w:rPr>
        <w:t xml:space="preserve">The framework </w:t>
      </w:r>
      <w:r w:rsidR="00EA1E00" w:rsidRPr="0080620A">
        <w:rPr>
          <w:u w:color="4F81BD"/>
        </w:rPr>
        <w:t xml:space="preserve">provides for </w:t>
      </w:r>
      <w:r w:rsidR="00507025" w:rsidRPr="0080620A">
        <w:rPr>
          <w:u w:color="4F81BD"/>
        </w:rPr>
        <w:t xml:space="preserve">the preparation of </w:t>
      </w:r>
      <w:r w:rsidRPr="0080620A">
        <w:rPr>
          <w:u w:color="4F81BD"/>
        </w:rPr>
        <w:t xml:space="preserve">five to six reports for </w:t>
      </w:r>
      <w:r w:rsidR="00507025" w:rsidRPr="0080620A">
        <w:rPr>
          <w:u w:color="4F81BD"/>
        </w:rPr>
        <w:t>the use of</w:t>
      </w:r>
      <w:r w:rsidRPr="0080620A">
        <w:rPr>
          <w:u w:color="4F81BD"/>
        </w:rPr>
        <w:t xml:space="preserve"> the Effectiveness </w:t>
      </w:r>
      <w:r w:rsidRPr="0080620A">
        <w:t>Evaluation</w:t>
      </w:r>
      <w:r w:rsidRPr="0080620A">
        <w:rPr>
          <w:u w:color="4F81BD"/>
        </w:rPr>
        <w:t xml:space="preserve"> </w:t>
      </w:r>
      <w:r w:rsidRPr="00E33049">
        <w:rPr>
          <w:u w:color="4F81BD"/>
        </w:rPr>
        <w:t xml:space="preserve">Committee in its consideration of the four policy questions. Five synthesis reports are to be prepared as described for levels 1 to 3 to respond to the first three policy questions. </w:t>
      </w:r>
      <w:r w:rsidRPr="000B0C89">
        <w:rPr>
          <w:highlight w:val="lightGray"/>
          <w:u w:color="4F81BD"/>
        </w:rPr>
        <w:t>The sixth report</w:t>
      </w:r>
      <w:r w:rsidR="00660975" w:rsidRPr="000B0C89">
        <w:rPr>
          <w:highlight w:val="lightGray"/>
          <w:u w:color="4F81BD"/>
        </w:rPr>
        <w:t>,</w:t>
      </w:r>
      <w:r w:rsidRPr="000B0C89">
        <w:rPr>
          <w:highlight w:val="lightGray"/>
          <w:u w:color="4F81BD"/>
        </w:rPr>
        <w:t xml:space="preserve"> on attribution</w:t>
      </w:r>
      <w:r w:rsidR="006876CD" w:rsidRPr="000B0C89">
        <w:rPr>
          <w:highlight w:val="lightGray"/>
          <w:u w:color="4F81BD"/>
        </w:rPr>
        <w:t>,</w:t>
      </w:r>
      <w:r w:rsidRPr="000B0C89">
        <w:rPr>
          <w:highlight w:val="lightGray"/>
          <w:u w:color="4F81BD"/>
        </w:rPr>
        <w:t xml:space="preserve"> to respond to policy question 4 is foreseen for level 4, for when such information is available and ready.</w:t>
      </w:r>
      <w:r w:rsidRPr="00F2292D">
        <w:rPr>
          <w:rStyle w:val="FootnoteReference"/>
          <w:rFonts w:asciiTheme="majorBidi" w:hAnsiTheme="majorBidi"/>
          <w:iCs/>
          <w:szCs w:val="20"/>
          <w:u w:color="4F81BD"/>
        </w:rPr>
        <w:footnoteReference w:id="16"/>
      </w:r>
    </w:p>
    <w:p w14:paraId="0B30B081" w14:textId="03E51B47" w:rsidR="00B1107F" w:rsidRPr="00E33049" w:rsidRDefault="00B1107F" w:rsidP="00E33049">
      <w:pPr>
        <w:pStyle w:val="Normalnumber"/>
        <w:numPr>
          <w:ilvl w:val="0"/>
          <w:numId w:val="36"/>
        </w:numPr>
        <w:ind w:left="1247"/>
      </w:pPr>
      <w:r w:rsidRPr="00E33049">
        <w:rPr>
          <w:u w:color="4F81BD"/>
        </w:rPr>
        <w:t xml:space="preserve">The </w:t>
      </w:r>
      <w:r w:rsidR="007A6DEC" w:rsidRPr="00E33049">
        <w:t>reports</w:t>
      </w:r>
      <w:r w:rsidR="007A6DEC" w:rsidRPr="00E33049">
        <w:rPr>
          <w:u w:color="4F81BD"/>
        </w:rPr>
        <w:t xml:space="preserve"> are </w:t>
      </w:r>
      <w:r w:rsidR="00BF03C2" w:rsidRPr="00E33049">
        <w:rPr>
          <w:u w:color="4F81BD"/>
        </w:rPr>
        <w:t xml:space="preserve">to be </w:t>
      </w:r>
      <w:r w:rsidR="007A6DEC" w:rsidRPr="00E33049">
        <w:rPr>
          <w:u w:color="4F81BD"/>
        </w:rPr>
        <w:t xml:space="preserve">produced using the </w:t>
      </w:r>
      <w:r w:rsidRPr="00E33049">
        <w:rPr>
          <w:u w:color="4F81BD"/>
        </w:rPr>
        <w:t xml:space="preserve">information </w:t>
      </w:r>
      <w:r w:rsidR="006876CD" w:rsidRPr="00E33049">
        <w:rPr>
          <w:u w:color="4F81BD"/>
        </w:rPr>
        <w:t xml:space="preserve">provided </w:t>
      </w:r>
      <w:r w:rsidRPr="00E33049">
        <w:rPr>
          <w:u w:color="4F81BD"/>
        </w:rPr>
        <w:t xml:space="preserve">as outlined in </w:t>
      </w:r>
      <w:r w:rsidR="006876CD" w:rsidRPr="00E33049">
        <w:rPr>
          <w:u w:color="4F81BD"/>
        </w:rPr>
        <w:t>a</w:t>
      </w:r>
      <w:r w:rsidRPr="00E33049">
        <w:rPr>
          <w:u w:color="4F81BD"/>
        </w:rPr>
        <w:t xml:space="preserve">rticle 22, paragraph 3 (a) to (d), and as presented schematically in </w:t>
      </w:r>
      <w:r w:rsidR="006053AF" w:rsidRPr="00E33049">
        <w:rPr>
          <w:u w:color="4F81BD"/>
        </w:rPr>
        <w:t>figure</w:t>
      </w:r>
      <w:r w:rsidRPr="00E33049">
        <w:rPr>
          <w:u w:color="4F81BD"/>
        </w:rPr>
        <w:t xml:space="preserve"> </w:t>
      </w:r>
      <w:r w:rsidR="00EA1E00" w:rsidRPr="00E33049">
        <w:rPr>
          <w:u w:color="4F81BD"/>
        </w:rPr>
        <w:t>1</w:t>
      </w:r>
      <w:r w:rsidR="007A6DEC" w:rsidRPr="00E33049">
        <w:rPr>
          <w:u w:color="4F81BD"/>
        </w:rPr>
        <w:t xml:space="preserve"> </w:t>
      </w:r>
      <w:r w:rsidR="00BF03C2" w:rsidRPr="00E33049">
        <w:rPr>
          <w:u w:color="4F81BD"/>
        </w:rPr>
        <w:t xml:space="preserve">of the present report </w:t>
      </w:r>
      <w:r w:rsidR="007A6DEC" w:rsidRPr="00E33049">
        <w:rPr>
          <w:u w:color="4F81BD"/>
        </w:rPr>
        <w:t>showing the</w:t>
      </w:r>
      <w:r w:rsidRPr="00E33049">
        <w:rPr>
          <w:u w:color="4F81BD"/>
        </w:rPr>
        <w:t xml:space="preserve"> </w:t>
      </w:r>
      <w:r w:rsidR="006876CD" w:rsidRPr="00E33049">
        <w:t>i</w:t>
      </w:r>
      <w:r w:rsidRPr="00E33049">
        <w:t>nformation</w:t>
      </w:r>
      <w:r w:rsidRPr="00E33049">
        <w:rPr>
          <w:u w:color="4F81BD"/>
        </w:rPr>
        <w:t xml:space="preserve"> and </w:t>
      </w:r>
      <w:r w:rsidR="006876CD" w:rsidRPr="00E33049">
        <w:rPr>
          <w:u w:color="4F81BD"/>
        </w:rPr>
        <w:t>a</w:t>
      </w:r>
      <w:r w:rsidRPr="00E33049">
        <w:rPr>
          <w:u w:color="4F81BD"/>
        </w:rPr>
        <w:t xml:space="preserve">nalysis </w:t>
      </w:r>
      <w:r w:rsidR="006876CD" w:rsidRPr="00E33049">
        <w:rPr>
          <w:u w:color="4F81BD"/>
        </w:rPr>
        <w:t>f</w:t>
      </w:r>
      <w:r w:rsidRPr="00E33049">
        <w:rPr>
          <w:u w:color="4F81BD"/>
        </w:rPr>
        <w:t>low.</w:t>
      </w:r>
    </w:p>
    <w:p w14:paraId="51E33387" w14:textId="68CD3243" w:rsidR="002739D3" w:rsidRPr="00E52267" w:rsidRDefault="00D43D42" w:rsidP="00E52267">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739D3" w:rsidRPr="00E52267">
        <w:rPr>
          <w:rFonts w:ascii="Times New Roman" w:hAnsi="Times New Roman" w:cs="Times New Roman"/>
        </w:rPr>
        <w:t xml:space="preserve">Synthesis reports </w:t>
      </w:r>
    </w:p>
    <w:p w14:paraId="65EFFEEE" w14:textId="02BE34F0" w:rsidR="00B1107F" w:rsidRPr="00E33049" w:rsidRDefault="00B1107F" w:rsidP="00E33049">
      <w:pPr>
        <w:pStyle w:val="Normalnumber"/>
        <w:numPr>
          <w:ilvl w:val="0"/>
          <w:numId w:val="36"/>
        </w:numPr>
        <w:ind w:left="1247"/>
      </w:pPr>
      <w:r w:rsidRPr="00E33049">
        <w:t xml:space="preserve">The content to be developed under </w:t>
      </w:r>
      <w:r w:rsidR="002739D3" w:rsidRPr="00E33049">
        <w:t xml:space="preserve">the five </w:t>
      </w:r>
      <w:r w:rsidRPr="00E33049">
        <w:t>synthesis report</w:t>
      </w:r>
      <w:r w:rsidR="002739D3" w:rsidRPr="00E33049">
        <w:t>s</w:t>
      </w:r>
      <w:r w:rsidRPr="00E33049">
        <w:t xml:space="preserve"> is set out below, as are the tasks that need to be completed and the expertise required</w:t>
      </w:r>
      <w:r w:rsidR="007A6DEC" w:rsidRPr="00E33049">
        <w:t>:</w:t>
      </w:r>
    </w:p>
    <w:p w14:paraId="4313E7E6" w14:textId="67565608" w:rsidR="00B1107F" w:rsidRPr="00E33049" w:rsidRDefault="00B1107F" w:rsidP="000B0C89">
      <w:pPr>
        <w:tabs>
          <w:tab w:val="clear" w:pos="1247"/>
          <w:tab w:val="clear" w:pos="1814"/>
          <w:tab w:val="clear" w:pos="2381"/>
          <w:tab w:val="clear" w:pos="2948"/>
          <w:tab w:val="clear" w:pos="3515"/>
        </w:tabs>
        <w:spacing w:after="120"/>
        <w:ind w:left="1871" w:firstLine="624"/>
      </w:pPr>
      <w:r w:rsidRPr="00E33049">
        <w:t xml:space="preserve">The </w:t>
      </w:r>
      <w:r w:rsidR="007A6DEC" w:rsidRPr="00E33049">
        <w:t>a</w:t>
      </w:r>
      <w:r w:rsidRPr="00E33049">
        <w:t xml:space="preserve">rticle 21 </w:t>
      </w:r>
      <w:r w:rsidR="007A6DEC" w:rsidRPr="00E33049">
        <w:t>s</w:t>
      </w:r>
      <w:r w:rsidRPr="00E33049">
        <w:t xml:space="preserve">ynthesis </w:t>
      </w:r>
      <w:r w:rsidR="007A6DEC" w:rsidRPr="00E33049">
        <w:t>r</w:t>
      </w:r>
      <w:r w:rsidRPr="00E33049">
        <w:t xml:space="preserve">eport </w:t>
      </w:r>
      <w:r w:rsidR="00BF03C2" w:rsidRPr="00E33049">
        <w:t>will</w:t>
      </w:r>
      <w:r w:rsidRPr="00E33049">
        <w:t xml:space="preserve"> gather, analyse and synthesi</w:t>
      </w:r>
      <w:r w:rsidR="007A6DEC" w:rsidRPr="00E33049">
        <w:t>z</w:t>
      </w:r>
      <w:r w:rsidRPr="00E33049">
        <w:t xml:space="preserve">e </w:t>
      </w:r>
      <w:r w:rsidR="00EA1E00" w:rsidRPr="00E33049">
        <w:t xml:space="preserve">the </w:t>
      </w:r>
      <w:r w:rsidRPr="00E33049">
        <w:t>relevant information from report</w:t>
      </w:r>
      <w:r w:rsidR="00EA1E00" w:rsidRPr="00E33049">
        <w:t>ing</w:t>
      </w:r>
      <w:r w:rsidRPr="00E33049">
        <w:t xml:space="preserve"> by parties </w:t>
      </w:r>
      <w:r w:rsidR="00EA1E00" w:rsidRPr="00E33049">
        <w:t>in accordance with</w:t>
      </w:r>
      <w:r w:rsidRPr="00E33049">
        <w:t xml:space="preserve"> </w:t>
      </w:r>
      <w:r w:rsidR="007A6DEC" w:rsidRPr="00E33049">
        <w:t>a</w:t>
      </w:r>
      <w:r w:rsidRPr="00E33049">
        <w:t xml:space="preserve">rticles 3, 5, 7, 8 and 9. </w:t>
      </w:r>
    </w:p>
    <w:p w14:paraId="6DB42A8F" w14:textId="78EFAAE8" w:rsidR="00B1107F" w:rsidRPr="00E33049" w:rsidRDefault="00B1107F" w:rsidP="000B0C89">
      <w:pPr>
        <w:tabs>
          <w:tab w:val="clear" w:pos="1247"/>
          <w:tab w:val="clear" w:pos="1814"/>
          <w:tab w:val="clear" w:pos="2381"/>
          <w:tab w:val="clear" w:pos="2948"/>
          <w:tab w:val="clear" w:pos="3515"/>
        </w:tabs>
        <w:spacing w:after="120"/>
        <w:ind w:left="1871" w:firstLine="624"/>
      </w:pPr>
      <w:r w:rsidRPr="00E33049">
        <w:t xml:space="preserve">The </w:t>
      </w:r>
      <w:r w:rsidR="007A6DEC" w:rsidRPr="00E33049">
        <w:t>e</w:t>
      </w:r>
      <w:r w:rsidRPr="00E33049">
        <w:t xml:space="preserve">missions and </w:t>
      </w:r>
      <w:r w:rsidR="007A6DEC" w:rsidRPr="00E33049">
        <w:t>r</w:t>
      </w:r>
      <w:r w:rsidRPr="00E33049">
        <w:t xml:space="preserve">eleases </w:t>
      </w:r>
      <w:r w:rsidR="007A6DEC" w:rsidRPr="00E33049">
        <w:t>r</w:t>
      </w:r>
      <w:r w:rsidRPr="00E33049">
        <w:t xml:space="preserve">eport </w:t>
      </w:r>
      <w:r w:rsidR="00BF03C2" w:rsidRPr="00E33049">
        <w:t>will</w:t>
      </w:r>
      <w:r w:rsidRPr="00E33049">
        <w:t xml:space="preserve"> gather, analyse and synthesi</w:t>
      </w:r>
      <w:r w:rsidR="007A6DEC" w:rsidRPr="00E33049">
        <w:t>z</w:t>
      </w:r>
      <w:r w:rsidRPr="00E33049">
        <w:t xml:space="preserve">e relevant information on emission and release inventories from relevant sources, as specified in </w:t>
      </w:r>
      <w:r w:rsidR="007A6DEC" w:rsidRPr="00E33049">
        <w:t>a</w:t>
      </w:r>
      <w:r w:rsidRPr="00E33049">
        <w:t>rticle</w:t>
      </w:r>
      <w:r w:rsidR="00660975" w:rsidRPr="00E33049">
        <w:t>s</w:t>
      </w:r>
      <w:r w:rsidRPr="00E33049">
        <w:t xml:space="preserve"> 8 and 9, as well as information on the measures taken by </w:t>
      </w:r>
      <w:r w:rsidR="00B000A7" w:rsidRPr="00E33049">
        <w:t>p</w:t>
      </w:r>
      <w:r w:rsidRPr="00E33049">
        <w:t>arties to control mercury emissions and releases, and relevant changes in emissions and releases. The expertise required for this task includes expertise in emission/release inventories, developing or implementing measures to control mercury emissions and releases from relevant sources, including best available techniques and best environmental practices, modelling and inventories on temporal and spatial trends and variability.</w:t>
      </w:r>
    </w:p>
    <w:p w14:paraId="33D19F25" w14:textId="4862AE12" w:rsidR="00B1107F" w:rsidRPr="00E33049" w:rsidRDefault="00B1107F" w:rsidP="000B0C89">
      <w:pPr>
        <w:tabs>
          <w:tab w:val="clear" w:pos="1247"/>
          <w:tab w:val="clear" w:pos="1814"/>
          <w:tab w:val="clear" w:pos="2381"/>
          <w:tab w:val="clear" w:pos="2948"/>
          <w:tab w:val="clear" w:pos="3515"/>
        </w:tabs>
        <w:spacing w:after="120"/>
        <w:ind w:left="1871" w:firstLine="624"/>
      </w:pPr>
      <w:r w:rsidRPr="00E33049">
        <w:t xml:space="preserve">The </w:t>
      </w:r>
      <w:r w:rsidR="002739D3" w:rsidRPr="00E33049">
        <w:t>t</w:t>
      </w:r>
      <w:r w:rsidRPr="00E33049">
        <w:t xml:space="preserve">rade, </w:t>
      </w:r>
      <w:r w:rsidR="002739D3" w:rsidRPr="00E33049">
        <w:t>s</w:t>
      </w:r>
      <w:r w:rsidRPr="00E33049">
        <w:t xml:space="preserve">upply and </w:t>
      </w:r>
      <w:r w:rsidR="002739D3" w:rsidRPr="00E33049">
        <w:t>d</w:t>
      </w:r>
      <w:r w:rsidRPr="00E33049">
        <w:t xml:space="preserve">emand </w:t>
      </w:r>
      <w:r w:rsidR="002739D3" w:rsidRPr="00E33049">
        <w:t>r</w:t>
      </w:r>
      <w:r w:rsidRPr="00E33049">
        <w:t>eport is to gather, analyse and synthesi</w:t>
      </w:r>
      <w:r w:rsidR="007129E3" w:rsidRPr="00E33049">
        <w:t>z</w:t>
      </w:r>
      <w:r w:rsidRPr="00E33049">
        <w:t xml:space="preserve">e relevant information on mercury flows and social stocks, trends in </w:t>
      </w:r>
      <w:r w:rsidR="00660975" w:rsidRPr="00E33049">
        <w:t xml:space="preserve">mercury </w:t>
      </w:r>
      <w:r w:rsidRPr="00E33049">
        <w:t xml:space="preserve">trade, supply and demand, and regulatory frameworks and implementation. </w:t>
      </w:r>
      <w:r w:rsidR="00555EC3" w:rsidRPr="00E33049">
        <w:t>T</w:t>
      </w:r>
      <w:r w:rsidRPr="00E33049">
        <w:t xml:space="preserve">his task </w:t>
      </w:r>
      <w:r w:rsidR="00555EC3" w:rsidRPr="00E33049">
        <w:t xml:space="preserve">requires </w:t>
      </w:r>
      <w:r w:rsidRPr="00E33049">
        <w:t xml:space="preserve">expertise in trade analytics, sectoral analysis, </w:t>
      </w:r>
      <w:r w:rsidR="00555EC3" w:rsidRPr="00E33049">
        <w:t>artisanal and small-scale gold mining</w:t>
      </w:r>
      <w:r w:rsidRPr="00E33049">
        <w:t xml:space="preserve"> </w:t>
      </w:r>
      <w:r w:rsidR="00555EC3" w:rsidRPr="00E33049">
        <w:t>and the</w:t>
      </w:r>
      <w:r w:rsidRPr="00E33049">
        <w:t xml:space="preserve"> use</w:t>
      </w:r>
      <w:r w:rsidR="00555EC3" w:rsidRPr="00E33049">
        <w:t xml:space="preserve"> of</w:t>
      </w:r>
      <w:r w:rsidRPr="00E33049">
        <w:t xml:space="preserve"> mercury in products and processes</w:t>
      </w:r>
      <w:r w:rsidR="00555EC3" w:rsidRPr="00E33049">
        <w:t>, along with changes in and alternatives to that use</w:t>
      </w:r>
      <w:r w:rsidRPr="00E33049">
        <w:t>.</w:t>
      </w:r>
    </w:p>
    <w:p w14:paraId="0BD31733" w14:textId="10B3865D" w:rsidR="00B1107F" w:rsidRPr="00E33049" w:rsidRDefault="00B1107F" w:rsidP="000B0C89">
      <w:pPr>
        <w:tabs>
          <w:tab w:val="clear" w:pos="1247"/>
          <w:tab w:val="clear" w:pos="1814"/>
          <w:tab w:val="clear" w:pos="2381"/>
          <w:tab w:val="clear" w:pos="2948"/>
          <w:tab w:val="clear" w:pos="3515"/>
        </w:tabs>
        <w:spacing w:after="120"/>
        <w:ind w:left="1871" w:firstLine="624"/>
      </w:pPr>
      <w:r w:rsidRPr="00E33049">
        <w:t xml:space="preserve">The </w:t>
      </w:r>
      <w:r w:rsidR="002739D3" w:rsidRPr="000B0C89">
        <w:rPr>
          <w:highlight w:val="lightGray"/>
        </w:rPr>
        <w:t>w</w:t>
      </w:r>
      <w:r w:rsidRPr="000B0C89">
        <w:rPr>
          <w:highlight w:val="lightGray"/>
        </w:rPr>
        <w:t xml:space="preserve">aste </w:t>
      </w:r>
      <w:r w:rsidR="002739D3" w:rsidRPr="000B0C89">
        <w:rPr>
          <w:highlight w:val="lightGray"/>
        </w:rPr>
        <w:t>r</w:t>
      </w:r>
      <w:r w:rsidRPr="000B0C89">
        <w:rPr>
          <w:highlight w:val="lightGray"/>
        </w:rPr>
        <w:t>eport</w:t>
      </w:r>
      <w:r w:rsidRPr="00E33049">
        <w:t xml:space="preserve"> is to gather, analyse and synthesi</w:t>
      </w:r>
      <w:r w:rsidR="00B000A7" w:rsidRPr="00E33049">
        <w:t>z</w:t>
      </w:r>
      <w:r w:rsidRPr="00E33049">
        <w:t xml:space="preserve">e relevant information on mercury waste flows and stocks, mercury waste management practices and recycling, and regulatory frameworks and implementation, as well as gaps. The expertise required for this task includes expertise in inter-industry relation analysis, waste management policy and practices, and waste disposal engineering. </w:t>
      </w:r>
    </w:p>
    <w:p w14:paraId="3C2DC151" w14:textId="15B8BEC4" w:rsidR="00B1107F" w:rsidRPr="00E33049" w:rsidRDefault="00B1107F" w:rsidP="000B0C89">
      <w:pPr>
        <w:tabs>
          <w:tab w:val="clear" w:pos="1247"/>
          <w:tab w:val="clear" w:pos="1814"/>
          <w:tab w:val="clear" w:pos="2381"/>
          <w:tab w:val="clear" w:pos="2948"/>
          <w:tab w:val="clear" w:pos="3515"/>
        </w:tabs>
        <w:spacing w:after="120"/>
        <w:ind w:left="1871" w:firstLine="624"/>
      </w:pPr>
      <w:r w:rsidRPr="00E33049">
        <w:t xml:space="preserve">The </w:t>
      </w:r>
      <w:r w:rsidR="002739D3" w:rsidRPr="00E33049">
        <w:t>m</w:t>
      </w:r>
      <w:r w:rsidRPr="00E33049">
        <w:t xml:space="preserve">onitoring </w:t>
      </w:r>
      <w:r w:rsidR="002739D3" w:rsidRPr="00E33049">
        <w:t>r</w:t>
      </w:r>
      <w:r w:rsidRPr="00E33049">
        <w:t xml:space="preserve">eport is described in </w:t>
      </w:r>
      <w:r w:rsidR="00B000A7" w:rsidRPr="00E33049">
        <w:t>a</w:t>
      </w:r>
      <w:r w:rsidRPr="00E33049">
        <w:t>ppendix III</w:t>
      </w:r>
      <w:r w:rsidR="002739D3" w:rsidRPr="00E33049">
        <w:t xml:space="preserve"> on the</w:t>
      </w:r>
      <w:r w:rsidRPr="00E33049">
        <w:t xml:space="preserve"> </w:t>
      </w:r>
      <w:r w:rsidR="002739D3" w:rsidRPr="00E33049">
        <w:t>p</w:t>
      </w:r>
      <w:r w:rsidRPr="00E33049">
        <w:t xml:space="preserve">roposed global monitoring arrangements and draft terms of reference for the </w:t>
      </w:r>
      <w:r w:rsidR="002739D3" w:rsidRPr="00E33049">
        <w:t>m</w:t>
      </w:r>
      <w:r w:rsidRPr="00E33049">
        <w:t xml:space="preserve">onitoring </w:t>
      </w:r>
      <w:r w:rsidR="002739D3" w:rsidRPr="00E33049">
        <w:t>g</w:t>
      </w:r>
      <w:r w:rsidRPr="00E33049">
        <w:t>roup.</w:t>
      </w:r>
    </w:p>
    <w:p w14:paraId="2C25D6C7" w14:textId="68E531A0" w:rsidR="00B1107F" w:rsidRPr="00E33049" w:rsidRDefault="00D43D42" w:rsidP="00E52267">
      <w:pPr>
        <w:pStyle w:val="CH1"/>
        <w:tabs>
          <w:tab w:val="right" w:pos="851"/>
          <w:tab w:val="left" w:pos="1247"/>
          <w:tab w:val="left" w:pos="1814"/>
          <w:tab w:val="left" w:pos="2381"/>
          <w:tab w:val="left" w:pos="2948"/>
          <w:tab w:val="left" w:pos="3515"/>
          <w:tab w:val="left" w:pos="4082"/>
        </w:tabs>
        <w:ind w:left="1247" w:hanging="1247"/>
      </w:pPr>
      <w:r>
        <w:rPr>
          <w:highlight w:val="lightGray"/>
        </w:rPr>
        <w:tab/>
      </w:r>
      <w:r>
        <w:rPr>
          <w:highlight w:val="lightGray"/>
        </w:rPr>
        <w:tab/>
      </w:r>
      <w:r w:rsidR="00B1107F" w:rsidRPr="000B0C89">
        <w:rPr>
          <w:highlight w:val="lightGray"/>
        </w:rPr>
        <w:t xml:space="preserve">Attribution </w:t>
      </w:r>
      <w:r w:rsidR="00B000A7" w:rsidRPr="000B0C89">
        <w:rPr>
          <w:highlight w:val="lightGray"/>
        </w:rPr>
        <w:t>r</w:t>
      </w:r>
      <w:r w:rsidR="00B1107F" w:rsidRPr="000B0C89">
        <w:rPr>
          <w:highlight w:val="lightGray"/>
        </w:rPr>
        <w:t>eport</w:t>
      </w:r>
      <w:r w:rsidR="00B1107F" w:rsidRPr="00E33049">
        <w:t xml:space="preserve"> </w:t>
      </w:r>
    </w:p>
    <w:p w14:paraId="42AD5959" w14:textId="27EB1C1C" w:rsidR="00B1107F" w:rsidRPr="0080620A" w:rsidRDefault="00B1107F" w:rsidP="00E33049">
      <w:pPr>
        <w:pStyle w:val="Normalnumber"/>
        <w:numPr>
          <w:ilvl w:val="0"/>
          <w:numId w:val="36"/>
        </w:numPr>
        <w:ind w:left="1247"/>
      </w:pPr>
      <w:r w:rsidRPr="00E33049">
        <w:t>Based on the synthesis reports and other information</w:t>
      </w:r>
      <w:r w:rsidR="002739D3" w:rsidRPr="00E33049">
        <w:t>,</w:t>
      </w:r>
      <w:r w:rsidRPr="00E33049">
        <w:t xml:space="preserve"> linkages can be made between policy actions, emission reductions and mercury levels, using available data sources, modelling techniques and analytical tools</w:t>
      </w:r>
      <w:r w:rsidRPr="0080620A">
        <w:t xml:space="preserve"> drawn from natural and social sciences. </w:t>
      </w:r>
      <w:r w:rsidR="00FD1A01" w:rsidRPr="0080620A">
        <w:t>In time, t</w:t>
      </w:r>
      <w:r w:rsidRPr="0080620A">
        <w:t xml:space="preserve">his can be done in an </w:t>
      </w:r>
      <w:r w:rsidR="00341A29" w:rsidRPr="0080620A">
        <w:t>a</w:t>
      </w:r>
      <w:r w:rsidRPr="0080620A">
        <w:t xml:space="preserve">ttribution </w:t>
      </w:r>
      <w:r w:rsidR="00341A29" w:rsidRPr="0080620A">
        <w:t>r</w:t>
      </w:r>
      <w:r w:rsidRPr="0080620A">
        <w:t xml:space="preserve">eport produced by a </w:t>
      </w:r>
      <w:r w:rsidR="00341A29" w:rsidRPr="0080620A">
        <w:t>m</w:t>
      </w:r>
      <w:r w:rsidRPr="0080620A">
        <w:t xml:space="preserve">odelling </w:t>
      </w:r>
      <w:r w:rsidR="00341A29" w:rsidRPr="0080620A">
        <w:t>s</w:t>
      </w:r>
      <w:r w:rsidRPr="0080620A">
        <w:t>ub</w:t>
      </w:r>
      <w:r w:rsidR="00341A29" w:rsidRPr="0080620A">
        <w:t>g</w:t>
      </w:r>
      <w:r w:rsidRPr="0080620A">
        <w:t xml:space="preserve">roup. The </w:t>
      </w:r>
      <w:r w:rsidR="00341A29" w:rsidRPr="0080620A">
        <w:t>m</w:t>
      </w:r>
      <w:r w:rsidRPr="0080620A">
        <w:t xml:space="preserve">odelling </w:t>
      </w:r>
      <w:r w:rsidR="00341A29" w:rsidRPr="0080620A">
        <w:t>s</w:t>
      </w:r>
      <w:r w:rsidRPr="0080620A">
        <w:t>ub</w:t>
      </w:r>
      <w:r w:rsidR="00341A29" w:rsidRPr="0080620A">
        <w:t>g</w:t>
      </w:r>
      <w:r w:rsidRPr="0080620A">
        <w:t xml:space="preserve">roup is to be composed of five experts with experience </w:t>
      </w:r>
      <w:r w:rsidR="00FD1A01" w:rsidRPr="0080620A">
        <w:t>in</w:t>
      </w:r>
      <w:r w:rsidRPr="0080620A">
        <w:t xml:space="preserve"> multi-compartment modelling techniques, mercury cycling in the environment and mercury trends and uses. While much of the work of such a </w:t>
      </w:r>
      <w:r w:rsidR="00341A29" w:rsidRPr="0080620A">
        <w:t>s</w:t>
      </w:r>
      <w:r w:rsidRPr="0080620A">
        <w:t>ub</w:t>
      </w:r>
      <w:r w:rsidR="00341A29" w:rsidRPr="0080620A">
        <w:t>g</w:t>
      </w:r>
      <w:r w:rsidRPr="0080620A">
        <w:t xml:space="preserve">roup </w:t>
      </w:r>
      <w:r w:rsidR="00A53BC5" w:rsidRPr="0080620A">
        <w:t>could</w:t>
      </w:r>
      <w:r w:rsidRPr="0080620A">
        <w:t xml:space="preserve"> be done remotely, one meeting </w:t>
      </w:r>
      <w:r w:rsidR="00A53BC5" w:rsidRPr="0080620A">
        <w:t>is</w:t>
      </w:r>
      <w:r w:rsidRPr="0080620A">
        <w:t xml:space="preserve"> envisaged to draft the </w:t>
      </w:r>
      <w:r w:rsidR="00341A29" w:rsidRPr="0080620A">
        <w:t>a</w:t>
      </w:r>
      <w:r w:rsidRPr="0080620A">
        <w:t xml:space="preserve">ttribution </w:t>
      </w:r>
      <w:r w:rsidR="00341A29" w:rsidRPr="0080620A">
        <w:t>r</w:t>
      </w:r>
      <w:r w:rsidRPr="0080620A">
        <w:t xml:space="preserve">eport. </w:t>
      </w:r>
    </w:p>
    <w:p w14:paraId="0F4988FF" w14:textId="77777777" w:rsidR="00B1107F" w:rsidRPr="0080620A" w:rsidRDefault="00B1107F" w:rsidP="00E33049">
      <w:pPr>
        <w:pStyle w:val="Normalnumber"/>
        <w:numPr>
          <w:ilvl w:val="0"/>
          <w:numId w:val="36"/>
        </w:numPr>
        <w:ind w:left="1247"/>
      </w:pPr>
      <w:r w:rsidRPr="0080620A">
        <w:t xml:space="preserve">It is to be noted that the attribution function will evolve as understanding of mercury and modelling improves over time. </w:t>
      </w:r>
    </w:p>
    <w:p w14:paraId="13195410" w14:textId="35795B21" w:rsidR="00B1107F" w:rsidRPr="0080620A" w:rsidRDefault="002739D3" w:rsidP="00E33049">
      <w:pPr>
        <w:pStyle w:val="Normalnumber"/>
        <w:numPr>
          <w:ilvl w:val="0"/>
          <w:numId w:val="36"/>
        </w:numPr>
        <w:ind w:left="1247"/>
      </w:pPr>
      <w:r w:rsidRPr="0080620A">
        <w:t>O</w:t>
      </w:r>
      <w:r w:rsidR="00B1107F" w:rsidRPr="0080620A">
        <w:t xml:space="preserve">nce available, </w:t>
      </w:r>
      <w:r w:rsidRPr="0080620A">
        <w:t xml:space="preserve">the attribution report </w:t>
      </w:r>
      <w:r w:rsidR="00B1107F" w:rsidRPr="0080620A">
        <w:t xml:space="preserve">could be expected to contain: </w:t>
      </w:r>
    </w:p>
    <w:p w14:paraId="4DBAB0D8" w14:textId="0DF7CBCB" w:rsidR="00B1107F" w:rsidRPr="0080620A" w:rsidRDefault="00B1107F" w:rsidP="00A00B9F">
      <w:pPr>
        <w:pStyle w:val="Normalnumber"/>
        <w:numPr>
          <w:ilvl w:val="0"/>
          <w:numId w:val="33"/>
        </w:numPr>
        <w:ind w:left="1247" w:firstLine="624"/>
      </w:pPr>
      <w:r w:rsidRPr="0080620A">
        <w:lastRenderedPageBreak/>
        <w:t xml:space="preserve">An examination of time lags between actions and </w:t>
      </w:r>
      <w:r w:rsidR="009552C2" w:rsidRPr="0080620A">
        <w:t xml:space="preserve">the </w:t>
      </w:r>
      <w:r w:rsidRPr="0080620A">
        <w:t xml:space="preserve">outcomes observed </w:t>
      </w:r>
      <w:r w:rsidR="009552C2" w:rsidRPr="0080620A">
        <w:t xml:space="preserve">during </w:t>
      </w:r>
      <w:r w:rsidRPr="0080620A">
        <w:t>the subsequent evaluations</w:t>
      </w:r>
      <w:r w:rsidR="00E561F3" w:rsidRPr="0080620A">
        <w:t>;</w:t>
      </w:r>
    </w:p>
    <w:p w14:paraId="0E1F2FCE" w14:textId="0EF130E8" w:rsidR="00B1107F" w:rsidRPr="0080620A" w:rsidRDefault="00E561F3" w:rsidP="00A00B9F">
      <w:pPr>
        <w:pStyle w:val="Normalnumber"/>
        <w:numPr>
          <w:ilvl w:val="0"/>
          <w:numId w:val="33"/>
        </w:numPr>
        <w:ind w:left="1247" w:firstLine="624"/>
      </w:pPr>
      <w:r w:rsidRPr="0080620A">
        <w:t xml:space="preserve">An </w:t>
      </w:r>
      <w:r w:rsidR="00B1107F" w:rsidRPr="0080620A">
        <w:t xml:space="preserve">examination of the baseline scenario, which draws on a hypothetical </w:t>
      </w:r>
      <w:r w:rsidR="00341A29" w:rsidRPr="0080620A">
        <w:t>“</w:t>
      </w:r>
      <w:r w:rsidR="00B1107F" w:rsidRPr="0080620A">
        <w:t>business as usual</w:t>
      </w:r>
      <w:r w:rsidR="00341A29" w:rsidRPr="0080620A">
        <w:t>”</w:t>
      </w:r>
      <w:r w:rsidR="00B1107F" w:rsidRPr="0080620A">
        <w:t xml:space="preserve"> </w:t>
      </w:r>
      <w:r w:rsidR="00FD1A01" w:rsidRPr="0080620A">
        <w:t>scenario representing the period prior to the implementation of</w:t>
      </w:r>
      <w:r w:rsidR="00B1107F" w:rsidRPr="0080620A">
        <w:t xml:space="preserve"> the Convention</w:t>
      </w:r>
      <w:r w:rsidRPr="0080620A">
        <w:t>;</w:t>
      </w:r>
    </w:p>
    <w:p w14:paraId="5D79A370" w14:textId="0A1C96AA" w:rsidR="00B1107F" w:rsidRPr="0080620A" w:rsidRDefault="00B1107F" w:rsidP="00A00B9F">
      <w:pPr>
        <w:pStyle w:val="Normalnumber"/>
        <w:numPr>
          <w:ilvl w:val="0"/>
          <w:numId w:val="33"/>
        </w:numPr>
        <w:ind w:left="1247" w:firstLine="624"/>
      </w:pPr>
      <w:r w:rsidRPr="0080620A">
        <w:t xml:space="preserve"> </w:t>
      </w:r>
      <w:r w:rsidR="00E561F3" w:rsidRPr="0080620A">
        <w:t xml:space="preserve">An </w:t>
      </w:r>
      <w:r w:rsidRPr="0080620A">
        <w:t xml:space="preserve">assessment of the four policy questions, </w:t>
      </w:r>
      <w:r w:rsidR="00FD1A01" w:rsidRPr="0080620A">
        <w:t xml:space="preserve">which </w:t>
      </w:r>
      <w:r w:rsidRPr="0080620A">
        <w:t>could go as far as forecasting based on appropriate extrapolation</w:t>
      </w:r>
      <w:r w:rsidR="00E561F3" w:rsidRPr="0080620A">
        <w:t>;</w:t>
      </w:r>
    </w:p>
    <w:p w14:paraId="1E7FE2F8" w14:textId="2B203046" w:rsidR="00B1107F" w:rsidRPr="0080620A" w:rsidRDefault="00E561F3" w:rsidP="00A00B9F">
      <w:pPr>
        <w:pStyle w:val="Normalnumber"/>
        <w:numPr>
          <w:ilvl w:val="0"/>
          <w:numId w:val="33"/>
        </w:numPr>
        <w:ind w:left="1247" w:firstLine="624"/>
      </w:pPr>
      <w:r w:rsidRPr="0080620A">
        <w:t xml:space="preserve">A </w:t>
      </w:r>
      <w:r w:rsidR="00B1107F" w:rsidRPr="0080620A">
        <w:t xml:space="preserve">comprehensive analysis of the interaction between different indicators </w:t>
      </w:r>
      <w:r w:rsidR="00FD1A01" w:rsidRPr="0080620A">
        <w:t xml:space="preserve">to </w:t>
      </w:r>
      <w:r w:rsidR="00B1107F" w:rsidRPr="0080620A">
        <w:t>identify important synergies and trade-offs</w:t>
      </w:r>
      <w:r w:rsidR="00995AE9" w:rsidRPr="0080620A">
        <w:t>.</w:t>
      </w:r>
    </w:p>
    <w:p w14:paraId="2B33116C" w14:textId="6B48E07A" w:rsidR="00B1107F" w:rsidRPr="0080620A" w:rsidRDefault="00B1107F" w:rsidP="00E33049">
      <w:pPr>
        <w:pStyle w:val="Normalnumber"/>
        <w:numPr>
          <w:ilvl w:val="0"/>
          <w:numId w:val="36"/>
        </w:numPr>
        <w:ind w:left="1247"/>
      </w:pPr>
      <w:r w:rsidRPr="0080620A">
        <w:t xml:space="preserve">The chapters of an </w:t>
      </w:r>
      <w:r w:rsidR="00341A29" w:rsidRPr="0080620A">
        <w:t>a</w:t>
      </w:r>
      <w:r w:rsidRPr="0080620A">
        <w:t xml:space="preserve">ttribution </w:t>
      </w:r>
      <w:r w:rsidR="00341A29" w:rsidRPr="0080620A">
        <w:t>r</w:t>
      </w:r>
      <w:r w:rsidRPr="0080620A">
        <w:t xml:space="preserve">eport could </w:t>
      </w:r>
      <w:r w:rsidR="00A53BC5" w:rsidRPr="0080620A">
        <w:t>address</w:t>
      </w:r>
      <w:r w:rsidRPr="0080620A">
        <w:t>:</w:t>
      </w:r>
    </w:p>
    <w:p w14:paraId="61302117" w14:textId="65D8A034" w:rsidR="00B1107F" w:rsidRPr="0080620A" w:rsidRDefault="00B1107F" w:rsidP="00A00B9F">
      <w:pPr>
        <w:pStyle w:val="Normalnumber"/>
        <w:numPr>
          <w:ilvl w:val="0"/>
          <w:numId w:val="34"/>
        </w:numPr>
        <w:ind w:left="1247" w:firstLine="624"/>
      </w:pPr>
      <w:r w:rsidRPr="0080620A">
        <w:t>Synergies and trade-offs between indicators</w:t>
      </w:r>
      <w:r w:rsidR="00A53BC5" w:rsidRPr="0080620A">
        <w:t>,</w:t>
      </w:r>
      <w:r w:rsidRPr="0080620A">
        <w:t xml:space="preserve"> </w:t>
      </w:r>
      <w:r w:rsidR="00A53BC5" w:rsidRPr="0080620A">
        <w:t>with a view to</w:t>
      </w:r>
      <w:r w:rsidRPr="0080620A">
        <w:t xml:space="preserve"> improving implementation efficiency</w:t>
      </w:r>
      <w:r w:rsidR="00FD1A01" w:rsidRPr="0080620A">
        <w:t>;</w:t>
      </w:r>
    </w:p>
    <w:p w14:paraId="0E726CCA" w14:textId="19631837" w:rsidR="00B1107F" w:rsidRPr="0080620A" w:rsidRDefault="00B1107F" w:rsidP="00A00B9F">
      <w:pPr>
        <w:pStyle w:val="Normalnumber"/>
        <w:numPr>
          <w:ilvl w:val="0"/>
          <w:numId w:val="34"/>
        </w:numPr>
        <w:ind w:left="1247" w:firstLine="624"/>
      </w:pPr>
      <w:r w:rsidRPr="0080620A">
        <w:t>Time lags between actions and outcomes</w:t>
      </w:r>
      <w:r w:rsidR="00FD1A01" w:rsidRPr="0080620A">
        <w:t>;</w:t>
      </w:r>
    </w:p>
    <w:p w14:paraId="56C43768" w14:textId="09A4AC4F" w:rsidR="00B1107F" w:rsidRPr="0080620A" w:rsidRDefault="00B1107F" w:rsidP="00A00B9F">
      <w:pPr>
        <w:pStyle w:val="Normalnumber"/>
        <w:numPr>
          <w:ilvl w:val="0"/>
          <w:numId w:val="34"/>
        </w:numPr>
        <w:ind w:left="1247" w:firstLine="624"/>
      </w:pPr>
      <w:r w:rsidRPr="0080620A">
        <w:t>Conclusions</w:t>
      </w:r>
      <w:r w:rsidR="00FD1A01" w:rsidRPr="0080620A">
        <w:t>;</w:t>
      </w:r>
    </w:p>
    <w:p w14:paraId="408E6932" w14:textId="3A859B37" w:rsidR="00B1107F" w:rsidRPr="0080620A" w:rsidRDefault="00A53BC5" w:rsidP="00A00B9F">
      <w:pPr>
        <w:pStyle w:val="Normalnumber"/>
        <w:numPr>
          <w:ilvl w:val="0"/>
          <w:numId w:val="34"/>
        </w:numPr>
        <w:ind w:left="1247" w:firstLine="624"/>
      </w:pPr>
      <w:r w:rsidRPr="0080620A">
        <w:t>An a</w:t>
      </w:r>
      <w:r w:rsidR="00B1107F" w:rsidRPr="0080620A">
        <w:t xml:space="preserve">nnex </w:t>
      </w:r>
      <w:r w:rsidRPr="0080620A">
        <w:t>containing a r</w:t>
      </w:r>
      <w:r w:rsidR="00B1107F" w:rsidRPr="0080620A">
        <w:t>esult</w:t>
      </w:r>
      <w:r w:rsidR="00341A29" w:rsidRPr="0080620A">
        <w:t>s</w:t>
      </w:r>
      <w:r w:rsidR="00B1107F" w:rsidRPr="0080620A">
        <w:t xml:space="preserve"> “</w:t>
      </w:r>
      <w:r w:rsidR="00341A29" w:rsidRPr="0080620A">
        <w:t>d</w:t>
      </w:r>
      <w:r w:rsidR="00B1107F" w:rsidRPr="0080620A">
        <w:t xml:space="preserve">ashboard” </w:t>
      </w:r>
      <w:r w:rsidRPr="0080620A">
        <w:t>that provides an overview of the</w:t>
      </w:r>
      <w:r w:rsidR="00B1107F" w:rsidRPr="0080620A">
        <w:t xml:space="preserve"> </w:t>
      </w:r>
      <w:r w:rsidR="00341A29" w:rsidRPr="0080620A">
        <w:t>p</w:t>
      </w:r>
      <w:r w:rsidR="00B1107F" w:rsidRPr="0080620A">
        <w:t xml:space="preserve">rogress </w:t>
      </w:r>
      <w:r w:rsidRPr="0080620A">
        <w:t>made with respect to</w:t>
      </w:r>
      <w:r w:rsidR="00B1107F" w:rsidRPr="0080620A">
        <w:t xml:space="preserve"> the indicators in the </w:t>
      </w:r>
      <w:r w:rsidR="009552C2" w:rsidRPr="0080620A">
        <w:t xml:space="preserve">effectiveness </w:t>
      </w:r>
      <w:r w:rsidR="00B1107F" w:rsidRPr="0080620A">
        <w:t>evaluation framework</w:t>
      </w:r>
      <w:r w:rsidR="001B2062" w:rsidRPr="0080620A">
        <w:t>.</w:t>
      </w:r>
    </w:p>
    <w:p w14:paraId="4AB6F64C" w14:textId="42D275B4" w:rsidR="001B2062" w:rsidRDefault="001B2062" w:rsidP="00803778">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03778" w14:paraId="0D583264" w14:textId="77777777" w:rsidTr="000B0C89">
        <w:tc>
          <w:tcPr>
            <w:tcW w:w="1897" w:type="dxa"/>
          </w:tcPr>
          <w:p w14:paraId="6F86D59F" w14:textId="77777777" w:rsidR="00803778" w:rsidRDefault="00803778" w:rsidP="00803778">
            <w:pPr>
              <w:pStyle w:val="Normalpool"/>
              <w:spacing w:before="520"/>
            </w:pPr>
          </w:p>
        </w:tc>
        <w:tc>
          <w:tcPr>
            <w:tcW w:w="1897" w:type="dxa"/>
          </w:tcPr>
          <w:p w14:paraId="22BE3A10" w14:textId="77777777" w:rsidR="00803778" w:rsidRDefault="00803778" w:rsidP="00803778">
            <w:pPr>
              <w:pStyle w:val="Normalpool"/>
              <w:spacing w:before="520"/>
            </w:pPr>
          </w:p>
        </w:tc>
        <w:tc>
          <w:tcPr>
            <w:tcW w:w="1897" w:type="dxa"/>
            <w:tcBorders>
              <w:bottom w:val="single" w:sz="4" w:space="0" w:color="auto"/>
            </w:tcBorders>
          </w:tcPr>
          <w:p w14:paraId="76C630AE" w14:textId="77777777" w:rsidR="00803778" w:rsidRDefault="00803778" w:rsidP="00803778">
            <w:pPr>
              <w:pStyle w:val="Normalpool"/>
              <w:spacing w:before="520"/>
            </w:pPr>
          </w:p>
        </w:tc>
        <w:tc>
          <w:tcPr>
            <w:tcW w:w="1897" w:type="dxa"/>
          </w:tcPr>
          <w:p w14:paraId="2C467E3F" w14:textId="77777777" w:rsidR="00803778" w:rsidRDefault="00803778" w:rsidP="00803778">
            <w:pPr>
              <w:pStyle w:val="Normalpool"/>
              <w:spacing w:before="520"/>
            </w:pPr>
          </w:p>
        </w:tc>
        <w:tc>
          <w:tcPr>
            <w:tcW w:w="1898" w:type="dxa"/>
          </w:tcPr>
          <w:p w14:paraId="2765F441" w14:textId="77777777" w:rsidR="00803778" w:rsidRDefault="00803778" w:rsidP="00803778">
            <w:pPr>
              <w:pStyle w:val="Normalpool"/>
              <w:spacing w:before="520"/>
            </w:pPr>
          </w:p>
        </w:tc>
      </w:tr>
    </w:tbl>
    <w:p w14:paraId="1EFA501C" w14:textId="77777777" w:rsidR="00803778" w:rsidRPr="009552C2" w:rsidRDefault="00803778" w:rsidP="00803778">
      <w:pPr>
        <w:pStyle w:val="Normalpool"/>
      </w:pPr>
    </w:p>
    <w:sectPr w:rsidR="00803778" w:rsidRPr="009552C2" w:rsidSect="00FB002C">
      <w:headerReference w:type="even" r:id="rId21"/>
      <w:headerReference w:type="default" r:id="rId22"/>
      <w:headerReference w:type="first" r:id="rId23"/>
      <w:footerReference w:type="first" r:id="rId24"/>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F4D9A" w14:textId="77777777" w:rsidR="00D5336A" w:rsidRDefault="00D5336A">
      <w:r>
        <w:separator/>
      </w:r>
    </w:p>
  </w:endnote>
  <w:endnote w:type="continuationSeparator" w:id="0">
    <w:p w14:paraId="161E5F99" w14:textId="77777777" w:rsidR="00D5336A" w:rsidRDefault="00D53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Robot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751102"/>
      <w:docPartObj>
        <w:docPartGallery w:val="Page Numbers (Bottom of Page)"/>
        <w:docPartUnique/>
      </w:docPartObj>
    </w:sdtPr>
    <w:sdtEndPr>
      <w:rPr>
        <w:noProof/>
      </w:rPr>
    </w:sdtEndPr>
    <w:sdtContent>
      <w:p w14:paraId="20807403" w14:textId="15F22B99" w:rsidR="00D5336A" w:rsidRDefault="00D5336A" w:rsidP="000B0C89">
        <w:pPr>
          <w:pStyle w:val="Footer-pool"/>
        </w:pPr>
        <w:r>
          <w:fldChar w:fldCharType="begin"/>
        </w:r>
        <w:r>
          <w:instrText xml:space="preserve"> PAGE   \* MERGEFORMAT </w:instrText>
        </w:r>
        <w:r>
          <w:fldChar w:fldCharType="separate"/>
        </w:r>
        <w:r w:rsidR="00A929BE">
          <w:rPr>
            <w:noProof/>
          </w:rPr>
          <w:t>30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84489"/>
      <w:docPartObj>
        <w:docPartGallery w:val="Page Numbers (Bottom of Page)"/>
        <w:docPartUnique/>
      </w:docPartObj>
    </w:sdtPr>
    <w:sdtContent>
      <w:p w14:paraId="2F4C05F7" w14:textId="59FA5A6E" w:rsidR="00D5336A" w:rsidRPr="00A05FB3" w:rsidRDefault="00D5336A" w:rsidP="000B0C89">
        <w:pPr>
          <w:pStyle w:val="Footer-pool"/>
          <w:jc w:val="right"/>
        </w:pPr>
        <w:r w:rsidRPr="00A05FB3">
          <w:fldChar w:fldCharType="begin"/>
        </w:r>
        <w:r w:rsidRPr="00A05FB3">
          <w:instrText xml:space="preserve"> PAGE   \* MERGEFORMAT </w:instrText>
        </w:r>
        <w:r w:rsidRPr="00A05FB3">
          <w:fldChar w:fldCharType="separate"/>
        </w:r>
        <w:r w:rsidR="00A929BE">
          <w:rPr>
            <w:noProof/>
          </w:rPr>
          <w:t>31</w:t>
        </w:r>
        <w:r w:rsidRPr="00A05FB3">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F19F6" w14:textId="6B976B35" w:rsidR="00D5336A" w:rsidRDefault="00D5336A">
    <w:pPr>
      <w:pStyle w:val="Footer"/>
    </w:pPr>
    <w:r>
      <w:t>K1904291</w:t>
    </w:r>
    <w:r>
      <w:tab/>
    </w:r>
    <w:r w:rsidR="00BF0B17">
      <w:t>20</w:t>
    </w:r>
    <w:r w:rsidR="00BF0B17">
      <w:t>1119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681490"/>
      <w:docPartObj>
        <w:docPartGallery w:val="Page Numbers (Bottom of Page)"/>
        <w:docPartUnique/>
      </w:docPartObj>
    </w:sdtPr>
    <w:sdtEndPr>
      <w:rPr>
        <w:noProof/>
      </w:rPr>
    </w:sdtEndPr>
    <w:sdtContent>
      <w:p w14:paraId="71879101" w14:textId="66169DCA" w:rsidR="00FB4A01" w:rsidRDefault="00FB4A01" w:rsidP="000B0C89">
        <w:pPr>
          <w:pStyle w:val="Footer-pool"/>
        </w:pPr>
        <w:r>
          <w:fldChar w:fldCharType="begin"/>
        </w:r>
        <w:r>
          <w:instrText xml:space="preserve"> PAGE   \* MERGEFORMAT </w:instrText>
        </w:r>
        <w:r>
          <w:fldChar w:fldCharType="separate"/>
        </w:r>
        <w:r w:rsidR="00A929BE">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029012"/>
      <w:docPartObj>
        <w:docPartGallery w:val="Page Numbers (Bottom of Page)"/>
        <w:docPartUnique/>
      </w:docPartObj>
    </w:sdtPr>
    <w:sdtEndPr>
      <w:rPr>
        <w:noProof/>
      </w:rPr>
    </w:sdtEndPr>
    <w:sdtContent>
      <w:p w14:paraId="772D0A17" w14:textId="11F59F07" w:rsidR="00D5336A" w:rsidRPr="0083774B" w:rsidRDefault="00D5336A" w:rsidP="009E249F">
        <w:r w:rsidRPr="0083774B">
          <w:fldChar w:fldCharType="begin"/>
        </w:r>
        <w:r w:rsidRPr="0083774B">
          <w:instrText xml:space="preserve"> PAGE   \* MERGEFORMAT </w:instrText>
        </w:r>
        <w:r w:rsidRPr="0083774B">
          <w:fldChar w:fldCharType="separate"/>
        </w:r>
        <w:r>
          <w:rPr>
            <w:noProof/>
          </w:rPr>
          <w:t>14</w:t>
        </w:r>
        <w:r w:rsidRPr="0083774B">
          <w:rPr>
            <w:noProof/>
          </w:rPr>
          <w:fldChar w:fldCharType="end"/>
        </w:r>
      </w:p>
    </w:sdtContent>
  </w:sdt>
  <w:p w14:paraId="5D54E445" w14:textId="77777777" w:rsidR="00D5336A" w:rsidRDefault="00D533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2E78E" w14:textId="77777777" w:rsidR="00D5336A" w:rsidRPr="00C50DC0" w:rsidRDefault="00D5336A" w:rsidP="00D654A1">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C50DC0">
        <w:rPr>
          <w:sz w:val="18"/>
          <w:szCs w:val="18"/>
        </w:rPr>
        <w:separator/>
      </w:r>
    </w:p>
  </w:footnote>
  <w:footnote w:type="continuationSeparator" w:id="0">
    <w:p w14:paraId="7AA86755" w14:textId="77777777" w:rsidR="00D5336A" w:rsidRDefault="00D5336A">
      <w:r>
        <w:continuationSeparator/>
      </w:r>
    </w:p>
  </w:footnote>
  <w:footnote w:id="1">
    <w:p w14:paraId="51864388" w14:textId="0AC99314" w:rsidR="00D5336A" w:rsidRPr="000B0C89" w:rsidRDefault="00D5336A" w:rsidP="00D654A1">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B0C89">
        <w:rPr>
          <w:sz w:val="18"/>
          <w:szCs w:val="18"/>
        </w:rPr>
        <w:t>* UNEP/MC/COP.3/1.</w:t>
      </w:r>
    </w:p>
  </w:footnote>
  <w:footnote w:id="2">
    <w:p w14:paraId="705B6022" w14:textId="08830AA5"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0B0C89">
        <w:rPr>
          <w:rStyle w:val="FootnoteReference"/>
          <w:sz w:val="18"/>
        </w:rPr>
        <w:footnoteRef/>
      </w:r>
      <w:r w:rsidRPr="000B0C89">
        <w:rPr>
          <w:sz w:val="18"/>
          <w:szCs w:val="18"/>
          <w:lang w:val="en-US"/>
        </w:rPr>
        <w:t xml:space="preserve"> UNEP/MC/COP.3/14.</w:t>
      </w:r>
    </w:p>
  </w:footnote>
  <w:footnote w:id="3">
    <w:p w14:paraId="2D9EDB32" w14:textId="19801E1D"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0B0C89">
        <w:rPr>
          <w:rStyle w:val="FootnoteReference"/>
          <w:sz w:val="18"/>
        </w:rPr>
        <w:footnoteRef/>
      </w:r>
      <w:r w:rsidRPr="000B0C89">
        <w:rPr>
          <w:sz w:val="18"/>
          <w:szCs w:val="18"/>
          <w:lang w:val="en-US"/>
        </w:rPr>
        <w:t xml:space="preserve"> UNEP/MC/COP.3.INF/15.</w:t>
      </w:r>
    </w:p>
  </w:footnote>
  <w:footnote w:id="4">
    <w:p w14:paraId="741541BF" w14:textId="6DFE164D"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0B0C89">
        <w:rPr>
          <w:rStyle w:val="FootnoteReference"/>
          <w:sz w:val="18"/>
        </w:rPr>
        <w:footnoteRef/>
      </w:r>
      <w:r w:rsidRPr="000B0C89">
        <w:rPr>
          <w:sz w:val="18"/>
          <w:szCs w:val="18"/>
          <w:lang w:val="en-US"/>
        </w:rPr>
        <w:t xml:space="preserve"> </w:t>
      </w:r>
      <w:r w:rsidRPr="000B0C89">
        <w:rPr>
          <w:sz w:val="18"/>
          <w:szCs w:val="18"/>
        </w:rPr>
        <w:t>UNEP/MC/COP.3/14, annex II, sections II and III.</w:t>
      </w:r>
    </w:p>
  </w:footnote>
  <w:footnote w:id="5">
    <w:p w14:paraId="57D4AF2A" w14:textId="615EB237"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0B0C89">
        <w:rPr>
          <w:rStyle w:val="FootnoteReference"/>
          <w:sz w:val="18"/>
        </w:rPr>
        <w:footnoteRef/>
      </w:r>
      <w:r w:rsidRPr="000B0C89">
        <w:rPr>
          <w:sz w:val="18"/>
          <w:szCs w:val="18"/>
          <w:lang w:val="en-US"/>
        </w:rPr>
        <w:t xml:space="preserve"> </w:t>
      </w:r>
      <w:r w:rsidRPr="000B0C89">
        <w:rPr>
          <w:sz w:val="18"/>
          <w:szCs w:val="18"/>
        </w:rPr>
        <w:t>UNEP/MC/COP.3/14, annex II, appendix II.</w:t>
      </w:r>
    </w:p>
  </w:footnote>
  <w:footnote w:id="6">
    <w:p w14:paraId="0659A6E2" w14:textId="77777777"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0B0C89">
        <w:rPr>
          <w:rStyle w:val="FootnoteReference"/>
          <w:sz w:val="18"/>
        </w:rPr>
        <w:footnoteRef/>
      </w:r>
      <w:r w:rsidRPr="000B0C89">
        <w:rPr>
          <w:sz w:val="18"/>
          <w:szCs w:val="18"/>
          <w:lang w:val="en-US"/>
        </w:rPr>
        <w:t xml:space="preserve"> UNEP/MC/COP.3/14, annex II, appendix III.</w:t>
      </w:r>
    </w:p>
  </w:footnote>
  <w:footnote w:id="7">
    <w:p w14:paraId="4E386C1D" w14:textId="63E7D464"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CA"/>
        </w:rPr>
      </w:pPr>
      <w:r w:rsidRPr="000B0C89">
        <w:rPr>
          <w:rStyle w:val="FootnoteReference"/>
          <w:sz w:val="18"/>
        </w:rPr>
        <w:footnoteRef/>
      </w:r>
      <w:r w:rsidRPr="000B0C89">
        <w:rPr>
          <w:sz w:val="18"/>
          <w:szCs w:val="18"/>
          <w:lang w:val="en-CA"/>
        </w:rPr>
        <w:t xml:space="preserve"> United Nations Environment Programme, 2018. </w:t>
      </w:r>
      <w:r w:rsidRPr="000B0C89">
        <w:rPr>
          <w:i/>
          <w:iCs/>
          <w:sz w:val="18"/>
          <w:szCs w:val="18"/>
          <w:lang w:val="en-CA"/>
        </w:rPr>
        <w:t>Global Mercury Assessment 2018</w:t>
      </w:r>
      <w:r w:rsidRPr="000B0C89">
        <w:rPr>
          <w:sz w:val="18"/>
          <w:szCs w:val="18"/>
          <w:lang w:val="en-CA"/>
        </w:rPr>
        <w:t xml:space="preserve">. </w:t>
      </w:r>
      <w:hyperlink r:id="rId1" w:history="1">
        <w:r w:rsidRPr="000B0C89">
          <w:rPr>
            <w:rStyle w:val="Hyperlink"/>
            <w:sz w:val="18"/>
            <w:szCs w:val="18"/>
            <w:lang w:val="en-GB"/>
          </w:rPr>
          <w:t>https://wedocs.unep.org/handle/20.500.11822/27579</w:t>
        </w:r>
      </w:hyperlink>
      <w:r w:rsidRPr="000B0C89">
        <w:rPr>
          <w:sz w:val="18"/>
          <w:szCs w:val="18"/>
          <w:lang w:val="en-CA"/>
        </w:rPr>
        <w:t xml:space="preserve">. </w:t>
      </w:r>
    </w:p>
  </w:footnote>
  <w:footnote w:id="8">
    <w:p w14:paraId="79B51347" w14:textId="53F97A8C"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CA"/>
        </w:rPr>
      </w:pPr>
      <w:r w:rsidRPr="000B0C89">
        <w:rPr>
          <w:rStyle w:val="FootnoteReference"/>
          <w:sz w:val="18"/>
        </w:rPr>
        <w:footnoteRef/>
      </w:r>
      <w:r w:rsidRPr="000B0C89">
        <w:rPr>
          <w:sz w:val="18"/>
          <w:szCs w:val="18"/>
          <w:lang w:val="en-CA"/>
        </w:rPr>
        <w:t xml:space="preserve"> United Nations Environment Programme, 2017. </w:t>
      </w:r>
      <w:r w:rsidRPr="000B0C89">
        <w:rPr>
          <w:i/>
          <w:iCs/>
          <w:sz w:val="18"/>
          <w:szCs w:val="18"/>
          <w:lang w:val="en-CA"/>
        </w:rPr>
        <w:t>Global Mercury Supply, Trade and Demand</w:t>
      </w:r>
      <w:r w:rsidRPr="000B0C89">
        <w:rPr>
          <w:sz w:val="18"/>
          <w:szCs w:val="18"/>
          <w:lang w:val="en-CA"/>
        </w:rPr>
        <w:t xml:space="preserve">. </w:t>
      </w:r>
      <w:hyperlink r:id="rId2" w:history="1">
        <w:r w:rsidRPr="000B0C89">
          <w:rPr>
            <w:rStyle w:val="Hyperlink"/>
            <w:sz w:val="18"/>
            <w:szCs w:val="18"/>
            <w:lang w:val="en-GB"/>
          </w:rPr>
          <w:t>https://wedocs.unep.org/handle/20.500.11822/21725</w:t>
        </w:r>
      </w:hyperlink>
      <w:r w:rsidRPr="000B0C89">
        <w:rPr>
          <w:sz w:val="18"/>
          <w:szCs w:val="18"/>
          <w:lang w:val="en-CA"/>
        </w:rPr>
        <w:t xml:space="preserve">. </w:t>
      </w:r>
    </w:p>
  </w:footnote>
  <w:footnote w:id="9">
    <w:p w14:paraId="5D4B0B92" w14:textId="30157007"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B0C89">
        <w:rPr>
          <w:rStyle w:val="FootnoteReference"/>
          <w:sz w:val="18"/>
        </w:rPr>
        <w:footnoteRef/>
      </w:r>
      <w:r w:rsidRPr="000B0C89">
        <w:rPr>
          <w:sz w:val="18"/>
          <w:szCs w:val="18"/>
        </w:rPr>
        <w:t xml:space="preserve"> </w:t>
      </w:r>
      <w:r w:rsidRPr="000B0C89">
        <w:rPr>
          <w:sz w:val="18"/>
          <w:szCs w:val="18"/>
          <w:lang w:val="en-CA"/>
        </w:rPr>
        <w:t>United Nations Environment Programme</w:t>
      </w:r>
      <w:r w:rsidRPr="000B0C89">
        <w:rPr>
          <w:sz w:val="18"/>
          <w:szCs w:val="18"/>
        </w:rPr>
        <w:t xml:space="preserve">, 2018. </w:t>
      </w:r>
      <w:r w:rsidRPr="000B0C89">
        <w:rPr>
          <w:i/>
          <w:iCs/>
          <w:sz w:val="18"/>
          <w:szCs w:val="18"/>
          <w:lang w:val="en-CA"/>
        </w:rPr>
        <w:t>Global Mercury Waste Assessment: Review of Current National Measures</w:t>
      </w:r>
      <w:r w:rsidRPr="000B0C89">
        <w:rPr>
          <w:sz w:val="18"/>
          <w:szCs w:val="18"/>
          <w:lang w:val="en-CA"/>
        </w:rPr>
        <w:t xml:space="preserve">. </w:t>
      </w:r>
      <w:hyperlink r:id="rId3" w:history="1">
        <w:r w:rsidRPr="000B0C89">
          <w:rPr>
            <w:rStyle w:val="Hyperlink"/>
            <w:sz w:val="18"/>
            <w:szCs w:val="18"/>
            <w:lang w:val="en-GB"/>
          </w:rPr>
          <w:t>https://wedocs.unep.org/handle/20.500.11822/22766</w:t>
        </w:r>
      </w:hyperlink>
      <w:r w:rsidRPr="000B0C89">
        <w:rPr>
          <w:sz w:val="18"/>
          <w:szCs w:val="18"/>
          <w:lang w:val="en-CA"/>
        </w:rPr>
        <w:t>.</w:t>
      </w:r>
      <w:r w:rsidRPr="000B0C89">
        <w:rPr>
          <w:sz w:val="18"/>
          <w:szCs w:val="18"/>
        </w:rPr>
        <w:t xml:space="preserve"> </w:t>
      </w:r>
    </w:p>
  </w:footnote>
  <w:footnote w:id="10">
    <w:p w14:paraId="0BE5D868" w14:textId="4D40C5E8"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B0C89">
        <w:rPr>
          <w:rStyle w:val="FootnoteReference"/>
          <w:sz w:val="18"/>
        </w:rPr>
        <w:footnoteRef/>
      </w:r>
      <w:r w:rsidRPr="000B0C89">
        <w:rPr>
          <w:sz w:val="18"/>
          <w:szCs w:val="18"/>
          <w:lang w:val="en-US"/>
        </w:rPr>
        <w:t xml:space="preserve"> </w:t>
      </w:r>
      <w:r w:rsidRPr="000B0C89">
        <w:rPr>
          <w:sz w:val="18"/>
          <w:szCs w:val="18"/>
        </w:rPr>
        <w:t>Grey highlighting has been used throughout the present report to indicate a difference in views among commentators with respect to the inclusion of the highlighted text.</w:t>
      </w:r>
    </w:p>
  </w:footnote>
  <w:footnote w:id="11">
    <w:p w14:paraId="016426FE" w14:textId="2CA7914F"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rFonts w:asciiTheme="majorBidi" w:hAnsiTheme="majorBidi" w:cstheme="majorBidi"/>
          <w:sz w:val="18"/>
          <w:szCs w:val="18"/>
        </w:rPr>
      </w:pPr>
      <w:r w:rsidRPr="000B0C89">
        <w:rPr>
          <w:rStyle w:val="FootnoteReference"/>
          <w:rFonts w:asciiTheme="majorBidi" w:hAnsiTheme="majorBidi" w:cstheme="majorBidi"/>
          <w:sz w:val="18"/>
        </w:rPr>
        <w:footnoteRef/>
      </w:r>
      <w:r w:rsidRPr="000B0C89">
        <w:rPr>
          <w:rFonts w:asciiTheme="majorBidi" w:hAnsiTheme="majorBidi" w:cstheme="majorBidi"/>
          <w:sz w:val="18"/>
          <w:szCs w:val="18"/>
        </w:rPr>
        <w:t xml:space="preserve"> In decision MC-1/9 on the establishment of arrangements in regard to effectiveness evaluation, the Conference of the Parties established an ad hoc group of experts on arrangements for providing the Conference of the Parties with comparable monitoring data and elements of an effectiveness evaluation framework under article 22 of the Minamata Convention, and set out a road map in that regard. The ad hoc expert group produced a report that was presented to the second meeting of the Conference of the Parties (see documents UNEP/MC/COP.2/13 and UNEP/MC/COP.INF/8). Subsequently, in decision MC-2/10 on effectiveness evaluation, the Conference of the Parties extended the terms of reference of the ad hoc technical expert group, adopted a road map for its subsequent work, requested the group to develop the terms of reference for global monitoring arrangements, and also requested it to report on its progress to the third meeting of the Conference of the Parties. </w:t>
      </w:r>
    </w:p>
  </w:footnote>
  <w:footnote w:id="12">
    <w:p w14:paraId="19BC4182" w14:textId="337E4BDB"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rFonts w:asciiTheme="majorBidi" w:hAnsiTheme="majorBidi" w:cstheme="majorBidi"/>
          <w:sz w:val="18"/>
          <w:szCs w:val="18"/>
          <w:lang w:val="en-CA"/>
        </w:rPr>
      </w:pPr>
      <w:r w:rsidRPr="000B0C89">
        <w:rPr>
          <w:rStyle w:val="FootnoteReference"/>
          <w:rFonts w:asciiTheme="majorBidi" w:hAnsiTheme="majorBidi" w:cstheme="majorBidi"/>
          <w:sz w:val="18"/>
        </w:rPr>
        <w:footnoteRef/>
      </w:r>
      <w:r w:rsidRPr="000B0C89">
        <w:rPr>
          <w:rFonts w:asciiTheme="majorBidi" w:hAnsiTheme="majorBidi" w:cstheme="majorBidi"/>
          <w:sz w:val="18"/>
          <w:szCs w:val="18"/>
        </w:rPr>
        <w:t xml:space="preserve"> While the first effectiveness evaluation of the Minamata Convention on Mercury is to take place within six years of the entry into force of the Convention, the Conference of the Parties is to decide on the future interval of the effectiveness evaluations.</w:t>
      </w:r>
      <w:r w:rsidRPr="000B0C89">
        <w:rPr>
          <w:rFonts w:asciiTheme="majorBidi" w:hAnsiTheme="majorBidi" w:cstheme="majorBidi"/>
          <w:sz w:val="18"/>
          <w:szCs w:val="18"/>
          <w:lang w:val="en-CA"/>
        </w:rPr>
        <w:t xml:space="preserve"> </w:t>
      </w:r>
    </w:p>
  </w:footnote>
  <w:footnote w:id="13">
    <w:p w14:paraId="7AE5527D" w14:textId="359037D8"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rFonts w:asciiTheme="majorBidi" w:hAnsiTheme="majorBidi" w:cstheme="majorBidi"/>
          <w:sz w:val="18"/>
          <w:szCs w:val="18"/>
        </w:rPr>
      </w:pPr>
      <w:r w:rsidRPr="000B0C89">
        <w:rPr>
          <w:rStyle w:val="FootnoteReference"/>
          <w:rFonts w:asciiTheme="majorBidi" w:hAnsiTheme="majorBidi" w:cstheme="majorBidi"/>
          <w:sz w:val="18"/>
        </w:rPr>
        <w:footnoteRef/>
      </w:r>
      <w:r w:rsidRPr="000B0C89">
        <w:rPr>
          <w:rFonts w:asciiTheme="majorBidi" w:hAnsiTheme="majorBidi" w:cstheme="majorBidi"/>
          <w:sz w:val="18"/>
          <w:szCs w:val="18"/>
        </w:rPr>
        <w:t xml:space="preserve"> At the meeting, the ad hoc technical expert group had before it a compilation of comments on the effectiveness evaluation framework (UNEP/MC/EE.2/5), an overview of information submitted by parties and others (UNEP/MC/EE.2/3) and the compilation of comments on the report submitted by the group to the Conference of the Parties at its second meeting (UNEP/MC/EE.2/4).</w:t>
      </w:r>
    </w:p>
  </w:footnote>
  <w:footnote w:id="14">
    <w:p w14:paraId="1D0811E1" w14:textId="2763804A"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B0C89">
        <w:rPr>
          <w:rStyle w:val="FootnoteReference"/>
          <w:sz w:val="18"/>
        </w:rPr>
        <w:footnoteRef/>
      </w:r>
      <w:r w:rsidRPr="000B0C89">
        <w:rPr>
          <w:sz w:val="18"/>
          <w:szCs w:val="18"/>
        </w:rPr>
        <w:t xml:space="preserve"> On the production of reports, a proposal was also expressed to engage in bidding processes to identify collaborating partners. This would be based on a call for proposals that includes the approach and methodology for the identified task, the structure needed to execute the task and the costs associated with delivering the task. Any bidding process to be followed by the secretariat would be guided by United Nations procurement rules and processes. Full information on such a process would be reported to the Conference of the Parties. </w:t>
      </w:r>
    </w:p>
  </w:footnote>
  <w:footnote w:id="15">
    <w:p w14:paraId="22C4E575" w14:textId="015A78D6"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rFonts w:asciiTheme="majorBidi" w:hAnsiTheme="majorBidi" w:cstheme="majorBidi"/>
          <w:sz w:val="18"/>
          <w:szCs w:val="18"/>
        </w:rPr>
      </w:pPr>
      <w:r w:rsidRPr="000B0C89">
        <w:rPr>
          <w:rStyle w:val="FootnoteReference"/>
          <w:rFonts w:asciiTheme="majorBidi" w:hAnsiTheme="majorBidi" w:cstheme="majorBidi"/>
          <w:sz w:val="18"/>
        </w:rPr>
        <w:footnoteRef/>
      </w:r>
      <w:r w:rsidRPr="000B0C89">
        <w:rPr>
          <w:rFonts w:asciiTheme="majorBidi" w:hAnsiTheme="majorBidi" w:cstheme="majorBidi"/>
          <w:sz w:val="18"/>
          <w:szCs w:val="18"/>
        </w:rPr>
        <w:t xml:space="preserve"> Grey highlighting has been used throughout the present appendix to indicate a difference in views among commentators with respect to the inclusion of the highlighted text.</w:t>
      </w:r>
    </w:p>
  </w:footnote>
  <w:footnote w:id="16">
    <w:p w14:paraId="7AE87931" w14:textId="49FA6526" w:rsidR="00D5336A" w:rsidRPr="000B0C89" w:rsidRDefault="00D5336A" w:rsidP="000B0C89">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0B0C89">
        <w:rPr>
          <w:rStyle w:val="FootnoteReference"/>
          <w:sz w:val="18"/>
        </w:rPr>
        <w:footnoteRef/>
      </w:r>
      <w:r w:rsidRPr="000B0C89">
        <w:rPr>
          <w:sz w:val="18"/>
          <w:szCs w:val="18"/>
        </w:rPr>
        <w:t xml:space="preserve"> Grey highlighting has been used throughout the present appendix to indicate a difference in views among commentators with respect to the inclusion of the highlighted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5C9B" w14:textId="0339679E" w:rsidR="00D5336A" w:rsidRDefault="00D5336A" w:rsidP="00D071D8">
    <w:pPr>
      <w:pStyle w:val="Header-pool"/>
    </w:pPr>
    <w:r w:rsidRPr="00CA5CA9">
      <w:t>UNEP/</w:t>
    </w:r>
    <w:r>
      <w:t>MC</w:t>
    </w:r>
    <w:r w:rsidRPr="00CA5CA9">
      <w:t>/</w:t>
    </w:r>
    <w:r>
      <w:t>COP</w:t>
    </w:r>
    <w:r w:rsidRPr="007064E6">
      <w:t>.3/</w:t>
    </w:r>
    <w: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E3972" w14:textId="4C48CE92" w:rsidR="00D5336A" w:rsidRDefault="00D5336A" w:rsidP="000B0C89">
    <w:pPr>
      <w:pStyle w:val="Header-pool"/>
      <w:jc w:val="right"/>
    </w:pPr>
    <w:r w:rsidRPr="00CA5CA9">
      <w:t>UNEP/</w:t>
    </w:r>
    <w:r>
      <w:t>MC</w:t>
    </w:r>
    <w:r w:rsidRPr="00CA5CA9">
      <w:t>/</w:t>
    </w:r>
    <w:r>
      <w:t>COP</w:t>
    </w:r>
    <w:r w:rsidRPr="007064E6">
      <w:t>.3/</w:t>
    </w:r>
    <w: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986A" w14:textId="7F402DA0" w:rsidR="00D5336A" w:rsidRDefault="00D5336A" w:rsidP="000B0C89">
    <w:pPr>
      <w:pStyle w:val="Header-pool"/>
    </w:pPr>
    <w:r w:rsidRPr="001A4C8F">
      <w:t>UNEP</w:t>
    </w:r>
    <w:r w:rsidRPr="00D5336A">
      <w:t>/MC/COP.3/14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8224" w14:textId="3665E129" w:rsidR="00D5336A" w:rsidRDefault="00803778" w:rsidP="000B0C89">
    <w:pPr>
      <w:pStyle w:val="Header-pool"/>
    </w:pPr>
    <w:r w:rsidRPr="00CA5CA9">
      <w:t>UNEP/</w:t>
    </w:r>
    <w:r>
      <w:t>MC</w:t>
    </w:r>
    <w:r w:rsidRPr="00CA5CA9">
      <w:t>/</w:t>
    </w:r>
    <w:r>
      <w:t>COP</w:t>
    </w:r>
    <w:r w:rsidRPr="007064E6">
      <w:t>.3/</w:t>
    </w:r>
    <w:r>
      <w:t>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84D00" w14:textId="1119508C" w:rsidR="00D5336A" w:rsidRDefault="00803778" w:rsidP="000B0C89">
    <w:pPr>
      <w:pStyle w:val="Header-pool"/>
      <w:jc w:val="right"/>
    </w:pPr>
    <w:r w:rsidRPr="00CA5CA9">
      <w:t>UNEP/</w:t>
    </w:r>
    <w:r>
      <w:t>MC</w:t>
    </w:r>
    <w:r w:rsidRPr="00CA5CA9">
      <w:t>/</w:t>
    </w:r>
    <w:r>
      <w:t>COP</w:t>
    </w:r>
    <w:r w:rsidRPr="007064E6">
      <w:t>.3/</w:t>
    </w:r>
    <w:r>
      <w:t>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09AB" w14:textId="20299D65" w:rsidR="00D5336A" w:rsidRDefault="00D5336A" w:rsidP="009E249F">
    <w:pPr>
      <w:pStyle w:val="Header-pool"/>
    </w:pPr>
    <w:r w:rsidRPr="0083774B">
      <w:t>UNEP/MC/COP.</w:t>
    </w:r>
    <w:r>
      <w:t>3</w:t>
    </w:r>
    <w:r w:rsidRPr="0083774B">
      <w:t>/</w:t>
    </w:r>
    <w:r>
      <w:t>14</w:t>
    </w:r>
  </w:p>
  <w:p w14:paraId="5C8E289D" w14:textId="77777777" w:rsidR="00D5336A" w:rsidRDefault="00D533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3006"/>
    <w:multiLevelType w:val="hybridMultilevel"/>
    <w:tmpl w:val="6E228B32"/>
    <w:lvl w:ilvl="0" w:tplc="252674B2">
      <w:start w:val="1"/>
      <w:numFmt w:val="decimal"/>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3144F80"/>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 w15:restartNumberingAfterBreak="0">
    <w:nsid w:val="0544388F"/>
    <w:multiLevelType w:val="hybridMultilevel"/>
    <w:tmpl w:val="0408E60A"/>
    <w:styleLink w:val="Importovanstyl4"/>
    <w:lvl w:ilvl="0" w:tplc="9412F3FC">
      <w:start w:val="1"/>
      <w:numFmt w:val="lowerLetter"/>
      <w:lvlText w:val="%1."/>
      <w:lvlJc w:val="left"/>
      <w:pPr>
        <w:tabs>
          <w:tab w:val="num" w:pos="1440"/>
        </w:tabs>
        <w:ind w:left="1786" w:hanging="706"/>
      </w:pPr>
      <w:rPr>
        <w:rFonts w:hAnsi="Arial Unicode MS"/>
        <w:caps w:val="0"/>
        <w:smallCaps w:val="0"/>
        <w:strike w:val="0"/>
        <w:dstrike w:val="0"/>
        <w:outline w:val="0"/>
        <w:emboss w:val="0"/>
        <w:imprint w:val="0"/>
        <w:spacing w:val="0"/>
        <w:w w:val="100"/>
        <w:kern w:val="0"/>
        <w:position w:val="0"/>
        <w:highlight w:val="none"/>
        <w:vertAlign w:val="baseline"/>
      </w:rPr>
    </w:lvl>
    <w:lvl w:ilvl="1" w:tplc="9BC6A5EA">
      <w:start w:val="1"/>
      <w:numFmt w:val="lowerRoman"/>
      <w:suff w:val="nothing"/>
      <w:lvlText w:val="%2."/>
      <w:lvlJc w:val="left"/>
      <w:pPr>
        <w:ind w:left="2160" w:hanging="472"/>
      </w:pPr>
      <w:rPr>
        <w:rFonts w:hAnsi="Arial Unicode MS"/>
        <w:caps w:val="0"/>
        <w:smallCaps w:val="0"/>
        <w:strike w:val="0"/>
        <w:dstrike w:val="0"/>
        <w:outline w:val="0"/>
        <w:emboss w:val="0"/>
        <w:imprint w:val="0"/>
        <w:spacing w:val="0"/>
        <w:w w:val="100"/>
        <w:kern w:val="0"/>
        <w:position w:val="0"/>
        <w:highlight w:val="none"/>
        <w:vertAlign w:val="baseline"/>
      </w:rPr>
    </w:lvl>
    <w:lvl w:ilvl="2" w:tplc="9F9A66B6">
      <w:start w:val="1"/>
      <w:numFmt w:val="lowerRoman"/>
      <w:lvlText w:val="%3."/>
      <w:lvlJc w:val="left"/>
      <w:pPr>
        <w:tabs>
          <w:tab w:val="num" w:pos="2880"/>
        </w:tabs>
        <w:ind w:left="3226" w:hanging="638"/>
      </w:pPr>
      <w:rPr>
        <w:rFonts w:hAnsi="Arial Unicode MS"/>
        <w:caps w:val="0"/>
        <w:smallCaps w:val="0"/>
        <w:strike w:val="0"/>
        <w:dstrike w:val="0"/>
        <w:outline w:val="0"/>
        <w:emboss w:val="0"/>
        <w:imprint w:val="0"/>
        <w:spacing w:val="0"/>
        <w:w w:val="100"/>
        <w:kern w:val="0"/>
        <w:position w:val="0"/>
        <w:highlight w:val="none"/>
        <w:vertAlign w:val="baseline"/>
      </w:rPr>
    </w:lvl>
    <w:lvl w:ilvl="3" w:tplc="AD922EFE">
      <w:start w:val="1"/>
      <w:numFmt w:val="decimal"/>
      <w:lvlText w:val="%4."/>
      <w:lvlJc w:val="left"/>
      <w:pPr>
        <w:tabs>
          <w:tab w:val="num" w:pos="3515"/>
        </w:tabs>
        <w:ind w:left="3861" w:hanging="621"/>
      </w:pPr>
      <w:rPr>
        <w:rFonts w:hAnsi="Arial Unicode MS"/>
        <w:caps w:val="0"/>
        <w:smallCaps w:val="0"/>
        <w:strike w:val="0"/>
        <w:dstrike w:val="0"/>
        <w:outline w:val="0"/>
        <w:emboss w:val="0"/>
        <w:imprint w:val="0"/>
        <w:spacing w:val="0"/>
        <w:w w:val="100"/>
        <w:kern w:val="0"/>
        <w:position w:val="0"/>
        <w:highlight w:val="none"/>
        <w:vertAlign w:val="baseline"/>
      </w:rPr>
    </w:lvl>
    <w:lvl w:ilvl="4" w:tplc="44E2E300">
      <w:start w:val="1"/>
      <w:numFmt w:val="lowerLetter"/>
      <w:lvlText w:val="%5."/>
      <w:lvlJc w:val="left"/>
      <w:pPr>
        <w:tabs>
          <w:tab w:val="num" w:pos="4320"/>
        </w:tabs>
        <w:ind w:left="4666" w:hanging="706"/>
      </w:pPr>
      <w:rPr>
        <w:rFonts w:hAnsi="Arial Unicode MS"/>
        <w:caps w:val="0"/>
        <w:smallCaps w:val="0"/>
        <w:strike w:val="0"/>
        <w:dstrike w:val="0"/>
        <w:outline w:val="0"/>
        <w:emboss w:val="0"/>
        <w:imprint w:val="0"/>
        <w:spacing w:val="0"/>
        <w:w w:val="100"/>
        <w:kern w:val="0"/>
        <w:position w:val="0"/>
        <w:highlight w:val="none"/>
        <w:vertAlign w:val="baseline"/>
      </w:rPr>
    </w:lvl>
    <w:lvl w:ilvl="5" w:tplc="2D683CDE">
      <w:start w:val="1"/>
      <w:numFmt w:val="lowerRoman"/>
      <w:lvlText w:val="%6."/>
      <w:lvlJc w:val="left"/>
      <w:pPr>
        <w:tabs>
          <w:tab w:val="num" w:pos="5040"/>
        </w:tabs>
        <w:ind w:left="5386" w:hanging="638"/>
      </w:pPr>
      <w:rPr>
        <w:rFonts w:hAnsi="Arial Unicode MS"/>
        <w:caps w:val="0"/>
        <w:smallCaps w:val="0"/>
        <w:strike w:val="0"/>
        <w:dstrike w:val="0"/>
        <w:outline w:val="0"/>
        <w:emboss w:val="0"/>
        <w:imprint w:val="0"/>
        <w:spacing w:val="0"/>
        <w:w w:val="100"/>
        <w:kern w:val="0"/>
        <w:position w:val="0"/>
        <w:highlight w:val="none"/>
        <w:vertAlign w:val="baseline"/>
      </w:rPr>
    </w:lvl>
    <w:lvl w:ilvl="6" w:tplc="6786E180">
      <w:start w:val="1"/>
      <w:numFmt w:val="decimal"/>
      <w:lvlText w:val="%7."/>
      <w:lvlJc w:val="left"/>
      <w:pPr>
        <w:tabs>
          <w:tab w:val="num" w:pos="5760"/>
        </w:tabs>
        <w:ind w:left="6106" w:hanging="706"/>
      </w:pPr>
      <w:rPr>
        <w:rFonts w:hAnsi="Arial Unicode MS"/>
        <w:caps w:val="0"/>
        <w:smallCaps w:val="0"/>
        <w:strike w:val="0"/>
        <w:dstrike w:val="0"/>
        <w:outline w:val="0"/>
        <w:emboss w:val="0"/>
        <w:imprint w:val="0"/>
        <w:spacing w:val="0"/>
        <w:w w:val="100"/>
        <w:kern w:val="0"/>
        <w:position w:val="0"/>
        <w:highlight w:val="none"/>
        <w:vertAlign w:val="baseline"/>
      </w:rPr>
    </w:lvl>
    <w:lvl w:ilvl="7" w:tplc="7DF6D208">
      <w:start w:val="1"/>
      <w:numFmt w:val="lowerLetter"/>
      <w:lvlText w:val="%8."/>
      <w:lvlJc w:val="left"/>
      <w:pPr>
        <w:tabs>
          <w:tab w:val="num" w:pos="6480"/>
        </w:tabs>
        <w:ind w:left="6826" w:hanging="706"/>
      </w:pPr>
      <w:rPr>
        <w:rFonts w:hAnsi="Arial Unicode MS"/>
        <w:caps w:val="0"/>
        <w:smallCaps w:val="0"/>
        <w:strike w:val="0"/>
        <w:dstrike w:val="0"/>
        <w:outline w:val="0"/>
        <w:emboss w:val="0"/>
        <w:imprint w:val="0"/>
        <w:spacing w:val="0"/>
        <w:w w:val="100"/>
        <w:kern w:val="0"/>
        <w:position w:val="0"/>
        <w:highlight w:val="none"/>
        <w:vertAlign w:val="baseline"/>
      </w:rPr>
    </w:lvl>
    <w:lvl w:ilvl="8" w:tplc="F3F0C4F2">
      <w:start w:val="1"/>
      <w:numFmt w:val="lowerRoman"/>
      <w:lvlText w:val="%9."/>
      <w:lvlJc w:val="left"/>
      <w:pPr>
        <w:tabs>
          <w:tab w:val="num" w:pos="7200"/>
        </w:tabs>
        <w:ind w:left="7546" w:hanging="6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ED7D9C"/>
    <w:multiLevelType w:val="hybridMultilevel"/>
    <w:tmpl w:val="3A6EEE42"/>
    <w:lvl w:ilvl="0" w:tplc="2EA02082">
      <w:start w:val="1"/>
      <w:numFmt w:val="lowerLetter"/>
      <w:lvlText w:val="(%1)"/>
      <w:lvlJc w:val="left"/>
      <w:pPr>
        <w:ind w:left="2591" w:hanging="360"/>
      </w:pPr>
      <w:rPr>
        <w:rFonts w:hint="default"/>
      </w:rPr>
    </w:lvl>
    <w:lvl w:ilvl="1" w:tplc="2EA02082">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11A51A01"/>
    <w:multiLevelType w:val="multilevel"/>
    <w:tmpl w:val="541C4360"/>
    <w:lvl w:ilvl="0">
      <w:start w:val="4"/>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F886ADE"/>
    <w:multiLevelType w:val="multilevel"/>
    <w:tmpl w:val="0BC02AB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21A863F1"/>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8" w15:restartNumberingAfterBreak="0">
    <w:nsid w:val="231E6EEE"/>
    <w:multiLevelType w:val="hybridMultilevel"/>
    <w:tmpl w:val="EFD454D8"/>
    <w:styleLink w:val="Importovanstyl1"/>
    <w:lvl w:ilvl="0" w:tplc="4038FB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6E4CC8">
      <w:start w:val="1"/>
      <w:numFmt w:val="lowerLetter"/>
      <w:suff w:val="nothing"/>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9C9E56">
      <w:start w:val="1"/>
      <w:numFmt w:val="lowerRoman"/>
      <w:lvlText w:val="%3."/>
      <w:lvlJc w:val="left"/>
      <w:pPr>
        <w:tabs>
          <w:tab w:val="num" w:pos="2160"/>
        </w:tabs>
        <w:ind w:left="235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55277AE">
      <w:start w:val="1"/>
      <w:numFmt w:val="lowerLetter"/>
      <w:lvlText w:val="(%4)"/>
      <w:lvlJc w:val="left"/>
      <w:pPr>
        <w:tabs>
          <w:tab w:val="num" w:pos="2880"/>
        </w:tabs>
        <w:ind w:left="3073" w:hanging="553"/>
      </w:pPr>
      <w:rPr>
        <w:rFonts w:hAnsi="Arial Unicode MS"/>
        <w:caps w:val="0"/>
        <w:smallCaps w:val="0"/>
        <w:strike w:val="0"/>
        <w:dstrike w:val="0"/>
        <w:outline w:val="0"/>
        <w:emboss w:val="0"/>
        <w:imprint w:val="0"/>
        <w:spacing w:val="0"/>
        <w:w w:val="100"/>
        <w:kern w:val="0"/>
        <w:position w:val="0"/>
        <w:highlight w:val="none"/>
        <w:vertAlign w:val="baseline"/>
      </w:rPr>
    </w:lvl>
    <w:lvl w:ilvl="4" w:tplc="AF4EE106">
      <w:start w:val="1"/>
      <w:numFmt w:val="lowerLetter"/>
      <w:lvlText w:val="%5."/>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5" w:tplc="1CD2007E">
      <w:start w:val="1"/>
      <w:numFmt w:val="lowerRoman"/>
      <w:lvlText w:val="%6."/>
      <w:lvlJc w:val="left"/>
      <w:pPr>
        <w:tabs>
          <w:tab w:val="num" w:pos="4320"/>
        </w:tabs>
        <w:ind w:left="451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19E85380">
      <w:start w:val="1"/>
      <w:numFmt w:val="decimal"/>
      <w:lvlText w:val="%7."/>
      <w:lvlJc w:val="left"/>
      <w:pPr>
        <w:tabs>
          <w:tab w:val="num" w:pos="5040"/>
        </w:tabs>
        <w:ind w:left="523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D43A2B02">
      <w:start w:val="1"/>
      <w:numFmt w:val="lowerLetter"/>
      <w:lvlText w:val="%8."/>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3BEAD162">
      <w:start w:val="1"/>
      <w:numFmt w:val="lowerRoman"/>
      <w:lvlText w:val="%9."/>
      <w:lvlJc w:val="left"/>
      <w:pPr>
        <w:tabs>
          <w:tab w:val="num" w:pos="6480"/>
        </w:tabs>
        <w:ind w:left="667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262CC"/>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1" w15:restartNumberingAfterBreak="0">
    <w:nsid w:val="34B12B6F"/>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2" w15:restartNumberingAfterBreak="0">
    <w:nsid w:val="354967AF"/>
    <w:multiLevelType w:val="hybridMultilevel"/>
    <w:tmpl w:val="F3664BC0"/>
    <w:styleLink w:val="Importovanstyl3"/>
    <w:lvl w:ilvl="0" w:tplc="999A58CC">
      <w:start w:val="1"/>
      <w:numFmt w:val="lowerLetter"/>
      <w:suff w:val="nothing"/>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C80656">
      <w:start w:val="1"/>
      <w:numFmt w:val="lowerLetter"/>
      <w:lvlText w:val="%2."/>
      <w:lvlJc w:val="left"/>
      <w:pPr>
        <w:tabs>
          <w:tab w:val="num" w:pos="2160"/>
        </w:tabs>
        <w:ind w:left="2353" w:hanging="553"/>
      </w:pPr>
      <w:rPr>
        <w:rFonts w:hAnsi="Arial Unicode MS"/>
        <w:caps w:val="0"/>
        <w:smallCaps w:val="0"/>
        <w:strike w:val="0"/>
        <w:dstrike w:val="0"/>
        <w:outline w:val="0"/>
        <w:emboss w:val="0"/>
        <w:imprint w:val="0"/>
        <w:spacing w:val="0"/>
        <w:w w:val="100"/>
        <w:kern w:val="0"/>
        <w:position w:val="0"/>
        <w:highlight w:val="none"/>
        <w:vertAlign w:val="baseline"/>
      </w:rPr>
    </w:lvl>
    <w:lvl w:ilvl="2" w:tplc="91A87AF0">
      <w:start w:val="1"/>
      <w:numFmt w:val="lowerRoman"/>
      <w:lvlText w:val="%3."/>
      <w:lvlJc w:val="left"/>
      <w:pPr>
        <w:tabs>
          <w:tab w:val="num" w:pos="2880"/>
        </w:tabs>
        <w:ind w:left="307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EC0044">
      <w:start w:val="1"/>
      <w:numFmt w:val="decimal"/>
      <w:lvlText w:val="%4."/>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4" w:tplc="ABD0C4FC">
      <w:start w:val="1"/>
      <w:numFmt w:val="lowerLetter"/>
      <w:lvlText w:val="%5."/>
      <w:lvlJc w:val="left"/>
      <w:pPr>
        <w:tabs>
          <w:tab w:val="num" w:pos="4320"/>
        </w:tabs>
        <w:ind w:left="4513" w:hanging="553"/>
      </w:pPr>
      <w:rPr>
        <w:rFonts w:hAnsi="Arial Unicode MS"/>
        <w:caps w:val="0"/>
        <w:smallCaps w:val="0"/>
        <w:strike w:val="0"/>
        <w:dstrike w:val="0"/>
        <w:outline w:val="0"/>
        <w:emboss w:val="0"/>
        <w:imprint w:val="0"/>
        <w:spacing w:val="0"/>
        <w:w w:val="100"/>
        <w:kern w:val="0"/>
        <w:position w:val="0"/>
        <w:highlight w:val="none"/>
        <w:vertAlign w:val="baseline"/>
      </w:rPr>
    </w:lvl>
    <w:lvl w:ilvl="5" w:tplc="9F82E998">
      <w:start w:val="1"/>
      <w:numFmt w:val="lowerRoman"/>
      <w:lvlText w:val="%6."/>
      <w:lvlJc w:val="left"/>
      <w:pPr>
        <w:tabs>
          <w:tab w:val="num" w:pos="5040"/>
        </w:tabs>
        <w:ind w:left="523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DECE55A">
      <w:start w:val="1"/>
      <w:numFmt w:val="decimal"/>
      <w:lvlText w:val="%7."/>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5DF04304">
      <w:start w:val="1"/>
      <w:numFmt w:val="lowerLetter"/>
      <w:lvlText w:val="%8."/>
      <w:lvlJc w:val="left"/>
      <w:pPr>
        <w:tabs>
          <w:tab w:val="num" w:pos="6480"/>
        </w:tabs>
        <w:ind w:left="667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5A70F954">
      <w:start w:val="1"/>
      <w:numFmt w:val="lowerRoman"/>
      <w:lvlText w:val="%9."/>
      <w:lvlJc w:val="left"/>
      <w:pPr>
        <w:tabs>
          <w:tab w:val="num" w:pos="7200"/>
        </w:tabs>
        <w:ind w:left="739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15:restartNumberingAfterBreak="0">
    <w:nsid w:val="374223A1"/>
    <w:multiLevelType w:val="hybridMultilevel"/>
    <w:tmpl w:val="12360778"/>
    <w:styleLink w:val="Importovanstyl2"/>
    <w:lvl w:ilvl="0" w:tplc="E0441F5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BEE9AAE">
      <w:start w:val="1"/>
      <w:numFmt w:val="lowerLetter"/>
      <w:suff w:val="nothing"/>
      <w:lvlText w:val="%2."/>
      <w:lvlJc w:val="left"/>
      <w:pPr>
        <w:ind w:left="1247" w:hanging="167"/>
      </w:pPr>
      <w:rPr>
        <w:rFonts w:hAnsi="Arial Unicode MS"/>
        <w:b/>
        <w:bCs/>
        <w:caps w:val="0"/>
        <w:smallCaps w:val="0"/>
        <w:strike w:val="0"/>
        <w:dstrike w:val="0"/>
        <w:outline w:val="0"/>
        <w:emboss w:val="0"/>
        <w:imprint w:val="0"/>
        <w:spacing w:val="0"/>
        <w:w w:val="100"/>
        <w:kern w:val="0"/>
        <w:position w:val="0"/>
        <w:highlight w:val="none"/>
        <w:vertAlign w:val="baseline"/>
      </w:rPr>
    </w:lvl>
    <w:lvl w:ilvl="2" w:tplc="9488BE26">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98A013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1127BD8">
      <w:start w:val="1"/>
      <w:numFmt w:val="lowerLetter"/>
      <w:lvlText w:val="%5."/>
      <w:lvlJc w:val="left"/>
      <w:pPr>
        <w:ind w:left="3515" w:hanging="275"/>
      </w:pPr>
      <w:rPr>
        <w:rFonts w:hAnsi="Arial Unicode MS"/>
        <w:b/>
        <w:bCs/>
        <w:caps w:val="0"/>
        <w:smallCaps w:val="0"/>
        <w:strike w:val="0"/>
        <w:dstrike w:val="0"/>
        <w:outline w:val="0"/>
        <w:emboss w:val="0"/>
        <w:imprint w:val="0"/>
        <w:spacing w:val="0"/>
        <w:w w:val="100"/>
        <w:kern w:val="0"/>
        <w:position w:val="0"/>
        <w:highlight w:val="none"/>
        <w:vertAlign w:val="baseline"/>
      </w:rPr>
    </w:lvl>
    <w:lvl w:ilvl="5" w:tplc="A7469224">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FA80A17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D76463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950DFE8">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EC70C94"/>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8" w15:restartNumberingAfterBreak="0">
    <w:nsid w:val="41005A6B"/>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4468E6"/>
    <w:multiLevelType w:val="hybridMultilevel"/>
    <w:tmpl w:val="3508E94A"/>
    <w:styleLink w:val="Importovanstyl7"/>
    <w:lvl w:ilvl="0" w:tplc="5FAEEF74">
      <w:start w:val="1"/>
      <w:numFmt w:val="decimal"/>
      <w:lvlText w:val="%1."/>
      <w:lvlJc w:val="left"/>
      <w:pPr>
        <w:tabs>
          <w:tab w:val="left" w:pos="624"/>
          <w:tab w:val="left" w:pos="1247"/>
          <w:tab w:val="num" w:pos="1814"/>
          <w:tab w:val="left" w:pos="1872"/>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C156B4DA">
      <w:start w:val="1"/>
      <w:numFmt w:val="lowerLetter"/>
      <w:lvlText w:val="%2."/>
      <w:lvlJc w:val="left"/>
      <w:pPr>
        <w:tabs>
          <w:tab w:val="left" w:pos="624"/>
          <w:tab w:val="left" w:pos="1247"/>
          <w:tab w:val="left" w:pos="1814"/>
          <w:tab w:val="left" w:pos="1872"/>
          <w:tab w:val="num" w:pos="2534"/>
          <w:tab w:val="left" w:pos="2948"/>
          <w:tab w:val="left" w:pos="3515"/>
          <w:tab w:val="left" w:pos="4082"/>
          <w:tab w:val="left" w:pos="4368"/>
          <w:tab w:val="left" w:pos="4992"/>
          <w:tab w:val="left" w:pos="5616"/>
          <w:tab w:val="left" w:pos="6240"/>
          <w:tab w:val="left" w:pos="6864"/>
          <w:tab w:val="left" w:pos="7488"/>
          <w:tab w:val="left" w:pos="8112"/>
          <w:tab w:val="left" w:pos="8736"/>
        </w:tabs>
        <w:ind w:left="1967" w:firstLine="249"/>
      </w:pPr>
      <w:rPr>
        <w:rFonts w:hAnsi="Arial Unicode MS"/>
        <w:caps w:val="0"/>
        <w:smallCaps w:val="0"/>
        <w:strike w:val="0"/>
        <w:dstrike w:val="0"/>
        <w:outline w:val="0"/>
        <w:emboss w:val="0"/>
        <w:imprint w:val="0"/>
        <w:spacing w:val="0"/>
        <w:w w:val="100"/>
        <w:kern w:val="0"/>
        <w:position w:val="0"/>
        <w:highlight w:val="none"/>
        <w:vertAlign w:val="baseline"/>
      </w:rPr>
    </w:lvl>
    <w:lvl w:ilvl="2" w:tplc="B28C3058">
      <w:start w:val="1"/>
      <w:numFmt w:val="lowerRoman"/>
      <w:lvlText w:val="%3."/>
      <w:lvlJc w:val="left"/>
      <w:pPr>
        <w:tabs>
          <w:tab w:val="left" w:pos="624"/>
          <w:tab w:val="left" w:pos="1247"/>
          <w:tab w:val="left" w:pos="1814"/>
          <w:tab w:val="left" w:pos="1872"/>
          <w:tab w:val="left" w:pos="2381"/>
          <w:tab w:val="left" w:pos="2948"/>
          <w:tab w:val="num" w:pos="3254"/>
          <w:tab w:val="left" w:pos="3515"/>
          <w:tab w:val="left" w:pos="4082"/>
          <w:tab w:val="left" w:pos="4368"/>
          <w:tab w:val="left" w:pos="4992"/>
          <w:tab w:val="left" w:pos="5616"/>
          <w:tab w:val="left" w:pos="6240"/>
          <w:tab w:val="left" w:pos="6864"/>
          <w:tab w:val="left" w:pos="7488"/>
          <w:tab w:val="left" w:pos="8112"/>
          <w:tab w:val="left" w:pos="8736"/>
        </w:tabs>
        <w:ind w:left="2687" w:firstLine="214"/>
      </w:pPr>
      <w:rPr>
        <w:rFonts w:hAnsi="Arial Unicode MS"/>
        <w:caps w:val="0"/>
        <w:smallCaps w:val="0"/>
        <w:strike w:val="0"/>
        <w:dstrike w:val="0"/>
        <w:outline w:val="0"/>
        <w:emboss w:val="0"/>
        <w:imprint w:val="0"/>
        <w:spacing w:val="0"/>
        <w:w w:val="100"/>
        <w:kern w:val="0"/>
        <w:position w:val="0"/>
        <w:highlight w:val="none"/>
        <w:vertAlign w:val="baseline"/>
      </w:rPr>
    </w:lvl>
    <w:lvl w:ilvl="3" w:tplc="22AEB576">
      <w:start w:val="1"/>
      <w:numFmt w:val="decimal"/>
      <w:lvlText w:val="%4."/>
      <w:lvlJc w:val="left"/>
      <w:pPr>
        <w:tabs>
          <w:tab w:val="left" w:pos="624"/>
          <w:tab w:val="left" w:pos="1247"/>
          <w:tab w:val="left" w:pos="1814"/>
          <w:tab w:val="left" w:pos="1872"/>
          <w:tab w:val="left" w:pos="2381"/>
          <w:tab w:val="left" w:pos="2948"/>
          <w:tab w:val="left" w:pos="3515"/>
          <w:tab w:val="num" w:pos="3974"/>
          <w:tab w:val="left" w:pos="4082"/>
          <w:tab w:val="left" w:pos="4368"/>
          <w:tab w:val="left" w:pos="4992"/>
          <w:tab w:val="left" w:pos="5616"/>
          <w:tab w:val="left" w:pos="6240"/>
          <w:tab w:val="left" w:pos="6864"/>
          <w:tab w:val="left" w:pos="7488"/>
          <w:tab w:val="left" w:pos="8112"/>
          <w:tab w:val="left" w:pos="8736"/>
        </w:tabs>
        <w:ind w:left="3407" w:firstLine="230"/>
      </w:pPr>
      <w:rPr>
        <w:rFonts w:hAnsi="Arial Unicode MS"/>
        <w:caps w:val="0"/>
        <w:smallCaps w:val="0"/>
        <w:strike w:val="0"/>
        <w:dstrike w:val="0"/>
        <w:outline w:val="0"/>
        <w:emboss w:val="0"/>
        <w:imprint w:val="0"/>
        <w:spacing w:val="0"/>
        <w:w w:val="100"/>
        <w:kern w:val="0"/>
        <w:position w:val="0"/>
        <w:highlight w:val="none"/>
        <w:vertAlign w:val="baseline"/>
      </w:rPr>
    </w:lvl>
    <w:lvl w:ilvl="4" w:tplc="16B43460">
      <w:start w:val="1"/>
      <w:numFmt w:val="lowerLetter"/>
      <w:lvlText w:val="%5."/>
      <w:lvlJc w:val="left"/>
      <w:pPr>
        <w:tabs>
          <w:tab w:val="left" w:pos="624"/>
          <w:tab w:val="left" w:pos="1247"/>
          <w:tab w:val="left" w:pos="1814"/>
          <w:tab w:val="left" w:pos="1872"/>
          <w:tab w:val="left" w:pos="2381"/>
          <w:tab w:val="left" w:pos="2948"/>
          <w:tab w:val="left" w:pos="3515"/>
          <w:tab w:val="left" w:pos="4082"/>
          <w:tab w:val="left" w:pos="4368"/>
          <w:tab w:val="num" w:pos="4694"/>
          <w:tab w:val="left" w:pos="4992"/>
          <w:tab w:val="left" w:pos="5616"/>
          <w:tab w:val="left" w:pos="6240"/>
          <w:tab w:val="left" w:pos="6864"/>
          <w:tab w:val="left" w:pos="7488"/>
          <w:tab w:val="left" w:pos="8112"/>
          <w:tab w:val="left" w:pos="8736"/>
        </w:tabs>
        <w:ind w:left="4127" w:firstLine="326"/>
      </w:pPr>
      <w:rPr>
        <w:rFonts w:hAnsi="Arial Unicode MS"/>
        <w:caps w:val="0"/>
        <w:smallCaps w:val="0"/>
        <w:strike w:val="0"/>
        <w:dstrike w:val="0"/>
        <w:outline w:val="0"/>
        <w:emboss w:val="0"/>
        <w:imprint w:val="0"/>
        <w:spacing w:val="0"/>
        <w:w w:val="100"/>
        <w:kern w:val="0"/>
        <w:position w:val="0"/>
        <w:highlight w:val="none"/>
        <w:vertAlign w:val="baseline"/>
      </w:rPr>
    </w:lvl>
    <w:lvl w:ilvl="5" w:tplc="A112D4CC">
      <w:start w:val="1"/>
      <w:numFmt w:val="lowerRoman"/>
      <w:lvlText w:val="%6."/>
      <w:lvlJc w:val="left"/>
      <w:pPr>
        <w:tabs>
          <w:tab w:val="left" w:pos="624"/>
          <w:tab w:val="left" w:pos="1247"/>
          <w:tab w:val="left" w:pos="1814"/>
          <w:tab w:val="left" w:pos="1872"/>
          <w:tab w:val="left" w:pos="2381"/>
          <w:tab w:val="left" w:pos="2948"/>
          <w:tab w:val="left" w:pos="3515"/>
          <w:tab w:val="left" w:pos="4082"/>
          <w:tab w:val="left" w:pos="4368"/>
          <w:tab w:val="num" w:pos="5414"/>
          <w:tab w:val="left" w:pos="5616"/>
          <w:tab w:val="left" w:pos="6240"/>
          <w:tab w:val="left" w:pos="6864"/>
          <w:tab w:val="left" w:pos="7488"/>
          <w:tab w:val="left" w:pos="8112"/>
          <w:tab w:val="left" w:pos="8736"/>
        </w:tabs>
        <w:ind w:left="4847"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1068CB3E">
      <w:start w:val="1"/>
      <w:numFmt w:val="decimal"/>
      <w:lvlText w:val="%7."/>
      <w:lvlJc w:val="left"/>
      <w:pPr>
        <w:tabs>
          <w:tab w:val="left" w:pos="624"/>
          <w:tab w:val="left" w:pos="1247"/>
          <w:tab w:val="left" w:pos="1814"/>
          <w:tab w:val="left" w:pos="1872"/>
          <w:tab w:val="left" w:pos="2381"/>
          <w:tab w:val="left" w:pos="2948"/>
          <w:tab w:val="left" w:pos="3515"/>
          <w:tab w:val="left" w:pos="4082"/>
          <w:tab w:val="left" w:pos="4368"/>
          <w:tab w:val="left" w:pos="4992"/>
          <w:tab w:val="num" w:pos="6134"/>
          <w:tab w:val="left" w:pos="6240"/>
          <w:tab w:val="left" w:pos="6864"/>
          <w:tab w:val="left" w:pos="7488"/>
          <w:tab w:val="left" w:pos="8112"/>
          <w:tab w:val="left" w:pos="8736"/>
        </w:tabs>
        <w:ind w:left="5567" w:hanging="106"/>
      </w:pPr>
      <w:rPr>
        <w:rFonts w:hAnsi="Arial Unicode MS"/>
        <w:caps w:val="0"/>
        <w:smallCaps w:val="0"/>
        <w:strike w:val="0"/>
        <w:dstrike w:val="0"/>
        <w:outline w:val="0"/>
        <w:emboss w:val="0"/>
        <w:imprint w:val="0"/>
        <w:spacing w:val="0"/>
        <w:w w:val="100"/>
        <w:kern w:val="0"/>
        <w:position w:val="0"/>
        <w:highlight w:val="none"/>
        <w:vertAlign w:val="baseline"/>
      </w:rPr>
    </w:lvl>
    <w:lvl w:ilvl="7" w:tplc="893896F6">
      <w:start w:val="1"/>
      <w:numFmt w:val="lowerLetter"/>
      <w:lvlText w:val="%8."/>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num" w:pos="6854"/>
          <w:tab w:val="left" w:pos="6864"/>
          <w:tab w:val="left" w:pos="7488"/>
          <w:tab w:val="left" w:pos="8112"/>
          <w:tab w:val="left" w:pos="8736"/>
        </w:tabs>
        <w:ind w:left="6287" w:hanging="10"/>
      </w:pPr>
      <w:rPr>
        <w:rFonts w:hAnsi="Arial Unicode MS"/>
        <w:caps w:val="0"/>
        <w:smallCaps w:val="0"/>
        <w:strike w:val="0"/>
        <w:dstrike w:val="0"/>
        <w:outline w:val="0"/>
        <w:emboss w:val="0"/>
        <w:imprint w:val="0"/>
        <w:spacing w:val="0"/>
        <w:w w:val="100"/>
        <w:kern w:val="0"/>
        <w:position w:val="0"/>
        <w:highlight w:val="none"/>
        <w:vertAlign w:val="baseline"/>
      </w:rPr>
    </w:lvl>
    <w:lvl w:ilvl="8" w:tplc="D3AC2610">
      <w:start w:val="1"/>
      <w:numFmt w:val="lowerRoman"/>
      <w:lvlText w:val="%9."/>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left" w:pos="6864"/>
          <w:tab w:val="num" w:pos="7574"/>
          <w:tab w:val="left" w:pos="8112"/>
          <w:tab w:val="left" w:pos="8736"/>
        </w:tabs>
        <w:ind w:left="7007" w:firstLine="1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DBA1577"/>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4" w15:restartNumberingAfterBreak="0">
    <w:nsid w:val="515310B5"/>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5" w15:restartNumberingAfterBreak="0">
    <w:nsid w:val="52A66A9D"/>
    <w:multiLevelType w:val="multilevel"/>
    <w:tmpl w:val="CF301E8E"/>
    <w:styleLink w:val="Normallist"/>
    <w:lvl w:ilvl="0">
      <w:start w:val="1"/>
      <w:numFmt w:val="decimal"/>
      <w:pStyle w:val="Normalnumber"/>
      <w:lvlText w:val="%1."/>
      <w:lvlJc w:val="left"/>
      <w:pPr>
        <w:tabs>
          <w:tab w:val="num" w:pos="1057"/>
        </w:tabs>
        <w:ind w:left="1170" w:firstLine="0"/>
      </w:pPr>
      <w:rPr>
        <w:rFonts w:hint="default"/>
      </w:rPr>
    </w:lvl>
    <w:lvl w:ilvl="1">
      <w:start w:val="1"/>
      <w:numFmt w:val="lowerLetter"/>
      <w:lvlText w:val="(%2)"/>
      <w:lvlJc w:val="left"/>
      <w:pPr>
        <w:tabs>
          <w:tab w:val="num" w:pos="1057"/>
        </w:tabs>
        <w:ind w:left="1170" w:firstLine="567"/>
      </w:pPr>
      <w:rPr>
        <w:rFonts w:hint="default"/>
      </w:rPr>
    </w:lvl>
    <w:lvl w:ilvl="2">
      <w:start w:val="1"/>
      <w:numFmt w:val="lowerRoman"/>
      <w:lvlText w:val="(%3)"/>
      <w:lvlJc w:val="left"/>
      <w:pPr>
        <w:tabs>
          <w:tab w:val="num" w:pos="1057"/>
        </w:tabs>
        <w:ind w:left="2871" w:hanging="567"/>
      </w:pPr>
      <w:rPr>
        <w:rFonts w:hint="default"/>
      </w:rPr>
    </w:lvl>
    <w:lvl w:ilvl="3">
      <w:start w:val="1"/>
      <w:numFmt w:val="lowerLetter"/>
      <w:lvlText w:val="%4."/>
      <w:lvlJc w:val="left"/>
      <w:pPr>
        <w:tabs>
          <w:tab w:val="num" w:pos="1057"/>
        </w:tabs>
        <w:ind w:left="3438" w:hanging="567"/>
      </w:pPr>
      <w:rPr>
        <w:rFonts w:hint="default"/>
      </w:rPr>
    </w:lvl>
    <w:lvl w:ilvl="4">
      <w:start w:val="1"/>
      <w:numFmt w:val="lowerRoman"/>
      <w:lvlText w:val="%5."/>
      <w:lvlJc w:val="left"/>
      <w:pPr>
        <w:tabs>
          <w:tab w:val="num" w:pos="1057"/>
        </w:tabs>
        <w:ind w:left="4005" w:hanging="567"/>
      </w:pPr>
      <w:rPr>
        <w:rFonts w:hint="default"/>
      </w:rPr>
    </w:lvl>
    <w:lvl w:ilvl="5">
      <w:start w:val="1"/>
      <w:numFmt w:val="lowerRoman"/>
      <w:lvlText w:val="%6."/>
      <w:lvlJc w:val="right"/>
      <w:pPr>
        <w:tabs>
          <w:tab w:val="num" w:pos="7758"/>
        </w:tabs>
        <w:ind w:left="7758" w:hanging="180"/>
      </w:pPr>
      <w:rPr>
        <w:rFonts w:hint="default"/>
      </w:rPr>
    </w:lvl>
    <w:lvl w:ilvl="6">
      <w:start w:val="1"/>
      <w:numFmt w:val="decimal"/>
      <w:lvlText w:val="%7."/>
      <w:lvlJc w:val="left"/>
      <w:pPr>
        <w:tabs>
          <w:tab w:val="num" w:pos="8478"/>
        </w:tabs>
        <w:ind w:left="8478" w:hanging="360"/>
      </w:pPr>
      <w:rPr>
        <w:rFonts w:hint="default"/>
      </w:rPr>
    </w:lvl>
    <w:lvl w:ilvl="7">
      <w:start w:val="1"/>
      <w:numFmt w:val="lowerLetter"/>
      <w:lvlText w:val="%8."/>
      <w:lvlJc w:val="left"/>
      <w:pPr>
        <w:tabs>
          <w:tab w:val="num" w:pos="9198"/>
        </w:tabs>
        <w:ind w:left="9198" w:hanging="360"/>
      </w:pPr>
      <w:rPr>
        <w:rFonts w:hint="default"/>
      </w:rPr>
    </w:lvl>
    <w:lvl w:ilvl="8">
      <w:start w:val="1"/>
      <w:numFmt w:val="lowerRoman"/>
      <w:lvlText w:val="%9."/>
      <w:lvlJc w:val="right"/>
      <w:pPr>
        <w:tabs>
          <w:tab w:val="num" w:pos="9918"/>
        </w:tabs>
        <w:ind w:left="9918" w:hanging="180"/>
      </w:pPr>
      <w:rPr>
        <w:rFonts w:hint="default"/>
      </w:rPr>
    </w:lvl>
  </w:abstractNum>
  <w:abstractNum w:abstractNumId="26" w15:restartNumberingAfterBreak="0">
    <w:nsid w:val="5CB4301B"/>
    <w:multiLevelType w:val="hybridMultilevel"/>
    <w:tmpl w:val="6A70E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103A86"/>
    <w:multiLevelType w:val="hybridMultilevel"/>
    <w:tmpl w:val="B6D6A768"/>
    <w:styleLink w:val="Importovanstyl40"/>
    <w:lvl w:ilvl="0" w:tplc="B972F866">
      <w:start w:val="1"/>
      <w:numFmt w:val="bullet"/>
      <w:lvlText w:val="·"/>
      <w:lvlJc w:val="left"/>
      <w:pPr>
        <w:tabs>
          <w:tab w:val="num"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8A8338">
      <w:start w:val="1"/>
      <w:numFmt w:val="bullet"/>
      <w:lvlText w:val="o"/>
      <w:lvlJc w:val="left"/>
      <w:pPr>
        <w:tabs>
          <w:tab w:val="left" w:pos="624"/>
          <w:tab w:val="num"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53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129948">
      <w:start w:val="1"/>
      <w:numFmt w:val="bullet"/>
      <w:lvlText w:val="▪"/>
      <w:lvlJc w:val="left"/>
      <w:pPr>
        <w:tabs>
          <w:tab w:val="left" w:pos="624"/>
          <w:tab w:val="left" w:pos="1248"/>
          <w:tab w:val="left" w:pos="1872"/>
          <w:tab w:val="num" w:pos="2160"/>
          <w:tab w:val="left" w:pos="2496"/>
          <w:tab w:val="left" w:pos="3120"/>
          <w:tab w:val="left" w:pos="3744"/>
          <w:tab w:val="left" w:pos="4368"/>
          <w:tab w:val="left" w:pos="4992"/>
          <w:tab w:val="left" w:pos="5616"/>
          <w:tab w:val="left" w:pos="6240"/>
          <w:tab w:val="left" w:pos="6864"/>
          <w:tab w:val="left" w:pos="7488"/>
          <w:tab w:val="left" w:pos="8112"/>
          <w:tab w:val="left" w:pos="8736"/>
        </w:tabs>
        <w:ind w:left="22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3012AA">
      <w:start w:val="1"/>
      <w:numFmt w:val="bullet"/>
      <w:lvlText w:val="·"/>
      <w:lvlJc w:val="left"/>
      <w:pPr>
        <w:tabs>
          <w:tab w:val="left" w:pos="624"/>
          <w:tab w:val="left" w:pos="1248"/>
          <w:tab w:val="left" w:pos="1872"/>
          <w:tab w:val="left" w:pos="2496"/>
          <w:tab w:val="num" w:pos="2880"/>
          <w:tab w:val="left" w:pos="3120"/>
          <w:tab w:val="left" w:pos="3744"/>
          <w:tab w:val="left" w:pos="4368"/>
          <w:tab w:val="left" w:pos="4992"/>
          <w:tab w:val="left" w:pos="5616"/>
          <w:tab w:val="left" w:pos="6240"/>
          <w:tab w:val="left" w:pos="6864"/>
          <w:tab w:val="left" w:pos="7488"/>
          <w:tab w:val="left" w:pos="8112"/>
          <w:tab w:val="left" w:pos="8736"/>
        </w:tabs>
        <w:ind w:left="297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D2B684">
      <w:start w:val="1"/>
      <w:numFmt w:val="bullet"/>
      <w:lvlText w:val="o"/>
      <w:lvlJc w:val="left"/>
      <w:pPr>
        <w:tabs>
          <w:tab w:val="left" w:pos="624"/>
          <w:tab w:val="left" w:pos="1248"/>
          <w:tab w:val="left" w:pos="1872"/>
          <w:tab w:val="left" w:pos="2496"/>
          <w:tab w:val="left" w:pos="3120"/>
          <w:tab w:val="num" w:pos="3600"/>
          <w:tab w:val="left" w:pos="3744"/>
          <w:tab w:val="left" w:pos="4368"/>
          <w:tab w:val="left" w:pos="4992"/>
          <w:tab w:val="left" w:pos="5616"/>
          <w:tab w:val="left" w:pos="6240"/>
          <w:tab w:val="left" w:pos="6864"/>
          <w:tab w:val="left" w:pos="7488"/>
          <w:tab w:val="left" w:pos="8112"/>
          <w:tab w:val="left" w:pos="8736"/>
        </w:tabs>
        <w:ind w:left="369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E25E0A">
      <w:start w:val="1"/>
      <w:numFmt w:val="bullet"/>
      <w:lvlText w:val="▪"/>
      <w:lvlJc w:val="left"/>
      <w:pPr>
        <w:tabs>
          <w:tab w:val="left" w:pos="624"/>
          <w:tab w:val="left" w:pos="1248"/>
          <w:tab w:val="left" w:pos="1872"/>
          <w:tab w:val="left" w:pos="2496"/>
          <w:tab w:val="left" w:pos="3120"/>
          <w:tab w:val="left" w:pos="3744"/>
          <w:tab w:val="num" w:pos="4320"/>
          <w:tab w:val="left" w:pos="4368"/>
          <w:tab w:val="left" w:pos="4992"/>
          <w:tab w:val="left" w:pos="5616"/>
          <w:tab w:val="left" w:pos="6240"/>
          <w:tab w:val="left" w:pos="6864"/>
          <w:tab w:val="left" w:pos="7488"/>
          <w:tab w:val="left" w:pos="8112"/>
          <w:tab w:val="left" w:pos="8736"/>
        </w:tabs>
        <w:ind w:left="441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AC2C9E">
      <w:start w:val="1"/>
      <w:numFmt w:val="bullet"/>
      <w:lvlText w:val="·"/>
      <w:lvlJc w:val="left"/>
      <w:pPr>
        <w:tabs>
          <w:tab w:val="left" w:pos="624"/>
          <w:tab w:val="left" w:pos="1248"/>
          <w:tab w:val="left" w:pos="1872"/>
          <w:tab w:val="left" w:pos="2496"/>
          <w:tab w:val="left" w:pos="3120"/>
          <w:tab w:val="left" w:pos="3744"/>
          <w:tab w:val="left" w:pos="4368"/>
          <w:tab w:val="num" w:pos="5040"/>
          <w:tab w:val="left" w:pos="5616"/>
          <w:tab w:val="left" w:pos="6240"/>
          <w:tab w:val="left" w:pos="6864"/>
          <w:tab w:val="left" w:pos="7488"/>
          <w:tab w:val="left" w:pos="8112"/>
          <w:tab w:val="left" w:pos="8736"/>
        </w:tabs>
        <w:ind w:left="513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4D5A6">
      <w:start w:val="1"/>
      <w:numFmt w:val="bullet"/>
      <w:lvlText w:val="o"/>
      <w:lvlJc w:val="left"/>
      <w:pPr>
        <w:tabs>
          <w:tab w:val="left" w:pos="624"/>
          <w:tab w:val="left" w:pos="1248"/>
          <w:tab w:val="left" w:pos="1872"/>
          <w:tab w:val="left" w:pos="2496"/>
          <w:tab w:val="left" w:pos="3120"/>
          <w:tab w:val="left" w:pos="3744"/>
          <w:tab w:val="left" w:pos="4368"/>
          <w:tab w:val="left" w:pos="4992"/>
          <w:tab w:val="num" w:pos="5760"/>
          <w:tab w:val="left" w:pos="6240"/>
          <w:tab w:val="left" w:pos="6864"/>
          <w:tab w:val="left" w:pos="7488"/>
          <w:tab w:val="left" w:pos="8112"/>
          <w:tab w:val="left" w:pos="8736"/>
        </w:tabs>
        <w:ind w:left="58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0FC9EF4">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num" w:pos="6480"/>
          <w:tab w:val="left" w:pos="6864"/>
          <w:tab w:val="left" w:pos="7488"/>
          <w:tab w:val="left" w:pos="8112"/>
          <w:tab w:val="left" w:pos="8736"/>
        </w:tabs>
        <w:ind w:left="657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695F26"/>
    <w:multiLevelType w:val="hybridMultilevel"/>
    <w:tmpl w:val="E9F4FA48"/>
    <w:styleLink w:val="Importovanstyl11"/>
    <w:lvl w:ilvl="0" w:tplc="20BAD746">
      <w:start w:val="1"/>
      <w:numFmt w:val="decimal"/>
      <w:suff w:val="nothing"/>
      <w:lvlText w:val="%1."/>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8E30B6">
      <w:start w:val="1"/>
      <w:numFmt w:val="lowerLetter"/>
      <w:suff w:val="nothing"/>
      <w:lvlText w:val="%2."/>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A49142">
      <w:start w:val="1"/>
      <w:numFmt w:val="lowerRoman"/>
      <w:lvlText w:val="%3."/>
      <w:lvlJc w:val="left"/>
      <w:pPr>
        <w:tabs>
          <w:tab w:val="left" w:pos="624"/>
          <w:tab w:val="left" w:pos="1247"/>
          <w:tab w:val="left" w:pos="1814"/>
          <w:tab w:val="left" w:pos="2160"/>
          <w:tab w:val="left" w:pos="2381"/>
          <w:tab w:val="left" w:pos="2948"/>
          <w:tab w:val="left" w:pos="3515"/>
          <w:tab w:val="left" w:pos="4082"/>
          <w:tab w:val="num" w:pos="4260"/>
          <w:tab w:val="left" w:pos="4368"/>
          <w:tab w:val="left" w:pos="4992"/>
          <w:tab w:val="left" w:pos="5616"/>
          <w:tab w:val="left" w:pos="6240"/>
          <w:tab w:val="left" w:pos="6864"/>
          <w:tab w:val="left" w:pos="7488"/>
          <w:tab w:val="left" w:pos="8112"/>
          <w:tab w:val="left" w:pos="8736"/>
        </w:tabs>
        <w:ind w:left="3347" w:firstLine="7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DA7866">
      <w:start w:val="1"/>
      <w:numFmt w:val="decimal"/>
      <w:lvlText w:val="%4."/>
      <w:lvlJc w:val="left"/>
      <w:pPr>
        <w:tabs>
          <w:tab w:val="left" w:pos="624"/>
          <w:tab w:val="left" w:pos="1247"/>
          <w:tab w:val="left" w:pos="1814"/>
          <w:tab w:val="num" w:pos="2128"/>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15" w:firstLine="75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942738C">
      <w:start w:val="1"/>
      <w:numFmt w:val="lowerLetter"/>
      <w:lvlText w:val="(%5)"/>
      <w:lvlJc w:val="left"/>
      <w:pPr>
        <w:tabs>
          <w:tab w:val="left" w:pos="624"/>
          <w:tab w:val="left" w:pos="1247"/>
          <w:tab w:val="left" w:pos="1814"/>
          <w:tab w:val="num"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3E691E8">
      <w:start w:val="1"/>
      <w:numFmt w:val="lowerRoman"/>
      <w:lvlText w:val="%6."/>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F61142">
      <w:start w:val="1"/>
      <w:numFmt w:val="decimal"/>
      <w:lvlText w:val="%7."/>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3AAB78">
      <w:start w:val="1"/>
      <w:numFmt w:val="lowerLetter"/>
      <w:suff w:val="nothing"/>
      <w:lvlText w:val="%8."/>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381" w:firstLine="7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DA4EE7E">
      <w:start w:val="1"/>
      <w:numFmt w:val="lowerRoman"/>
      <w:lvlText w:val="%9."/>
      <w:lvlJc w:val="left"/>
      <w:pPr>
        <w:tabs>
          <w:tab w:val="left" w:pos="624"/>
          <w:tab w:val="left" w:pos="1247"/>
          <w:tab w:val="left" w:pos="1814"/>
          <w:tab w:val="left" w:pos="2160"/>
          <w:tab w:val="left" w:pos="2381"/>
          <w:tab w:val="left" w:pos="2948"/>
          <w:tab w:val="left" w:pos="3515"/>
          <w:tab w:val="left" w:pos="4082"/>
          <w:tab w:val="num" w:pos="4428"/>
          <w:tab w:val="left" w:pos="4992"/>
          <w:tab w:val="left" w:pos="5616"/>
          <w:tab w:val="left" w:pos="6240"/>
          <w:tab w:val="left" w:pos="6864"/>
          <w:tab w:val="left" w:pos="7488"/>
          <w:tab w:val="left" w:pos="8112"/>
          <w:tab w:val="left" w:pos="8736"/>
        </w:tabs>
        <w:ind w:left="3515" w:firstLine="44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6B6F6149"/>
    <w:multiLevelType w:val="hybridMultilevel"/>
    <w:tmpl w:val="EE085AE2"/>
    <w:lvl w:ilvl="0" w:tplc="BF8255B6">
      <w:start w:val="1"/>
      <w:numFmt w:val="lowerRoman"/>
      <w:lvlText w:val="(%1)"/>
      <w:lvlJc w:val="left"/>
      <w:pPr>
        <w:ind w:left="3311" w:hanging="360"/>
      </w:pPr>
      <w:rPr>
        <w:rFonts w:hint="default"/>
        <w:caps w:val="0"/>
        <w:strike w:val="0"/>
        <w:dstrike w:val="0"/>
        <w:vanish w:val="0"/>
        <w:vertAlign w:val="baseline"/>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1" w15:restartNumberingAfterBreak="0">
    <w:nsid w:val="6D2E5757"/>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2" w15:restartNumberingAfterBreak="0">
    <w:nsid w:val="6DD1335B"/>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3" w15:restartNumberingAfterBreak="0">
    <w:nsid w:val="6EEB757D"/>
    <w:multiLevelType w:val="multilevel"/>
    <w:tmpl w:val="26B0AFA6"/>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4" w15:restartNumberingAfterBreak="0">
    <w:nsid w:val="6F097094"/>
    <w:multiLevelType w:val="hybridMultilevel"/>
    <w:tmpl w:val="3FC6F656"/>
    <w:styleLink w:val="Importovanstyl10"/>
    <w:lvl w:ilvl="0" w:tplc="DED069C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CE05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493B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EE261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58FF5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E5FF6">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AFDA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6A755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64351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4DC7D49"/>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7"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8" w15:restartNumberingAfterBreak="0">
    <w:nsid w:val="7C0C2742"/>
    <w:multiLevelType w:val="hybridMultilevel"/>
    <w:tmpl w:val="B1906DA0"/>
    <w:styleLink w:val="Importovanstyl9"/>
    <w:lvl w:ilvl="0" w:tplc="EE780ACA">
      <w:start w:val="1"/>
      <w:numFmt w:val="bullet"/>
      <w:lvlText w:val="·"/>
      <w:lvlJc w:val="left"/>
      <w:pPr>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C05CA8">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C8DE5E">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2E3D0">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08CBF4">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E9FCC">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7661EE">
      <w:start w:val="1"/>
      <w:numFmt w:val="bullet"/>
      <w:lvlText w:val="·"/>
      <w:lvlJc w:val="left"/>
      <w:pPr>
        <w:tabs>
          <w:tab w:val="left" w:pos="624"/>
          <w:tab w:val="left" w:pos="1248"/>
          <w:tab w:val="left" w:pos="1872"/>
          <w:tab w:val="left" w:pos="2496"/>
          <w:tab w:val="left" w:pos="3120"/>
          <w:tab w:val="left" w:pos="3744"/>
          <w:tab w:val="left" w:pos="4368"/>
          <w:tab w:val="left" w:pos="5616"/>
          <w:tab w:val="left" w:pos="6240"/>
          <w:tab w:val="left" w:pos="6864"/>
          <w:tab w:val="left" w:pos="7488"/>
          <w:tab w:val="left" w:pos="8112"/>
          <w:tab w:val="left" w:pos="873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762F10">
      <w:start w:val="1"/>
      <w:numFmt w:val="bullet"/>
      <w:lvlText w:val="o"/>
      <w:lvlJc w:val="left"/>
      <w:pPr>
        <w:tabs>
          <w:tab w:val="left" w:pos="624"/>
          <w:tab w:val="left" w:pos="1248"/>
          <w:tab w:val="left" w:pos="1872"/>
          <w:tab w:val="left" w:pos="2496"/>
          <w:tab w:val="left" w:pos="3120"/>
          <w:tab w:val="left" w:pos="3744"/>
          <w:tab w:val="left" w:pos="4368"/>
          <w:tab w:val="left" w:pos="4992"/>
          <w:tab w:val="left" w:pos="6240"/>
          <w:tab w:val="left" w:pos="6864"/>
          <w:tab w:val="left" w:pos="7488"/>
          <w:tab w:val="left" w:pos="8112"/>
          <w:tab w:val="left" w:pos="873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626FC2">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864"/>
          <w:tab w:val="left" w:pos="7488"/>
          <w:tab w:val="left" w:pos="8112"/>
          <w:tab w:val="left" w:pos="873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13"/>
  </w:num>
  <w:num w:numId="3">
    <w:abstractNumId w:val="25"/>
  </w:num>
  <w:num w:numId="4">
    <w:abstractNumId w:val="0"/>
  </w:num>
  <w:num w:numId="5">
    <w:abstractNumId w:val="37"/>
  </w:num>
  <w:num w:numId="6">
    <w:abstractNumId w:val="14"/>
  </w:num>
  <w:num w:numId="7">
    <w:abstractNumId w:val="34"/>
  </w:num>
  <w:num w:numId="8">
    <w:abstractNumId w:val="19"/>
  </w:num>
  <w:num w:numId="9">
    <w:abstractNumId w:val="12"/>
  </w:num>
  <w:num w:numId="10">
    <w:abstractNumId w:val="8"/>
  </w:num>
  <w:num w:numId="11">
    <w:abstractNumId w:val="2"/>
  </w:num>
  <w:num w:numId="12">
    <w:abstractNumId w:val="27"/>
  </w:num>
  <w:num w:numId="13">
    <w:abstractNumId w:val="21"/>
  </w:num>
  <w:num w:numId="14">
    <w:abstractNumId w:val="29"/>
  </w:num>
  <w:num w:numId="15">
    <w:abstractNumId w:val="38"/>
  </w:num>
  <w:num w:numId="16">
    <w:abstractNumId w:val="9"/>
  </w:num>
  <w:num w:numId="17">
    <w:abstractNumId w:val="28"/>
  </w:num>
  <w:num w:numId="18">
    <w:abstractNumId w:val="26"/>
  </w:num>
  <w:num w:numId="19">
    <w:abstractNumId w:val="20"/>
  </w:num>
  <w:num w:numId="20">
    <w:abstractNumId w:val="35"/>
  </w:num>
  <w:num w:numId="21">
    <w:abstractNumId w:val="16"/>
  </w:num>
  <w:num w:numId="22">
    <w:abstractNumId w:val="15"/>
  </w:num>
  <w:num w:numId="23">
    <w:abstractNumId w:val="22"/>
  </w:num>
  <w:num w:numId="24">
    <w:abstractNumId w:val="3"/>
  </w:num>
  <w:num w:numId="25">
    <w:abstractNumId w:val="17"/>
  </w:num>
  <w:num w:numId="26">
    <w:abstractNumId w:val="1"/>
  </w:num>
  <w:num w:numId="27">
    <w:abstractNumId w:val="31"/>
  </w:num>
  <w:num w:numId="28">
    <w:abstractNumId w:val="18"/>
  </w:num>
  <w:num w:numId="29">
    <w:abstractNumId w:val="7"/>
  </w:num>
  <w:num w:numId="30">
    <w:abstractNumId w:val="23"/>
  </w:num>
  <w:num w:numId="31">
    <w:abstractNumId w:val="11"/>
  </w:num>
  <w:num w:numId="32">
    <w:abstractNumId w:val="32"/>
  </w:num>
  <w:num w:numId="33">
    <w:abstractNumId w:val="10"/>
  </w:num>
  <w:num w:numId="34">
    <w:abstractNumId w:val="36"/>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33"/>
  </w:num>
  <w:num w:numId="41">
    <w:abstractNumId w:val="30"/>
  </w:num>
  <w:num w:numId="42">
    <w:abstractNumId w:val="4"/>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activeWritingStyle w:appName="MSWord" w:lang="es-ES_tradnl" w:vendorID="64" w:dllVersion="0" w:nlCheck="1" w:checkStyle="0"/>
  <w:activeWritingStyle w:appName="MSWord" w:lang="en-CA" w:vendorID="64" w:dllVersion="0" w:nlCheck="1" w:checkStyle="1"/>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8"/>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632"/>
    <w:rsid w:val="00000E4A"/>
    <w:rsid w:val="00001203"/>
    <w:rsid w:val="000024A3"/>
    <w:rsid w:val="000036E7"/>
    <w:rsid w:val="000036FF"/>
    <w:rsid w:val="000037FB"/>
    <w:rsid w:val="000057BB"/>
    <w:rsid w:val="000070C6"/>
    <w:rsid w:val="0000753A"/>
    <w:rsid w:val="000077AD"/>
    <w:rsid w:val="00011195"/>
    <w:rsid w:val="00011A16"/>
    <w:rsid w:val="000149E6"/>
    <w:rsid w:val="00021D8A"/>
    <w:rsid w:val="00023DA9"/>
    <w:rsid w:val="000247B0"/>
    <w:rsid w:val="00025EEA"/>
    <w:rsid w:val="00026997"/>
    <w:rsid w:val="00026A08"/>
    <w:rsid w:val="00031D51"/>
    <w:rsid w:val="00031FB4"/>
    <w:rsid w:val="00032E4E"/>
    <w:rsid w:val="00033E0B"/>
    <w:rsid w:val="00035D43"/>
    <w:rsid w:val="00035EDE"/>
    <w:rsid w:val="000372AE"/>
    <w:rsid w:val="00037D6E"/>
    <w:rsid w:val="00042403"/>
    <w:rsid w:val="00045118"/>
    <w:rsid w:val="000469C5"/>
    <w:rsid w:val="00050198"/>
    <w:rsid w:val="000509B4"/>
    <w:rsid w:val="000520BB"/>
    <w:rsid w:val="00053FAF"/>
    <w:rsid w:val="000552EC"/>
    <w:rsid w:val="0005595B"/>
    <w:rsid w:val="00057607"/>
    <w:rsid w:val="0006035B"/>
    <w:rsid w:val="0006096F"/>
    <w:rsid w:val="00061AD2"/>
    <w:rsid w:val="00062378"/>
    <w:rsid w:val="000646D6"/>
    <w:rsid w:val="000649C5"/>
    <w:rsid w:val="00064D68"/>
    <w:rsid w:val="00065AE4"/>
    <w:rsid w:val="00065B65"/>
    <w:rsid w:val="000661F5"/>
    <w:rsid w:val="000672E7"/>
    <w:rsid w:val="0006745A"/>
    <w:rsid w:val="000704ED"/>
    <w:rsid w:val="00070DB5"/>
    <w:rsid w:val="0007122C"/>
    <w:rsid w:val="000715BF"/>
    <w:rsid w:val="00071886"/>
    <w:rsid w:val="000719AF"/>
    <w:rsid w:val="00071E7C"/>
    <w:rsid w:val="00072949"/>
    <w:rsid w:val="00072BEF"/>
    <w:rsid w:val="00073DF4"/>
    <w:rsid w:val="000742BC"/>
    <w:rsid w:val="000747DC"/>
    <w:rsid w:val="00075CA5"/>
    <w:rsid w:val="00076B69"/>
    <w:rsid w:val="00076CC6"/>
    <w:rsid w:val="0008012D"/>
    <w:rsid w:val="00082A0C"/>
    <w:rsid w:val="00083504"/>
    <w:rsid w:val="00084E3C"/>
    <w:rsid w:val="00085A59"/>
    <w:rsid w:val="00086D76"/>
    <w:rsid w:val="00090991"/>
    <w:rsid w:val="00091911"/>
    <w:rsid w:val="00091CFB"/>
    <w:rsid w:val="00092851"/>
    <w:rsid w:val="00092A5D"/>
    <w:rsid w:val="000931C4"/>
    <w:rsid w:val="0009640C"/>
    <w:rsid w:val="000A1C24"/>
    <w:rsid w:val="000A2084"/>
    <w:rsid w:val="000A70B5"/>
    <w:rsid w:val="000A7A6F"/>
    <w:rsid w:val="000B07BD"/>
    <w:rsid w:val="000B0C89"/>
    <w:rsid w:val="000B22A2"/>
    <w:rsid w:val="000B541B"/>
    <w:rsid w:val="000B73F9"/>
    <w:rsid w:val="000C2A52"/>
    <w:rsid w:val="000C2A88"/>
    <w:rsid w:val="000C34E1"/>
    <w:rsid w:val="000C7164"/>
    <w:rsid w:val="000D0C86"/>
    <w:rsid w:val="000D2531"/>
    <w:rsid w:val="000D31ED"/>
    <w:rsid w:val="000D33C0"/>
    <w:rsid w:val="000D4992"/>
    <w:rsid w:val="000D4CF6"/>
    <w:rsid w:val="000D5641"/>
    <w:rsid w:val="000D6941"/>
    <w:rsid w:val="000D754C"/>
    <w:rsid w:val="000E18D1"/>
    <w:rsid w:val="000E1F91"/>
    <w:rsid w:val="000E35E5"/>
    <w:rsid w:val="000F29C6"/>
    <w:rsid w:val="000F2BA4"/>
    <w:rsid w:val="000F38EF"/>
    <w:rsid w:val="000F3DCD"/>
    <w:rsid w:val="000F4740"/>
    <w:rsid w:val="000F4829"/>
    <w:rsid w:val="000F5FAF"/>
    <w:rsid w:val="000F6B21"/>
    <w:rsid w:val="000F6B31"/>
    <w:rsid w:val="000F7198"/>
    <w:rsid w:val="000F747D"/>
    <w:rsid w:val="001027D3"/>
    <w:rsid w:val="0010293D"/>
    <w:rsid w:val="00102A3D"/>
    <w:rsid w:val="00102EFB"/>
    <w:rsid w:val="00104FEA"/>
    <w:rsid w:val="001060F8"/>
    <w:rsid w:val="0010665A"/>
    <w:rsid w:val="00106767"/>
    <w:rsid w:val="00107C89"/>
    <w:rsid w:val="001109F0"/>
    <w:rsid w:val="00110CD6"/>
    <w:rsid w:val="00110F2F"/>
    <w:rsid w:val="001112AE"/>
    <w:rsid w:val="00111814"/>
    <w:rsid w:val="00114F9D"/>
    <w:rsid w:val="001202E3"/>
    <w:rsid w:val="00120AA5"/>
    <w:rsid w:val="00120FD3"/>
    <w:rsid w:val="00123699"/>
    <w:rsid w:val="001241FB"/>
    <w:rsid w:val="00126C0D"/>
    <w:rsid w:val="00127CC5"/>
    <w:rsid w:val="0013059D"/>
    <w:rsid w:val="00131C08"/>
    <w:rsid w:val="00133D4F"/>
    <w:rsid w:val="00134632"/>
    <w:rsid w:val="00136187"/>
    <w:rsid w:val="001372BF"/>
    <w:rsid w:val="00141A55"/>
    <w:rsid w:val="00141CFA"/>
    <w:rsid w:val="001422D6"/>
    <w:rsid w:val="0014293F"/>
    <w:rsid w:val="0014397D"/>
    <w:rsid w:val="0014407E"/>
    <w:rsid w:val="00144358"/>
    <w:rsid w:val="001446A3"/>
    <w:rsid w:val="00152B6B"/>
    <w:rsid w:val="00153A62"/>
    <w:rsid w:val="0015478A"/>
    <w:rsid w:val="00155395"/>
    <w:rsid w:val="00155A2F"/>
    <w:rsid w:val="00156B6B"/>
    <w:rsid w:val="00157C6B"/>
    <w:rsid w:val="00160D74"/>
    <w:rsid w:val="001621E4"/>
    <w:rsid w:val="00162B18"/>
    <w:rsid w:val="00162D6D"/>
    <w:rsid w:val="001646EA"/>
    <w:rsid w:val="001648BD"/>
    <w:rsid w:val="00166ECF"/>
    <w:rsid w:val="00167D02"/>
    <w:rsid w:val="001700CC"/>
    <w:rsid w:val="001702CC"/>
    <w:rsid w:val="0017173B"/>
    <w:rsid w:val="001728D4"/>
    <w:rsid w:val="001730EF"/>
    <w:rsid w:val="0017328E"/>
    <w:rsid w:val="001759D8"/>
    <w:rsid w:val="001777EB"/>
    <w:rsid w:val="00177D7F"/>
    <w:rsid w:val="00180C3F"/>
    <w:rsid w:val="00181EC8"/>
    <w:rsid w:val="00184271"/>
    <w:rsid w:val="00184349"/>
    <w:rsid w:val="001869BC"/>
    <w:rsid w:val="00187678"/>
    <w:rsid w:val="001902A7"/>
    <w:rsid w:val="00193398"/>
    <w:rsid w:val="001936B3"/>
    <w:rsid w:val="001943E5"/>
    <w:rsid w:val="001943FF"/>
    <w:rsid w:val="00195F33"/>
    <w:rsid w:val="001A0BD4"/>
    <w:rsid w:val="001A0FDF"/>
    <w:rsid w:val="001A47E5"/>
    <w:rsid w:val="001A4C8F"/>
    <w:rsid w:val="001A63F4"/>
    <w:rsid w:val="001B0016"/>
    <w:rsid w:val="001B0685"/>
    <w:rsid w:val="001B0AA1"/>
    <w:rsid w:val="001B1617"/>
    <w:rsid w:val="001B2062"/>
    <w:rsid w:val="001B258D"/>
    <w:rsid w:val="001B36F7"/>
    <w:rsid w:val="001B5022"/>
    <w:rsid w:val="001B504B"/>
    <w:rsid w:val="001B6F98"/>
    <w:rsid w:val="001C02DD"/>
    <w:rsid w:val="001C0675"/>
    <w:rsid w:val="001C15F2"/>
    <w:rsid w:val="001C191A"/>
    <w:rsid w:val="001C4146"/>
    <w:rsid w:val="001C4163"/>
    <w:rsid w:val="001D15F2"/>
    <w:rsid w:val="001D1E83"/>
    <w:rsid w:val="001D2394"/>
    <w:rsid w:val="001D256E"/>
    <w:rsid w:val="001D2C11"/>
    <w:rsid w:val="001D3874"/>
    <w:rsid w:val="001D412C"/>
    <w:rsid w:val="001D5DDB"/>
    <w:rsid w:val="001D642C"/>
    <w:rsid w:val="001D7E75"/>
    <w:rsid w:val="001E0D73"/>
    <w:rsid w:val="001E45BD"/>
    <w:rsid w:val="001E5528"/>
    <w:rsid w:val="001E56D2"/>
    <w:rsid w:val="001E6467"/>
    <w:rsid w:val="001E7D56"/>
    <w:rsid w:val="001F0066"/>
    <w:rsid w:val="001F260E"/>
    <w:rsid w:val="001F302D"/>
    <w:rsid w:val="001F4DAE"/>
    <w:rsid w:val="001F5186"/>
    <w:rsid w:val="001F63D6"/>
    <w:rsid w:val="001F7075"/>
    <w:rsid w:val="001F75DE"/>
    <w:rsid w:val="00200817"/>
    <w:rsid w:val="00200D58"/>
    <w:rsid w:val="002011C1"/>
    <w:rsid w:val="002013BE"/>
    <w:rsid w:val="00201EDC"/>
    <w:rsid w:val="00202017"/>
    <w:rsid w:val="00202952"/>
    <w:rsid w:val="00202BAB"/>
    <w:rsid w:val="00203354"/>
    <w:rsid w:val="00203B08"/>
    <w:rsid w:val="00204F7D"/>
    <w:rsid w:val="002063A4"/>
    <w:rsid w:val="00206438"/>
    <w:rsid w:val="0021145B"/>
    <w:rsid w:val="0021728D"/>
    <w:rsid w:val="002200EC"/>
    <w:rsid w:val="00220C23"/>
    <w:rsid w:val="002227BC"/>
    <w:rsid w:val="002227C4"/>
    <w:rsid w:val="002247F6"/>
    <w:rsid w:val="00224D60"/>
    <w:rsid w:val="00225BD8"/>
    <w:rsid w:val="00225E21"/>
    <w:rsid w:val="00225E44"/>
    <w:rsid w:val="0022791A"/>
    <w:rsid w:val="00227FB1"/>
    <w:rsid w:val="00230051"/>
    <w:rsid w:val="00232941"/>
    <w:rsid w:val="00232FD3"/>
    <w:rsid w:val="00234050"/>
    <w:rsid w:val="00234E78"/>
    <w:rsid w:val="002405B2"/>
    <w:rsid w:val="00240A85"/>
    <w:rsid w:val="00240DE9"/>
    <w:rsid w:val="00242422"/>
    <w:rsid w:val="00242C63"/>
    <w:rsid w:val="00243815"/>
    <w:rsid w:val="00243D36"/>
    <w:rsid w:val="00245FF0"/>
    <w:rsid w:val="00246151"/>
    <w:rsid w:val="00246BA1"/>
    <w:rsid w:val="002471A7"/>
    <w:rsid w:val="00247707"/>
    <w:rsid w:val="00250709"/>
    <w:rsid w:val="00251309"/>
    <w:rsid w:val="00251884"/>
    <w:rsid w:val="00252456"/>
    <w:rsid w:val="002526A4"/>
    <w:rsid w:val="00252B16"/>
    <w:rsid w:val="002546DE"/>
    <w:rsid w:val="0025634B"/>
    <w:rsid w:val="00257B17"/>
    <w:rsid w:val="0026018E"/>
    <w:rsid w:val="002608C2"/>
    <w:rsid w:val="00262426"/>
    <w:rsid w:val="0026409E"/>
    <w:rsid w:val="002651EE"/>
    <w:rsid w:val="00266601"/>
    <w:rsid w:val="002677DD"/>
    <w:rsid w:val="00270AE8"/>
    <w:rsid w:val="0027235D"/>
    <w:rsid w:val="0027268E"/>
    <w:rsid w:val="00272EB8"/>
    <w:rsid w:val="00273774"/>
    <w:rsid w:val="002739D3"/>
    <w:rsid w:val="0027457B"/>
    <w:rsid w:val="00275512"/>
    <w:rsid w:val="0027553A"/>
    <w:rsid w:val="00275B63"/>
    <w:rsid w:val="00281BA3"/>
    <w:rsid w:val="00284BB2"/>
    <w:rsid w:val="00285DA7"/>
    <w:rsid w:val="00286740"/>
    <w:rsid w:val="0028782E"/>
    <w:rsid w:val="002910D8"/>
    <w:rsid w:val="00291719"/>
    <w:rsid w:val="00291EAE"/>
    <w:rsid w:val="002929D8"/>
    <w:rsid w:val="00296258"/>
    <w:rsid w:val="002978D6"/>
    <w:rsid w:val="00297ED4"/>
    <w:rsid w:val="002A00AC"/>
    <w:rsid w:val="002A0B1D"/>
    <w:rsid w:val="002A0B81"/>
    <w:rsid w:val="002A237D"/>
    <w:rsid w:val="002A2D72"/>
    <w:rsid w:val="002A4C53"/>
    <w:rsid w:val="002A4F76"/>
    <w:rsid w:val="002A6F2C"/>
    <w:rsid w:val="002A760E"/>
    <w:rsid w:val="002A7B6E"/>
    <w:rsid w:val="002A7CFE"/>
    <w:rsid w:val="002B0672"/>
    <w:rsid w:val="002B1DCB"/>
    <w:rsid w:val="002B247F"/>
    <w:rsid w:val="002B28FC"/>
    <w:rsid w:val="002B2C65"/>
    <w:rsid w:val="002B4663"/>
    <w:rsid w:val="002B50D4"/>
    <w:rsid w:val="002B53ED"/>
    <w:rsid w:val="002B58BF"/>
    <w:rsid w:val="002C103B"/>
    <w:rsid w:val="002C145D"/>
    <w:rsid w:val="002C2C3E"/>
    <w:rsid w:val="002C533E"/>
    <w:rsid w:val="002C64B5"/>
    <w:rsid w:val="002C6C95"/>
    <w:rsid w:val="002C7AF1"/>
    <w:rsid w:val="002D027F"/>
    <w:rsid w:val="002D1263"/>
    <w:rsid w:val="002D189F"/>
    <w:rsid w:val="002D3E15"/>
    <w:rsid w:val="002D4357"/>
    <w:rsid w:val="002D7A85"/>
    <w:rsid w:val="002D7B60"/>
    <w:rsid w:val="002E1211"/>
    <w:rsid w:val="002E1230"/>
    <w:rsid w:val="002E30A2"/>
    <w:rsid w:val="002E363B"/>
    <w:rsid w:val="002E5627"/>
    <w:rsid w:val="002E7A5A"/>
    <w:rsid w:val="002F099A"/>
    <w:rsid w:val="002F0E48"/>
    <w:rsid w:val="002F1B55"/>
    <w:rsid w:val="002F4761"/>
    <w:rsid w:val="002F58E7"/>
    <w:rsid w:val="002F5C79"/>
    <w:rsid w:val="002F68EE"/>
    <w:rsid w:val="002F6CA8"/>
    <w:rsid w:val="003019E2"/>
    <w:rsid w:val="00301E5D"/>
    <w:rsid w:val="00304824"/>
    <w:rsid w:val="00304B54"/>
    <w:rsid w:val="00304C58"/>
    <w:rsid w:val="00305D35"/>
    <w:rsid w:val="00306717"/>
    <w:rsid w:val="00310BEB"/>
    <w:rsid w:val="0031166A"/>
    <w:rsid w:val="003125D2"/>
    <w:rsid w:val="00312694"/>
    <w:rsid w:val="0031413F"/>
    <w:rsid w:val="00314854"/>
    <w:rsid w:val="003148BB"/>
    <w:rsid w:val="0031656C"/>
    <w:rsid w:val="00317976"/>
    <w:rsid w:val="00320F2F"/>
    <w:rsid w:val="00321309"/>
    <w:rsid w:val="00321692"/>
    <w:rsid w:val="00321CF5"/>
    <w:rsid w:val="00322099"/>
    <w:rsid w:val="0032457E"/>
    <w:rsid w:val="00325086"/>
    <w:rsid w:val="00325D38"/>
    <w:rsid w:val="003275CD"/>
    <w:rsid w:val="00330050"/>
    <w:rsid w:val="003304C0"/>
    <w:rsid w:val="00330B20"/>
    <w:rsid w:val="00335BBC"/>
    <w:rsid w:val="00336528"/>
    <w:rsid w:val="003379E2"/>
    <w:rsid w:val="00340F36"/>
    <w:rsid w:val="00341A29"/>
    <w:rsid w:val="00341F7D"/>
    <w:rsid w:val="00342254"/>
    <w:rsid w:val="0034334A"/>
    <w:rsid w:val="00352636"/>
    <w:rsid w:val="0035277E"/>
    <w:rsid w:val="003542E3"/>
    <w:rsid w:val="0035477F"/>
    <w:rsid w:val="00355EA9"/>
    <w:rsid w:val="003570F7"/>
    <w:rsid w:val="00357627"/>
    <w:rsid w:val="003578DE"/>
    <w:rsid w:val="00361688"/>
    <w:rsid w:val="003617F8"/>
    <w:rsid w:val="00366DBE"/>
    <w:rsid w:val="00367FD2"/>
    <w:rsid w:val="003707BB"/>
    <w:rsid w:val="003712B9"/>
    <w:rsid w:val="0037411A"/>
    <w:rsid w:val="00375E80"/>
    <w:rsid w:val="00376334"/>
    <w:rsid w:val="00380921"/>
    <w:rsid w:val="00380FC1"/>
    <w:rsid w:val="00382EF4"/>
    <w:rsid w:val="003836EE"/>
    <w:rsid w:val="00385026"/>
    <w:rsid w:val="003873AA"/>
    <w:rsid w:val="003877D5"/>
    <w:rsid w:val="00390A98"/>
    <w:rsid w:val="00390E22"/>
    <w:rsid w:val="00390E35"/>
    <w:rsid w:val="003929B8"/>
    <w:rsid w:val="00392B9A"/>
    <w:rsid w:val="00392FF3"/>
    <w:rsid w:val="00393432"/>
    <w:rsid w:val="00394339"/>
    <w:rsid w:val="00394FAA"/>
    <w:rsid w:val="0039609C"/>
    <w:rsid w:val="00396257"/>
    <w:rsid w:val="00396D6A"/>
    <w:rsid w:val="003974EB"/>
    <w:rsid w:val="00397EB8"/>
    <w:rsid w:val="003A2909"/>
    <w:rsid w:val="003A330E"/>
    <w:rsid w:val="003A4FD0"/>
    <w:rsid w:val="003A54C6"/>
    <w:rsid w:val="003A6732"/>
    <w:rsid w:val="003A69D1"/>
    <w:rsid w:val="003A75A0"/>
    <w:rsid w:val="003A7705"/>
    <w:rsid w:val="003A77F1"/>
    <w:rsid w:val="003B02C8"/>
    <w:rsid w:val="003B1545"/>
    <w:rsid w:val="003B16C1"/>
    <w:rsid w:val="003B3534"/>
    <w:rsid w:val="003B4C6C"/>
    <w:rsid w:val="003B7751"/>
    <w:rsid w:val="003B7AB6"/>
    <w:rsid w:val="003C0EC0"/>
    <w:rsid w:val="003C1126"/>
    <w:rsid w:val="003C1853"/>
    <w:rsid w:val="003C2854"/>
    <w:rsid w:val="003C3219"/>
    <w:rsid w:val="003C3511"/>
    <w:rsid w:val="003C409D"/>
    <w:rsid w:val="003C4544"/>
    <w:rsid w:val="003C4F5E"/>
    <w:rsid w:val="003C4FEC"/>
    <w:rsid w:val="003C5109"/>
    <w:rsid w:val="003C5583"/>
    <w:rsid w:val="003C5BA6"/>
    <w:rsid w:val="003C6542"/>
    <w:rsid w:val="003C71C6"/>
    <w:rsid w:val="003C74CF"/>
    <w:rsid w:val="003D1816"/>
    <w:rsid w:val="003D3752"/>
    <w:rsid w:val="003D57E3"/>
    <w:rsid w:val="003D7069"/>
    <w:rsid w:val="003E15B3"/>
    <w:rsid w:val="003E1ED6"/>
    <w:rsid w:val="003E35DA"/>
    <w:rsid w:val="003E455D"/>
    <w:rsid w:val="003F0E85"/>
    <w:rsid w:val="003F292F"/>
    <w:rsid w:val="003F2B2E"/>
    <w:rsid w:val="003F37A6"/>
    <w:rsid w:val="003F3983"/>
    <w:rsid w:val="003F41CF"/>
    <w:rsid w:val="003F424B"/>
    <w:rsid w:val="003F4DDD"/>
    <w:rsid w:val="003F66EC"/>
    <w:rsid w:val="00400CDF"/>
    <w:rsid w:val="00402309"/>
    <w:rsid w:val="0040261A"/>
    <w:rsid w:val="00402697"/>
    <w:rsid w:val="00402E91"/>
    <w:rsid w:val="00403F8A"/>
    <w:rsid w:val="00405461"/>
    <w:rsid w:val="00410C55"/>
    <w:rsid w:val="004114B4"/>
    <w:rsid w:val="00412AB9"/>
    <w:rsid w:val="00413F4F"/>
    <w:rsid w:val="00415067"/>
    <w:rsid w:val="00415A75"/>
    <w:rsid w:val="00415F8B"/>
    <w:rsid w:val="0041621B"/>
    <w:rsid w:val="00416854"/>
    <w:rsid w:val="00417138"/>
    <w:rsid w:val="00417725"/>
    <w:rsid w:val="00420504"/>
    <w:rsid w:val="00420EFF"/>
    <w:rsid w:val="0042266F"/>
    <w:rsid w:val="00424B90"/>
    <w:rsid w:val="0042507A"/>
    <w:rsid w:val="00426EDE"/>
    <w:rsid w:val="0042702F"/>
    <w:rsid w:val="004300C7"/>
    <w:rsid w:val="004305FE"/>
    <w:rsid w:val="00430FFF"/>
    <w:rsid w:val="004312D4"/>
    <w:rsid w:val="00431324"/>
    <w:rsid w:val="00431332"/>
    <w:rsid w:val="00432756"/>
    <w:rsid w:val="00432816"/>
    <w:rsid w:val="00434321"/>
    <w:rsid w:val="00434AD2"/>
    <w:rsid w:val="0043548F"/>
    <w:rsid w:val="00435932"/>
    <w:rsid w:val="00437D9C"/>
    <w:rsid w:val="00437F26"/>
    <w:rsid w:val="00441988"/>
    <w:rsid w:val="00443215"/>
    <w:rsid w:val="00444097"/>
    <w:rsid w:val="00444C98"/>
    <w:rsid w:val="00445487"/>
    <w:rsid w:val="00447AC6"/>
    <w:rsid w:val="00447E0D"/>
    <w:rsid w:val="00452AC2"/>
    <w:rsid w:val="00453EA8"/>
    <w:rsid w:val="00454769"/>
    <w:rsid w:val="004573B3"/>
    <w:rsid w:val="00457BAD"/>
    <w:rsid w:val="00460F09"/>
    <w:rsid w:val="004616FA"/>
    <w:rsid w:val="004628E6"/>
    <w:rsid w:val="00462A0E"/>
    <w:rsid w:val="00464CAF"/>
    <w:rsid w:val="00466991"/>
    <w:rsid w:val="00467C6D"/>
    <w:rsid w:val="0047064C"/>
    <w:rsid w:val="00471404"/>
    <w:rsid w:val="00471735"/>
    <w:rsid w:val="00472C6F"/>
    <w:rsid w:val="00473F4D"/>
    <w:rsid w:val="0047594B"/>
    <w:rsid w:val="004815D5"/>
    <w:rsid w:val="004822B7"/>
    <w:rsid w:val="004823E9"/>
    <w:rsid w:val="0048284A"/>
    <w:rsid w:val="0048336A"/>
    <w:rsid w:val="00483B21"/>
    <w:rsid w:val="00484BDA"/>
    <w:rsid w:val="00485239"/>
    <w:rsid w:val="00487987"/>
    <w:rsid w:val="00490D63"/>
    <w:rsid w:val="00490F85"/>
    <w:rsid w:val="00492BE5"/>
    <w:rsid w:val="0049469E"/>
    <w:rsid w:val="0049608E"/>
    <w:rsid w:val="004A0678"/>
    <w:rsid w:val="004A1AD8"/>
    <w:rsid w:val="004A2217"/>
    <w:rsid w:val="004A24F9"/>
    <w:rsid w:val="004A2E61"/>
    <w:rsid w:val="004A42E1"/>
    <w:rsid w:val="004A6C92"/>
    <w:rsid w:val="004B09D7"/>
    <w:rsid w:val="004B162C"/>
    <w:rsid w:val="004B1DA7"/>
    <w:rsid w:val="004B2ABE"/>
    <w:rsid w:val="004B5046"/>
    <w:rsid w:val="004C01B2"/>
    <w:rsid w:val="004C3405"/>
    <w:rsid w:val="004C35C1"/>
    <w:rsid w:val="004C3DBE"/>
    <w:rsid w:val="004C415B"/>
    <w:rsid w:val="004C4B12"/>
    <w:rsid w:val="004C5C96"/>
    <w:rsid w:val="004C6306"/>
    <w:rsid w:val="004D06A4"/>
    <w:rsid w:val="004D22A0"/>
    <w:rsid w:val="004D3F15"/>
    <w:rsid w:val="004D4146"/>
    <w:rsid w:val="004D467D"/>
    <w:rsid w:val="004D51E9"/>
    <w:rsid w:val="004D5EE4"/>
    <w:rsid w:val="004D7243"/>
    <w:rsid w:val="004D78F9"/>
    <w:rsid w:val="004E0CF6"/>
    <w:rsid w:val="004E1675"/>
    <w:rsid w:val="004E2BAB"/>
    <w:rsid w:val="004E769D"/>
    <w:rsid w:val="004F1A81"/>
    <w:rsid w:val="004F32D5"/>
    <w:rsid w:val="004F5D88"/>
    <w:rsid w:val="004F6BAB"/>
    <w:rsid w:val="00501354"/>
    <w:rsid w:val="0050193C"/>
    <w:rsid w:val="00505018"/>
    <w:rsid w:val="005050D2"/>
    <w:rsid w:val="00507025"/>
    <w:rsid w:val="00507B22"/>
    <w:rsid w:val="00511201"/>
    <w:rsid w:val="00511A27"/>
    <w:rsid w:val="00512F75"/>
    <w:rsid w:val="00520902"/>
    <w:rsid w:val="005218D9"/>
    <w:rsid w:val="00525143"/>
    <w:rsid w:val="00526CFB"/>
    <w:rsid w:val="00526F1F"/>
    <w:rsid w:val="00527A65"/>
    <w:rsid w:val="0053048D"/>
    <w:rsid w:val="00531937"/>
    <w:rsid w:val="0053235C"/>
    <w:rsid w:val="00535A3B"/>
    <w:rsid w:val="00535FC9"/>
    <w:rsid w:val="00536186"/>
    <w:rsid w:val="005372D9"/>
    <w:rsid w:val="00537D22"/>
    <w:rsid w:val="00544CBB"/>
    <w:rsid w:val="00551B65"/>
    <w:rsid w:val="00553233"/>
    <w:rsid w:val="005544D9"/>
    <w:rsid w:val="005550C4"/>
    <w:rsid w:val="00555D09"/>
    <w:rsid w:val="00555EC3"/>
    <w:rsid w:val="00556704"/>
    <w:rsid w:val="00556C20"/>
    <w:rsid w:val="00557273"/>
    <w:rsid w:val="005656D7"/>
    <w:rsid w:val="00566005"/>
    <w:rsid w:val="005663E2"/>
    <w:rsid w:val="0057315F"/>
    <w:rsid w:val="005738B8"/>
    <w:rsid w:val="00576104"/>
    <w:rsid w:val="005767F7"/>
    <w:rsid w:val="00581F92"/>
    <w:rsid w:val="00582543"/>
    <w:rsid w:val="005840B4"/>
    <w:rsid w:val="00584204"/>
    <w:rsid w:val="00584E56"/>
    <w:rsid w:val="00586055"/>
    <w:rsid w:val="00586418"/>
    <w:rsid w:val="00587B40"/>
    <w:rsid w:val="00587F60"/>
    <w:rsid w:val="00592ACD"/>
    <w:rsid w:val="00592B21"/>
    <w:rsid w:val="00596AFF"/>
    <w:rsid w:val="005A3D16"/>
    <w:rsid w:val="005A5FF3"/>
    <w:rsid w:val="005B2DF4"/>
    <w:rsid w:val="005B4165"/>
    <w:rsid w:val="005B44BF"/>
    <w:rsid w:val="005B588D"/>
    <w:rsid w:val="005C0022"/>
    <w:rsid w:val="005C0C69"/>
    <w:rsid w:val="005C353A"/>
    <w:rsid w:val="005C3DC7"/>
    <w:rsid w:val="005C54DB"/>
    <w:rsid w:val="005C641C"/>
    <w:rsid w:val="005C67C8"/>
    <w:rsid w:val="005D0249"/>
    <w:rsid w:val="005D1000"/>
    <w:rsid w:val="005D1005"/>
    <w:rsid w:val="005D137A"/>
    <w:rsid w:val="005D18FA"/>
    <w:rsid w:val="005D1A76"/>
    <w:rsid w:val="005D1E4A"/>
    <w:rsid w:val="005D2985"/>
    <w:rsid w:val="005D4FD4"/>
    <w:rsid w:val="005D5A7B"/>
    <w:rsid w:val="005D608B"/>
    <w:rsid w:val="005D6D69"/>
    <w:rsid w:val="005D6E8C"/>
    <w:rsid w:val="005E3004"/>
    <w:rsid w:val="005E4DC7"/>
    <w:rsid w:val="005E532E"/>
    <w:rsid w:val="005E702D"/>
    <w:rsid w:val="005F100C"/>
    <w:rsid w:val="005F2AF3"/>
    <w:rsid w:val="005F3897"/>
    <w:rsid w:val="005F68DA"/>
    <w:rsid w:val="005F7419"/>
    <w:rsid w:val="005F7687"/>
    <w:rsid w:val="005F7DAB"/>
    <w:rsid w:val="00601BC9"/>
    <w:rsid w:val="00602CB8"/>
    <w:rsid w:val="00603502"/>
    <w:rsid w:val="0060377A"/>
    <w:rsid w:val="006053AF"/>
    <w:rsid w:val="0060773B"/>
    <w:rsid w:val="006111FE"/>
    <w:rsid w:val="006113D0"/>
    <w:rsid w:val="00612F58"/>
    <w:rsid w:val="006138C1"/>
    <w:rsid w:val="00613A89"/>
    <w:rsid w:val="00613FD6"/>
    <w:rsid w:val="00614F00"/>
    <w:rsid w:val="006157B5"/>
    <w:rsid w:val="00617224"/>
    <w:rsid w:val="006207A4"/>
    <w:rsid w:val="006212A9"/>
    <w:rsid w:val="00622605"/>
    <w:rsid w:val="0062373F"/>
    <w:rsid w:val="00624BB6"/>
    <w:rsid w:val="00626FC6"/>
    <w:rsid w:val="006302E4"/>
    <w:rsid w:val="006303B4"/>
    <w:rsid w:val="00630ADC"/>
    <w:rsid w:val="00631600"/>
    <w:rsid w:val="00631F1F"/>
    <w:rsid w:val="0063248A"/>
    <w:rsid w:val="006325B1"/>
    <w:rsid w:val="0063284D"/>
    <w:rsid w:val="00632CEA"/>
    <w:rsid w:val="00633D3D"/>
    <w:rsid w:val="00634380"/>
    <w:rsid w:val="0063660C"/>
    <w:rsid w:val="00641703"/>
    <w:rsid w:val="006431A6"/>
    <w:rsid w:val="00643E3A"/>
    <w:rsid w:val="006459F6"/>
    <w:rsid w:val="00646B7E"/>
    <w:rsid w:val="006501AD"/>
    <w:rsid w:val="00650D54"/>
    <w:rsid w:val="0065125C"/>
    <w:rsid w:val="00651BFA"/>
    <w:rsid w:val="00651EFE"/>
    <w:rsid w:val="006536CC"/>
    <w:rsid w:val="00654475"/>
    <w:rsid w:val="00656DF0"/>
    <w:rsid w:val="00660975"/>
    <w:rsid w:val="00662434"/>
    <w:rsid w:val="0066267B"/>
    <w:rsid w:val="00662708"/>
    <w:rsid w:val="006645CD"/>
    <w:rsid w:val="00665A4B"/>
    <w:rsid w:val="0066671A"/>
    <w:rsid w:val="00670FAE"/>
    <w:rsid w:val="006765E2"/>
    <w:rsid w:val="00676B36"/>
    <w:rsid w:val="00676CA7"/>
    <w:rsid w:val="0068525D"/>
    <w:rsid w:val="00687623"/>
    <w:rsid w:val="006876CD"/>
    <w:rsid w:val="006907E5"/>
    <w:rsid w:val="00692E2A"/>
    <w:rsid w:val="0069496A"/>
    <w:rsid w:val="00696C1C"/>
    <w:rsid w:val="006A08EA"/>
    <w:rsid w:val="006A10B9"/>
    <w:rsid w:val="006A1927"/>
    <w:rsid w:val="006A4CF9"/>
    <w:rsid w:val="006A5A0B"/>
    <w:rsid w:val="006A5D6F"/>
    <w:rsid w:val="006A61B7"/>
    <w:rsid w:val="006A76F2"/>
    <w:rsid w:val="006B02FE"/>
    <w:rsid w:val="006B0778"/>
    <w:rsid w:val="006B5275"/>
    <w:rsid w:val="006B61D9"/>
    <w:rsid w:val="006B65F6"/>
    <w:rsid w:val="006B7D29"/>
    <w:rsid w:val="006C0253"/>
    <w:rsid w:val="006C1798"/>
    <w:rsid w:val="006C3D7D"/>
    <w:rsid w:val="006C5116"/>
    <w:rsid w:val="006C69A6"/>
    <w:rsid w:val="006C75E5"/>
    <w:rsid w:val="006D19D4"/>
    <w:rsid w:val="006D5644"/>
    <w:rsid w:val="006D7EFB"/>
    <w:rsid w:val="006E1536"/>
    <w:rsid w:val="006E3B29"/>
    <w:rsid w:val="006E474E"/>
    <w:rsid w:val="006E5A03"/>
    <w:rsid w:val="006E6672"/>
    <w:rsid w:val="006E6722"/>
    <w:rsid w:val="006E6CF2"/>
    <w:rsid w:val="006E73D8"/>
    <w:rsid w:val="006E7830"/>
    <w:rsid w:val="006E7D41"/>
    <w:rsid w:val="006F26FC"/>
    <w:rsid w:val="006F3218"/>
    <w:rsid w:val="006F3227"/>
    <w:rsid w:val="006F344B"/>
    <w:rsid w:val="006F345D"/>
    <w:rsid w:val="006F66A2"/>
    <w:rsid w:val="006F70B0"/>
    <w:rsid w:val="006F7558"/>
    <w:rsid w:val="006F7AFF"/>
    <w:rsid w:val="00700E93"/>
    <w:rsid w:val="0070107F"/>
    <w:rsid w:val="007027B9"/>
    <w:rsid w:val="007066B5"/>
    <w:rsid w:val="00706CD7"/>
    <w:rsid w:val="007104D6"/>
    <w:rsid w:val="00710FCF"/>
    <w:rsid w:val="0071167F"/>
    <w:rsid w:val="00711B94"/>
    <w:rsid w:val="007129E3"/>
    <w:rsid w:val="007134C8"/>
    <w:rsid w:val="00713DAC"/>
    <w:rsid w:val="007145DA"/>
    <w:rsid w:val="00714E9E"/>
    <w:rsid w:val="00715C2B"/>
    <w:rsid w:val="00715E88"/>
    <w:rsid w:val="00716D8B"/>
    <w:rsid w:val="00717E7D"/>
    <w:rsid w:val="00723CBD"/>
    <w:rsid w:val="00723F5D"/>
    <w:rsid w:val="00730BB6"/>
    <w:rsid w:val="00730D67"/>
    <w:rsid w:val="007342FE"/>
    <w:rsid w:val="00734CAA"/>
    <w:rsid w:val="007352DC"/>
    <w:rsid w:val="00735C03"/>
    <w:rsid w:val="0073702E"/>
    <w:rsid w:val="0074077D"/>
    <w:rsid w:val="00740EE2"/>
    <w:rsid w:val="00740F92"/>
    <w:rsid w:val="007411DD"/>
    <w:rsid w:val="007414A0"/>
    <w:rsid w:val="00741D33"/>
    <w:rsid w:val="00742680"/>
    <w:rsid w:val="00744E65"/>
    <w:rsid w:val="007453EA"/>
    <w:rsid w:val="00745572"/>
    <w:rsid w:val="00747A61"/>
    <w:rsid w:val="00750566"/>
    <w:rsid w:val="007524EE"/>
    <w:rsid w:val="0075533C"/>
    <w:rsid w:val="00755A18"/>
    <w:rsid w:val="00756D60"/>
    <w:rsid w:val="00757581"/>
    <w:rsid w:val="007602F5"/>
    <w:rsid w:val="00760D36"/>
    <w:rsid w:val="007611A0"/>
    <w:rsid w:val="00764034"/>
    <w:rsid w:val="00765113"/>
    <w:rsid w:val="00765151"/>
    <w:rsid w:val="00767F0C"/>
    <w:rsid w:val="00772574"/>
    <w:rsid w:val="00772D69"/>
    <w:rsid w:val="00773E54"/>
    <w:rsid w:val="007747A8"/>
    <w:rsid w:val="00775598"/>
    <w:rsid w:val="00775DB2"/>
    <w:rsid w:val="00776223"/>
    <w:rsid w:val="00780EA2"/>
    <w:rsid w:val="007861A9"/>
    <w:rsid w:val="007865CB"/>
    <w:rsid w:val="00787688"/>
    <w:rsid w:val="00787801"/>
    <w:rsid w:val="0079131D"/>
    <w:rsid w:val="007935E6"/>
    <w:rsid w:val="00794CF1"/>
    <w:rsid w:val="00795CC6"/>
    <w:rsid w:val="00796CFA"/>
    <w:rsid w:val="00796D3F"/>
    <w:rsid w:val="00796FAE"/>
    <w:rsid w:val="00797100"/>
    <w:rsid w:val="00797FA4"/>
    <w:rsid w:val="007A023C"/>
    <w:rsid w:val="007A074C"/>
    <w:rsid w:val="007A1683"/>
    <w:rsid w:val="007A41E9"/>
    <w:rsid w:val="007A5C12"/>
    <w:rsid w:val="007A6DEC"/>
    <w:rsid w:val="007A716D"/>
    <w:rsid w:val="007A7CB0"/>
    <w:rsid w:val="007B2729"/>
    <w:rsid w:val="007B3630"/>
    <w:rsid w:val="007B4B14"/>
    <w:rsid w:val="007B4C40"/>
    <w:rsid w:val="007B5987"/>
    <w:rsid w:val="007B68A3"/>
    <w:rsid w:val="007C2541"/>
    <w:rsid w:val="007C37AD"/>
    <w:rsid w:val="007C37D3"/>
    <w:rsid w:val="007C4CC7"/>
    <w:rsid w:val="007C66B8"/>
    <w:rsid w:val="007D188B"/>
    <w:rsid w:val="007D55BB"/>
    <w:rsid w:val="007D5610"/>
    <w:rsid w:val="007D60FA"/>
    <w:rsid w:val="007D66A8"/>
    <w:rsid w:val="007D681A"/>
    <w:rsid w:val="007D7CD3"/>
    <w:rsid w:val="007E003F"/>
    <w:rsid w:val="007E07D4"/>
    <w:rsid w:val="007E07DA"/>
    <w:rsid w:val="007E0F90"/>
    <w:rsid w:val="007E1E66"/>
    <w:rsid w:val="007E757B"/>
    <w:rsid w:val="007E795F"/>
    <w:rsid w:val="007F0CF8"/>
    <w:rsid w:val="007F1AF0"/>
    <w:rsid w:val="007F29E3"/>
    <w:rsid w:val="007F45A9"/>
    <w:rsid w:val="007F4CA3"/>
    <w:rsid w:val="007F5E1B"/>
    <w:rsid w:val="007F62CB"/>
    <w:rsid w:val="007F76F1"/>
    <w:rsid w:val="00800EE1"/>
    <w:rsid w:val="00801144"/>
    <w:rsid w:val="00802A98"/>
    <w:rsid w:val="00803778"/>
    <w:rsid w:val="00803B6C"/>
    <w:rsid w:val="00803E10"/>
    <w:rsid w:val="00804878"/>
    <w:rsid w:val="0080620A"/>
    <w:rsid w:val="00806FDA"/>
    <w:rsid w:val="008070CC"/>
    <w:rsid w:val="00811159"/>
    <w:rsid w:val="008122B1"/>
    <w:rsid w:val="00813D9C"/>
    <w:rsid w:val="008142EC"/>
    <w:rsid w:val="00814443"/>
    <w:rsid w:val="0081493D"/>
    <w:rsid w:val="00814E71"/>
    <w:rsid w:val="00815105"/>
    <w:rsid w:val="008164F2"/>
    <w:rsid w:val="00817D1C"/>
    <w:rsid w:val="00817DB0"/>
    <w:rsid w:val="00821395"/>
    <w:rsid w:val="00822AB0"/>
    <w:rsid w:val="00822FFF"/>
    <w:rsid w:val="008244FA"/>
    <w:rsid w:val="008248D9"/>
    <w:rsid w:val="00824FF8"/>
    <w:rsid w:val="00825DF7"/>
    <w:rsid w:val="00830E26"/>
    <w:rsid w:val="00830EA4"/>
    <w:rsid w:val="00832630"/>
    <w:rsid w:val="008330FC"/>
    <w:rsid w:val="00833217"/>
    <w:rsid w:val="00833AD0"/>
    <w:rsid w:val="00833C95"/>
    <w:rsid w:val="008340AE"/>
    <w:rsid w:val="00834368"/>
    <w:rsid w:val="0083441A"/>
    <w:rsid w:val="008345E4"/>
    <w:rsid w:val="0083774B"/>
    <w:rsid w:val="00840E72"/>
    <w:rsid w:val="00843576"/>
    <w:rsid w:val="00843A05"/>
    <w:rsid w:val="00843B64"/>
    <w:rsid w:val="00843F1A"/>
    <w:rsid w:val="008440E0"/>
    <w:rsid w:val="00845261"/>
    <w:rsid w:val="008478FC"/>
    <w:rsid w:val="00851861"/>
    <w:rsid w:val="00851C51"/>
    <w:rsid w:val="008538F7"/>
    <w:rsid w:val="00856047"/>
    <w:rsid w:val="00860880"/>
    <w:rsid w:val="00860BCE"/>
    <w:rsid w:val="00861732"/>
    <w:rsid w:val="008639DA"/>
    <w:rsid w:val="0086797F"/>
    <w:rsid w:val="00867BFF"/>
    <w:rsid w:val="00870FF6"/>
    <w:rsid w:val="00871542"/>
    <w:rsid w:val="008724DA"/>
    <w:rsid w:val="00872BF6"/>
    <w:rsid w:val="00873276"/>
    <w:rsid w:val="008747DD"/>
    <w:rsid w:val="00874CDF"/>
    <w:rsid w:val="00875ED5"/>
    <w:rsid w:val="00876610"/>
    <w:rsid w:val="00877007"/>
    <w:rsid w:val="00877D9D"/>
    <w:rsid w:val="008806E3"/>
    <w:rsid w:val="00883B5B"/>
    <w:rsid w:val="008842DC"/>
    <w:rsid w:val="0088480A"/>
    <w:rsid w:val="008868C9"/>
    <w:rsid w:val="008870B7"/>
    <w:rsid w:val="0088757A"/>
    <w:rsid w:val="00891028"/>
    <w:rsid w:val="008914D0"/>
    <w:rsid w:val="008921C9"/>
    <w:rsid w:val="00892D93"/>
    <w:rsid w:val="0089431B"/>
    <w:rsid w:val="00895668"/>
    <w:rsid w:val="008957DD"/>
    <w:rsid w:val="00895ADD"/>
    <w:rsid w:val="00897D98"/>
    <w:rsid w:val="008A0544"/>
    <w:rsid w:val="008A077E"/>
    <w:rsid w:val="008A323F"/>
    <w:rsid w:val="008A4503"/>
    <w:rsid w:val="008A5BC1"/>
    <w:rsid w:val="008A6DF2"/>
    <w:rsid w:val="008A7807"/>
    <w:rsid w:val="008B016B"/>
    <w:rsid w:val="008B0573"/>
    <w:rsid w:val="008B09D4"/>
    <w:rsid w:val="008B13C9"/>
    <w:rsid w:val="008B1DD0"/>
    <w:rsid w:val="008B4CC9"/>
    <w:rsid w:val="008C08EB"/>
    <w:rsid w:val="008C0B15"/>
    <w:rsid w:val="008C197A"/>
    <w:rsid w:val="008C199A"/>
    <w:rsid w:val="008C6A06"/>
    <w:rsid w:val="008C7032"/>
    <w:rsid w:val="008C7468"/>
    <w:rsid w:val="008C7CCD"/>
    <w:rsid w:val="008D1332"/>
    <w:rsid w:val="008D14DE"/>
    <w:rsid w:val="008D15C3"/>
    <w:rsid w:val="008D1777"/>
    <w:rsid w:val="008D676F"/>
    <w:rsid w:val="008D6DA4"/>
    <w:rsid w:val="008D75E4"/>
    <w:rsid w:val="008D7C99"/>
    <w:rsid w:val="008E0AF0"/>
    <w:rsid w:val="008E0FCB"/>
    <w:rsid w:val="008E1B97"/>
    <w:rsid w:val="008E2E5D"/>
    <w:rsid w:val="008E5CF7"/>
    <w:rsid w:val="008E5F37"/>
    <w:rsid w:val="008F3A39"/>
    <w:rsid w:val="008F40B3"/>
    <w:rsid w:val="008F47AB"/>
    <w:rsid w:val="008F6DFE"/>
    <w:rsid w:val="00902F3B"/>
    <w:rsid w:val="00903405"/>
    <w:rsid w:val="0090361B"/>
    <w:rsid w:val="00903CE8"/>
    <w:rsid w:val="009048BC"/>
    <w:rsid w:val="0090529F"/>
    <w:rsid w:val="009076C3"/>
    <w:rsid w:val="00911622"/>
    <w:rsid w:val="009125C3"/>
    <w:rsid w:val="0091584C"/>
    <w:rsid w:val="0091711D"/>
    <w:rsid w:val="00917442"/>
    <w:rsid w:val="00917EE1"/>
    <w:rsid w:val="0092178C"/>
    <w:rsid w:val="00921BB1"/>
    <w:rsid w:val="00925051"/>
    <w:rsid w:val="009302CF"/>
    <w:rsid w:val="00930B88"/>
    <w:rsid w:val="0093215E"/>
    <w:rsid w:val="00933C1C"/>
    <w:rsid w:val="0093466D"/>
    <w:rsid w:val="00934E23"/>
    <w:rsid w:val="00935376"/>
    <w:rsid w:val="009378CB"/>
    <w:rsid w:val="00937A3E"/>
    <w:rsid w:val="00940DCC"/>
    <w:rsid w:val="0094179A"/>
    <w:rsid w:val="009421C4"/>
    <w:rsid w:val="00943BBF"/>
    <w:rsid w:val="0094459E"/>
    <w:rsid w:val="00944DBC"/>
    <w:rsid w:val="009470B7"/>
    <w:rsid w:val="00950848"/>
    <w:rsid w:val="00950977"/>
    <w:rsid w:val="00950A8C"/>
    <w:rsid w:val="00951A7B"/>
    <w:rsid w:val="00951C4A"/>
    <w:rsid w:val="00952BA1"/>
    <w:rsid w:val="00953357"/>
    <w:rsid w:val="0095516A"/>
    <w:rsid w:val="009552C2"/>
    <w:rsid w:val="00955512"/>
    <w:rsid w:val="009564A6"/>
    <w:rsid w:val="0095659B"/>
    <w:rsid w:val="009565E6"/>
    <w:rsid w:val="00957B60"/>
    <w:rsid w:val="00957EF8"/>
    <w:rsid w:val="009606C1"/>
    <w:rsid w:val="00960C3C"/>
    <w:rsid w:val="00962961"/>
    <w:rsid w:val="009643BE"/>
    <w:rsid w:val="00964C16"/>
    <w:rsid w:val="009658FC"/>
    <w:rsid w:val="00966A53"/>
    <w:rsid w:val="00967621"/>
    <w:rsid w:val="00967E6A"/>
    <w:rsid w:val="00971B3F"/>
    <w:rsid w:val="00971D2C"/>
    <w:rsid w:val="00972652"/>
    <w:rsid w:val="009726D4"/>
    <w:rsid w:val="00974941"/>
    <w:rsid w:val="00975816"/>
    <w:rsid w:val="0097631A"/>
    <w:rsid w:val="00976470"/>
    <w:rsid w:val="009819C3"/>
    <w:rsid w:val="009853BB"/>
    <w:rsid w:val="00987D2D"/>
    <w:rsid w:val="009907B9"/>
    <w:rsid w:val="00990918"/>
    <w:rsid w:val="00991161"/>
    <w:rsid w:val="0099132D"/>
    <w:rsid w:val="00992554"/>
    <w:rsid w:val="00993BE5"/>
    <w:rsid w:val="009949B3"/>
    <w:rsid w:val="00995AE9"/>
    <w:rsid w:val="009A3A83"/>
    <w:rsid w:val="009A42C9"/>
    <w:rsid w:val="009A46E6"/>
    <w:rsid w:val="009A4CA4"/>
    <w:rsid w:val="009B12BF"/>
    <w:rsid w:val="009B2230"/>
    <w:rsid w:val="009B49C5"/>
    <w:rsid w:val="009B4A0F"/>
    <w:rsid w:val="009B5CC5"/>
    <w:rsid w:val="009C10DF"/>
    <w:rsid w:val="009C11D2"/>
    <w:rsid w:val="009C3FA9"/>
    <w:rsid w:val="009C529F"/>
    <w:rsid w:val="009C6C70"/>
    <w:rsid w:val="009C6D79"/>
    <w:rsid w:val="009C7B0A"/>
    <w:rsid w:val="009D0B63"/>
    <w:rsid w:val="009D174B"/>
    <w:rsid w:val="009D1795"/>
    <w:rsid w:val="009D5CB8"/>
    <w:rsid w:val="009E1686"/>
    <w:rsid w:val="009E1FCA"/>
    <w:rsid w:val="009E249F"/>
    <w:rsid w:val="009E307E"/>
    <w:rsid w:val="009E42B3"/>
    <w:rsid w:val="009E4B17"/>
    <w:rsid w:val="009E62A8"/>
    <w:rsid w:val="009F0EB7"/>
    <w:rsid w:val="009F13E2"/>
    <w:rsid w:val="009F2B24"/>
    <w:rsid w:val="009F2C7B"/>
    <w:rsid w:val="009F3971"/>
    <w:rsid w:val="009F412C"/>
    <w:rsid w:val="009F44C0"/>
    <w:rsid w:val="009F586E"/>
    <w:rsid w:val="009F7AF5"/>
    <w:rsid w:val="00A00B9F"/>
    <w:rsid w:val="00A03C6A"/>
    <w:rsid w:val="00A06B25"/>
    <w:rsid w:val="00A07870"/>
    <w:rsid w:val="00A07BAB"/>
    <w:rsid w:val="00A07C54"/>
    <w:rsid w:val="00A07F19"/>
    <w:rsid w:val="00A124BB"/>
    <w:rsid w:val="00A1348D"/>
    <w:rsid w:val="00A13C99"/>
    <w:rsid w:val="00A13D73"/>
    <w:rsid w:val="00A14C07"/>
    <w:rsid w:val="00A23213"/>
    <w:rsid w:val="00A232EE"/>
    <w:rsid w:val="00A243C6"/>
    <w:rsid w:val="00A2664A"/>
    <w:rsid w:val="00A272A2"/>
    <w:rsid w:val="00A33EA9"/>
    <w:rsid w:val="00A4053D"/>
    <w:rsid w:val="00A4175F"/>
    <w:rsid w:val="00A41FC2"/>
    <w:rsid w:val="00A44411"/>
    <w:rsid w:val="00A44D26"/>
    <w:rsid w:val="00A44EEB"/>
    <w:rsid w:val="00A469FA"/>
    <w:rsid w:val="00A46B89"/>
    <w:rsid w:val="00A47406"/>
    <w:rsid w:val="00A47A6E"/>
    <w:rsid w:val="00A50785"/>
    <w:rsid w:val="00A52429"/>
    <w:rsid w:val="00A52DB9"/>
    <w:rsid w:val="00A53662"/>
    <w:rsid w:val="00A53BC5"/>
    <w:rsid w:val="00A54B1B"/>
    <w:rsid w:val="00A558FE"/>
    <w:rsid w:val="00A55B01"/>
    <w:rsid w:val="00A56B5B"/>
    <w:rsid w:val="00A603FF"/>
    <w:rsid w:val="00A614F6"/>
    <w:rsid w:val="00A619B6"/>
    <w:rsid w:val="00A61F00"/>
    <w:rsid w:val="00A648CA"/>
    <w:rsid w:val="00A657DD"/>
    <w:rsid w:val="00A660E2"/>
    <w:rsid w:val="00A666A6"/>
    <w:rsid w:val="00A675FD"/>
    <w:rsid w:val="00A7022A"/>
    <w:rsid w:val="00A72437"/>
    <w:rsid w:val="00A731D4"/>
    <w:rsid w:val="00A742A9"/>
    <w:rsid w:val="00A7564F"/>
    <w:rsid w:val="00A77552"/>
    <w:rsid w:val="00A8048B"/>
    <w:rsid w:val="00A80611"/>
    <w:rsid w:val="00A83481"/>
    <w:rsid w:val="00A84BFD"/>
    <w:rsid w:val="00A873D4"/>
    <w:rsid w:val="00A910A3"/>
    <w:rsid w:val="00A929BE"/>
    <w:rsid w:val="00A94B2F"/>
    <w:rsid w:val="00A969E5"/>
    <w:rsid w:val="00AA0C03"/>
    <w:rsid w:val="00AA5BF4"/>
    <w:rsid w:val="00AA7A89"/>
    <w:rsid w:val="00AB3FD0"/>
    <w:rsid w:val="00AB4810"/>
    <w:rsid w:val="00AB5340"/>
    <w:rsid w:val="00AB7C74"/>
    <w:rsid w:val="00AC0A89"/>
    <w:rsid w:val="00AC0C93"/>
    <w:rsid w:val="00AC6649"/>
    <w:rsid w:val="00AC7BC3"/>
    <w:rsid w:val="00AC7C96"/>
    <w:rsid w:val="00AD1F6D"/>
    <w:rsid w:val="00AD3593"/>
    <w:rsid w:val="00AD618B"/>
    <w:rsid w:val="00AD655B"/>
    <w:rsid w:val="00AD6BC8"/>
    <w:rsid w:val="00AD71A3"/>
    <w:rsid w:val="00AD7257"/>
    <w:rsid w:val="00AE01A9"/>
    <w:rsid w:val="00AE0812"/>
    <w:rsid w:val="00AE130B"/>
    <w:rsid w:val="00AE237D"/>
    <w:rsid w:val="00AE502A"/>
    <w:rsid w:val="00AE7D3C"/>
    <w:rsid w:val="00AF0010"/>
    <w:rsid w:val="00AF1AA8"/>
    <w:rsid w:val="00AF2C1F"/>
    <w:rsid w:val="00AF3274"/>
    <w:rsid w:val="00AF471D"/>
    <w:rsid w:val="00AF5EAF"/>
    <w:rsid w:val="00AF629B"/>
    <w:rsid w:val="00AF7C07"/>
    <w:rsid w:val="00B000A7"/>
    <w:rsid w:val="00B04F67"/>
    <w:rsid w:val="00B05FBD"/>
    <w:rsid w:val="00B06C64"/>
    <w:rsid w:val="00B07D8E"/>
    <w:rsid w:val="00B108D8"/>
    <w:rsid w:val="00B1107F"/>
    <w:rsid w:val="00B11CAC"/>
    <w:rsid w:val="00B11D34"/>
    <w:rsid w:val="00B1283A"/>
    <w:rsid w:val="00B12CDD"/>
    <w:rsid w:val="00B141A2"/>
    <w:rsid w:val="00B15A29"/>
    <w:rsid w:val="00B15F4A"/>
    <w:rsid w:val="00B20164"/>
    <w:rsid w:val="00B21306"/>
    <w:rsid w:val="00B2136E"/>
    <w:rsid w:val="00B2152D"/>
    <w:rsid w:val="00B22C93"/>
    <w:rsid w:val="00B23ECE"/>
    <w:rsid w:val="00B2505F"/>
    <w:rsid w:val="00B258A8"/>
    <w:rsid w:val="00B26AC4"/>
    <w:rsid w:val="00B27361"/>
    <w:rsid w:val="00B27589"/>
    <w:rsid w:val="00B308B6"/>
    <w:rsid w:val="00B31039"/>
    <w:rsid w:val="00B31DCB"/>
    <w:rsid w:val="00B330A9"/>
    <w:rsid w:val="00B332EE"/>
    <w:rsid w:val="00B35324"/>
    <w:rsid w:val="00B3540A"/>
    <w:rsid w:val="00B3712E"/>
    <w:rsid w:val="00B405B7"/>
    <w:rsid w:val="00B4137A"/>
    <w:rsid w:val="00B468C0"/>
    <w:rsid w:val="00B47218"/>
    <w:rsid w:val="00B47C82"/>
    <w:rsid w:val="00B503CC"/>
    <w:rsid w:val="00B50C6D"/>
    <w:rsid w:val="00B50FE9"/>
    <w:rsid w:val="00B52222"/>
    <w:rsid w:val="00B5244D"/>
    <w:rsid w:val="00B53186"/>
    <w:rsid w:val="00B531DA"/>
    <w:rsid w:val="00B5321F"/>
    <w:rsid w:val="00B53522"/>
    <w:rsid w:val="00B536D2"/>
    <w:rsid w:val="00B5396F"/>
    <w:rsid w:val="00B53A3E"/>
    <w:rsid w:val="00B54895"/>
    <w:rsid w:val="00B54AA2"/>
    <w:rsid w:val="00B54AF2"/>
    <w:rsid w:val="00B54FE7"/>
    <w:rsid w:val="00B570F0"/>
    <w:rsid w:val="00B57AD0"/>
    <w:rsid w:val="00B60397"/>
    <w:rsid w:val="00B60981"/>
    <w:rsid w:val="00B60C1C"/>
    <w:rsid w:val="00B62EAB"/>
    <w:rsid w:val="00B63EFA"/>
    <w:rsid w:val="00B64377"/>
    <w:rsid w:val="00B647C6"/>
    <w:rsid w:val="00B655F9"/>
    <w:rsid w:val="00B66901"/>
    <w:rsid w:val="00B66A03"/>
    <w:rsid w:val="00B66F60"/>
    <w:rsid w:val="00B706C2"/>
    <w:rsid w:val="00B70B4D"/>
    <w:rsid w:val="00B71E6D"/>
    <w:rsid w:val="00B72070"/>
    <w:rsid w:val="00B72357"/>
    <w:rsid w:val="00B734CE"/>
    <w:rsid w:val="00B7516A"/>
    <w:rsid w:val="00B75897"/>
    <w:rsid w:val="00B75A2D"/>
    <w:rsid w:val="00B779E1"/>
    <w:rsid w:val="00B81E3A"/>
    <w:rsid w:val="00B83A5D"/>
    <w:rsid w:val="00B84832"/>
    <w:rsid w:val="00B84CC5"/>
    <w:rsid w:val="00B85B66"/>
    <w:rsid w:val="00B85CFB"/>
    <w:rsid w:val="00B9020C"/>
    <w:rsid w:val="00B90220"/>
    <w:rsid w:val="00B914E9"/>
    <w:rsid w:val="00B91EE1"/>
    <w:rsid w:val="00B94602"/>
    <w:rsid w:val="00B94BEB"/>
    <w:rsid w:val="00B96795"/>
    <w:rsid w:val="00B97090"/>
    <w:rsid w:val="00BA0090"/>
    <w:rsid w:val="00BA18CB"/>
    <w:rsid w:val="00BA1A67"/>
    <w:rsid w:val="00BA2806"/>
    <w:rsid w:val="00BA372C"/>
    <w:rsid w:val="00BA4608"/>
    <w:rsid w:val="00BA655A"/>
    <w:rsid w:val="00BA6A80"/>
    <w:rsid w:val="00BA7592"/>
    <w:rsid w:val="00BA7625"/>
    <w:rsid w:val="00BA78BD"/>
    <w:rsid w:val="00BB1D5A"/>
    <w:rsid w:val="00BB2F17"/>
    <w:rsid w:val="00BB39E9"/>
    <w:rsid w:val="00BB477B"/>
    <w:rsid w:val="00BB4ABB"/>
    <w:rsid w:val="00BB72AE"/>
    <w:rsid w:val="00BC2A86"/>
    <w:rsid w:val="00BC4A85"/>
    <w:rsid w:val="00BC560C"/>
    <w:rsid w:val="00BC62BA"/>
    <w:rsid w:val="00BC69B4"/>
    <w:rsid w:val="00BD024C"/>
    <w:rsid w:val="00BD102C"/>
    <w:rsid w:val="00BD257E"/>
    <w:rsid w:val="00BD33BB"/>
    <w:rsid w:val="00BD7B01"/>
    <w:rsid w:val="00BD7BA2"/>
    <w:rsid w:val="00BE1622"/>
    <w:rsid w:val="00BE1B65"/>
    <w:rsid w:val="00BE259F"/>
    <w:rsid w:val="00BE5B5F"/>
    <w:rsid w:val="00BE7993"/>
    <w:rsid w:val="00BE7C7B"/>
    <w:rsid w:val="00BF03C2"/>
    <w:rsid w:val="00BF0B17"/>
    <w:rsid w:val="00BF7D20"/>
    <w:rsid w:val="00C04BFF"/>
    <w:rsid w:val="00C05ABA"/>
    <w:rsid w:val="00C05B03"/>
    <w:rsid w:val="00C05D45"/>
    <w:rsid w:val="00C1034D"/>
    <w:rsid w:val="00C10AE3"/>
    <w:rsid w:val="00C11971"/>
    <w:rsid w:val="00C12E79"/>
    <w:rsid w:val="00C1570C"/>
    <w:rsid w:val="00C15FEB"/>
    <w:rsid w:val="00C179DE"/>
    <w:rsid w:val="00C17D59"/>
    <w:rsid w:val="00C20DD3"/>
    <w:rsid w:val="00C213E8"/>
    <w:rsid w:val="00C21D12"/>
    <w:rsid w:val="00C23075"/>
    <w:rsid w:val="00C26176"/>
    <w:rsid w:val="00C26D2C"/>
    <w:rsid w:val="00C26F55"/>
    <w:rsid w:val="00C30C63"/>
    <w:rsid w:val="00C30FF3"/>
    <w:rsid w:val="00C31BD6"/>
    <w:rsid w:val="00C32C4C"/>
    <w:rsid w:val="00C339BD"/>
    <w:rsid w:val="00C34D5C"/>
    <w:rsid w:val="00C352DB"/>
    <w:rsid w:val="00C36B8B"/>
    <w:rsid w:val="00C37306"/>
    <w:rsid w:val="00C37E6F"/>
    <w:rsid w:val="00C415C1"/>
    <w:rsid w:val="00C42482"/>
    <w:rsid w:val="00C42BB0"/>
    <w:rsid w:val="00C432AC"/>
    <w:rsid w:val="00C43B4B"/>
    <w:rsid w:val="00C4509C"/>
    <w:rsid w:val="00C4759F"/>
    <w:rsid w:val="00C47DBF"/>
    <w:rsid w:val="00C50DC0"/>
    <w:rsid w:val="00C51DE0"/>
    <w:rsid w:val="00C54064"/>
    <w:rsid w:val="00C54833"/>
    <w:rsid w:val="00C552FF"/>
    <w:rsid w:val="00C558DA"/>
    <w:rsid w:val="00C55AF3"/>
    <w:rsid w:val="00C560EC"/>
    <w:rsid w:val="00C57034"/>
    <w:rsid w:val="00C62264"/>
    <w:rsid w:val="00C6566F"/>
    <w:rsid w:val="00C6642A"/>
    <w:rsid w:val="00C7463F"/>
    <w:rsid w:val="00C75229"/>
    <w:rsid w:val="00C756E9"/>
    <w:rsid w:val="00C771A9"/>
    <w:rsid w:val="00C80834"/>
    <w:rsid w:val="00C820D7"/>
    <w:rsid w:val="00C823F5"/>
    <w:rsid w:val="00C824DF"/>
    <w:rsid w:val="00C82943"/>
    <w:rsid w:val="00C84759"/>
    <w:rsid w:val="00C85033"/>
    <w:rsid w:val="00C85594"/>
    <w:rsid w:val="00C86112"/>
    <w:rsid w:val="00C862E3"/>
    <w:rsid w:val="00C90B1F"/>
    <w:rsid w:val="00C917BC"/>
    <w:rsid w:val="00C93096"/>
    <w:rsid w:val="00C93752"/>
    <w:rsid w:val="00C951A6"/>
    <w:rsid w:val="00C951BF"/>
    <w:rsid w:val="00C95EA7"/>
    <w:rsid w:val="00C96AAE"/>
    <w:rsid w:val="00CA0172"/>
    <w:rsid w:val="00CA08FA"/>
    <w:rsid w:val="00CA0D96"/>
    <w:rsid w:val="00CA364E"/>
    <w:rsid w:val="00CA56DD"/>
    <w:rsid w:val="00CA5CA9"/>
    <w:rsid w:val="00CA6C7F"/>
    <w:rsid w:val="00CB007D"/>
    <w:rsid w:val="00CB05C4"/>
    <w:rsid w:val="00CB0CCA"/>
    <w:rsid w:val="00CB5673"/>
    <w:rsid w:val="00CB5704"/>
    <w:rsid w:val="00CB60CA"/>
    <w:rsid w:val="00CB7255"/>
    <w:rsid w:val="00CB77B0"/>
    <w:rsid w:val="00CC0FC7"/>
    <w:rsid w:val="00CC10A6"/>
    <w:rsid w:val="00CC12B1"/>
    <w:rsid w:val="00CC2D24"/>
    <w:rsid w:val="00CC5FEF"/>
    <w:rsid w:val="00CC622D"/>
    <w:rsid w:val="00CC6AAB"/>
    <w:rsid w:val="00CC7E80"/>
    <w:rsid w:val="00CD023B"/>
    <w:rsid w:val="00CD2065"/>
    <w:rsid w:val="00CD246F"/>
    <w:rsid w:val="00CD461D"/>
    <w:rsid w:val="00CD5EB8"/>
    <w:rsid w:val="00CD7044"/>
    <w:rsid w:val="00CD7BC8"/>
    <w:rsid w:val="00CE08B9"/>
    <w:rsid w:val="00CE1215"/>
    <w:rsid w:val="00CE1562"/>
    <w:rsid w:val="00CE2575"/>
    <w:rsid w:val="00CE2B02"/>
    <w:rsid w:val="00CE3515"/>
    <w:rsid w:val="00CE3AE5"/>
    <w:rsid w:val="00CE524C"/>
    <w:rsid w:val="00CE5459"/>
    <w:rsid w:val="00CF141F"/>
    <w:rsid w:val="00CF1ED7"/>
    <w:rsid w:val="00CF4777"/>
    <w:rsid w:val="00CF65C8"/>
    <w:rsid w:val="00D013F5"/>
    <w:rsid w:val="00D03FA5"/>
    <w:rsid w:val="00D04EA4"/>
    <w:rsid w:val="00D04F34"/>
    <w:rsid w:val="00D05805"/>
    <w:rsid w:val="00D05E3F"/>
    <w:rsid w:val="00D067BB"/>
    <w:rsid w:val="00D070BF"/>
    <w:rsid w:val="00D071D8"/>
    <w:rsid w:val="00D10615"/>
    <w:rsid w:val="00D127D5"/>
    <w:rsid w:val="00D12B1C"/>
    <w:rsid w:val="00D1352A"/>
    <w:rsid w:val="00D15677"/>
    <w:rsid w:val="00D15726"/>
    <w:rsid w:val="00D1638E"/>
    <w:rsid w:val="00D169AF"/>
    <w:rsid w:val="00D17B30"/>
    <w:rsid w:val="00D200EF"/>
    <w:rsid w:val="00D2018C"/>
    <w:rsid w:val="00D23FB0"/>
    <w:rsid w:val="00D25175"/>
    <w:rsid w:val="00D25249"/>
    <w:rsid w:val="00D259C0"/>
    <w:rsid w:val="00D26854"/>
    <w:rsid w:val="00D3028B"/>
    <w:rsid w:val="00D303EA"/>
    <w:rsid w:val="00D315B8"/>
    <w:rsid w:val="00D33E11"/>
    <w:rsid w:val="00D35109"/>
    <w:rsid w:val="00D35B39"/>
    <w:rsid w:val="00D36C41"/>
    <w:rsid w:val="00D409D4"/>
    <w:rsid w:val="00D43D42"/>
    <w:rsid w:val="00D44172"/>
    <w:rsid w:val="00D44B4A"/>
    <w:rsid w:val="00D45D67"/>
    <w:rsid w:val="00D46182"/>
    <w:rsid w:val="00D463B5"/>
    <w:rsid w:val="00D47BE3"/>
    <w:rsid w:val="00D508BF"/>
    <w:rsid w:val="00D511E8"/>
    <w:rsid w:val="00D529A9"/>
    <w:rsid w:val="00D5336A"/>
    <w:rsid w:val="00D53E1E"/>
    <w:rsid w:val="00D555AF"/>
    <w:rsid w:val="00D57380"/>
    <w:rsid w:val="00D573F7"/>
    <w:rsid w:val="00D5799F"/>
    <w:rsid w:val="00D60871"/>
    <w:rsid w:val="00D61AA7"/>
    <w:rsid w:val="00D61D0C"/>
    <w:rsid w:val="00D62CA0"/>
    <w:rsid w:val="00D63B8C"/>
    <w:rsid w:val="00D654A1"/>
    <w:rsid w:val="00D66F65"/>
    <w:rsid w:val="00D67788"/>
    <w:rsid w:val="00D739CC"/>
    <w:rsid w:val="00D743B5"/>
    <w:rsid w:val="00D749CF"/>
    <w:rsid w:val="00D74D28"/>
    <w:rsid w:val="00D7602C"/>
    <w:rsid w:val="00D76C29"/>
    <w:rsid w:val="00D773FC"/>
    <w:rsid w:val="00D800F1"/>
    <w:rsid w:val="00D806F9"/>
    <w:rsid w:val="00D807B2"/>
    <w:rsid w:val="00D8093D"/>
    <w:rsid w:val="00D8108C"/>
    <w:rsid w:val="00D830FE"/>
    <w:rsid w:val="00D842AE"/>
    <w:rsid w:val="00D84C1C"/>
    <w:rsid w:val="00D85F7A"/>
    <w:rsid w:val="00D86C56"/>
    <w:rsid w:val="00D907C9"/>
    <w:rsid w:val="00D9211C"/>
    <w:rsid w:val="00D92439"/>
    <w:rsid w:val="00D92DE0"/>
    <w:rsid w:val="00D92FEF"/>
    <w:rsid w:val="00D931F9"/>
    <w:rsid w:val="00D93A0F"/>
    <w:rsid w:val="00D95C4F"/>
    <w:rsid w:val="00D97873"/>
    <w:rsid w:val="00D97995"/>
    <w:rsid w:val="00DA1BCA"/>
    <w:rsid w:val="00DA2483"/>
    <w:rsid w:val="00DA3663"/>
    <w:rsid w:val="00DA36E9"/>
    <w:rsid w:val="00DA4696"/>
    <w:rsid w:val="00DA5031"/>
    <w:rsid w:val="00DA7B0F"/>
    <w:rsid w:val="00DB0FE6"/>
    <w:rsid w:val="00DB1210"/>
    <w:rsid w:val="00DB2150"/>
    <w:rsid w:val="00DB6926"/>
    <w:rsid w:val="00DB791D"/>
    <w:rsid w:val="00DC1792"/>
    <w:rsid w:val="00DC274A"/>
    <w:rsid w:val="00DC3C48"/>
    <w:rsid w:val="00DC3EF7"/>
    <w:rsid w:val="00DC3FE0"/>
    <w:rsid w:val="00DC46FF"/>
    <w:rsid w:val="00DC5254"/>
    <w:rsid w:val="00DC569D"/>
    <w:rsid w:val="00DC581B"/>
    <w:rsid w:val="00DC5C70"/>
    <w:rsid w:val="00DC7129"/>
    <w:rsid w:val="00DD1A4F"/>
    <w:rsid w:val="00DD28EB"/>
    <w:rsid w:val="00DD3107"/>
    <w:rsid w:val="00DD3687"/>
    <w:rsid w:val="00DD4B0C"/>
    <w:rsid w:val="00DD6E7A"/>
    <w:rsid w:val="00DD7BFD"/>
    <w:rsid w:val="00DD7C2C"/>
    <w:rsid w:val="00DE0664"/>
    <w:rsid w:val="00DE5BBE"/>
    <w:rsid w:val="00DE5BDA"/>
    <w:rsid w:val="00DE641F"/>
    <w:rsid w:val="00DE6966"/>
    <w:rsid w:val="00DF2E9E"/>
    <w:rsid w:val="00DF31A8"/>
    <w:rsid w:val="00DF3C18"/>
    <w:rsid w:val="00DF433C"/>
    <w:rsid w:val="00DF519F"/>
    <w:rsid w:val="00DF5255"/>
    <w:rsid w:val="00DF7FA1"/>
    <w:rsid w:val="00E0035A"/>
    <w:rsid w:val="00E009C7"/>
    <w:rsid w:val="00E00FA9"/>
    <w:rsid w:val="00E05240"/>
    <w:rsid w:val="00E06797"/>
    <w:rsid w:val="00E0696A"/>
    <w:rsid w:val="00E1265B"/>
    <w:rsid w:val="00E12E09"/>
    <w:rsid w:val="00E13B48"/>
    <w:rsid w:val="00E1404F"/>
    <w:rsid w:val="00E17FE6"/>
    <w:rsid w:val="00E2160E"/>
    <w:rsid w:val="00E218CA"/>
    <w:rsid w:val="00E21C83"/>
    <w:rsid w:val="00E221D6"/>
    <w:rsid w:val="00E24ADA"/>
    <w:rsid w:val="00E31154"/>
    <w:rsid w:val="00E31307"/>
    <w:rsid w:val="00E317BB"/>
    <w:rsid w:val="00E3280C"/>
    <w:rsid w:val="00E32F59"/>
    <w:rsid w:val="00E33049"/>
    <w:rsid w:val="00E3519F"/>
    <w:rsid w:val="00E36009"/>
    <w:rsid w:val="00E3751C"/>
    <w:rsid w:val="00E375F8"/>
    <w:rsid w:val="00E4014C"/>
    <w:rsid w:val="00E41908"/>
    <w:rsid w:val="00E43BF3"/>
    <w:rsid w:val="00E46D9A"/>
    <w:rsid w:val="00E51152"/>
    <w:rsid w:val="00E52267"/>
    <w:rsid w:val="00E52B6D"/>
    <w:rsid w:val="00E537C4"/>
    <w:rsid w:val="00E53BE1"/>
    <w:rsid w:val="00E54866"/>
    <w:rsid w:val="00E55138"/>
    <w:rsid w:val="00E55583"/>
    <w:rsid w:val="00E55A01"/>
    <w:rsid w:val="00E561F3"/>
    <w:rsid w:val="00E565FF"/>
    <w:rsid w:val="00E57B10"/>
    <w:rsid w:val="00E61AE6"/>
    <w:rsid w:val="00E6254A"/>
    <w:rsid w:val="00E65388"/>
    <w:rsid w:val="00E661E1"/>
    <w:rsid w:val="00E664B2"/>
    <w:rsid w:val="00E67FA7"/>
    <w:rsid w:val="00E703E1"/>
    <w:rsid w:val="00E739F6"/>
    <w:rsid w:val="00E754CD"/>
    <w:rsid w:val="00E77380"/>
    <w:rsid w:val="00E7741D"/>
    <w:rsid w:val="00E777BB"/>
    <w:rsid w:val="00E808CD"/>
    <w:rsid w:val="00E8267C"/>
    <w:rsid w:val="00E82E21"/>
    <w:rsid w:val="00E8348F"/>
    <w:rsid w:val="00E83FF8"/>
    <w:rsid w:val="00E85B7D"/>
    <w:rsid w:val="00E864C7"/>
    <w:rsid w:val="00E903FD"/>
    <w:rsid w:val="00E90DE3"/>
    <w:rsid w:val="00E9121B"/>
    <w:rsid w:val="00E927B5"/>
    <w:rsid w:val="00E9302E"/>
    <w:rsid w:val="00E949C1"/>
    <w:rsid w:val="00E9620F"/>
    <w:rsid w:val="00E976AB"/>
    <w:rsid w:val="00E97922"/>
    <w:rsid w:val="00EA0AE2"/>
    <w:rsid w:val="00EA1E00"/>
    <w:rsid w:val="00EA1F90"/>
    <w:rsid w:val="00EA2CF8"/>
    <w:rsid w:val="00EA39E5"/>
    <w:rsid w:val="00EA57A3"/>
    <w:rsid w:val="00EA5A14"/>
    <w:rsid w:val="00EA5C32"/>
    <w:rsid w:val="00EA6923"/>
    <w:rsid w:val="00EA6FBE"/>
    <w:rsid w:val="00EA764F"/>
    <w:rsid w:val="00EB3177"/>
    <w:rsid w:val="00EB46F2"/>
    <w:rsid w:val="00EB5777"/>
    <w:rsid w:val="00EB6036"/>
    <w:rsid w:val="00EC0272"/>
    <w:rsid w:val="00EC2813"/>
    <w:rsid w:val="00EC3CC3"/>
    <w:rsid w:val="00EC4A12"/>
    <w:rsid w:val="00EC5A46"/>
    <w:rsid w:val="00EC63E2"/>
    <w:rsid w:val="00ED0225"/>
    <w:rsid w:val="00ED14B3"/>
    <w:rsid w:val="00ED2D63"/>
    <w:rsid w:val="00ED366A"/>
    <w:rsid w:val="00ED3697"/>
    <w:rsid w:val="00ED46BD"/>
    <w:rsid w:val="00ED5D0E"/>
    <w:rsid w:val="00ED5E82"/>
    <w:rsid w:val="00ED6BB7"/>
    <w:rsid w:val="00ED6C14"/>
    <w:rsid w:val="00ED6C5E"/>
    <w:rsid w:val="00ED741C"/>
    <w:rsid w:val="00ED7EA2"/>
    <w:rsid w:val="00EE5668"/>
    <w:rsid w:val="00EE6117"/>
    <w:rsid w:val="00EE6880"/>
    <w:rsid w:val="00EE7D24"/>
    <w:rsid w:val="00EF22B3"/>
    <w:rsid w:val="00EF3F72"/>
    <w:rsid w:val="00EF5A7E"/>
    <w:rsid w:val="00EF7292"/>
    <w:rsid w:val="00F00DBB"/>
    <w:rsid w:val="00F03B69"/>
    <w:rsid w:val="00F03DB2"/>
    <w:rsid w:val="00F0485C"/>
    <w:rsid w:val="00F05D7F"/>
    <w:rsid w:val="00F07A50"/>
    <w:rsid w:val="00F11276"/>
    <w:rsid w:val="00F1134F"/>
    <w:rsid w:val="00F113DA"/>
    <w:rsid w:val="00F1255F"/>
    <w:rsid w:val="00F15165"/>
    <w:rsid w:val="00F15578"/>
    <w:rsid w:val="00F16344"/>
    <w:rsid w:val="00F16695"/>
    <w:rsid w:val="00F16751"/>
    <w:rsid w:val="00F17722"/>
    <w:rsid w:val="00F2292D"/>
    <w:rsid w:val="00F22A1B"/>
    <w:rsid w:val="00F256E3"/>
    <w:rsid w:val="00F2571A"/>
    <w:rsid w:val="00F25B3A"/>
    <w:rsid w:val="00F266FC"/>
    <w:rsid w:val="00F27D26"/>
    <w:rsid w:val="00F3037A"/>
    <w:rsid w:val="00F3465A"/>
    <w:rsid w:val="00F363D3"/>
    <w:rsid w:val="00F3771F"/>
    <w:rsid w:val="00F37B67"/>
    <w:rsid w:val="00F37DC8"/>
    <w:rsid w:val="00F439B3"/>
    <w:rsid w:val="00F44555"/>
    <w:rsid w:val="00F47AD5"/>
    <w:rsid w:val="00F52C62"/>
    <w:rsid w:val="00F53BC7"/>
    <w:rsid w:val="00F578B0"/>
    <w:rsid w:val="00F60645"/>
    <w:rsid w:val="00F650C3"/>
    <w:rsid w:val="00F65986"/>
    <w:rsid w:val="00F65D85"/>
    <w:rsid w:val="00F65E4E"/>
    <w:rsid w:val="00F66A46"/>
    <w:rsid w:val="00F66B76"/>
    <w:rsid w:val="00F66EF5"/>
    <w:rsid w:val="00F6700B"/>
    <w:rsid w:val="00F67C98"/>
    <w:rsid w:val="00F67E44"/>
    <w:rsid w:val="00F7072D"/>
    <w:rsid w:val="00F7137B"/>
    <w:rsid w:val="00F7267C"/>
    <w:rsid w:val="00F76FE5"/>
    <w:rsid w:val="00F77A51"/>
    <w:rsid w:val="00F77A7D"/>
    <w:rsid w:val="00F77E80"/>
    <w:rsid w:val="00F8091E"/>
    <w:rsid w:val="00F80CFA"/>
    <w:rsid w:val="00F8156C"/>
    <w:rsid w:val="00F82C7E"/>
    <w:rsid w:val="00F84BEF"/>
    <w:rsid w:val="00F85D64"/>
    <w:rsid w:val="00F8615C"/>
    <w:rsid w:val="00F8662E"/>
    <w:rsid w:val="00F93CC1"/>
    <w:rsid w:val="00F969E5"/>
    <w:rsid w:val="00FA1942"/>
    <w:rsid w:val="00FA2022"/>
    <w:rsid w:val="00FA26DE"/>
    <w:rsid w:val="00FA4972"/>
    <w:rsid w:val="00FA6BB0"/>
    <w:rsid w:val="00FA73AE"/>
    <w:rsid w:val="00FB002C"/>
    <w:rsid w:val="00FB11DA"/>
    <w:rsid w:val="00FB24A5"/>
    <w:rsid w:val="00FB2DBD"/>
    <w:rsid w:val="00FB4A01"/>
    <w:rsid w:val="00FB5214"/>
    <w:rsid w:val="00FB686E"/>
    <w:rsid w:val="00FB6B02"/>
    <w:rsid w:val="00FB7B54"/>
    <w:rsid w:val="00FC4282"/>
    <w:rsid w:val="00FC5666"/>
    <w:rsid w:val="00FC7482"/>
    <w:rsid w:val="00FD1A01"/>
    <w:rsid w:val="00FD387C"/>
    <w:rsid w:val="00FD48DF"/>
    <w:rsid w:val="00FD5860"/>
    <w:rsid w:val="00FD58DC"/>
    <w:rsid w:val="00FD65A0"/>
    <w:rsid w:val="00FE242F"/>
    <w:rsid w:val="00FE2907"/>
    <w:rsid w:val="00FE352D"/>
    <w:rsid w:val="00FE39FA"/>
    <w:rsid w:val="00FE4004"/>
    <w:rsid w:val="00FE40EB"/>
    <w:rsid w:val="00FE4A4B"/>
    <w:rsid w:val="00FE4D02"/>
    <w:rsid w:val="00FE4D63"/>
    <w:rsid w:val="00FE6A32"/>
    <w:rsid w:val="00FE7D62"/>
    <w:rsid w:val="00FF0DA0"/>
    <w:rsid w:val="00FF10F4"/>
    <w:rsid w:val="00FF12CD"/>
    <w:rsid w:val="00FF2202"/>
    <w:rsid w:val="00FF3819"/>
    <w:rsid w:val="00FF564D"/>
    <w:rsid w:val="00FF58F7"/>
    <w:rsid w:val="00FF7B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4406B4B"/>
  <w15:docId w15:val="{996B99D1-BA13-4EBA-9A5F-0D1AA141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autoRedefine/>
    <w:rsid w:val="00FF10F4"/>
    <w:pPr>
      <w:keepNext/>
      <w:keepLines/>
      <w:tabs>
        <w:tab w:val="clear" w:pos="1247"/>
        <w:tab w:val="clear" w:pos="1814"/>
        <w:tab w:val="clear" w:pos="2381"/>
        <w:tab w:val="clear" w:pos="2948"/>
        <w:tab w:val="clear" w:pos="3515"/>
        <w:tab w:val="clear" w:pos="4082"/>
      </w:tabs>
      <w:suppressAutoHyphens/>
      <w:spacing w:before="240" w:after="120"/>
      <w:ind w:left="1248" w:right="284" w:hanging="1"/>
    </w:pPr>
    <w:rPr>
      <w:rFonts w:asciiTheme="majorBidi" w:hAnsiTheme="majorBidi" w:cstheme="majorBidi"/>
      <w:b/>
      <w:sz w:val="28"/>
      <w:szCs w:val="28"/>
      <w:u w:color="FF0000"/>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
    <w:next w:val="Normal"/>
    <w:rsid w:val="001A4C8F"/>
    <w:pPr>
      <w:tabs>
        <w:tab w:val="clear" w:pos="1247"/>
        <w:tab w:val="clear" w:pos="1814"/>
        <w:tab w:val="clear" w:pos="2381"/>
        <w:tab w:val="clear" w:pos="2948"/>
        <w:tab w:val="clear" w:pos="3515"/>
        <w:tab w:val="left" w:pos="4321"/>
        <w:tab w:val="right" w:pos="8641"/>
      </w:tabs>
      <w:spacing w:before="60" w:after="120"/>
    </w:pPr>
    <w:rPr>
      <w:rFonts w:eastAsia="Roboto"/>
      <w:b/>
      <w:bCs/>
      <w:sz w:val="18"/>
      <w:szCs w:val="18"/>
      <w:u w:color="4F81BD"/>
    </w:rPr>
  </w:style>
  <w:style w:type="paragraph" w:customStyle="1" w:styleId="Header-pool">
    <w:name w:val="Header-pool"/>
    <w:basedOn w:val="Normal"/>
    <w:next w:val="Normal"/>
    <w:rsid w:val="001A4C8F"/>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Roboto"/>
      <w:b/>
      <w:bCs/>
      <w:szCs w:val="18"/>
      <w:u w:color="4F81BD"/>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ußnotentextf"/>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BD7BA2"/>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740F92"/>
    <w:pPr>
      <w:numPr>
        <w:numId w:val="3"/>
      </w:numPr>
      <w:tabs>
        <w:tab w:val="clear" w:pos="1057"/>
        <w:tab w:val="clear" w:pos="1247"/>
        <w:tab w:val="clear" w:pos="1814"/>
        <w:tab w:val="clear" w:pos="2381"/>
        <w:tab w:val="clear" w:pos="2948"/>
        <w:tab w:val="clear" w:pos="3515"/>
        <w:tab w:val="clear" w:pos="4082"/>
        <w:tab w:val="left" w:pos="624"/>
      </w:tabs>
      <w:spacing w:after="120"/>
      <w:ind w:left="1247"/>
    </w:pPr>
    <w:rPr>
      <w:rFonts w:asciiTheme="majorBidi" w:hAnsiTheme="majorBidi" w:cstheme="majorBidi"/>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740F92"/>
    <w:rPr>
      <w:rFonts w:asciiTheme="majorBidi" w:hAnsiTheme="majorBidi" w:cstheme="majorBidi"/>
      <w:lang w:eastAsia="en-US"/>
    </w:rPr>
  </w:style>
  <w:style w:type="character" w:customStyle="1" w:styleId="FooterChar">
    <w:name w:val="Footer Char"/>
    <w:basedOn w:val="DefaultParagraphFont"/>
    <w:link w:val="Footer"/>
    <w:uiPriority w:val="99"/>
    <w:rsid w:val="0083774B"/>
    <w:rPr>
      <w:sz w:val="18"/>
      <w:lang w:eastAsia="en-US"/>
    </w:rPr>
  </w:style>
  <w:style w:type="character" w:styleId="Strong">
    <w:name w:val="Strong"/>
    <w:basedOn w:val="DefaultParagraphFont"/>
    <w:uiPriority w:val="22"/>
    <w:qFormat/>
    <w:rsid w:val="008440E0"/>
    <w:rPr>
      <w:b/>
      <w:bCs/>
    </w:rPr>
  </w:style>
  <w:style w:type="character" w:customStyle="1" w:styleId="NormalNonumberChar">
    <w:name w:val="Normal_No_number Char"/>
    <w:link w:val="NormalNonumber"/>
    <w:locked/>
    <w:rsid w:val="00D23FB0"/>
    <w:rPr>
      <w:lang w:eastAsia="en-US"/>
    </w:rPr>
  </w:style>
  <w:style w:type="character" w:customStyle="1" w:styleId="UnresolvedMention1">
    <w:name w:val="Unresolved Mention1"/>
    <w:basedOn w:val="DefaultParagraphFont"/>
    <w:uiPriority w:val="99"/>
    <w:semiHidden/>
    <w:unhideWhenUsed/>
    <w:rsid w:val="00F77A7D"/>
    <w:rPr>
      <w:color w:val="605E5C"/>
      <w:shd w:val="clear" w:color="auto" w:fill="E1DFDD"/>
    </w:rPr>
  </w:style>
  <w:style w:type="numbering" w:customStyle="1" w:styleId="Importovanstyl2">
    <w:name w:val="Importovaný styl 2"/>
    <w:rsid w:val="00592ACD"/>
    <w:pPr>
      <w:numPr>
        <w:numId w:val="6"/>
      </w:numPr>
    </w:pPr>
  </w:style>
  <w:style w:type="character" w:customStyle="1" w:styleId="HeaderChar">
    <w:name w:val="Header Char"/>
    <w:basedOn w:val="DefaultParagraphFont"/>
    <w:link w:val="Header"/>
    <w:uiPriority w:val="99"/>
    <w:rsid w:val="00B1107F"/>
    <w:rPr>
      <w:b/>
      <w:sz w:val="18"/>
      <w:lang w:eastAsia="en-US"/>
    </w:rPr>
  </w:style>
  <w:style w:type="numbering" w:customStyle="1" w:styleId="Importovanstyl10">
    <w:name w:val="Importovaný styl 10"/>
    <w:rsid w:val="00B1107F"/>
    <w:pPr>
      <w:numPr>
        <w:numId w:val="7"/>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B1107F"/>
    <w:rPr>
      <w:lang w:eastAsia="en-US"/>
    </w:rPr>
  </w:style>
  <w:style w:type="numbering" w:customStyle="1" w:styleId="Importovanstyl6">
    <w:name w:val="Importovaný styl 6"/>
    <w:rsid w:val="00B1107F"/>
    <w:pPr>
      <w:numPr>
        <w:numId w:val="8"/>
      </w:numPr>
    </w:pPr>
  </w:style>
  <w:style w:type="numbering" w:customStyle="1" w:styleId="Importovanstyl3">
    <w:name w:val="Importovaný styl 3"/>
    <w:rsid w:val="00B1107F"/>
    <w:pPr>
      <w:numPr>
        <w:numId w:val="9"/>
      </w:numPr>
    </w:pPr>
  </w:style>
  <w:style w:type="numbering" w:customStyle="1" w:styleId="Importovanstyl1">
    <w:name w:val="Importovaný styl 1"/>
    <w:rsid w:val="00B1107F"/>
    <w:pPr>
      <w:numPr>
        <w:numId w:val="10"/>
      </w:numPr>
    </w:pPr>
  </w:style>
  <w:style w:type="numbering" w:customStyle="1" w:styleId="Importovanstyl4">
    <w:name w:val="Importovaný styl 4"/>
    <w:rsid w:val="00B1107F"/>
    <w:pPr>
      <w:numPr>
        <w:numId w:val="11"/>
      </w:numPr>
    </w:pPr>
  </w:style>
  <w:style w:type="numbering" w:customStyle="1" w:styleId="Importovanstyl40">
    <w:name w:val="Importovaný styl 4.0"/>
    <w:rsid w:val="00B1107F"/>
    <w:pPr>
      <w:numPr>
        <w:numId w:val="12"/>
      </w:numPr>
    </w:pPr>
  </w:style>
  <w:style w:type="numbering" w:customStyle="1" w:styleId="Importovanstyl7">
    <w:name w:val="Importovaný styl 7"/>
    <w:rsid w:val="00B1107F"/>
    <w:pPr>
      <w:numPr>
        <w:numId w:val="13"/>
      </w:numPr>
    </w:pPr>
  </w:style>
  <w:style w:type="numbering" w:customStyle="1" w:styleId="Importovanstyl11">
    <w:name w:val="Importovaný styl 11"/>
    <w:rsid w:val="00B1107F"/>
    <w:pPr>
      <w:numPr>
        <w:numId w:val="14"/>
      </w:numPr>
    </w:pPr>
  </w:style>
  <w:style w:type="numbering" w:customStyle="1" w:styleId="Importovanstyl9">
    <w:name w:val="Importovaný styl 9"/>
    <w:rsid w:val="00B1107F"/>
    <w:pPr>
      <w:numPr>
        <w:numId w:val="15"/>
      </w:numPr>
    </w:pPr>
  </w:style>
  <w:style w:type="character" w:customStyle="1" w:styleId="UnresolvedMention2">
    <w:name w:val="Unresolved Mention2"/>
    <w:basedOn w:val="DefaultParagraphFont"/>
    <w:uiPriority w:val="99"/>
    <w:semiHidden/>
    <w:unhideWhenUsed/>
    <w:rsid w:val="00B1107F"/>
    <w:rPr>
      <w:color w:val="605E5C"/>
      <w:shd w:val="clear" w:color="auto" w:fill="E1DFDD"/>
    </w:rPr>
  </w:style>
  <w:style w:type="character" w:styleId="LineNumber">
    <w:name w:val="line number"/>
    <w:basedOn w:val="DefaultParagraphFont"/>
    <w:uiPriority w:val="99"/>
    <w:semiHidden/>
    <w:unhideWhenUsed/>
    <w:rsid w:val="00B1107F"/>
  </w:style>
  <w:style w:type="paragraph" w:styleId="Caption">
    <w:name w:val="caption"/>
    <w:basedOn w:val="Normal"/>
    <w:next w:val="Normal"/>
    <w:unhideWhenUsed/>
    <w:qFormat/>
    <w:rsid w:val="00434AD2"/>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 w:id="179648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edocs.unep.org/handle/20.500.11822/22766" TargetMode="External"/><Relationship Id="rId2" Type="http://schemas.openxmlformats.org/officeDocument/2006/relationships/hyperlink" Target="https://wedocs.unep.org/handle/20.500.11822/21725" TargetMode="External"/><Relationship Id="rId1" Type="http://schemas.openxmlformats.org/officeDocument/2006/relationships/hyperlink" Target="https://wedocs.unep.org/handle/20.500.11822/27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932FD-A1E5-4E46-8015-CBE0F06B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15338</Words>
  <Characters>87427</Characters>
  <Application>Microsoft Office Word</Application>
  <DocSecurity>0</DocSecurity>
  <Lines>728</Lines>
  <Paragraphs>205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OMC</dc:creator>
  <cp:keywords/>
  <dc:description/>
  <cp:lastModifiedBy>Veronica Gathu</cp:lastModifiedBy>
  <cp:revision>8</cp:revision>
  <cp:lastPrinted>2019-11-20T13:03:00Z</cp:lastPrinted>
  <dcterms:created xsi:type="dcterms:W3CDTF">2019-11-20T12:56:00Z</dcterms:created>
  <dcterms:modified xsi:type="dcterms:W3CDTF">2019-11-20T13:03:00Z</dcterms:modified>
</cp:coreProperties>
</file>