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7"/>
        <w:gridCol w:w="4640"/>
        <w:gridCol w:w="3333"/>
      </w:tblGrid>
      <w:tr w:rsidR="00B35A51" w:rsidRPr="00F13051" w14:paraId="47763A9C" w14:textId="77777777" w:rsidTr="00C20EBF">
        <w:trPr>
          <w:cantSplit/>
          <w:trHeight w:val="850"/>
          <w:jc w:val="right"/>
        </w:trPr>
        <w:tc>
          <w:tcPr>
            <w:tcW w:w="1518" w:type="dxa"/>
          </w:tcPr>
          <w:p w14:paraId="0BAA1617" w14:textId="77777777" w:rsidR="00B35A51" w:rsidRPr="00F13051" w:rsidRDefault="00B35A51" w:rsidP="00C20EBF">
            <w:pPr>
              <w:rPr>
                <w:rFonts w:ascii="Univers" w:hAnsi="Univers"/>
                <w:b/>
                <w:sz w:val="27"/>
                <w:szCs w:val="27"/>
                <w:lang w:val="fr-FR"/>
              </w:rPr>
            </w:pPr>
            <w:r w:rsidRPr="00F13051">
              <w:rPr>
                <w:rFonts w:ascii="Arial" w:hAnsi="Arial" w:cs="Arial"/>
                <w:b/>
                <w:sz w:val="27"/>
                <w:szCs w:val="27"/>
                <w:lang w:val="fr-FR"/>
              </w:rPr>
              <w:t>NATIONS</w:t>
            </w:r>
            <w:r w:rsidRPr="00F13051">
              <w:rPr>
                <w:rFonts w:ascii="Arial" w:hAnsi="Arial" w:cs="Arial"/>
                <w:b/>
                <w:sz w:val="27"/>
                <w:szCs w:val="27"/>
                <w:lang w:val="fr-FR"/>
              </w:rPr>
              <w:br/>
              <w:t>UNIES</w:t>
            </w:r>
          </w:p>
        </w:tc>
        <w:tc>
          <w:tcPr>
            <w:tcW w:w="4643" w:type="dxa"/>
          </w:tcPr>
          <w:p w14:paraId="171E1CA4" w14:textId="77777777" w:rsidR="00B35A51" w:rsidRPr="00F13051" w:rsidRDefault="00B35A51" w:rsidP="00C20EBF">
            <w:pPr>
              <w:rPr>
                <w:rFonts w:ascii="Univers" w:hAnsi="Univers"/>
                <w:b/>
                <w:sz w:val="27"/>
                <w:szCs w:val="27"/>
                <w:lang w:val="fr-FR"/>
              </w:rPr>
            </w:pPr>
          </w:p>
        </w:tc>
        <w:tc>
          <w:tcPr>
            <w:tcW w:w="3335" w:type="dxa"/>
          </w:tcPr>
          <w:p w14:paraId="793D8076" w14:textId="77777777" w:rsidR="00B35A51" w:rsidRPr="00F13051" w:rsidRDefault="00B35A51" w:rsidP="00C20EBF">
            <w:pPr>
              <w:jc w:val="right"/>
              <w:rPr>
                <w:rFonts w:ascii="Arial" w:hAnsi="Arial" w:cs="Arial"/>
                <w:b/>
                <w:sz w:val="64"/>
                <w:szCs w:val="64"/>
                <w:lang w:val="fr-FR"/>
              </w:rPr>
            </w:pPr>
            <w:r w:rsidRPr="00F13051">
              <w:rPr>
                <w:rFonts w:ascii="Arial" w:hAnsi="Arial" w:cs="Arial"/>
                <w:b/>
                <w:sz w:val="64"/>
                <w:szCs w:val="64"/>
                <w:lang w:val="fr-FR"/>
              </w:rPr>
              <w:t>MC</w:t>
            </w:r>
          </w:p>
        </w:tc>
      </w:tr>
      <w:tr w:rsidR="00B35A51" w:rsidRPr="00F13051" w14:paraId="200ED96D" w14:textId="77777777" w:rsidTr="00C20EBF">
        <w:trPr>
          <w:cantSplit/>
          <w:trHeight w:val="281"/>
          <w:jc w:val="right"/>
        </w:trPr>
        <w:tc>
          <w:tcPr>
            <w:tcW w:w="1518" w:type="dxa"/>
            <w:tcBorders>
              <w:bottom w:val="single" w:sz="4" w:space="0" w:color="auto"/>
            </w:tcBorders>
          </w:tcPr>
          <w:p w14:paraId="1DB3435F" w14:textId="77777777" w:rsidR="00B35A51" w:rsidRPr="00F13051" w:rsidRDefault="00B35A51" w:rsidP="00C20EBF">
            <w:pPr>
              <w:rPr>
                <w:sz w:val="18"/>
                <w:szCs w:val="18"/>
                <w:lang w:val="fr-FR"/>
              </w:rPr>
            </w:pPr>
          </w:p>
        </w:tc>
        <w:tc>
          <w:tcPr>
            <w:tcW w:w="4643" w:type="dxa"/>
            <w:tcBorders>
              <w:bottom w:val="single" w:sz="4" w:space="0" w:color="auto"/>
            </w:tcBorders>
          </w:tcPr>
          <w:p w14:paraId="012C5F0B" w14:textId="77777777" w:rsidR="00B35A51" w:rsidRPr="00F13051" w:rsidRDefault="00B35A51" w:rsidP="00C20EBF">
            <w:pPr>
              <w:rPr>
                <w:rFonts w:ascii="Univers" w:hAnsi="Univers"/>
                <w:b/>
                <w:sz w:val="18"/>
                <w:szCs w:val="18"/>
                <w:lang w:val="fr-FR"/>
              </w:rPr>
            </w:pPr>
          </w:p>
        </w:tc>
        <w:tc>
          <w:tcPr>
            <w:tcW w:w="3335" w:type="dxa"/>
            <w:tcBorders>
              <w:bottom w:val="single" w:sz="4" w:space="0" w:color="auto"/>
            </w:tcBorders>
          </w:tcPr>
          <w:p w14:paraId="1E46E012" w14:textId="77777777" w:rsidR="00B35A51" w:rsidRPr="00F13051" w:rsidRDefault="00B35A51" w:rsidP="00C20EBF">
            <w:pPr>
              <w:rPr>
                <w:sz w:val="20"/>
                <w:szCs w:val="20"/>
                <w:lang w:val="fr-FR"/>
              </w:rPr>
            </w:pPr>
            <w:r w:rsidRPr="00F13051">
              <w:rPr>
                <w:b/>
                <w:bCs/>
                <w:sz w:val="20"/>
                <w:szCs w:val="20"/>
                <w:lang w:val="fr-FR"/>
              </w:rPr>
              <w:t>UNEP</w:t>
            </w:r>
            <w:bookmarkStart w:id="0" w:name="OLE_LINK1"/>
            <w:bookmarkStart w:id="1" w:name="OLE_LINK2"/>
            <w:r w:rsidRPr="00F13051">
              <w:rPr>
                <w:b/>
                <w:bCs/>
                <w:sz w:val="20"/>
                <w:szCs w:val="20"/>
                <w:lang w:val="fr-FR"/>
              </w:rPr>
              <w:t>/</w:t>
            </w:r>
            <w:r w:rsidRPr="00F13051">
              <w:rPr>
                <w:sz w:val="20"/>
                <w:szCs w:val="20"/>
                <w:lang w:val="fr-FR"/>
              </w:rPr>
              <w:t>MC/</w:t>
            </w:r>
            <w:bookmarkEnd w:id="0"/>
            <w:bookmarkEnd w:id="1"/>
            <w:r w:rsidRPr="00F13051">
              <w:rPr>
                <w:sz w:val="20"/>
                <w:szCs w:val="20"/>
                <w:lang w:val="fr-FR"/>
              </w:rPr>
              <w:t>COP.3/14/Add.1</w:t>
            </w:r>
          </w:p>
        </w:tc>
      </w:tr>
      <w:bookmarkStart w:id="2" w:name="_MON_1021710510"/>
      <w:bookmarkEnd w:id="2"/>
      <w:bookmarkStart w:id="3" w:name="_MON_1021710482"/>
      <w:bookmarkEnd w:id="3"/>
      <w:tr w:rsidR="00B35A51" w:rsidRPr="00F13051" w14:paraId="6F363F8F" w14:textId="77777777" w:rsidTr="00C20EBF">
        <w:trPr>
          <w:cantSplit/>
          <w:trHeight w:val="2549"/>
          <w:jc w:val="right"/>
        </w:trPr>
        <w:tc>
          <w:tcPr>
            <w:tcW w:w="1518" w:type="dxa"/>
            <w:tcBorders>
              <w:top w:val="single" w:sz="4" w:space="0" w:color="auto"/>
              <w:bottom w:val="single" w:sz="24" w:space="0" w:color="auto"/>
            </w:tcBorders>
          </w:tcPr>
          <w:p w14:paraId="74B7E321" w14:textId="77777777" w:rsidR="00B35A51" w:rsidRPr="00F13051" w:rsidRDefault="00B35A51" w:rsidP="00C20EBF">
            <w:pPr>
              <w:rPr>
                <w:lang w:val="fr-FR"/>
              </w:rPr>
            </w:pPr>
            <w:r w:rsidRPr="00F13051">
              <w:rPr>
                <w:lang w:val="fr-FR"/>
              </w:rPr>
              <w:object w:dxaOrig="1831" w:dyaOrig="1726" w14:anchorId="1633BF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1.05pt" o:ole="" fillcolor="window">
                  <v:imagedata r:id="rId8" o:title=""/>
                </v:shape>
                <o:OLEObject Type="Embed" ProgID="Word.Picture.8" ShapeID="_x0000_i1025" DrawAspect="Content" ObjectID="_1635933702" r:id="rId9"/>
              </w:object>
            </w:r>
            <w:r w:rsidRPr="00F13051">
              <w:rPr>
                <w:noProof/>
                <w:lang w:val="fr-FR" w:eastAsia="en-GB"/>
              </w:rPr>
              <w:drawing>
                <wp:inline distT="0" distB="0" distL="0" distR="0" wp14:anchorId="06BCEFB6" wp14:editId="1944CED8">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4D9157D8" w14:textId="2A9CBA0B" w:rsidR="00B35A51" w:rsidRPr="00F13051" w:rsidRDefault="00B35A51" w:rsidP="00C20EBF">
            <w:pPr>
              <w:spacing w:before="1200"/>
              <w:rPr>
                <w:rFonts w:ascii="Arial" w:hAnsi="Arial" w:cs="Arial"/>
                <w:b/>
                <w:sz w:val="28"/>
                <w:lang w:val="fr-FR"/>
              </w:rPr>
            </w:pPr>
            <w:r w:rsidRPr="00F13051">
              <w:rPr>
                <w:rFonts w:ascii="Arial" w:hAnsi="Arial" w:cs="Arial"/>
                <w:b/>
                <w:sz w:val="32"/>
                <w:szCs w:val="32"/>
                <w:lang w:val="fr-FR"/>
              </w:rPr>
              <w:t>Programme</w:t>
            </w:r>
            <w:r w:rsidRPr="00F13051">
              <w:rPr>
                <w:rFonts w:ascii="Arial" w:hAnsi="Arial" w:cs="Arial"/>
                <w:b/>
                <w:sz w:val="32"/>
                <w:szCs w:val="32"/>
                <w:lang w:val="fr-FR"/>
              </w:rPr>
              <w:br/>
              <w:t>des Nations Unies</w:t>
            </w:r>
            <w:r w:rsidRPr="00F13051">
              <w:rPr>
                <w:rFonts w:ascii="Arial" w:hAnsi="Arial" w:cs="Arial"/>
                <w:b/>
                <w:sz w:val="32"/>
                <w:szCs w:val="32"/>
                <w:lang w:val="fr-FR"/>
              </w:rPr>
              <w:br/>
              <w:t>pour l</w:t>
            </w:r>
            <w:r w:rsidR="00133FD4" w:rsidRPr="00F13051">
              <w:rPr>
                <w:rFonts w:ascii="Arial" w:hAnsi="Arial" w:cs="Arial"/>
                <w:b/>
                <w:sz w:val="32"/>
                <w:szCs w:val="32"/>
                <w:lang w:val="fr-FR"/>
              </w:rPr>
              <w:t>’</w:t>
            </w:r>
            <w:r w:rsidRPr="00F13051">
              <w:rPr>
                <w:rFonts w:ascii="Arial" w:hAnsi="Arial" w:cs="Arial"/>
                <w:b/>
                <w:sz w:val="32"/>
                <w:szCs w:val="32"/>
                <w:lang w:val="fr-FR"/>
              </w:rPr>
              <w:t>environnement</w:t>
            </w:r>
          </w:p>
        </w:tc>
        <w:tc>
          <w:tcPr>
            <w:tcW w:w="3335" w:type="dxa"/>
            <w:tcBorders>
              <w:top w:val="single" w:sz="4" w:space="0" w:color="auto"/>
              <w:bottom w:val="single" w:sz="24" w:space="0" w:color="auto"/>
            </w:tcBorders>
          </w:tcPr>
          <w:p w14:paraId="5BE3DC73" w14:textId="5D48D0AA" w:rsidR="00B35A51" w:rsidRPr="00F13051" w:rsidRDefault="00C23123" w:rsidP="00C20EBF">
            <w:pPr>
              <w:spacing w:before="120"/>
              <w:rPr>
                <w:sz w:val="20"/>
                <w:szCs w:val="20"/>
                <w:lang w:val="fr-FR"/>
              </w:rPr>
            </w:pPr>
            <w:r w:rsidRPr="00F13051">
              <w:rPr>
                <w:sz w:val="20"/>
                <w:szCs w:val="20"/>
                <w:lang w:val="fr-FR"/>
              </w:rPr>
              <w:t xml:space="preserve">Distr. générale </w:t>
            </w:r>
            <w:r w:rsidRPr="00F13051">
              <w:rPr>
                <w:sz w:val="20"/>
                <w:szCs w:val="20"/>
                <w:lang w:val="fr-FR"/>
              </w:rPr>
              <w:br/>
              <w:t>8 </w:t>
            </w:r>
            <w:r w:rsidR="00B35A51" w:rsidRPr="00F13051">
              <w:rPr>
                <w:sz w:val="20"/>
                <w:szCs w:val="20"/>
                <w:lang w:val="fr-FR"/>
              </w:rPr>
              <w:t>octobre 2019</w:t>
            </w:r>
          </w:p>
          <w:p w14:paraId="4F8CFF98" w14:textId="33E578A0" w:rsidR="00B35A51" w:rsidRPr="00F13051" w:rsidRDefault="00B35A51" w:rsidP="00C20EBF">
            <w:pPr>
              <w:spacing w:before="240"/>
              <w:rPr>
                <w:lang w:val="fr-FR"/>
              </w:rPr>
            </w:pPr>
            <w:r w:rsidRPr="00F13051">
              <w:rPr>
                <w:sz w:val="20"/>
                <w:szCs w:val="20"/>
                <w:lang w:val="fr-FR"/>
              </w:rPr>
              <w:t>Français</w:t>
            </w:r>
            <w:r w:rsidRPr="00F13051">
              <w:rPr>
                <w:sz w:val="20"/>
                <w:szCs w:val="20"/>
                <w:lang w:val="fr-FR"/>
              </w:rPr>
              <w:br/>
              <w:t>Original</w:t>
            </w:r>
            <w:r w:rsidR="00133FD4" w:rsidRPr="00F13051">
              <w:rPr>
                <w:sz w:val="20"/>
                <w:szCs w:val="20"/>
                <w:lang w:val="fr-FR"/>
              </w:rPr>
              <w:t> :</w:t>
            </w:r>
            <w:r w:rsidRPr="00F13051">
              <w:rPr>
                <w:sz w:val="20"/>
                <w:szCs w:val="20"/>
                <w:lang w:val="fr-FR"/>
              </w:rPr>
              <w:t xml:space="preserve"> anglais</w:t>
            </w:r>
          </w:p>
        </w:tc>
      </w:tr>
    </w:tbl>
    <w:p w14:paraId="0F314CE2" w14:textId="77777777" w:rsidR="00B35A51" w:rsidRPr="00F13051" w:rsidRDefault="00B35A51" w:rsidP="00B35A51">
      <w:pPr>
        <w:pStyle w:val="AATitle"/>
        <w:keepNext w:val="0"/>
        <w:keepLines w:val="0"/>
        <w:rPr>
          <w:lang w:val="fr-FR"/>
        </w:rPr>
      </w:pPr>
      <w:r w:rsidRPr="00F13051">
        <w:rPr>
          <w:bCs/>
          <w:lang w:val="fr-FR"/>
        </w:rPr>
        <w:t>Conférence des Parties à la Convention de Minamata sur le mercure</w:t>
      </w:r>
    </w:p>
    <w:p w14:paraId="715F3E5C" w14:textId="77777777" w:rsidR="00B35A51" w:rsidRPr="00F13051" w:rsidRDefault="00B35A51" w:rsidP="00B35A51">
      <w:pPr>
        <w:pStyle w:val="AATitle"/>
        <w:keepNext w:val="0"/>
        <w:keepLines w:val="0"/>
        <w:rPr>
          <w:lang w:val="fr-FR"/>
        </w:rPr>
      </w:pPr>
      <w:r w:rsidRPr="00F13051">
        <w:rPr>
          <w:bCs/>
          <w:lang w:val="fr-FR"/>
        </w:rPr>
        <w:t>Troisième réunion</w:t>
      </w:r>
    </w:p>
    <w:p w14:paraId="6DE83B77" w14:textId="0638E81F" w:rsidR="00B35A51" w:rsidRPr="00F13051" w:rsidRDefault="00C23123" w:rsidP="00B35A51">
      <w:pPr>
        <w:pStyle w:val="AATitle"/>
        <w:rPr>
          <w:b w:val="0"/>
          <w:lang w:val="fr-FR"/>
        </w:rPr>
      </w:pPr>
      <w:r w:rsidRPr="00F13051">
        <w:rPr>
          <w:b w:val="0"/>
          <w:lang w:val="fr-FR"/>
        </w:rPr>
        <w:t>Genève, 25–29 </w:t>
      </w:r>
      <w:r w:rsidR="00B35A51" w:rsidRPr="00F13051">
        <w:rPr>
          <w:b w:val="0"/>
          <w:lang w:val="fr-FR"/>
        </w:rPr>
        <w:t>novembre 2019</w:t>
      </w:r>
    </w:p>
    <w:p w14:paraId="013E41BD" w14:textId="401BCC2B" w:rsidR="004F110C" w:rsidRPr="00F13051" w:rsidRDefault="00133FD4" w:rsidP="004F110C">
      <w:pPr>
        <w:pStyle w:val="AATitle"/>
        <w:keepNext w:val="0"/>
        <w:keepLines w:val="0"/>
        <w:rPr>
          <w:b w:val="0"/>
          <w:bCs/>
          <w:lang w:val="fr-FR"/>
        </w:rPr>
      </w:pPr>
      <w:r w:rsidRPr="00F13051">
        <w:rPr>
          <w:b w:val="0"/>
          <w:lang w:val="fr-FR"/>
        </w:rPr>
        <w:t>Point</w:t>
      </w:r>
      <w:r w:rsidR="00C23123" w:rsidRPr="00F13051">
        <w:rPr>
          <w:b w:val="0"/>
          <w:lang w:val="fr-FR"/>
        </w:rPr>
        <w:t> 5 </w:t>
      </w:r>
      <w:r w:rsidR="004F110C" w:rsidRPr="00F13051">
        <w:rPr>
          <w:b w:val="0"/>
          <w:lang w:val="fr-FR"/>
        </w:rPr>
        <w:t xml:space="preserve">h) </w:t>
      </w:r>
      <w:r w:rsidRPr="00F13051">
        <w:rPr>
          <w:b w:val="0"/>
          <w:lang w:val="fr-FR"/>
        </w:rPr>
        <w:t>de l’ordre du jour provisoire</w:t>
      </w:r>
      <w:r w:rsidR="004F110C" w:rsidRPr="00F13051">
        <w:rPr>
          <w:b w:val="0"/>
          <w:lang w:val="fr-FR"/>
        </w:rPr>
        <w:footnoteReference w:customMarkFollows="1" w:id="1"/>
        <w:t>*</w:t>
      </w:r>
    </w:p>
    <w:p w14:paraId="4C6CACBA" w14:textId="79C63EDE" w:rsidR="004F110C" w:rsidRPr="00F13051" w:rsidRDefault="004F110C" w:rsidP="004F110C">
      <w:pPr>
        <w:pStyle w:val="AATitle2"/>
        <w:tabs>
          <w:tab w:val="left" w:pos="4320"/>
        </w:tabs>
        <w:ind w:right="5176"/>
        <w:rPr>
          <w:lang w:val="fr-FR"/>
        </w:rPr>
      </w:pPr>
      <w:r w:rsidRPr="00F13051">
        <w:rPr>
          <w:bCs/>
          <w:lang w:val="fr-FR"/>
        </w:rPr>
        <w:t>Questions soumises à la Conférence des Parties pour examen ou décision</w:t>
      </w:r>
      <w:r w:rsidR="00133FD4" w:rsidRPr="00F13051">
        <w:rPr>
          <w:bCs/>
          <w:lang w:val="fr-FR"/>
        </w:rPr>
        <w:t> :</w:t>
      </w:r>
      <w:r w:rsidRPr="00F13051">
        <w:rPr>
          <w:bCs/>
          <w:lang w:val="fr-FR"/>
        </w:rPr>
        <w:t xml:space="preserve"> </w:t>
      </w:r>
      <w:r w:rsidR="006C44BC" w:rsidRPr="00F13051">
        <w:rPr>
          <w:bCs/>
          <w:lang w:val="fr-FR"/>
        </w:rPr>
        <w:t>évaluation de</w:t>
      </w:r>
      <w:r w:rsidR="00102B6E" w:rsidRPr="00F13051">
        <w:rPr>
          <w:bCs/>
          <w:lang w:val="fr-FR"/>
        </w:rPr>
        <w:t> </w:t>
      </w:r>
      <w:r w:rsidR="006C44BC" w:rsidRPr="00F13051">
        <w:rPr>
          <w:bCs/>
          <w:lang w:val="fr-FR"/>
        </w:rPr>
        <w:t>l’efficacité</w:t>
      </w:r>
    </w:p>
    <w:p w14:paraId="002B36D7" w14:textId="7316551F" w:rsidR="00045A6D" w:rsidRPr="00F13051" w:rsidRDefault="004F110C" w:rsidP="004F110C">
      <w:pPr>
        <w:pStyle w:val="BBTitle"/>
        <w:rPr>
          <w:lang w:val="fr-FR"/>
        </w:rPr>
      </w:pPr>
      <w:r w:rsidRPr="00F13051">
        <w:rPr>
          <w:bCs/>
          <w:lang w:val="fr-FR"/>
        </w:rPr>
        <w:t>Rapport du groupe spécial d</w:t>
      </w:r>
      <w:r w:rsidR="00133FD4" w:rsidRPr="00F13051">
        <w:rPr>
          <w:bCs/>
          <w:lang w:val="fr-FR"/>
        </w:rPr>
        <w:t>’</w:t>
      </w:r>
      <w:r w:rsidRPr="00F13051">
        <w:rPr>
          <w:bCs/>
          <w:lang w:val="fr-FR"/>
        </w:rPr>
        <w:t>experts techniques sur l</w:t>
      </w:r>
      <w:r w:rsidR="00133FD4" w:rsidRPr="00F13051">
        <w:rPr>
          <w:bCs/>
          <w:lang w:val="fr-FR"/>
        </w:rPr>
        <w:t>’</w:t>
      </w:r>
      <w:r w:rsidRPr="00F13051">
        <w:rPr>
          <w:bCs/>
          <w:lang w:val="fr-FR"/>
        </w:rPr>
        <w:t>évaluation de l</w:t>
      </w:r>
      <w:r w:rsidR="00133FD4" w:rsidRPr="00F13051">
        <w:rPr>
          <w:bCs/>
          <w:lang w:val="fr-FR"/>
        </w:rPr>
        <w:t>’</w:t>
      </w:r>
      <w:r w:rsidRPr="00F13051">
        <w:rPr>
          <w:bCs/>
          <w:lang w:val="fr-FR"/>
        </w:rPr>
        <w:t>efficacité</w:t>
      </w:r>
      <w:r w:rsidR="00133FD4" w:rsidRPr="00F13051">
        <w:rPr>
          <w:bCs/>
          <w:lang w:val="fr-FR"/>
        </w:rPr>
        <w:t> :</w:t>
      </w:r>
      <w:r w:rsidRPr="00F13051">
        <w:rPr>
          <w:bCs/>
          <w:lang w:val="fr-FR"/>
        </w:rPr>
        <w:t xml:space="preserve"> projet de cadre pour l</w:t>
      </w:r>
      <w:r w:rsidR="00133FD4" w:rsidRPr="00F13051">
        <w:rPr>
          <w:bCs/>
          <w:lang w:val="fr-FR"/>
        </w:rPr>
        <w:t>’</w:t>
      </w:r>
      <w:r w:rsidRPr="00F13051">
        <w:rPr>
          <w:bCs/>
          <w:lang w:val="fr-FR"/>
        </w:rPr>
        <w:t>évaluation de l</w:t>
      </w:r>
      <w:r w:rsidR="00133FD4" w:rsidRPr="00F13051">
        <w:rPr>
          <w:bCs/>
          <w:lang w:val="fr-FR"/>
        </w:rPr>
        <w:t>’</w:t>
      </w:r>
      <w:r w:rsidRPr="00F13051">
        <w:rPr>
          <w:bCs/>
          <w:lang w:val="fr-FR"/>
        </w:rPr>
        <w:t>efficacité de la Convention de Minamata sur le mercure</w:t>
      </w:r>
    </w:p>
    <w:p w14:paraId="14E377D3" w14:textId="5985E8D5" w:rsidR="00D17CBA" w:rsidRPr="00F13051" w:rsidRDefault="004F110C" w:rsidP="00D17CBA">
      <w:pPr>
        <w:pStyle w:val="CH2"/>
        <w:tabs>
          <w:tab w:val="clear" w:pos="851"/>
          <w:tab w:val="clear" w:pos="1247"/>
          <w:tab w:val="clear" w:pos="1814"/>
          <w:tab w:val="clear" w:pos="2381"/>
          <w:tab w:val="clear" w:pos="2948"/>
          <w:tab w:val="clear" w:pos="3515"/>
          <w:tab w:val="clear" w:pos="4082"/>
          <w:tab w:val="left" w:pos="624"/>
        </w:tabs>
        <w:rPr>
          <w:lang w:val="fr-FR"/>
        </w:rPr>
      </w:pPr>
      <w:r w:rsidRPr="00F13051">
        <w:rPr>
          <w:lang w:val="fr-FR"/>
        </w:rPr>
        <w:tab/>
      </w:r>
      <w:r w:rsidRPr="00F13051">
        <w:rPr>
          <w:lang w:val="fr-FR"/>
        </w:rPr>
        <w:tab/>
      </w:r>
      <w:r w:rsidRPr="00F13051">
        <w:rPr>
          <w:bCs/>
          <w:lang w:val="fr-FR"/>
        </w:rPr>
        <w:t xml:space="preserve">Note du </w:t>
      </w:r>
      <w:r w:rsidR="00102B6E" w:rsidRPr="00F13051">
        <w:rPr>
          <w:bCs/>
          <w:lang w:val="fr-FR"/>
        </w:rPr>
        <w:t>s</w:t>
      </w:r>
      <w:r w:rsidRPr="00F13051">
        <w:rPr>
          <w:bCs/>
          <w:lang w:val="fr-FR"/>
        </w:rPr>
        <w:t>ecrétariat</w:t>
      </w:r>
    </w:p>
    <w:p w14:paraId="7578A973" w14:textId="77777777" w:rsidR="00D17CBA" w:rsidRPr="00F13051" w:rsidRDefault="004F53B0" w:rsidP="00082157">
      <w:pPr>
        <w:pStyle w:val="CH2"/>
        <w:rPr>
          <w:lang w:val="fr-FR"/>
        </w:rPr>
      </w:pPr>
      <w:r w:rsidRPr="00F13051">
        <w:rPr>
          <w:lang w:val="fr-FR"/>
        </w:rPr>
        <w:tab/>
      </w:r>
      <w:r w:rsidRPr="00F13051">
        <w:rPr>
          <w:lang w:val="fr-FR"/>
        </w:rPr>
        <w:tab/>
      </w:r>
      <w:r w:rsidRPr="00F13051">
        <w:rPr>
          <w:bCs/>
          <w:lang w:val="fr-FR"/>
        </w:rPr>
        <w:t>Additif</w:t>
      </w:r>
    </w:p>
    <w:p w14:paraId="31099A25" w14:textId="34E6AD32" w:rsidR="004F110C" w:rsidRPr="00F13051" w:rsidRDefault="00FE6659" w:rsidP="00E1136D">
      <w:pPr>
        <w:pStyle w:val="NormalNonumber"/>
        <w:rPr>
          <w:lang w:val="fr-FR"/>
        </w:rPr>
      </w:pPr>
      <w:r w:rsidRPr="00F13051">
        <w:rPr>
          <w:lang w:val="fr-FR"/>
        </w:rPr>
        <w:t>On trouvera dans l</w:t>
      </w:r>
      <w:r w:rsidR="00133FD4" w:rsidRPr="00F13051">
        <w:rPr>
          <w:lang w:val="fr-FR"/>
        </w:rPr>
        <w:t>’</w:t>
      </w:r>
      <w:r w:rsidR="004F110C" w:rsidRPr="00F13051">
        <w:rPr>
          <w:lang w:val="fr-FR"/>
        </w:rPr>
        <w:t>annexe de la présente note l</w:t>
      </w:r>
      <w:r w:rsidR="00133FD4" w:rsidRPr="00F13051">
        <w:rPr>
          <w:lang w:val="fr-FR"/>
        </w:rPr>
        <w:t>’</w:t>
      </w:r>
      <w:r w:rsidR="004F110C" w:rsidRPr="00F13051">
        <w:rPr>
          <w:lang w:val="fr-FR"/>
        </w:rPr>
        <w:t>appendice I du rapport du groupe spécial d</w:t>
      </w:r>
      <w:r w:rsidR="00133FD4" w:rsidRPr="00F13051">
        <w:rPr>
          <w:lang w:val="fr-FR"/>
        </w:rPr>
        <w:t>’</w:t>
      </w:r>
      <w:r w:rsidR="004F110C" w:rsidRPr="00F13051">
        <w:rPr>
          <w:lang w:val="fr-FR"/>
        </w:rPr>
        <w:t>experts techniques sur l</w:t>
      </w:r>
      <w:r w:rsidR="00133FD4" w:rsidRPr="00F13051">
        <w:rPr>
          <w:lang w:val="fr-FR"/>
        </w:rPr>
        <w:t>’</w:t>
      </w:r>
      <w:r w:rsidR="004F110C" w:rsidRPr="00F13051">
        <w:rPr>
          <w:lang w:val="fr-FR"/>
        </w:rPr>
        <w:t>évaluation de l</w:t>
      </w:r>
      <w:r w:rsidR="00133FD4" w:rsidRPr="00F13051">
        <w:rPr>
          <w:lang w:val="fr-FR"/>
        </w:rPr>
        <w:t>’</w:t>
      </w:r>
      <w:r w:rsidR="004F110C" w:rsidRPr="00F13051">
        <w:rPr>
          <w:lang w:val="fr-FR"/>
        </w:rPr>
        <w:t>effic</w:t>
      </w:r>
      <w:r w:rsidR="00C23123" w:rsidRPr="00F13051">
        <w:rPr>
          <w:lang w:val="fr-FR"/>
        </w:rPr>
        <w:t>acité figurant dans le document </w:t>
      </w:r>
      <w:r w:rsidR="004F110C" w:rsidRPr="00F13051">
        <w:rPr>
          <w:lang w:val="fr-FR"/>
        </w:rPr>
        <w:t>UNEP/MC/COP.3/14. Il convient éga</w:t>
      </w:r>
      <w:r w:rsidR="00C23123" w:rsidRPr="00F13051">
        <w:rPr>
          <w:lang w:val="fr-FR"/>
        </w:rPr>
        <w:t xml:space="preserve">lement de noter que </w:t>
      </w:r>
      <w:r w:rsidR="004F110C" w:rsidRPr="00F13051">
        <w:rPr>
          <w:lang w:val="fr-FR"/>
        </w:rPr>
        <w:t>des informations supplémentaires complét</w:t>
      </w:r>
      <w:r w:rsidRPr="00F13051">
        <w:rPr>
          <w:lang w:val="fr-FR"/>
        </w:rPr>
        <w:t>ant</w:t>
      </w:r>
      <w:r w:rsidR="004F110C" w:rsidRPr="00F13051">
        <w:rPr>
          <w:lang w:val="fr-FR"/>
        </w:rPr>
        <w:t xml:space="preserve"> le rapport du groupe spécial d</w:t>
      </w:r>
      <w:r w:rsidR="00133FD4" w:rsidRPr="00F13051">
        <w:rPr>
          <w:lang w:val="fr-FR"/>
        </w:rPr>
        <w:t>’</w:t>
      </w:r>
      <w:r w:rsidR="004F110C" w:rsidRPr="00F13051">
        <w:rPr>
          <w:lang w:val="fr-FR"/>
        </w:rPr>
        <w:t>experts techniques</w:t>
      </w:r>
      <w:r w:rsidRPr="00F13051">
        <w:rPr>
          <w:lang w:val="fr-FR"/>
        </w:rPr>
        <w:t xml:space="preserve"> </w:t>
      </w:r>
      <w:r w:rsidR="005338EE" w:rsidRPr="00F13051">
        <w:rPr>
          <w:lang w:val="fr-FR"/>
        </w:rPr>
        <w:t xml:space="preserve">sont disponibles </w:t>
      </w:r>
      <w:r w:rsidRPr="00F13051">
        <w:rPr>
          <w:lang w:val="fr-FR"/>
        </w:rPr>
        <w:t>dans le document UNEP/MC/COP.3/INF/15</w:t>
      </w:r>
      <w:r w:rsidR="004F110C" w:rsidRPr="00F13051">
        <w:rPr>
          <w:lang w:val="fr-FR"/>
        </w:rPr>
        <w:t>.</w:t>
      </w:r>
    </w:p>
    <w:p w14:paraId="586B42C0" w14:textId="77777777" w:rsidR="004F110C" w:rsidRPr="00F13051" w:rsidRDefault="004F110C" w:rsidP="00BB4589">
      <w:pPr>
        <w:pStyle w:val="Normalnumber"/>
        <w:numPr>
          <w:ilvl w:val="0"/>
          <w:numId w:val="0"/>
        </w:numPr>
        <w:ind w:left="1277"/>
        <w:rPr>
          <w:rFonts w:ascii="Cambria" w:eastAsia="Cambria" w:hAnsi="Cambria" w:cs="Cambria"/>
          <w:b/>
          <w:bCs/>
          <w:sz w:val="24"/>
          <w:szCs w:val="24"/>
          <w:lang w:val="fr-FR"/>
        </w:rPr>
      </w:pPr>
    </w:p>
    <w:p w14:paraId="25EC9A44" w14:textId="77777777" w:rsidR="004F110C" w:rsidRPr="00F13051" w:rsidRDefault="004F110C" w:rsidP="004F110C">
      <w:pPr>
        <w:pStyle w:val="Normalnumber"/>
        <w:ind w:left="1277"/>
        <w:rPr>
          <w:lang w:val="fr-FR"/>
        </w:rPr>
        <w:sectPr w:rsidR="004F110C" w:rsidRPr="00F13051" w:rsidSect="004F110C">
          <w:headerReference w:type="even" r:id="rId11"/>
          <w:headerReference w:type="default" r:id="rId12"/>
          <w:footerReference w:type="even" r:id="rId13"/>
          <w:footerReference w:type="default" r:id="rId14"/>
          <w:headerReference w:type="first" r:id="rId15"/>
          <w:footerReference w:type="first" r:id="rId16"/>
          <w:type w:val="continuous"/>
          <w:pgSz w:w="11900" w:h="16840"/>
          <w:pgMar w:top="907" w:right="992" w:bottom="1418" w:left="1418" w:header="539" w:footer="975" w:gutter="0"/>
          <w:cols w:space="720"/>
          <w:titlePg/>
        </w:sectPr>
      </w:pPr>
    </w:p>
    <w:p w14:paraId="00E6E65E" w14:textId="77777777" w:rsidR="004F110C" w:rsidRPr="00F13051" w:rsidRDefault="004F110C" w:rsidP="004F110C">
      <w:pPr>
        <w:pStyle w:val="ZZAnxheader"/>
        <w:rPr>
          <w:lang w:val="fr-FR"/>
        </w:rPr>
      </w:pPr>
      <w:r w:rsidRPr="00F13051">
        <w:rPr>
          <w:lang w:val="fr-FR"/>
        </w:rPr>
        <w:lastRenderedPageBreak/>
        <w:t>Annexe</w:t>
      </w:r>
    </w:p>
    <w:p w14:paraId="079AB8A5" w14:textId="161E8445" w:rsidR="00DC22FA" w:rsidRPr="00F13051" w:rsidRDefault="00DC22FA" w:rsidP="00847AE1">
      <w:pPr>
        <w:pStyle w:val="ZZAnxtitle"/>
        <w:rPr>
          <w:lang w:val="fr-FR"/>
        </w:rPr>
      </w:pPr>
      <w:r w:rsidRPr="00F13051">
        <w:rPr>
          <w:lang w:val="fr-FR"/>
        </w:rPr>
        <w:t>Rapport du groupe spécial d’experts techniques sur l’évaluation de</w:t>
      </w:r>
      <w:r w:rsidR="00102B6E" w:rsidRPr="00F13051">
        <w:rPr>
          <w:lang w:val="fr-FR"/>
        </w:rPr>
        <w:t> </w:t>
      </w:r>
      <w:r w:rsidRPr="00F13051">
        <w:rPr>
          <w:lang w:val="fr-FR"/>
        </w:rPr>
        <w:t>l’efficacité : projet de cadre pour l’évaluation de l’efficacité de</w:t>
      </w:r>
      <w:r w:rsidR="00102B6E" w:rsidRPr="00F13051">
        <w:rPr>
          <w:lang w:val="fr-FR"/>
        </w:rPr>
        <w:t> </w:t>
      </w:r>
      <w:r w:rsidRPr="00F13051">
        <w:rPr>
          <w:lang w:val="fr-FR"/>
        </w:rPr>
        <w:t>la</w:t>
      </w:r>
      <w:r w:rsidR="00102B6E" w:rsidRPr="00F13051">
        <w:rPr>
          <w:lang w:val="fr-FR"/>
        </w:rPr>
        <w:t> </w:t>
      </w:r>
      <w:r w:rsidRPr="00F13051">
        <w:rPr>
          <w:lang w:val="fr-FR"/>
        </w:rPr>
        <w:t>Convention de Minamata sur le mercure</w:t>
      </w:r>
    </w:p>
    <w:p w14:paraId="4619548B" w14:textId="236DD82A" w:rsidR="0015792A" w:rsidRPr="00F13051" w:rsidRDefault="003B1FD7" w:rsidP="00847AE1">
      <w:pPr>
        <w:pStyle w:val="ZZAnxtitle"/>
        <w:rPr>
          <w:lang w:val="fr-FR"/>
        </w:rPr>
      </w:pPr>
      <w:r w:rsidRPr="00F13051">
        <w:rPr>
          <w:lang w:val="fr-FR"/>
        </w:rPr>
        <w:t>Appendice </w:t>
      </w:r>
      <w:r w:rsidR="004F110C" w:rsidRPr="00F13051">
        <w:rPr>
          <w:lang w:val="fr-FR"/>
        </w:rPr>
        <w:t>I</w:t>
      </w:r>
    </w:p>
    <w:p w14:paraId="34EE0560" w14:textId="7D411D98" w:rsidR="004F110C" w:rsidRPr="00F13051" w:rsidRDefault="003E2F62" w:rsidP="00E1136D">
      <w:pPr>
        <w:pStyle w:val="CH2"/>
        <w:rPr>
          <w:rFonts w:eastAsia="Cambria" w:cs="Cambria"/>
          <w:lang w:val="fr-FR"/>
        </w:rPr>
      </w:pPr>
      <w:r w:rsidRPr="00F13051">
        <w:rPr>
          <w:lang w:val="fr-FR"/>
        </w:rPr>
        <w:tab/>
      </w:r>
      <w:r w:rsidRPr="00F13051">
        <w:rPr>
          <w:lang w:val="fr-FR"/>
        </w:rPr>
        <w:tab/>
      </w:r>
      <w:r w:rsidRPr="00F13051">
        <w:rPr>
          <w:bCs/>
          <w:lang w:val="fr-FR"/>
        </w:rPr>
        <w:t>Informations techniques sur la surveillance</w:t>
      </w:r>
    </w:p>
    <w:p w14:paraId="2A5111CD" w14:textId="15343CA7" w:rsidR="004F110C" w:rsidRPr="00F13051" w:rsidRDefault="00F5720B" w:rsidP="00F5720B">
      <w:pPr>
        <w:pStyle w:val="CH1"/>
        <w:rPr>
          <w:lang w:val="fr-FR"/>
        </w:rPr>
      </w:pPr>
      <w:r w:rsidRPr="00F13051">
        <w:rPr>
          <w:lang w:val="fr-FR"/>
        </w:rPr>
        <w:tab/>
        <w:t>I.</w:t>
      </w:r>
      <w:r w:rsidRPr="00F13051">
        <w:rPr>
          <w:lang w:val="fr-FR"/>
        </w:rPr>
        <w:tab/>
      </w:r>
      <w:r w:rsidR="00343481" w:rsidRPr="00F13051">
        <w:rPr>
          <w:lang w:val="fr-FR"/>
        </w:rPr>
        <w:t>Introduction</w:t>
      </w:r>
    </w:p>
    <w:p w14:paraId="61015091" w14:textId="2E8E351D" w:rsidR="0015792A" w:rsidRPr="00F13051" w:rsidRDefault="004F110C" w:rsidP="0056566B">
      <w:pPr>
        <w:pStyle w:val="Normalnumber"/>
        <w:rPr>
          <w:lang w:val="fr-FR"/>
        </w:rPr>
      </w:pPr>
      <w:r w:rsidRPr="00F13051">
        <w:rPr>
          <w:lang w:val="fr-FR"/>
        </w:rPr>
        <w:t>Le présent appendice résume les travaux sur les arrangements mondiaux en matière de surveillance menés par le groupe spécial d</w:t>
      </w:r>
      <w:r w:rsidR="00133FD4" w:rsidRPr="00F13051">
        <w:rPr>
          <w:lang w:val="fr-FR"/>
        </w:rPr>
        <w:t>’</w:t>
      </w:r>
      <w:r w:rsidRPr="00F13051">
        <w:rPr>
          <w:lang w:val="fr-FR"/>
        </w:rPr>
        <w:t>experts techniques sur l</w:t>
      </w:r>
      <w:r w:rsidR="00133FD4" w:rsidRPr="00F13051">
        <w:rPr>
          <w:lang w:val="fr-FR"/>
        </w:rPr>
        <w:t>’</w:t>
      </w:r>
      <w:r w:rsidRPr="00F13051">
        <w:rPr>
          <w:lang w:val="fr-FR"/>
        </w:rPr>
        <w:t>évaluation de l</w:t>
      </w:r>
      <w:r w:rsidR="00133FD4" w:rsidRPr="00F13051">
        <w:rPr>
          <w:lang w:val="fr-FR"/>
        </w:rPr>
        <w:t>’</w:t>
      </w:r>
      <w:r w:rsidRPr="00F13051">
        <w:rPr>
          <w:lang w:val="fr-FR"/>
        </w:rPr>
        <w:t xml:space="preserve">efficacité </w:t>
      </w:r>
      <w:r w:rsidR="00B36C3E" w:rsidRPr="00F13051">
        <w:rPr>
          <w:lang w:val="fr-FR"/>
        </w:rPr>
        <w:t xml:space="preserve">lors </w:t>
      </w:r>
      <w:r w:rsidRPr="00F13051">
        <w:rPr>
          <w:lang w:val="fr-FR"/>
        </w:rPr>
        <w:t>de deux réunions tenues en mars 2018 et avril 201</w:t>
      </w:r>
      <w:r w:rsidR="00663EA8" w:rsidRPr="00F13051">
        <w:rPr>
          <w:lang w:val="fr-FR"/>
        </w:rPr>
        <w:t>9, et par voie électronique. La </w:t>
      </w:r>
      <w:r w:rsidR="003B1FD7" w:rsidRPr="00F13051">
        <w:rPr>
          <w:lang w:val="fr-FR"/>
        </w:rPr>
        <w:t>section </w:t>
      </w:r>
      <w:r w:rsidRPr="00F13051">
        <w:rPr>
          <w:lang w:val="fr-FR"/>
        </w:rPr>
        <w:t xml:space="preserve">II </w:t>
      </w:r>
      <w:r w:rsidR="00B36C3E" w:rsidRPr="00F13051">
        <w:rPr>
          <w:lang w:val="fr-FR"/>
        </w:rPr>
        <w:t xml:space="preserve">commence par </w:t>
      </w:r>
      <w:r w:rsidR="00E94DFB" w:rsidRPr="00F13051">
        <w:rPr>
          <w:lang w:val="fr-FR"/>
        </w:rPr>
        <w:t>cern</w:t>
      </w:r>
      <w:r w:rsidR="00B36C3E" w:rsidRPr="00F13051">
        <w:rPr>
          <w:lang w:val="fr-FR"/>
        </w:rPr>
        <w:t>er l</w:t>
      </w:r>
      <w:r w:rsidRPr="00F13051">
        <w:rPr>
          <w:lang w:val="fr-FR"/>
        </w:rPr>
        <w:t xml:space="preserve">es catégories de données de surveillance comparables </w:t>
      </w:r>
      <w:r w:rsidR="00B36C3E" w:rsidRPr="00F13051">
        <w:rPr>
          <w:lang w:val="fr-FR"/>
        </w:rPr>
        <w:t xml:space="preserve">actuellement disponibles qui sont </w:t>
      </w:r>
      <w:r w:rsidRPr="00F13051">
        <w:rPr>
          <w:lang w:val="fr-FR"/>
        </w:rPr>
        <w:t xml:space="preserve">les plus aptes à fournir des informations sur les tendances mondiales, </w:t>
      </w:r>
      <w:r w:rsidR="00B36C3E" w:rsidRPr="00F13051">
        <w:rPr>
          <w:lang w:val="fr-FR"/>
        </w:rPr>
        <w:t>l</w:t>
      </w:r>
      <w:r w:rsidRPr="00F13051">
        <w:rPr>
          <w:lang w:val="fr-FR"/>
        </w:rPr>
        <w:t>es données de surveillance des concentrations de mercure dans l</w:t>
      </w:r>
      <w:r w:rsidR="00133FD4" w:rsidRPr="00F13051">
        <w:rPr>
          <w:lang w:val="fr-FR"/>
        </w:rPr>
        <w:t>’</w:t>
      </w:r>
      <w:r w:rsidRPr="00F13051">
        <w:rPr>
          <w:lang w:val="fr-FR"/>
        </w:rPr>
        <w:t xml:space="preserve">environnement, </w:t>
      </w:r>
      <w:r w:rsidR="00E94DFB" w:rsidRPr="00F13051">
        <w:rPr>
          <w:lang w:val="fr-FR"/>
        </w:rPr>
        <w:t xml:space="preserve">dans </w:t>
      </w:r>
      <w:r w:rsidR="00C20EBF" w:rsidRPr="00F13051">
        <w:rPr>
          <w:lang w:val="fr-FR"/>
        </w:rPr>
        <w:t>l</w:t>
      </w:r>
      <w:r w:rsidRPr="00F13051">
        <w:rPr>
          <w:lang w:val="fr-FR"/>
        </w:rPr>
        <w:t xml:space="preserve">es milieux biotiques et </w:t>
      </w:r>
      <w:r w:rsidR="00E94DFB" w:rsidRPr="00F13051">
        <w:rPr>
          <w:lang w:val="fr-FR"/>
        </w:rPr>
        <w:t xml:space="preserve">chez </w:t>
      </w:r>
      <w:r w:rsidR="00C20EBF" w:rsidRPr="00F13051">
        <w:rPr>
          <w:lang w:val="fr-FR"/>
        </w:rPr>
        <w:t>l</w:t>
      </w:r>
      <w:r w:rsidRPr="00F13051">
        <w:rPr>
          <w:lang w:val="fr-FR"/>
        </w:rPr>
        <w:t xml:space="preserve">es populations vulnérables </w:t>
      </w:r>
      <w:r w:rsidR="00E94DFB" w:rsidRPr="00F13051">
        <w:rPr>
          <w:lang w:val="fr-FR"/>
        </w:rPr>
        <w:t>dont on pourrait se</w:t>
      </w:r>
      <w:r w:rsidRPr="00F13051">
        <w:rPr>
          <w:lang w:val="fr-FR"/>
        </w:rPr>
        <w:t xml:space="preserve"> </w:t>
      </w:r>
      <w:r w:rsidR="00B36C3E" w:rsidRPr="00F13051">
        <w:rPr>
          <w:lang w:val="fr-FR"/>
        </w:rPr>
        <w:t xml:space="preserve">servir </w:t>
      </w:r>
      <w:r w:rsidR="00E94DFB" w:rsidRPr="00F13051">
        <w:rPr>
          <w:lang w:val="fr-FR"/>
        </w:rPr>
        <w:t>pour</w:t>
      </w:r>
      <w:r w:rsidRPr="00F13051">
        <w:rPr>
          <w:lang w:val="fr-FR"/>
        </w:rPr>
        <w:t xml:space="preserve"> évalu</w:t>
      </w:r>
      <w:r w:rsidR="00B36C3E" w:rsidRPr="00F13051">
        <w:rPr>
          <w:lang w:val="fr-FR"/>
        </w:rPr>
        <w:t>er</w:t>
      </w:r>
      <w:r w:rsidRPr="00F13051">
        <w:rPr>
          <w:lang w:val="fr-FR"/>
        </w:rPr>
        <w:t xml:space="preserve"> l</w:t>
      </w:r>
      <w:r w:rsidR="00133FD4" w:rsidRPr="00F13051">
        <w:rPr>
          <w:lang w:val="fr-FR"/>
        </w:rPr>
        <w:t>’</w:t>
      </w:r>
      <w:r w:rsidRPr="00F13051">
        <w:rPr>
          <w:lang w:val="fr-FR"/>
        </w:rPr>
        <w:t xml:space="preserve">incidence de la Convention de Minamata sur les concentrations de mercure et les tendances en la matière, et </w:t>
      </w:r>
      <w:r w:rsidR="00E94DFB" w:rsidRPr="00F13051">
        <w:rPr>
          <w:lang w:val="fr-FR"/>
        </w:rPr>
        <w:t>le</w:t>
      </w:r>
      <w:r w:rsidRPr="00F13051">
        <w:rPr>
          <w:lang w:val="fr-FR"/>
        </w:rPr>
        <w:t xml:space="preserve"> potentiel </w:t>
      </w:r>
      <w:r w:rsidR="00E94DFB" w:rsidRPr="00F13051">
        <w:rPr>
          <w:lang w:val="fr-FR"/>
        </w:rPr>
        <w:t>ainsi que l</w:t>
      </w:r>
      <w:r w:rsidRPr="00F13051">
        <w:rPr>
          <w:lang w:val="fr-FR"/>
        </w:rPr>
        <w:t xml:space="preserve">es limites </w:t>
      </w:r>
      <w:r w:rsidR="00E94DFB" w:rsidRPr="00F13051">
        <w:rPr>
          <w:lang w:val="fr-FR"/>
        </w:rPr>
        <w:t>des</w:t>
      </w:r>
      <w:r w:rsidR="00663EA8" w:rsidRPr="00F13051">
        <w:rPr>
          <w:lang w:val="fr-FR"/>
        </w:rPr>
        <w:t xml:space="preserve"> données</w:t>
      </w:r>
      <w:r w:rsidR="00E94DFB" w:rsidRPr="00F13051">
        <w:rPr>
          <w:lang w:val="fr-FR"/>
        </w:rPr>
        <w:t xml:space="preserve"> en question</w:t>
      </w:r>
      <w:r w:rsidR="00663EA8" w:rsidRPr="00F13051">
        <w:rPr>
          <w:lang w:val="fr-FR"/>
        </w:rPr>
        <w:t>. La section </w:t>
      </w:r>
      <w:r w:rsidRPr="00F13051">
        <w:rPr>
          <w:lang w:val="fr-FR"/>
        </w:rPr>
        <w:t>III évalue dans quelle mesure les informations examinées répondent aux besoins de l</w:t>
      </w:r>
      <w:r w:rsidR="00133FD4" w:rsidRPr="00F13051">
        <w:rPr>
          <w:lang w:val="fr-FR"/>
        </w:rPr>
        <w:t>’</w:t>
      </w:r>
      <w:r w:rsidRPr="00F13051">
        <w:rPr>
          <w:lang w:val="fr-FR"/>
        </w:rPr>
        <w:t>évaluation de l</w:t>
      </w:r>
      <w:r w:rsidR="00133FD4" w:rsidRPr="00F13051">
        <w:rPr>
          <w:lang w:val="fr-FR"/>
        </w:rPr>
        <w:t>’</w:t>
      </w:r>
      <w:r w:rsidRPr="00F13051">
        <w:rPr>
          <w:lang w:val="fr-FR"/>
        </w:rPr>
        <w:t>efficacité, recen</w:t>
      </w:r>
      <w:r w:rsidR="006C44BC" w:rsidRPr="00F13051">
        <w:rPr>
          <w:lang w:val="fr-FR"/>
        </w:rPr>
        <w:t>s</w:t>
      </w:r>
      <w:r w:rsidRPr="00F13051">
        <w:rPr>
          <w:lang w:val="fr-FR"/>
        </w:rPr>
        <w:t xml:space="preserve">e les principales lacunes </w:t>
      </w:r>
      <w:r w:rsidR="00C20EBF" w:rsidRPr="00F13051">
        <w:rPr>
          <w:lang w:val="fr-FR"/>
        </w:rPr>
        <w:t>existantes</w:t>
      </w:r>
      <w:r w:rsidRPr="00F13051">
        <w:rPr>
          <w:lang w:val="fr-FR"/>
        </w:rPr>
        <w:t>, esquisse des solutions pour améliorer la comparabilité et l</w:t>
      </w:r>
      <w:r w:rsidR="00133FD4" w:rsidRPr="00F13051">
        <w:rPr>
          <w:lang w:val="fr-FR"/>
        </w:rPr>
        <w:t>’</w:t>
      </w:r>
      <w:r w:rsidRPr="00F13051">
        <w:rPr>
          <w:lang w:val="fr-FR"/>
        </w:rPr>
        <w:t xml:space="preserve">exhaustivité des informations et compare </w:t>
      </w:r>
      <w:r w:rsidR="00E94DFB" w:rsidRPr="00F13051">
        <w:rPr>
          <w:lang w:val="fr-FR"/>
        </w:rPr>
        <w:t xml:space="preserve">le </w:t>
      </w:r>
      <w:r w:rsidRPr="00F13051">
        <w:rPr>
          <w:lang w:val="fr-FR"/>
        </w:rPr>
        <w:t xml:space="preserve">rapport coût-efficacité, </w:t>
      </w:r>
      <w:r w:rsidR="00E94DFB" w:rsidRPr="00F13051">
        <w:rPr>
          <w:lang w:val="fr-FR"/>
        </w:rPr>
        <w:t xml:space="preserve">le </w:t>
      </w:r>
      <w:r w:rsidR="00CA5CBD" w:rsidRPr="00F13051">
        <w:rPr>
          <w:lang w:val="fr-FR"/>
        </w:rPr>
        <w:t>réali</w:t>
      </w:r>
      <w:r w:rsidRPr="00F13051">
        <w:rPr>
          <w:lang w:val="fr-FR"/>
        </w:rPr>
        <w:t xml:space="preserve">sme, </w:t>
      </w:r>
      <w:r w:rsidR="00E94DFB" w:rsidRPr="00F13051">
        <w:rPr>
          <w:lang w:val="fr-FR"/>
        </w:rPr>
        <w:t xml:space="preserve">la </w:t>
      </w:r>
      <w:r w:rsidRPr="00F13051">
        <w:rPr>
          <w:lang w:val="fr-FR"/>
        </w:rPr>
        <w:t xml:space="preserve">faisabilité, </w:t>
      </w:r>
      <w:r w:rsidR="00E94DFB" w:rsidRPr="00F13051">
        <w:rPr>
          <w:lang w:val="fr-FR"/>
        </w:rPr>
        <w:t xml:space="preserve">la </w:t>
      </w:r>
      <w:r w:rsidRPr="00F13051">
        <w:rPr>
          <w:lang w:val="fr-FR"/>
        </w:rPr>
        <w:t>durabilité</w:t>
      </w:r>
      <w:r w:rsidR="00E94DFB" w:rsidRPr="00F13051">
        <w:rPr>
          <w:lang w:val="fr-FR"/>
        </w:rPr>
        <w:t>,</w:t>
      </w:r>
      <w:r w:rsidRPr="00F13051">
        <w:rPr>
          <w:lang w:val="fr-FR"/>
        </w:rPr>
        <w:t xml:space="preserve"> </w:t>
      </w:r>
      <w:r w:rsidR="00E94DFB" w:rsidRPr="00F13051">
        <w:rPr>
          <w:lang w:val="fr-FR"/>
        </w:rPr>
        <w:t xml:space="preserve">la </w:t>
      </w:r>
      <w:r w:rsidRPr="00F13051">
        <w:rPr>
          <w:lang w:val="fr-FR"/>
        </w:rPr>
        <w:t xml:space="preserve">couverture mondiale et </w:t>
      </w:r>
      <w:r w:rsidR="00E94DFB" w:rsidRPr="00F13051">
        <w:rPr>
          <w:lang w:val="fr-FR"/>
        </w:rPr>
        <w:t>les</w:t>
      </w:r>
      <w:r w:rsidRPr="00F13051">
        <w:rPr>
          <w:lang w:val="fr-FR"/>
        </w:rPr>
        <w:t xml:space="preserve"> capacités régionales</w:t>
      </w:r>
      <w:r w:rsidR="00E94DFB" w:rsidRPr="00F13051">
        <w:rPr>
          <w:lang w:val="fr-FR"/>
        </w:rPr>
        <w:t xml:space="preserve"> de ces solutions</w:t>
      </w:r>
      <w:r w:rsidRPr="00F13051">
        <w:rPr>
          <w:lang w:val="fr-FR"/>
        </w:rPr>
        <w:t xml:space="preserve">, afin de </w:t>
      </w:r>
      <w:r w:rsidR="00E94DFB" w:rsidRPr="00F13051">
        <w:rPr>
          <w:lang w:val="fr-FR"/>
        </w:rPr>
        <w:t>déterminer</w:t>
      </w:r>
      <w:r w:rsidRPr="00F13051">
        <w:rPr>
          <w:lang w:val="fr-FR"/>
        </w:rPr>
        <w:t xml:space="preserve"> les améliorations qu</w:t>
      </w:r>
      <w:r w:rsidR="00133FD4" w:rsidRPr="00F13051">
        <w:rPr>
          <w:lang w:val="fr-FR"/>
        </w:rPr>
        <w:t>’</w:t>
      </w:r>
      <w:r w:rsidRPr="00F13051">
        <w:rPr>
          <w:lang w:val="fr-FR"/>
        </w:rPr>
        <w:t>il serait possible d</w:t>
      </w:r>
      <w:r w:rsidR="00133FD4" w:rsidRPr="00F13051">
        <w:rPr>
          <w:lang w:val="fr-FR"/>
        </w:rPr>
        <w:t>’</w:t>
      </w:r>
      <w:r w:rsidRPr="00F13051">
        <w:rPr>
          <w:lang w:val="fr-FR"/>
        </w:rPr>
        <w:t>apporte</w:t>
      </w:r>
      <w:r w:rsidR="00663EA8" w:rsidRPr="00F13051">
        <w:rPr>
          <w:lang w:val="fr-FR"/>
        </w:rPr>
        <w:t>r à la surveillance. La</w:t>
      </w:r>
      <w:r w:rsidR="002574CC" w:rsidRPr="00F13051">
        <w:rPr>
          <w:lang w:val="fr-FR"/>
        </w:rPr>
        <w:t> </w:t>
      </w:r>
      <w:r w:rsidR="00663EA8" w:rsidRPr="00F13051">
        <w:rPr>
          <w:lang w:val="fr-FR"/>
        </w:rPr>
        <w:t>section </w:t>
      </w:r>
      <w:r w:rsidRPr="00F13051">
        <w:rPr>
          <w:lang w:val="fr-FR"/>
        </w:rPr>
        <w:t>IV r</w:t>
      </w:r>
      <w:r w:rsidR="00E94DFB" w:rsidRPr="00F13051">
        <w:rPr>
          <w:lang w:val="fr-FR"/>
        </w:rPr>
        <w:t>épertorie</w:t>
      </w:r>
      <w:r w:rsidRPr="00F13051">
        <w:rPr>
          <w:lang w:val="fr-FR"/>
        </w:rPr>
        <w:t xml:space="preserve"> les </w:t>
      </w:r>
      <w:r w:rsidR="00255B78" w:rsidRPr="00F13051">
        <w:rPr>
          <w:lang w:val="fr-FR"/>
        </w:rPr>
        <w:t xml:space="preserve">capacités de modélisation disponibles pour évaluer les </w:t>
      </w:r>
      <w:r w:rsidR="00B71D26" w:rsidRPr="00F13051">
        <w:rPr>
          <w:lang w:val="fr-FR"/>
        </w:rPr>
        <w:t>évolutions</w:t>
      </w:r>
      <w:r w:rsidR="00255B78" w:rsidRPr="00F13051">
        <w:rPr>
          <w:lang w:val="fr-FR"/>
        </w:rPr>
        <w:t xml:space="preserve"> </w:t>
      </w:r>
      <w:r w:rsidR="00E94DFB" w:rsidRPr="00F13051">
        <w:rPr>
          <w:lang w:val="fr-FR"/>
        </w:rPr>
        <w:t xml:space="preserve">au niveau mondial </w:t>
      </w:r>
      <w:r w:rsidR="00255B78" w:rsidRPr="00F13051">
        <w:rPr>
          <w:lang w:val="fr-FR"/>
        </w:rPr>
        <w:t xml:space="preserve">des concentrations de mercure dans chaque milieu et d’un milieu à l’autre </w:t>
      </w:r>
      <w:r w:rsidR="00663EA8" w:rsidRPr="00F13051">
        <w:rPr>
          <w:lang w:val="fr-FR"/>
        </w:rPr>
        <w:t>et la section </w:t>
      </w:r>
      <w:r w:rsidRPr="00F13051">
        <w:rPr>
          <w:lang w:val="fr-FR"/>
        </w:rPr>
        <w:t xml:space="preserve">V examine les solutions </w:t>
      </w:r>
      <w:r w:rsidR="00B71D26" w:rsidRPr="00F13051">
        <w:rPr>
          <w:lang w:val="fr-FR"/>
        </w:rPr>
        <w:t xml:space="preserve">permettant d’établir </w:t>
      </w:r>
      <w:r w:rsidRPr="00F13051">
        <w:rPr>
          <w:lang w:val="fr-FR"/>
        </w:rPr>
        <w:t xml:space="preserve">un niveau de référence </w:t>
      </w:r>
      <w:r w:rsidR="00B71D26" w:rsidRPr="00F13051">
        <w:rPr>
          <w:lang w:val="fr-FR"/>
        </w:rPr>
        <w:t>pour l</w:t>
      </w:r>
      <w:r w:rsidRPr="00F13051">
        <w:rPr>
          <w:lang w:val="fr-FR"/>
        </w:rPr>
        <w:t>es données de surveillance et définit les sources de données susceptibles d</w:t>
      </w:r>
      <w:r w:rsidR="00133FD4" w:rsidRPr="00F13051">
        <w:rPr>
          <w:lang w:val="fr-FR"/>
        </w:rPr>
        <w:t>’</w:t>
      </w:r>
      <w:r w:rsidRPr="00F13051">
        <w:rPr>
          <w:lang w:val="fr-FR"/>
        </w:rPr>
        <w:t>être utilisées à cette fin. S</w:t>
      </w:r>
      <w:r w:rsidR="00133FD4" w:rsidRPr="00F13051">
        <w:rPr>
          <w:lang w:val="fr-FR"/>
        </w:rPr>
        <w:t>’</w:t>
      </w:r>
      <w:r w:rsidRPr="00F13051">
        <w:rPr>
          <w:lang w:val="fr-FR"/>
        </w:rPr>
        <w:t>appuya</w:t>
      </w:r>
      <w:r w:rsidR="00663EA8" w:rsidRPr="00F13051">
        <w:rPr>
          <w:lang w:val="fr-FR"/>
        </w:rPr>
        <w:t>nt sur ces éléments, la section </w:t>
      </w:r>
      <w:r w:rsidRPr="00F13051">
        <w:rPr>
          <w:lang w:val="fr-FR"/>
        </w:rPr>
        <w:t xml:space="preserve">VI propose des arrangements en vue de </w:t>
      </w:r>
      <w:r w:rsidR="005903FD" w:rsidRPr="00F13051">
        <w:rPr>
          <w:lang w:val="fr-FR"/>
        </w:rPr>
        <w:t>collecter</w:t>
      </w:r>
      <w:r w:rsidRPr="00F13051">
        <w:rPr>
          <w:lang w:val="fr-FR"/>
        </w:rPr>
        <w:t xml:space="preserve"> des données de référence pour l</w:t>
      </w:r>
      <w:r w:rsidR="00133FD4" w:rsidRPr="00F13051">
        <w:rPr>
          <w:lang w:val="fr-FR"/>
        </w:rPr>
        <w:t>’</w:t>
      </w:r>
      <w:r w:rsidRPr="00F13051">
        <w:rPr>
          <w:lang w:val="fr-FR"/>
        </w:rPr>
        <w:t>évaluation de l</w:t>
      </w:r>
      <w:r w:rsidR="00133FD4" w:rsidRPr="00F13051">
        <w:rPr>
          <w:lang w:val="fr-FR"/>
        </w:rPr>
        <w:t>’</w:t>
      </w:r>
      <w:r w:rsidRPr="00F13051">
        <w:rPr>
          <w:lang w:val="fr-FR"/>
        </w:rPr>
        <w:t>efficacité.</w:t>
      </w:r>
    </w:p>
    <w:p w14:paraId="2F1EF79A" w14:textId="66763CA4" w:rsidR="004F110C" w:rsidRPr="00F13051" w:rsidRDefault="00663EA8" w:rsidP="00343481">
      <w:pPr>
        <w:pStyle w:val="Normalnumber"/>
        <w:rPr>
          <w:lang w:val="fr-FR"/>
        </w:rPr>
      </w:pPr>
      <w:r w:rsidRPr="00F13051">
        <w:rPr>
          <w:lang w:val="fr-FR"/>
        </w:rPr>
        <w:t>Le document </w:t>
      </w:r>
      <w:r w:rsidR="004F110C" w:rsidRPr="00F13051">
        <w:rPr>
          <w:lang w:val="fr-FR"/>
        </w:rPr>
        <w:t>UNEP/MC/COP.3/INF/15 présente une grande quantité d</w:t>
      </w:r>
      <w:r w:rsidR="00133FD4" w:rsidRPr="00F13051">
        <w:rPr>
          <w:lang w:val="fr-FR"/>
        </w:rPr>
        <w:t>’</w:t>
      </w:r>
      <w:r w:rsidR="004F110C" w:rsidRPr="00F13051">
        <w:rPr>
          <w:lang w:val="fr-FR"/>
        </w:rPr>
        <w:t>autres informations techniques sur la surveillance qui viennent compléter l</w:t>
      </w:r>
      <w:r w:rsidR="00B16B34" w:rsidRPr="00F13051">
        <w:rPr>
          <w:lang w:val="fr-FR"/>
        </w:rPr>
        <w:t>es</w:t>
      </w:r>
      <w:r w:rsidR="004F110C" w:rsidRPr="00F13051">
        <w:rPr>
          <w:lang w:val="fr-FR"/>
        </w:rPr>
        <w:t xml:space="preserve"> proposition</w:t>
      </w:r>
      <w:r w:rsidR="00B16B34" w:rsidRPr="00F13051">
        <w:rPr>
          <w:lang w:val="fr-FR"/>
        </w:rPr>
        <w:t>s</w:t>
      </w:r>
      <w:r w:rsidR="004F110C" w:rsidRPr="00F13051">
        <w:rPr>
          <w:lang w:val="fr-FR"/>
        </w:rPr>
        <w:t xml:space="preserve"> </w:t>
      </w:r>
      <w:r w:rsidR="00B16B34" w:rsidRPr="00F13051">
        <w:rPr>
          <w:lang w:val="fr-FR"/>
        </w:rPr>
        <w:t xml:space="preserve">du </w:t>
      </w:r>
      <w:r w:rsidR="004F110C" w:rsidRPr="00F13051">
        <w:rPr>
          <w:lang w:val="fr-FR"/>
        </w:rPr>
        <w:t xml:space="preserve">présent appendice, y compris un aperçu des </w:t>
      </w:r>
      <w:r w:rsidR="00A20838" w:rsidRPr="00F13051">
        <w:rPr>
          <w:lang w:val="fr-FR"/>
        </w:rPr>
        <w:t>données de</w:t>
      </w:r>
      <w:r w:rsidR="00B71D26" w:rsidRPr="00F13051">
        <w:rPr>
          <w:lang w:val="fr-FR"/>
        </w:rPr>
        <w:t xml:space="preserve"> </w:t>
      </w:r>
      <w:r w:rsidR="004F110C" w:rsidRPr="00F13051">
        <w:rPr>
          <w:lang w:val="fr-FR"/>
        </w:rPr>
        <w:t>surveillance</w:t>
      </w:r>
      <w:r w:rsidR="00A20838" w:rsidRPr="00F13051">
        <w:rPr>
          <w:lang w:val="fr-FR"/>
        </w:rPr>
        <w:t xml:space="preserve"> disponibles</w:t>
      </w:r>
      <w:r w:rsidR="004F110C" w:rsidRPr="00F13051">
        <w:rPr>
          <w:lang w:val="fr-FR"/>
        </w:rPr>
        <w:t>.</w:t>
      </w:r>
    </w:p>
    <w:p w14:paraId="520D8B3A" w14:textId="49E07D39" w:rsidR="004F110C" w:rsidRPr="00F13051" w:rsidRDefault="00F5720B" w:rsidP="00F5720B">
      <w:pPr>
        <w:pStyle w:val="CH1"/>
        <w:rPr>
          <w:lang w:val="fr-FR"/>
        </w:rPr>
      </w:pPr>
      <w:r w:rsidRPr="00F13051">
        <w:rPr>
          <w:lang w:val="fr-FR"/>
        </w:rPr>
        <w:tab/>
        <w:t>II.</w:t>
      </w:r>
      <w:r w:rsidRPr="00F13051">
        <w:rPr>
          <w:lang w:val="fr-FR"/>
        </w:rPr>
        <w:tab/>
      </w:r>
      <w:r w:rsidR="00343481" w:rsidRPr="00F13051">
        <w:rPr>
          <w:lang w:val="fr-FR"/>
        </w:rPr>
        <w:t>Dé</w:t>
      </w:r>
      <w:r w:rsidR="00A20838" w:rsidRPr="00F13051">
        <w:rPr>
          <w:lang w:val="fr-FR"/>
        </w:rPr>
        <w:t>termina</w:t>
      </w:r>
      <w:r w:rsidR="00343481" w:rsidRPr="00F13051">
        <w:rPr>
          <w:lang w:val="fr-FR"/>
        </w:rPr>
        <w:t xml:space="preserve">tion des informations et données </w:t>
      </w:r>
      <w:r w:rsidR="00A20838" w:rsidRPr="00F13051">
        <w:rPr>
          <w:lang w:val="fr-FR"/>
        </w:rPr>
        <w:t>à recueillir dans</w:t>
      </w:r>
      <w:r w:rsidR="002574CC" w:rsidRPr="00F13051">
        <w:rPr>
          <w:lang w:val="fr-FR"/>
        </w:rPr>
        <w:t> </w:t>
      </w:r>
      <w:r w:rsidR="00A20838" w:rsidRPr="00F13051">
        <w:rPr>
          <w:lang w:val="fr-FR"/>
        </w:rPr>
        <w:t>le</w:t>
      </w:r>
      <w:r w:rsidR="002574CC" w:rsidRPr="00F13051">
        <w:rPr>
          <w:lang w:val="fr-FR"/>
        </w:rPr>
        <w:t> </w:t>
      </w:r>
      <w:r w:rsidR="00A20838" w:rsidRPr="00F13051">
        <w:rPr>
          <w:lang w:val="fr-FR"/>
        </w:rPr>
        <w:t xml:space="preserve">cadre </w:t>
      </w:r>
      <w:r w:rsidR="00343481" w:rsidRPr="00F13051">
        <w:rPr>
          <w:lang w:val="fr-FR"/>
        </w:rPr>
        <w:t xml:space="preserve">de </w:t>
      </w:r>
      <w:r w:rsidR="00B71D26" w:rsidRPr="00F13051">
        <w:rPr>
          <w:lang w:val="fr-FR"/>
        </w:rPr>
        <w:t xml:space="preserve">la </w:t>
      </w:r>
      <w:r w:rsidR="00343481" w:rsidRPr="00F13051">
        <w:rPr>
          <w:lang w:val="fr-FR"/>
        </w:rPr>
        <w:t>surveillance</w:t>
      </w:r>
    </w:p>
    <w:p w14:paraId="6CA312B6" w14:textId="196CCDB8" w:rsidR="004F110C" w:rsidRPr="00F13051" w:rsidRDefault="00C23123" w:rsidP="00C23123">
      <w:pPr>
        <w:pStyle w:val="CH1"/>
        <w:rPr>
          <w:lang w:val="fr-FR"/>
        </w:rPr>
      </w:pPr>
      <w:r w:rsidRPr="00F13051">
        <w:rPr>
          <w:lang w:val="fr-FR"/>
        </w:rPr>
        <w:tab/>
        <w:t>A.</w:t>
      </w:r>
      <w:r w:rsidRPr="00F13051">
        <w:rPr>
          <w:lang w:val="fr-FR"/>
        </w:rPr>
        <w:tab/>
      </w:r>
      <w:r w:rsidR="00343481" w:rsidRPr="00F13051">
        <w:rPr>
          <w:lang w:val="fr-FR"/>
        </w:rPr>
        <w:t>Comment les activités de surveillance peuvent contribuer à</w:t>
      </w:r>
      <w:r w:rsidR="002574CC" w:rsidRPr="00F13051">
        <w:rPr>
          <w:lang w:val="fr-FR"/>
        </w:rPr>
        <w:t> </w:t>
      </w:r>
      <w:r w:rsidR="00343481" w:rsidRPr="00F13051">
        <w:rPr>
          <w:lang w:val="fr-FR"/>
        </w:rPr>
        <w:t>l</w:t>
      </w:r>
      <w:r w:rsidR="00133FD4" w:rsidRPr="00F13051">
        <w:rPr>
          <w:lang w:val="fr-FR"/>
        </w:rPr>
        <w:t>’</w:t>
      </w:r>
      <w:r w:rsidR="00343481" w:rsidRPr="00F13051">
        <w:rPr>
          <w:lang w:val="fr-FR"/>
        </w:rPr>
        <w:t>élaboration du cadre d</w:t>
      </w:r>
      <w:r w:rsidR="00133FD4" w:rsidRPr="00F13051">
        <w:rPr>
          <w:lang w:val="fr-FR"/>
        </w:rPr>
        <w:t>’</w:t>
      </w:r>
      <w:r w:rsidR="00343481" w:rsidRPr="00F13051">
        <w:rPr>
          <w:lang w:val="fr-FR"/>
        </w:rPr>
        <w:t>évaluation de l</w:t>
      </w:r>
      <w:r w:rsidR="00133FD4" w:rsidRPr="00F13051">
        <w:rPr>
          <w:lang w:val="fr-FR"/>
        </w:rPr>
        <w:t>’</w:t>
      </w:r>
      <w:r w:rsidR="00343481" w:rsidRPr="00F13051">
        <w:rPr>
          <w:lang w:val="fr-FR"/>
        </w:rPr>
        <w:t>efficacité</w:t>
      </w:r>
    </w:p>
    <w:p w14:paraId="4711C228" w14:textId="1489498E" w:rsidR="004F110C" w:rsidRPr="00F13051" w:rsidRDefault="00A20838" w:rsidP="00343481">
      <w:pPr>
        <w:pStyle w:val="Normalnumber"/>
        <w:rPr>
          <w:lang w:val="fr-FR"/>
        </w:rPr>
      </w:pPr>
      <w:r w:rsidRPr="00F13051">
        <w:rPr>
          <w:lang w:val="fr-FR"/>
        </w:rPr>
        <w:t>Lors</w:t>
      </w:r>
      <w:r w:rsidR="004F110C" w:rsidRPr="00F13051">
        <w:rPr>
          <w:lang w:val="fr-FR"/>
        </w:rPr>
        <w:t xml:space="preserve"> de l</w:t>
      </w:r>
      <w:r w:rsidR="00133FD4" w:rsidRPr="00F13051">
        <w:rPr>
          <w:lang w:val="fr-FR"/>
        </w:rPr>
        <w:t>’</w:t>
      </w:r>
      <w:r w:rsidR="004F110C" w:rsidRPr="00F13051">
        <w:rPr>
          <w:lang w:val="fr-FR"/>
        </w:rPr>
        <w:t xml:space="preserve">examen des informations et données </w:t>
      </w:r>
      <w:r w:rsidRPr="00F13051">
        <w:rPr>
          <w:lang w:val="fr-FR"/>
        </w:rPr>
        <w:t xml:space="preserve">à recueillir dans le cadre de la </w:t>
      </w:r>
      <w:r w:rsidR="004F110C" w:rsidRPr="00F13051">
        <w:rPr>
          <w:lang w:val="fr-FR"/>
        </w:rPr>
        <w:t>surveillance, le groupe spécial d</w:t>
      </w:r>
      <w:r w:rsidR="00133FD4" w:rsidRPr="00F13051">
        <w:rPr>
          <w:lang w:val="fr-FR"/>
        </w:rPr>
        <w:t>’</w:t>
      </w:r>
      <w:r w:rsidR="004F110C" w:rsidRPr="00F13051">
        <w:rPr>
          <w:lang w:val="fr-FR"/>
        </w:rPr>
        <w:t>experts techniques s</w:t>
      </w:r>
      <w:r w:rsidR="00133FD4" w:rsidRPr="00F13051">
        <w:rPr>
          <w:lang w:val="fr-FR"/>
        </w:rPr>
        <w:t>’</w:t>
      </w:r>
      <w:r w:rsidR="004F110C" w:rsidRPr="00F13051">
        <w:rPr>
          <w:lang w:val="fr-FR"/>
        </w:rPr>
        <w:t>est penché sur les m</w:t>
      </w:r>
      <w:r w:rsidR="00663EA8" w:rsidRPr="00F13051">
        <w:rPr>
          <w:lang w:val="fr-FR"/>
        </w:rPr>
        <w:t xml:space="preserve">atrices </w:t>
      </w:r>
      <w:r w:rsidRPr="00F13051">
        <w:rPr>
          <w:lang w:val="fr-FR"/>
        </w:rPr>
        <w:t>mentionn</w:t>
      </w:r>
      <w:r w:rsidR="00663EA8" w:rsidRPr="00F13051">
        <w:rPr>
          <w:lang w:val="fr-FR"/>
        </w:rPr>
        <w:t xml:space="preserve">ées dans la </w:t>
      </w:r>
      <w:r w:rsidR="002574CC" w:rsidRPr="00F13051">
        <w:rPr>
          <w:lang w:val="fr-FR"/>
        </w:rPr>
        <w:br/>
      </w:r>
      <w:r w:rsidR="00663EA8" w:rsidRPr="00F13051">
        <w:rPr>
          <w:lang w:val="fr-FR"/>
        </w:rPr>
        <w:t>décision </w:t>
      </w:r>
      <w:r w:rsidR="004F110C" w:rsidRPr="00F13051">
        <w:rPr>
          <w:lang w:val="fr-FR"/>
        </w:rPr>
        <w:t>MC-2/10</w:t>
      </w:r>
      <w:r w:rsidR="00DC22FA" w:rsidRPr="00F13051">
        <w:rPr>
          <w:lang w:val="fr-FR"/>
        </w:rPr>
        <w:t xml:space="preserve"> sur l’évaluation de l’efficacité</w:t>
      </w:r>
      <w:r w:rsidRPr="00F13051">
        <w:rPr>
          <w:lang w:val="fr-FR"/>
        </w:rPr>
        <w:t>, à savoir</w:t>
      </w:r>
      <w:r w:rsidR="004F110C" w:rsidRPr="00F13051">
        <w:rPr>
          <w:lang w:val="fr-FR"/>
        </w:rPr>
        <w:t xml:space="preserve"> l</w:t>
      </w:r>
      <w:r w:rsidR="00133FD4" w:rsidRPr="00F13051">
        <w:rPr>
          <w:lang w:val="fr-FR"/>
        </w:rPr>
        <w:t>’</w:t>
      </w:r>
      <w:r w:rsidR="004F110C" w:rsidRPr="00F13051">
        <w:rPr>
          <w:lang w:val="fr-FR"/>
        </w:rPr>
        <w:t>air, l</w:t>
      </w:r>
      <w:r w:rsidR="00133FD4" w:rsidRPr="00F13051">
        <w:rPr>
          <w:lang w:val="fr-FR"/>
        </w:rPr>
        <w:t>’</w:t>
      </w:r>
      <w:r w:rsidR="004F110C" w:rsidRPr="00F13051">
        <w:rPr>
          <w:lang w:val="fr-FR"/>
        </w:rPr>
        <w:t xml:space="preserve">eau, le biote et la population humaine. </w:t>
      </w:r>
      <w:r w:rsidR="000703EC" w:rsidRPr="00F13051">
        <w:rPr>
          <w:lang w:val="fr-FR"/>
        </w:rPr>
        <w:t>Il</w:t>
      </w:r>
      <w:r w:rsidR="004F110C" w:rsidRPr="00F13051">
        <w:rPr>
          <w:lang w:val="fr-FR"/>
        </w:rPr>
        <w:t xml:space="preserve"> a conclu que </w:t>
      </w:r>
      <w:r w:rsidR="000703EC" w:rsidRPr="00F13051">
        <w:rPr>
          <w:lang w:val="fr-FR"/>
        </w:rPr>
        <w:t>d</w:t>
      </w:r>
      <w:r w:rsidR="004F110C" w:rsidRPr="00F13051">
        <w:rPr>
          <w:lang w:val="fr-FR"/>
        </w:rPr>
        <w:t>es données sur les concentrations de mercure et de composés du mercure dans l</w:t>
      </w:r>
      <w:r w:rsidR="00133FD4" w:rsidRPr="00F13051">
        <w:rPr>
          <w:lang w:val="fr-FR"/>
        </w:rPr>
        <w:t>’</w:t>
      </w:r>
      <w:r w:rsidR="004F110C" w:rsidRPr="00F13051">
        <w:rPr>
          <w:lang w:val="fr-FR"/>
        </w:rPr>
        <w:t xml:space="preserve">air, </w:t>
      </w:r>
      <w:r w:rsidR="000703EC" w:rsidRPr="00F13051">
        <w:rPr>
          <w:lang w:val="fr-FR"/>
        </w:rPr>
        <w:t xml:space="preserve">dans </w:t>
      </w:r>
      <w:r w:rsidR="004F110C" w:rsidRPr="00F13051">
        <w:rPr>
          <w:lang w:val="fr-FR"/>
        </w:rPr>
        <w:t xml:space="preserve">le biote et </w:t>
      </w:r>
      <w:r w:rsidR="000703EC" w:rsidRPr="00F13051">
        <w:rPr>
          <w:lang w:val="fr-FR"/>
        </w:rPr>
        <w:t xml:space="preserve">chez </w:t>
      </w:r>
      <w:r w:rsidR="004F110C" w:rsidRPr="00F13051">
        <w:rPr>
          <w:lang w:val="fr-FR"/>
        </w:rPr>
        <w:t xml:space="preserve">la population humaine étaient disponibles ou pouvaient être obtenues et </w:t>
      </w:r>
      <w:r w:rsidR="000703EC" w:rsidRPr="00F13051">
        <w:rPr>
          <w:lang w:val="fr-FR"/>
        </w:rPr>
        <w:t xml:space="preserve">que ces données </w:t>
      </w:r>
      <w:r w:rsidR="004F110C" w:rsidRPr="00F13051">
        <w:rPr>
          <w:lang w:val="fr-FR"/>
        </w:rPr>
        <w:t>seraient comparables à l</w:t>
      </w:r>
      <w:r w:rsidR="00133FD4" w:rsidRPr="00F13051">
        <w:rPr>
          <w:lang w:val="fr-FR"/>
        </w:rPr>
        <w:t>’</w:t>
      </w:r>
      <w:r w:rsidR="004F110C" w:rsidRPr="00F13051">
        <w:rPr>
          <w:lang w:val="fr-FR"/>
        </w:rPr>
        <w:t>échelle mondiale. Certains experts étaient d</w:t>
      </w:r>
      <w:r w:rsidR="00133FD4" w:rsidRPr="00F13051">
        <w:rPr>
          <w:lang w:val="fr-FR"/>
        </w:rPr>
        <w:t>’</w:t>
      </w:r>
      <w:r w:rsidR="004F110C" w:rsidRPr="00F13051">
        <w:rPr>
          <w:lang w:val="fr-FR"/>
        </w:rPr>
        <w:t xml:space="preserve">avis que </w:t>
      </w:r>
      <w:r w:rsidR="000703EC" w:rsidRPr="00F13051">
        <w:rPr>
          <w:lang w:val="fr-FR"/>
        </w:rPr>
        <w:t>d</w:t>
      </w:r>
      <w:r w:rsidR="004F110C" w:rsidRPr="00F13051">
        <w:rPr>
          <w:lang w:val="fr-FR"/>
        </w:rPr>
        <w:t>es données concernant l</w:t>
      </w:r>
      <w:r w:rsidR="00133FD4" w:rsidRPr="00F13051">
        <w:rPr>
          <w:lang w:val="fr-FR"/>
        </w:rPr>
        <w:t>’</w:t>
      </w:r>
      <w:r w:rsidR="004F110C" w:rsidRPr="00F13051">
        <w:rPr>
          <w:lang w:val="fr-FR"/>
        </w:rPr>
        <w:t xml:space="preserve">eau étaient également, dans une certaine mesure, disponibles </w:t>
      </w:r>
      <w:r w:rsidR="000703EC" w:rsidRPr="00F13051">
        <w:rPr>
          <w:lang w:val="fr-FR"/>
        </w:rPr>
        <w:t>partout dans le monde</w:t>
      </w:r>
      <w:r w:rsidR="004F110C" w:rsidRPr="00F13051">
        <w:rPr>
          <w:lang w:val="fr-FR"/>
        </w:rPr>
        <w:t>. La disponibilité et la comparabilité des données de surveillance pour chaque matrice sont examinées dans les paragraphes ci-dessous.</w:t>
      </w:r>
    </w:p>
    <w:p w14:paraId="0F52640F" w14:textId="78794530" w:rsidR="004F110C" w:rsidRPr="00F13051" w:rsidRDefault="004F110C" w:rsidP="002574CC">
      <w:pPr>
        <w:pStyle w:val="Normalnumber"/>
        <w:keepNext/>
        <w:keepLines/>
        <w:rPr>
          <w:lang w:val="fr-FR"/>
        </w:rPr>
      </w:pPr>
      <w:r w:rsidRPr="00F13051">
        <w:rPr>
          <w:lang w:val="fr-FR"/>
        </w:rPr>
        <w:lastRenderedPageBreak/>
        <w:t xml:space="preserve">Les concentrations </w:t>
      </w:r>
      <w:r w:rsidR="000703EC" w:rsidRPr="00F13051">
        <w:rPr>
          <w:lang w:val="fr-FR"/>
        </w:rPr>
        <w:t xml:space="preserve">atmosphériques </w:t>
      </w:r>
      <w:r w:rsidRPr="00F13051">
        <w:rPr>
          <w:lang w:val="fr-FR"/>
        </w:rPr>
        <w:t>de mercure sont directement liées aux émissions provenant de sources anthropiques visées par la Convention. Les activités de surveillance de l</w:t>
      </w:r>
      <w:r w:rsidR="00133FD4" w:rsidRPr="00F13051">
        <w:rPr>
          <w:lang w:val="fr-FR"/>
        </w:rPr>
        <w:t>’</w:t>
      </w:r>
      <w:r w:rsidRPr="00F13051">
        <w:rPr>
          <w:lang w:val="fr-FR"/>
        </w:rPr>
        <w:t>atmosphère contribuent à l</w:t>
      </w:r>
      <w:r w:rsidR="00133FD4" w:rsidRPr="00F13051">
        <w:rPr>
          <w:lang w:val="fr-FR"/>
        </w:rPr>
        <w:t>’</w:t>
      </w:r>
      <w:r w:rsidRPr="00F13051">
        <w:rPr>
          <w:lang w:val="fr-FR"/>
        </w:rPr>
        <w:t>évaluation de l</w:t>
      </w:r>
      <w:r w:rsidR="00133FD4" w:rsidRPr="00F13051">
        <w:rPr>
          <w:lang w:val="fr-FR"/>
        </w:rPr>
        <w:t>’</w:t>
      </w:r>
      <w:r w:rsidRPr="00F13051">
        <w:rPr>
          <w:lang w:val="fr-FR"/>
        </w:rPr>
        <w:t xml:space="preserve">efficacité de la Convention en faisant </w:t>
      </w:r>
      <w:r w:rsidR="000703EC" w:rsidRPr="00F13051">
        <w:rPr>
          <w:lang w:val="fr-FR"/>
        </w:rPr>
        <w:t xml:space="preserve">apparaître les </w:t>
      </w:r>
      <w:r w:rsidR="00414642" w:rsidRPr="00F13051">
        <w:rPr>
          <w:lang w:val="fr-FR"/>
        </w:rPr>
        <w:t xml:space="preserve">éventuelles </w:t>
      </w:r>
      <w:r w:rsidRPr="00F13051">
        <w:rPr>
          <w:lang w:val="fr-FR"/>
        </w:rPr>
        <w:t>augmentation</w:t>
      </w:r>
      <w:r w:rsidR="000703EC" w:rsidRPr="00F13051">
        <w:rPr>
          <w:lang w:val="fr-FR"/>
        </w:rPr>
        <w:t>s</w:t>
      </w:r>
      <w:r w:rsidRPr="00F13051">
        <w:rPr>
          <w:lang w:val="fr-FR"/>
        </w:rPr>
        <w:t xml:space="preserve"> ou diminution</w:t>
      </w:r>
      <w:r w:rsidR="000703EC" w:rsidRPr="00F13051">
        <w:rPr>
          <w:lang w:val="fr-FR"/>
        </w:rPr>
        <w:t>s</w:t>
      </w:r>
      <w:r w:rsidRPr="00F13051">
        <w:rPr>
          <w:lang w:val="fr-FR"/>
        </w:rPr>
        <w:t xml:space="preserve"> des </w:t>
      </w:r>
      <w:r w:rsidR="000703EC" w:rsidRPr="00F13051">
        <w:rPr>
          <w:lang w:val="fr-FR"/>
        </w:rPr>
        <w:t>taux atmosphériques de mercure</w:t>
      </w:r>
      <w:r w:rsidRPr="00F13051">
        <w:rPr>
          <w:lang w:val="fr-FR"/>
        </w:rPr>
        <w:t xml:space="preserve"> </w:t>
      </w:r>
      <w:r w:rsidR="00414642" w:rsidRPr="00F13051">
        <w:rPr>
          <w:lang w:val="fr-FR"/>
        </w:rPr>
        <w:t>consécutives aux évolutions d</w:t>
      </w:r>
      <w:r w:rsidRPr="00F13051">
        <w:rPr>
          <w:lang w:val="fr-FR"/>
        </w:rPr>
        <w:t>es émissions</w:t>
      </w:r>
      <w:r w:rsidR="000703EC" w:rsidRPr="00F13051">
        <w:rPr>
          <w:lang w:val="fr-FR"/>
        </w:rPr>
        <w:t>,</w:t>
      </w:r>
      <w:r w:rsidRPr="00F13051">
        <w:rPr>
          <w:lang w:val="fr-FR"/>
        </w:rPr>
        <w:t xml:space="preserve"> permett</w:t>
      </w:r>
      <w:r w:rsidR="000703EC" w:rsidRPr="00F13051">
        <w:rPr>
          <w:lang w:val="fr-FR"/>
        </w:rPr>
        <w:t>a</w:t>
      </w:r>
      <w:r w:rsidRPr="00F13051">
        <w:rPr>
          <w:lang w:val="fr-FR"/>
        </w:rPr>
        <w:t xml:space="preserve">nt </w:t>
      </w:r>
      <w:r w:rsidR="000703EC" w:rsidRPr="00F13051">
        <w:rPr>
          <w:lang w:val="fr-FR"/>
        </w:rPr>
        <w:t xml:space="preserve">ainsi </w:t>
      </w:r>
      <w:r w:rsidRPr="00F13051">
        <w:rPr>
          <w:lang w:val="fr-FR"/>
        </w:rPr>
        <w:t>de modéliser les relations source-récepteur. Les données de surveillance de l</w:t>
      </w:r>
      <w:r w:rsidR="00133FD4" w:rsidRPr="00F13051">
        <w:rPr>
          <w:lang w:val="fr-FR"/>
        </w:rPr>
        <w:t>’</w:t>
      </w:r>
      <w:r w:rsidRPr="00F13051">
        <w:rPr>
          <w:lang w:val="fr-FR"/>
        </w:rPr>
        <w:t xml:space="preserve">atmosphère contribuent également </w:t>
      </w:r>
      <w:r w:rsidR="00414642" w:rsidRPr="00F13051">
        <w:rPr>
          <w:lang w:val="fr-FR"/>
        </w:rPr>
        <w:t xml:space="preserve">à l’amélioration des </w:t>
      </w:r>
      <w:r w:rsidRPr="00F13051">
        <w:rPr>
          <w:lang w:val="fr-FR"/>
        </w:rPr>
        <w:t>capacités prévisionnelles des modèles régionaux et mondiaux de l</w:t>
      </w:r>
      <w:r w:rsidR="00133FD4" w:rsidRPr="00F13051">
        <w:rPr>
          <w:lang w:val="fr-FR"/>
        </w:rPr>
        <w:t>’</w:t>
      </w:r>
      <w:r w:rsidRPr="00F13051">
        <w:rPr>
          <w:lang w:val="fr-FR"/>
        </w:rPr>
        <w:t>incidence du mercure sur l</w:t>
      </w:r>
      <w:r w:rsidR="00133FD4" w:rsidRPr="00F13051">
        <w:rPr>
          <w:lang w:val="fr-FR"/>
        </w:rPr>
        <w:t>’</w:t>
      </w:r>
      <w:r w:rsidRPr="00F13051">
        <w:rPr>
          <w:lang w:val="fr-FR"/>
        </w:rPr>
        <w:t>environnement, laquelle peut varier en fonction d</w:t>
      </w:r>
      <w:r w:rsidR="00133FD4" w:rsidRPr="00F13051">
        <w:rPr>
          <w:lang w:val="fr-FR"/>
        </w:rPr>
        <w:t>’</w:t>
      </w:r>
      <w:r w:rsidRPr="00F13051">
        <w:rPr>
          <w:lang w:val="fr-FR"/>
        </w:rPr>
        <w:t>autres éléments relatifs à la chimie de l</w:t>
      </w:r>
      <w:r w:rsidR="00133FD4" w:rsidRPr="00F13051">
        <w:rPr>
          <w:lang w:val="fr-FR"/>
        </w:rPr>
        <w:t>’</w:t>
      </w:r>
      <w:r w:rsidRPr="00F13051">
        <w:rPr>
          <w:lang w:val="fr-FR"/>
        </w:rPr>
        <w:t>atmosphère.</w:t>
      </w:r>
    </w:p>
    <w:p w14:paraId="51F863F5" w14:textId="78FD8AEB" w:rsidR="0015792A" w:rsidRPr="00F13051" w:rsidRDefault="00985E38" w:rsidP="0056566B">
      <w:pPr>
        <w:pStyle w:val="Normalnumber"/>
        <w:rPr>
          <w:lang w:val="fr-FR"/>
        </w:rPr>
      </w:pPr>
      <w:r w:rsidRPr="00F13051">
        <w:rPr>
          <w:lang w:val="fr-FR"/>
        </w:rPr>
        <w:t>S</w:t>
      </w:r>
      <w:r w:rsidR="00133FD4" w:rsidRPr="00F13051">
        <w:rPr>
          <w:lang w:val="fr-FR"/>
        </w:rPr>
        <w:t>’</w:t>
      </w:r>
      <w:r w:rsidRPr="00F13051">
        <w:rPr>
          <w:lang w:val="fr-FR"/>
        </w:rPr>
        <w:t>agissant de sa contribution à l</w:t>
      </w:r>
      <w:r w:rsidR="00133FD4" w:rsidRPr="00F13051">
        <w:rPr>
          <w:lang w:val="fr-FR"/>
        </w:rPr>
        <w:t>’</w:t>
      </w:r>
      <w:r w:rsidRPr="00F13051">
        <w:rPr>
          <w:lang w:val="fr-FR"/>
        </w:rPr>
        <w:t>évaluation de l</w:t>
      </w:r>
      <w:r w:rsidR="00133FD4" w:rsidRPr="00F13051">
        <w:rPr>
          <w:lang w:val="fr-FR"/>
        </w:rPr>
        <w:t>’</w:t>
      </w:r>
      <w:r w:rsidRPr="00F13051">
        <w:rPr>
          <w:lang w:val="fr-FR"/>
        </w:rPr>
        <w:t>efficacité, la biosurveillance humaine présente les avantages de fournir des informations sur l</w:t>
      </w:r>
      <w:r w:rsidR="00133FD4" w:rsidRPr="00F13051">
        <w:rPr>
          <w:lang w:val="fr-FR"/>
        </w:rPr>
        <w:t>’</w:t>
      </w:r>
      <w:r w:rsidRPr="00F13051">
        <w:rPr>
          <w:lang w:val="fr-FR"/>
        </w:rPr>
        <w:t>exposition au mercure provenant de tous types de sources, d</w:t>
      </w:r>
      <w:r w:rsidR="0015792A" w:rsidRPr="00F13051">
        <w:rPr>
          <w:lang w:val="fr-FR"/>
        </w:rPr>
        <w:t>’intégrer l</w:t>
      </w:r>
      <w:r w:rsidRPr="00F13051">
        <w:rPr>
          <w:lang w:val="fr-FR"/>
        </w:rPr>
        <w:t xml:space="preserve">es résultats de divers types de mesures de réduction des risques et de fournir des informations sur </w:t>
      </w:r>
      <w:r w:rsidR="00537F24" w:rsidRPr="00F13051">
        <w:rPr>
          <w:lang w:val="fr-FR"/>
        </w:rPr>
        <w:t>la</w:t>
      </w:r>
      <w:r w:rsidRPr="00F13051">
        <w:rPr>
          <w:lang w:val="fr-FR"/>
        </w:rPr>
        <w:t xml:space="preserve"> </w:t>
      </w:r>
      <w:r w:rsidR="00537F24" w:rsidRPr="00F13051">
        <w:rPr>
          <w:lang w:val="fr-FR"/>
        </w:rPr>
        <w:t>répartition</w:t>
      </w:r>
      <w:r w:rsidRPr="00F13051">
        <w:rPr>
          <w:lang w:val="fr-FR"/>
        </w:rPr>
        <w:t xml:space="preserve"> géographique, permettant ainsi de déterminer les zones et groupes de population </w:t>
      </w:r>
      <w:r w:rsidR="0015792A" w:rsidRPr="00F13051">
        <w:rPr>
          <w:lang w:val="fr-FR"/>
        </w:rPr>
        <w:t>nécessitant</w:t>
      </w:r>
      <w:r w:rsidRPr="00F13051">
        <w:rPr>
          <w:lang w:val="fr-FR"/>
        </w:rPr>
        <w:t xml:space="preserve"> un appui </w:t>
      </w:r>
      <w:r w:rsidR="0015792A" w:rsidRPr="00F13051">
        <w:rPr>
          <w:lang w:val="fr-FR"/>
        </w:rPr>
        <w:t xml:space="preserve">d’urgence en matière </w:t>
      </w:r>
      <w:r w:rsidRPr="00F13051">
        <w:rPr>
          <w:lang w:val="fr-FR"/>
        </w:rPr>
        <w:t>de réduction des risques.</w:t>
      </w:r>
    </w:p>
    <w:p w14:paraId="1D11FAAA" w14:textId="041DE5D7" w:rsidR="004F110C" w:rsidRPr="00F13051" w:rsidRDefault="0015792A" w:rsidP="0056566B">
      <w:pPr>
        <w:pStyle w:val="Normalnumber"/>
        <w:rPr>
          <w:lang w:val="fr-FR"/>
        </w:rPr>
      </w:pPr>
      <w:r w:rsidRPr="00F13051">
        <w:rPr>
          <w:lang w:val="fr-FR"/>
        </w:rPr>
        <w:t>L</w:t>
      </w:r>
      <w:r w:rsidR="004F110C" w:rsidRPr="00F13051">
        <w:rPr>
          <w:lang w:val="fr-FR"/>
        </w:rPr>
        <w:t>a surveillance du biote présente</w:t>
      </w:r>
      <w:r w:rsidRPr="00F13051">
        <w:rPr>
          <w:lang w:val="fr-FR"/>
        </w:rPr>
        <w:t>, quant à elle,</w:t>
      </w:r>
      <w:r w:rsidR="004F110C" w:rsidRPr="00F13051">
        <w:rPr>
          <w:lang w:val="fr-FR"/>
        </w:rPr>
        <w:t xml:space="preserve"> l</w:t>
      </w:r>
      <w:r w:rsidR="00133FD4" w:rsidRPr="00F13051">
        <w:rPr>
          <w:lang w:val="fr-FR"/>
        </w:rPr>
        <w:t>’</w:t>
      </w:r>
      <w:r w:rsidR="004F110C" w:rsidRPr="00F13051">
        <w:rPr>
          <w:lang w:val="fr-FR"/>
        </w:rPr>
        <w:t xml:space="preserve">avantage de </w:t>
      </w:r>
      <w:r w:rsidRPr="00F13051">
        <w:rPr>
          <w:lang w:val="fr-FR"/>
        </w:rPr>
        <w:t xml:space="preserve">permettre un </w:t>
      </w:r>
      <w:r w:rsidR="004F110C" w:rsidRPr="00F13051">
        <w:rPr>
          <w:lang w:val="fr-FR"/>
        </w:rPr>
        <w:t>suiv</w:t>
      </w:r>
      <w:r w:rsidRPr="00F13051">
        <w:rPr>
          <w:lang w:val="fr-FR"/>
        </w:rPr>
        <w:t>i</w:t>
      </w:r>
      <w:r w:rsidR="004F110C" w:rsidRPr="00F13051">
        <w:rPr>
          <w:lang w:val="fr-FR"/>
        </w:rPr>
        <w:t xml:space="preserve"> </w:t>
      </w:r>
      <w:r w:rsidRPr="00F13051">
        <w:rPr>
          <w:lang w:val="fr-FR"/>
        </w:rPr>
        <w:t xml:space="preserve">aux échelles régionale et mondiale de </w:t>
      </w:r>
      <w:r w:rsidR="004F110C" w:rsidRPr="00F13051">
        <w:rPr>
          <w:lang w:val="fr-FR"/>
        </w:rPr>
        <w:t>l</w:t>
      </w:r>
      <w:r w:rsidR="00133FD4" w:rsidRPr="00F13051">
        <w:rPr>
          <w:lang w:val="fr-FR"/>
        </w:rPr>
        <w:t>’</w:t>
      </w:r>
      <w:r w:rsidR="004F110C" w:rsidRPr="00F13051">
        <w:rPr>
          <w:lang w:val="fr-FR"/>
        </w:rPr>
        <w:t>évolution des concentrations de mercure dans l</w:t>
      </w:r>
      <w:r w:rsidR="00133FD4" w:rsidRPr="00F13051">
        <w:rPr>
          <w:lang w:val="fr-FR"/>
        </w:rPr>
        <w:t>’</w:t>
      </w:r>
      <w:r w:rsidR="004F110C" w:rsidRPr="00F13051">
        <w:rPr>
          <w:lang w:val="fr-FR"/>
        </w:rPr>
        <w:t>environnement</w:t>
      </w:r>
      <w:r w:rsidR="00326EAD" w:rsidRPr="00F13051">
        <w:rPr>
          <w:lang w:val="fr-FR"/>
        </w:rPr>
        <w:t>, qui</w:t>
      </w:r>
      <w:r w:rsidR="004F110C" w:rsidRPr="00F13051">
        <w:rPr>
          <w:lang w:val="fr-FR"/>
        </w:rPr>
        <w:t xml:space="preserve"> </w:t>
      </w:r>
      <w:r w:rsidRPr="00F13051">
        <w:rPr>
          <w:lang w:val="fr-FR"/>
        </w:rPr>
        <w:t>donne une mesure</w:t>
      </w:r>
      <w:r w:rsidR="004F110C" w:rsidRPr="00F13051">
        <w:rPr>
          <w:lang w:val="fr-FR"/>
        </w:rPr>
        <w:t xml:space="preserve"> de l</w:t>
      </w:r>
      <w:r w:rsidR="00133FD4" w:rsidRPr="00F13051">
        <w:rPr>
          <w:lang w:val="fr-FR"/>
        </w:rPr>
        <w:t>’</w:t>
      </w:r>
      <w:r w:rsidR="004F110C" w:rsidRPr="00F13051">
        <w:rPr>
          <w:lang w:val="fr-FR"/>
        </w:rPr>
        <w:t>incidence écologique du mercure et de l</w:t>
      </w:r>
      <w:r w:rsidR="00133FD4" w:rsidRPr="00F13051">
        <w:rPr>
          <w:lang w:val="fr-FR"/>
        </w:rPr>
        <w:t>’</w:t>
      </w:r>
      <w:r w:rsidR="004F110C" w:rsidRPr="00F13051">
        <w:rPr>
          <w:lang w:val="fr-FR"/>
        </w:rPr>
        <w:t>exposition par voie alimentaire</w:t>
      </w:r>
      <w:r w:rsidRPr="00F13051">
        <w:rPr>
          <w:lang w:val="fr-FR"/>
        </w:rPr>
        <w:t xml:space="preserve"> de la population humaine à ce dernier</w:t>
      </w:r>
      <w:r w:rsidR="004F110C" w:rsidRPr="00F13051">
        <w:rPr>
          <w:lang w:val="fr-FR"/>
        </w:rPr>
        <w:t>.</w:t>
      </w:r>
    </w:p>
    <w:p w14:paraId="01DF95EC" w14:textId="70017119" w:rsidR="0015792A" w:rsidRPr="00F13051" w:rsidRDefault="0086402F" w:rsidP="0086402F">
      <w:pPr>
        <w:pStyle w:val="CH2"/>
        <w:rPr>
          <w:lang w:val="fr-FR"/>
        </w:rPr>
      </w:pPr>
      <w:r w:rsidRPr="00F13051">
        <w:rPr>
          <w:lang w:val="fr-FR"/>
        </w:rPr>
        <w:tab/>
      </w:r>
      <w:r w:rsidR="00343481" w:rsidRPr="00F13051">
        <w:rPr>
          <w:lang w:val="fr-FR"/>
        </w:rPr>
        <w:t>B.</w:t>
      </w:r>
      <w:r w:rsidR="0035113E" w:rsidRPr="00F13051">
        <w:rPr>
          <w:lang w:val="fr-FR"/>
        </w:rPr>
        <w:tab/>
      </w:r>
      <w:r w:rsidR="00343481" w:rsidRPr="00F13051">
        <w:rPr>
          <w:bCs/>
          <w:lang w:val="fr-FR"/>
        </w:rPr>
        <w:t>Air ambiant</w:t>
      </w:r>
    </w:p>
    <w:p w14:paraId="41545257" w14:textId="00DAE4DE" w:rsidR="004F110C" w:rsidRPr="00F13051" w:rsidRDefault="008C7854" w:rsidP="00E9604D">
      <w:pPr>
        <w:pStyle w:val="Normalnumber"/>
        <w:keepNext/>
        <w:keepLines/>
        <w:rPr>
          <w:lang w:val="fr-FR"/>
        </w:rPr>
      </w:pPr>
      <w:r w:rsidRPr="00F13051">
        <w:rPr>
          <w:lang w:val="fr-FR"/>
        </w:rPr>
        <w:t>Depuis très longtemps, l</w:t>
      </w:r>
      <w:r w:rsidR="004F110C" w:rsidRPr="00F13051">
        <w:rPr>
          <w:lang w:val="fr-FR"/>
        </w:rPr>
        <w:t>es concentration</w:t>
      </w:r>
      <w:r w:rsidR="00A20838" w:rsidRPr="00F13051">
        <w:rPr>
          <w:lang w:val="fr-FR"/>
        </w:rPr>
        <w:t>s</w:t>
      </w:r>
      <w:r w:rsidR="004F110C" w:rsidRPr="00F13051">
        <w:rPr>
          <w:lang w:val="fr-FR"/>
        </w:rPr>
        <w:t xml:space="preserve"> de mercure dans l</w:t>
      </w:r>
      <w:r w:rsidR="00133FD4" w:rsidRPr="00F13051">
        <w:rPr>
          <w:lang w:val="fr-FR"/>
        </w:rPr>
        <w:t>’</w:t>
      </w:r>
      <w:r w:rsidR="004F110C" w:rsidRPr="00F13051">
        <w:rPr>
          <w:lang w:val="fr-FR"/>
        </w:rPr>
        <w:t xml:space="preserve">air ambiant </w:t>
      </w:r>
      <w:r w:rsidRPr="00F13051">
        <w:rPr>
          <w:lang w:val="fr-FR"/>
        </w:rPr>
        <w:t>f</w:t>
      </w:r>
      <w:r w:rsidR="004F110C" w:rsidRPr="00F13051">
        <w:rPr>
          <w:lang w:val="fr-FR"/>
        </w:rPr>
        <w:t>ont</w:t>
      </w:r>
      <w:r w:rsidRPr="00F13051">
        <w:rPr>
          <w:lang w:val="fr-FR"/>
        </w:rPr>
        <w:t>,</w:t>
      </w:r>
      <w:r w:rsidRPr="00F13051">
        <w:rPr>
          <w:rFonts w:eastAsia="Arial Unicode MS"/>
          <w:sz w:val="24"/>
          <w:szCs w:val="24"/>
          <w:bdr w:val="nil"/>
          <w:lang w:val="fr-FR"/>
        </w:rPr>
        <w:t xml:space="preserve"> </w:t>
      </w:r>
      <w:r w:rsidRPr="00F13051">
        <w:rPr>
          <w:lang w:val="fr-FR"/>
        </w:rPr>
        <w:t>à certains endroits,</w:t>
      </w:r>
      <w:r w:rsidR="004F110C" w:rsidRPr="00F13051">
        <w:rPr>
          <w:lang w:val="fr-FR"/>
        </w:rPr>
        <w:t xml:space="preserve"> </w:t>
      </w:r>
      <w:r w:rsidRPr="00F13051">
        <w:rPr>
          <w:lang w:val="fr-FR"/>
        </w:rPr>
        <w:t>l’objet d’un suivi dont les</w:t>
      </w:r>
      <w:r w:rsidR="004F110C" w:rsidRPr="00F13051">
        <w:rPr>
          <w:lang w:val="fr-FR"/>
        </w:rPr>
        <w:t xml:space="preserve"> résulta</w:t>
      </w:r>
      <w:r w:rsidRPr="00F13051">
        <w:rPr>
          <w:lang w:val="fr-FR"/>
        </w:rPr>
        <w:t>ts</w:t>
      </w:r>
      <w:r w:rsidR="004F110C" w:rsidRPr="00F13051">
        <w:rPr>
          <w:lang w:val="fr-FR"/>
        </w:rPr>
        <w:t xml:space="preserve"> ont </w:t>
      </w:r>
      <w:r w:rsidRPr="00F13051">
        <w:rPr>
          <w:lang w:val="fr-FR"/>
        </w:rPr>
        <w:t>contribué au débat</w:t>
      </w:r>
      <w:r w:rsidR="004F110C" w:rsidRPr="00F13051">
        <w:rPr>
          <w:lang w:val="fr-FR"/>
        </w:rPr>
        <w:t xml:space="preserve"> sur la </w:t>
      </w:r>
      <w:r w:rsidR="0015792A" w:rsidRPr="00F13051">
        <w:rPr>
          <w:lang w:val="fr-FR"/>
        </w:rPr>
        <w:t>portée</w:t>
      </w:r>
      <w:r w:rsidR="004F110C" w:rsidRPr="00F13051">
        <w:rPr>
          <w:lang w:val="fr-FR"/>
        </w:rPr>
        <w:t xml:space="preserve"> mondiale du </w:t>
      </w:r>
      <w:r w:rsidR="0015792A" w:rsidRPr="00F13051">
        <w:rPr>
          <w:lang w:val="fr-FR"/>
        </w:rPr>
        <w:t xml:space="preserve">problème </w:t>
      </w:r>
      <w:r w:rsidRPr="00F13051">
        <w:rPr>
          <w:lang w:val="fr-FR"/>
        </w:rPr>
        <w:t xml:space="preserve">posé par le </w:t>
      </w:r>
      <w:r w:rsidR="004F110C" w:rsidRPr="00F13051">
        <w:rPr>
          <w:lang w:val="fr-FR"/>
        </w:rPr>
        <w:t xml:space="preserve">mercure. Les données actuellement disponibles ont </w:t>
      </w:r>
      <w:r w:rsidR="007074B1" w:rsidRPr="00F13051">
        <w:rPr>
          <w:lang w:val="fr-FR"/>
        </w:rPr>
        <w:t xml:space="preserve">été </w:t>
      </w:r>
      <w:r w:rsidR="004F110C" w:rsidRPr="00F13051">
        <w:rPr>
          <w:lang w:val="fr-FR"/>
        </w:rPr>
        <w:t xml:space="preserve">collectées par divers réseaux nationaux et mondiaux </w:t>
      </w:r>
      <w:r w:rsidR="007074B1" w:rsidRPr="00F13051">
        <w:rPr>
          <w:lang w:val="fr-FR"/>
        </w:rPr>
        <w:t>utilisant différentes</w:t>
      </w:r>
      <w:r w:rsidR="004F110C" w:rsidRPr="00F13051">
        <w:rPr>
          <w:lang w:val="fr-FR"/>
        </w:rPr>
        <w:t xml:space="preserve"> méthodes d</w:t>
      </w:r>
      <w:r w:rsidR="00133FD4" w:rsidRPr="00F13051">
        <w:rPr>
          <w:lang w:val="fr-FR"/>
        </w:rPr>
        <w:t>’</w:t>
      </w:r>
      <w:r w:rsidR="004F110C" w:rsidRPr="00F13051">
        <w:rPr>
          <w:lang w:val="fr-FR"/>
        </w:rPr>
        <w:t>échantillonnage. Il a été admis qu</w:t>
      </w:r>
      <w:r w:rsidR="00133FD4" w:rsidRPr="00F13051">
        <w:rPr>
          <w:lang w:val="fr-FR"/>
        </w:rPr>
        <w:t>’</w:t>
      </w:r>
      <w:r w:rsidR="004F110C" w:rsidRPr="00F13051">
        <w:rPr>
          <w:lang w:val="fr-FR"/>
        </w:rPr>
        <w:t xml:space="preserve">aucun des </w:t>
      </w:r>
      <w:r w:rsidR="007074B1" w:rsidRPr="00F13051">
        <w:rPr>
          <w:lang w:val="fr-FR"/>
        </w:rPr>
        <w:t xml:space="preserve">ensembles de </w:t>
      </w:r>
      <w:r w:rsidR="004F110C" w:rsidRPr="00F13051">
        <w:rPr>
          <w:lang w:val="fr-FR"/>
        </w:rPr>
        <w:t xml:space="preserve">données </w:t>
      </w:r>
      <w:r w:rsidR="007074B1" w:rsidRPr="00F13051">
        <w:rPr>
          <w:lang w:val="fr-FR"/>
        </w:rPr>
        <w:t xml:space="preserve">résultants </w:t>
      </w:r>
      <w:r w:rsidR="004F110C" w:rsidRPr="00F13051">
        <w:rPr>
          <w:lang w:val="fr-FR"/>
        </w:rPr>
        <w:t>ne p</w:t>
      </w:r>
      <w:r w:rsidR="007074B1" w:rsidRPr="00F13051">
        <w:rPr>
          <w:lang w:val="fr-FR"/>
        </w:rPr>
        <w:t>ossède une</w:t>
      </w:r>
      <w:r w:rsidR="004F110C" w:rsidRPr="00F13051">
        <w:rPr>
          <w:lang w:val="fr-FR"/>
        </w:rPr>
        <w:t xml:space="preserve"> couverture mondiale mais qu</w:t>
      </w:r>
      <w:r w:rsidR="00133FD4" w:rsidRPr="00F13051">
        <w:rPr>
          <w:lang w:val="fr-FR"/>
        </w:rPr>
        <w:t>’</w:t>
      </w:r>
      <w:r w:rsidR="004F110C" w:rsidRPr="00F13051">
        <w:rPr>
          <w:lang w:val="fr-FR"/>
        </w:rPr>
        <w:t xml:space="preserve">il existe des méthodes </w:t>
      </w:r>
      <w:r w:rsidR="007074B1" w:rsidRPr="00F13051">
        <w:rPr>
          <w:lang w:val="fr-FR"/>
        </w:rPr>
        <w:t>susceptibles de convenir à la production</w:t>
      </w:r>
      <w:r w:rsidR="004F110C" w:rsidRPr="00F13051">
        <w:rPr>
          <w:lang w:val="fr-FR"/>
        </w:rPr>
        <w:t xml:space="preserve"> de données </w:t>
      </w:r>
      <w:r w:rsidR="007074B1" w:rsidRPr="00F13051">
        <w:rPr>
          <w:lang w:val="fr-FR"/>
        </w:rPr>
        <w:t>à une telle échelle</w:t>
      </w:r>
      <w:r w:rsidR="004F110C" w:rsidRPr="00F13051">
        <w:rPr>
          <w:lang w:val="fr-FR"/>
        </w:rPr>
        <w:t xml:space="preserve"> (comme indiqué dans l</w:t>
      </w:r>
      <w:r w:rsidR="00133FD4" w:rsidRPr="00F13051">
        <w:rPr>
          <w:lang w:val="fr-FR"/>
        </w:rPr>
        <w:t>’</w:t>
      </w:r>
      <w:r w:rsidR="004F110C" w:rsidRPr="00F13051">
        <w:rPr>
          <w:i/>
          <w:lang w:val="fr-FR"/>
        </w:rPr>
        <w:t>Évaluation mondiale du mercure de 2018</w:t>
      </w:r>
      <w:r w:rsidR="004F110C" w:rsidRPr="00F13051">
        <w:rPr>
          <w:lang w:val="fr-FR"/>
        </w:rPr>
        <w:t>)</w:t>
      </w:r>
      <w:r w:rsidR="005858D4" w:rsidRPr="00F13051">
        <w:rPr>
          <w:rStyle w:val="FootnoteReference"/>
          <w:u w:color="FF0000"/>
          <w:lang w:val="fr-FR"/>
        </w:rPr>
        <w:footnoteReference w:id="2"/>
      </w:r>
      <w:r w:rsidR="004F110C" w:rsidRPr="00F13051">
        <w:rPr>
          <w:lang w:val="fr-FR"/>
        </w:rPr>
        <w:t>. Le document d</w:t>
      </w:r>
      <w:r w:rsidR="00133FD4" w:rsidRPr="00F13051">
        <w:rPr>
          <w:lang w:val="fr-FR"/>
        </w:rPr>
        <w:t>’</w:t>
      </w:r>
      <w:r w:rsidR="004F110C" w:rsidRPr="00F13051">
        <w:rPr>
          <w:lang w:val="fr-FR"/>
        </w:rPr>
        <w:t>information UNEP/MC/COP.3/INF/15 donne une vue d</w:t>
      </w:r>
      <w:r w:rsidR="00133FD4" w:rsidRPr="00F13051">
        <w:rPr>
          <w:lang w:val="fr-FR"/>
        </w:rPr>
        <w:t>’</w:t>
      </w:r>
      <w:r w:rsidR="004F110C" w:rsidRPr="00F13051">
        <w:rPr>
          <w:lang w:val="fr-FR"/>
        </w:rPr>
        <w:t>ensemble des réseaux existants.</w:t>
      </w:r>
    </w:p>
    <w:p w14:paraId="5AE7A8DF" w14:textId="1CAE00E1" w:rsidR="004F110C" w:rsidRPr="00F13051" w:rsidRDefault="004D63BC" w:rsidP="00343481">
      <w:pPr>
        <w:pStyle w:val="Normalnumber"/>
        <w:rPr>
          <w:lang w:val="fr-FR"/>
        </w:rPr>
      </w:pPr>
      <w:r w:rsidRPr="00F13051">
        <w:rPr>
          <w:lang w:val="fr-FR"/>
        </w:rPr>
        <w:t>Il existe diverses méthodes d</w:t>
      </w:r>
      <w:r w:rsidR="00133FD4" w:rsidRPr="00F13051">
        <w:rPr>
          <w:lang w:val="fr-FR"/>
        </w:rPr>
        <w:t>’</w:t>
      </w:r>
      <w:r w:rsidRPr="00F13051">
        <w:rPr>
          <w:lang w:val="fr-FR"/>
        </w:rPr>
        <w:t>évaluation du mercure atmosphérique, parmi lesquelles celles considérées comme pouvant convenir à la collecte de données comparables à l</w:t>
      </w:r>
      <w:r w:rsidR="00133FD4" w:rsidRPr="00F13051">
        <w:rPr>
          <w:lang w:val="fr-FR"/>
        </w:rPr>
        <w:t>’</w:t>
      </w:r>
      <w:r w:rsidRPr="00F13051">
        <w:rPr>
          <w:lang w:val="fr-FR"/>
        </w:rPr>
        <w:t>échelle mondiale ont été recensées et examinées. Ces méthodes mesurent</w:t>
      </w:r>
      <w:r w:rsidR="00133FD4" w:rsidRPr="00F13051">
        <w:rPr>
          <w:lang w:val="fr-FR"/>
        </w:rPr>
        <w:t> :</w:t>
      </w:r>
    </w:p>
    <w:p w14:paraId="044667FB" w14:textId="579320E6" w:rsidR="004F110C" w:rsidRPr="00F13051" w:rsidRDefault="004F110C" w:rsidP="00E1136D">
      <w:pPr>
        <w:pStyle w:val="Normalnumber"/>
        <w:numPr>
          <w:ilvl w:val="1"/>
          <w:numId w:val="4"/>
        </w:numPr>
        <w:tabs>
          <w:tab w:val="clear" w:pos="1134"/>
        </w:tabs>
        <w:ind w:firstLine="624"/>
        <w:rPr>
          <w:lang w:val="fr-FR"/>
        </w:rPr>
      </w:pPr>
      <w:r w:rsidRPr="00F13051">
        <w:rPr>
          <w:lang w:val="fr-FR"/>
        </w:rPr>
        <w:t xml:space="preserve">Les </w:t>
      </w:r>
      <w:r w:rsidR="00647BCF" w:rsidRPr="00F13051">
        <w:rPr>
          <w:lang w:val="fr-FR"/>
        </w:rPr>
        <w:t>taux</w:t>
      </w:r>
      <w:r w:rsidR="00A36D4A" w:rsidRPr="00F13051">
        <w:rPr>
          <w:lang w:val="fr-FR"/>
        </w:rPr>
        <w:t xml:space="preserve"> </w:t>
      </w:r>
      <w:r w:rsidR="00647BCF" w:rsidRPr="00F13051">
        <w:rPr>
          <w:lang w:val="fr-FR"/>
        </w:rPr>
        <w:t xml:space="preserve">atmosphériques </w:t>
      </w:r>
      <w:r w:rsidR="00A36D4A" w:rsidRPr="00F13051">
        <w:rPr>
          <w:lang w:val="fr-FR"/>
        </w:rPr>
        <w:t>de mercure</w:t>
      </w:r>
      <w:r w:rsidRPr="00F13051">
        <w:rPr>
          <w:lang w:val="fr-FR"/>
        </w:rPr>
        <w:t xml:space="preserve"> gazeux total ou </w:t>
      </w:r>
      <w:r w:rsidR="0014179E" w:rsidRPr="00F13051">
        <w:rPr>
          <w:lang w:val="fr-FR"/>
        </w:rPr>
        <w:t>de</w:t>
      </w:r>
      <w:r w:rsidRPr="00F13051">
        <w:rPr>
          <w:lang w:val="fr-FR"/>
        </w:rPr>
        <w:t xml:space="preserve"> mercure élémentaire gazeux sur les sites de référence et les sites </w:t>
      </w:r>
      <w:r w:rsidR="00AC33FF" w:rsidRPr="00F13051">
        <w:rPr>
          <w:lang w:val="fr-FR"/>
        </w:rPr>
        <w:t>touch</w:t>
      </w:r>
      <w:r w:rsidR="005255BD" w:rsidRPr="00F13051">
        <w:rPr>
          <w:lang w:val="fr-FR"/>
        </w:rPr>
        <w:t>és</w:t>
      </w:r>
      <w:r w:rsidR="00133FD4" w:rsidRPr="00F13051">
        <w:rPr>
          <w:lang w:val="fr-FR"/>
        </w:rPr>
        <w:t> ;</w:t>
      </w:r>
    </w:p>
    <w:p w14:paraId="1C0FAA0E" w14:textId="77777777" w:rsidR="004F110C" w:rsidRPr="00F13051" w:rsidRDefault="004F110C" w:rsidP="00E1136D">
      <w:pPr>
        <w:pStyle w:val="Normalnumber"/>
        <w:numPr>
          <w:ilvl w:val="1"/>
          <w:numId w:val="4"/>
        </w:numPr>
        <w:tabs>
          <w:tab w:val="clear" w:pos="1134"/>
        </w:tabs>
        <w:ind w:firstLine="624"/>
        <w:rPr>
          <w:lang w:val="fr-FR"/>
        </w:rPr>
      </w:pPr>
      <w:r w:rsidRPr="00F13051">
        <w:rPr>
          <w:lang w:val="fr-FR"/>
        </w:rPr>
        <w:t>Les dépôts humides.</w:t>
      </w:r>
    </w:p>
    <w:p w14:paraId="6A00410D" w14:textId="505C8C20" w:rsidR="0015792A" w:rsidRPr="00F13051" w:rsidRDefault="003D2785" w:rsidP="004D63BC">
      <w:pPr>
        <w:pStyle w:val="Normalnumber"/>
        <w:rPr>
          <w:u w:color="FF0000"/>
          <w:lang w:val="fr-FR"/>
        </w:rPr>
      </w:pPr>
      <w:r w:rsidRPr="00F13051">
        <w:rPr>
          <w:lang w:val="fr-FR"/>
        </w:rPr>
        <w:t>Pour mesurer</w:t>
      </w:r>
      <w:r w:rsidR="00647BCF" w:rsidRPr="00F13051">
        <w:rPr>
          <w:lang w:val="fr-FR"/>
        </w:rPr>
        <w:t xml:space="preserve"> </w:t>
      </w:r>
      <w:r w:rsidRPr="00F13051">
        <w:rPr>
          <w:lang w:val="fr-FR"/>
        </w:rPr>
        <w:t>l</w:t>
      </w:r>
      <w:r w:rsidR="00647BCF" w:rsidRPr="00F13051">
        <w:rPr>
          <w:lang w:val="fr-FR"/>
        </w:rPr>
        <w:t>e</w:t>
      </w:r>
      <w:r w:rsidR="00A36D4A" w:rsidRPr="00F13051">
        <w:rPr>
          <w:lang w:val="fr-FR"/>
        </w:rPr>
        <w:t xml:space="preserve"> mercure</w:t>
      </w:r>
      <w:r w:rsidR="004F110C" w:rsidRPr="00F13051">
        <w:rPr>
          <w:lang w:val="fr-FR"/>
        </w:rPr>
        <w:t xml:space="preserve"> gazeux total et </w:t>
      </w:r>
      <w:r w:rsidRPr="00F13051">
        <w:rPr>
          <w:lang w:val="fr-FR"/>
        </w:rPr>
        <w:t>l</w:t>
      </w:r>
      <w:r w:rsidR="003D050E" w:rsidRPr="00F13051">
        <w:rPr>
          <w:lang w:val="fr-FR"/>
        </w:rPr>
        <w:t>e</w:t>
      </w:r>
      <w:r w:rsidR="004F110C" w:rsidRPr="00F13051">
        <w:rPr>
          <w:lang w:val="fr-FR"/>
        </w:rPr>
        <w:t xml:space="preserve"> mercure élémentaire gazeux</w:t>
      </w:r>
      <w:r w:rsidRPr="00F13051">
        <w:rPr>
          <w:lang w:val="fr-FR"/>
        </w:rPr>
        <w:t xml:space="preserve">, il est possible </w:t>
      </w:r>
      <w:r w:rsidR="00685610" w:rsidRPr="00F13051">
        <w:rPr>
          <w:lang w:val="fr-FR"/>
        </w:rPr>
        <w:t xml:space="preserve">de faire appel à </w:t>
      </w:r>
      <w:r w:rsidRPr="00F13051">
        <w:rPr>
          <w:lang w:val="fr-FR"/>
        </w:rPr>
        <w:t>des</w:t>
      </w:r>
      <w:r w:rsidR="00647BCF" w:rsidRPr="00F13051">
        <w:rPr>
          <w:lang w:val="fr-FR"/>
        </w:rPr>
        <w:t xml:space="preserve"> techniques </w:t>
      </w:r>
      <w:r w:rsidR="004F110C" w:rsidRPr="00F13051">
        <w:rPr>
          <w:lang w:val="fr-FR"/>
        </w:rPr>
        <w:t>de surveillance active continue et d</w:t>
      </w:r>
      <w:r w:rsidR="00133FD4" w:rsidRPr="00F13051">
        <w:rPr>
          <w:lang w:val="fr-FR"/>
        </w:rPr>
        <w:t>’</w:t>
      </w:r>
      <w:r w:rsidR="004F110C" w:rsidRPr="00F13051">
        <w:rPr>
          <w:lang w:val="fr-FR"/>
        </w:rPr>
        <w:t xml:space="preserve">échantillonnage </w:t>
      </w:r>
      <w:r w:rsidR="00647BCF" w:rsidRPr="00F13051">
        <w:rPr>
          <w:lang w:val="fr-FR"/>
        </w:rPr>
        <w:t xml:space="preserve">manuel actif ou passif </w:t>
      </w:r>
      <w:r w:rsidR="00272234" w:rsidRPr="00F13051">
        <w:rPr>
          <w:lang w:val="fr-FR"/>
        </w:rPr>
        <w:t>de l’air</w:t>
      </w:r>
      <w:r w:rsidR="004F110C" w:rsidRPr="00F13051">
        <w:rPr>
          <w:lang w:val="fr-FR"/>
        </w:rPr>
        <w:t xml:space="preserve">. </w:t>
      </w:r>
      <w:r w:rsidR="00F31D39" w:rsidRPr="00F13051">
        <w:rPr>
          <w:lang w:val="fr-FR"/>
        </w:rPr>
        <w:t>Une surveillance active continue est en place sur p</w:t>
      </w:r>
      <w:r w:rsidR="004F110C" w:rsidRPr="00F13051">
        <w:rPr>
          <w:lang w:val="fr-FR"/>
        </w:rPr>
        <w:t xml:space="preserve">lusieurs sites de réseaux de surveillance régionaux et mondiaux existants pour déterminer en continu les </w:t>
      </w:r>
      <w:r w:rsidRPr="00F13051">
        <w:rPr>
          <w:lang w:val="fr-FR"/>
        </w:rPr>
        <w:t>taux</w:t>
      </w:r>
      <w:r w:rsidR="00A36D4A" w:rsidRPr="00F13051">
        <w:rPr>
          <w:lang w:val="fr-FR"/>
        </w:rPr>
        <w:t xml:space="preserve"> de mercure</w:t>
      </w:r>
      <w:r w:rsidR="004F110C" w:rsidRPr="00F13051">
        <w:rPr>
          <w:lang w:val="fr-FR"/>
        </w:rPr>
        <w:t xml:space="preserve"> gazeux total et </w:t>
      </w:r>
      <w:r w:rsidR="003D050E" w:rsidRPr="00F13051">
        <w:rPr>
          <w:lang w:val="fr-FR"/>
        </w:rPr>
        <w:t>de</w:t>
      </w:r>
      <w:r w:rsidR="004F110C" w:rsidRPr="00F13051">
        <w:rPr>
          <w:lang w:val="fr-FR"/>
        </w:rPr>
        <w:t xml:space="preserve"> mercure élémentaire gazeux, tandis que l</w:t>
      </w:r>
      <w:r w:rsidR="00133FD4" w:rsidRPr="00F13051">
        <w:rPr>
          <w:lang w:val="fr-FR"/>
        </w:rPr>
        <w:t>’</w:t>
      </w:r>
      <w:r w:rsidR="004F110C" w:rsidRPr="00F13051">
        <w:rPr>
          <w:lang w:val="fr-FR"/>
        </w:rPr>
        <w:t xml:space="preserve">échantillonnage manuel actif </w:t>
      </w:r>
      <w:r w:rsidR="00685610" w:rsidRPr="00F13051">
        <w:rPr>
          <w:lang w:val="fr-FR"/>
        </w:rPr>
        <w:t>ou</w:t>
      </w:r>
      <w:r w:rsidR="004F110C" w:rsidRPr="00F13051">
        <w:rPr>
          <w:lang w:val="fr-FR"/>
        </w:rPr>
        <w:t xml:space="preserve"> passif est utilisé </w:t>
      </w:r>
      <w:r w:rsidR="00272234" w:rsidRPr="00F13051">
        <w:rPr>
          <w:lang w:val="fr-FR"/>
        </w:rPr>
        <w:t>po</w:t>
      </w:r>
      <w:r w:rsidR="004F110C" w:rsidRPr="00F13051">
        <w:rPr>
          <w:lang w:val="fr-FR"/>
        </w:rPr>
        <w:t xml:space="preserve">ur </w:t>
      </w:r>
      <w:r w:rsidR="0006208B" w:rsidRPr="00F13051">
        <w:rPr>
          <w:lang w:val="fr-FR"/>
        </w:rPr>
        <w:t>l</w:t>
      </w:r>
      <w:r w:rsidR="004F110C" w:rsidRPr="00F13051">
        <w:rPr>
          <w:lang w:val="fr-FR"/>
        </w:rPr>
        <w:t xml:space="preserve">es sites </w:t>
      </w:r>
      <w:r w:rsidR="00685610" w:rsidRPr="00F13051">
        <w:rPr>
          <w:lang w:val="fr-FR"/>
        </w:rPr>
        <w:t>dépourvus</w:t>
      </w:r>
      <w:r w:rsidR="004F110C" w:rsidRPr="00F13051">
        <w:rPr>
          <w:lang w:val="fr-FR"/>
        </w:rPr>
        <w:t xml:space="preserve"> d</w:t>
      </w:r>
      <w:r w:rsidR="00133FD4" w:rsidRPr="00F13051">
        <w:rPr>
          <w:lang w:val="fr-FR"/>
        </w:rPr>
        <w:t>’</w:t>
      </w:r>
      <w:r w:rsidR="006C44BC" w:rsidRPr="00F13051">
        <w:rPr>
          <w:lang w:val="fr-FR"/>
        </w:rPr>
        <w:t>infrastructures</w:t>
      </w:r>
      <w:r w:rsidR="004F110C" w:rsidRPr="00F13051">
        <w:rPr>
          <w:lang w:val="fr-FR"/>
        </w:rPr>
        <w:t xml:space="preserve"> de surveillance</w:t>
      </w:r>
      <w:r w:rsidR="00685610" w:rsidRPr="00F13051">
        <w:rPr>
          <w:lang w:val="fr-FR"/>
        </w:rPr>
        <w:t>, où</w:t>
      </w:r>
      <w:r w:rsidR="004F110C" w:rsidRPr="00F13051">
        <w:rPr>
          <w:lang w:val="fr-FR"/>
        </w:rPr>
        <w:t xml:space="preserve"> </w:t>
      </w:r>
      <w:r w:rsidR="00685610" w:rsidRPr="00F13051">
        <w:rPr>
          <w:lang w:val="fr-FR"/>
        </w:rPr>
        <w:t>il</w:t>
      </w:r>
      <w:r w:rsidR="004F110C" w:rsidRPr="00F13051">
        <w:rPr>
          <w:lang w:val="fr-FR"/>
        </w:rPr>
        <w:t xml:space="preserve"> permet d</w:t>
      </w:r>
      <w:r w:rsidR="00133FD4" w:rsidRPr="00F13051">
        <w:rPr>
          <w:lang w:val="fr-FR"/>
        </w:rPr>
        <w:t>’</w:t>
      </w:r>
      <w:r w:rsidR="004F110C" w:rsidRPr="00F13051">
        <w:rPr>
          <w:lang w:val="fr-FR"/>
        </w:rPr>
        <w:t>obtenir une moyenne mensuelle (ou</w:t>
      </w:r>
      <w:r w:rsidR="002574CC" w:rsidRPr="00F13051">
        <w:rPr>
          <w:lang w:val="fr-FR"/>
        </w:rPr>
        <w:t> </w:t>
      </w:r>
      <w:r w:rsidR="00647BCF" w:rsidRPr="00F13051">
        <w:rPr>
          <w:lang w:val="fr-FR"/>
        </w:rPr>
        <w:t xml:space="preserve">sur de </w:t>
      </w:r>
      <w:r w:rsidR="004F110C" w:rsidRPr="00F13051">
        <w:rPr>
          <w:lang w:val="fr-FR"/>
        </w:rPr>
        <w:t xml:space="preserve">plus </w:t>
      </w:r>
      <w:r w:rsidR="00647BCF" w:rsidRPr="00F13051">
        <w:rPr>
          <w:lang w:val="fr-FR"/>
        </w:rPr>
        <w:t>grands intervalles de temps</w:t>
      </w:r>
      <w:r w:rsidR="004F110C" w:rsidRPr="00F13051">
        <w:rPr>
          <w:lang w:val="fr-FR"/>
        </w:rPr>
        <w:t xml:space="preserve">) des </w:t>
      </w:r>
      <w:r w:rsidR="00A36D4A" w:rsidRPr="00F13051">
        <w:rPr>
          <w:lang w:val="fr-FR"/>
        </w:rPr>
        <w:t>concentrations de mercure</w:t>
      </w:r>
      <w:r w:rsidR="004F110C" w:rsidRPr="00F13051">
        <w:rPr>
          <w:lang w:val="fr-FR"/>
        </w:rPr>
        <w:t xml:space="preserve"> gazeux total.</w:t>
      </w:r>
    </w:p>
    <w:p w14:paraId="112E7543" w14:textId="686D8664" w:rsidR="004F110C" w:rsidRPr="00F13051" w:rsidRDefault="004F110C" w:rsidP="00E1136D">
      <w:pPr>
        <w:pStyle w:val="Normalnumber"/>
        <w:rPr>
          <w:lang w:val="fr-FR"/>
        </w:rPr>
      </w:pPr>
      <w:r w:rsidRPr="00F13051">
        <w:rPr>
          <w:lang w:val="fr-FR"/>
        </w:rPr>
        <w:t xml:space="preserve">Le </w:t>
      </w:r>
      <w:r w:rsidR="00C261BF" w:rsidRPr="00F13051">
        <w:rPr>
          <w:lang w:val="fr-FR"/>
        </w:rPr>
        <w:t>flux de dépôts atmosphériques</w:t>
      </w:r>
      <w:r w:rsidRPr="00F13051">
        <w:rPr>
          <w:lang w:val="fr-FR"/>
        </w:rPr>
        <w:t xml:space="preserve"> de mercure se définit comme la combinaison des dépôts humides et secs de mercure à la surface. Les dépôts humides sont mesurés en prélevant des échantillons d</w:t>
      </w:r>
      <w:r w:rsidR="00133FD4" w:rsidRPr="00F13051">
        <w:rPr>
          <w:lang w:val="fr-FR"/>
        </w:rPr>
        <w:t>’</w:t>
      </w:r>
      <w:r w:rsidRPr="00F13051">
        <w:rPr>
          <w:lang w:val="fr-FR"/>
        </w:rPr>
        <w:t>eau de pluie et les dépôts secs sont calculés ou mesurés au moyen de débris ligneux. Plusieurs réseaux existant de longue date recueillent des échantillons de dépôts humides mais, en raison d</w:t>
      </w:r>
      <w:r w:rsidR="00133FD4" w:rsidRPr="00F13051">
        <w:rPr>
          <w:lang w:val="fr-FR"/>
        </w:rPr>
        <w:t>’</w:t>
      </w:r>
      <w:r w:rsidRPr="00F13051">
        <w:rPr>
          <w:lang w:val="fr-FR"/>
        </w:rPr>
        <w:t>un manque de procédures standards comparables, les dépôts secs ne sont pas systématiquement mesurés. La quantité de mercure total mesurée dans les échantillons de dépôts atmosphériques sert de base au calcul du flux total des dépôts atmosphériques liés à un phénomène de précipitation (pluie ou neige).</w:t>
      </w:r>
    </w:p>
    <w:p w14:paraId="3E554E40" w14:textId="7C4BE9C0" w:rsidR="004F110C" w:rsidRPr="00F13051" w:rsidRDefault="00636DEA" w:rsidP="002574CC">
      <w:pPr>
        <w:pStyle w:val="Normalnumber"/>
        <w:keepNext/>
        <w:keepLines/>
        <w:rPr>
          <w:lang w:val="fr-FR"/>
        </w:rPr>
      </w:pPr>
      <w:r w:rsidRPr="00F13051">
        <w:rPr>
          <w:lang w:val="fr-FR"/>
        </w:rPr>
        <w:t>Des</w:t>
      </w:r>
      <w:r w:rsidR="004F110C" w:rsidRPr="00F13051">
        <w:rPr>
          <w:lang w:val="fr-FR"/>
        </w:rPr>
        <w:t xml:space="preserve"> modèles validés </w:t>
      </w:r>
      <w:r w:rsidRPr="00F13051">
        <w:rPr>
          <w:lang w:val="fr-FR"/>
        </w:rPr>
        <w:t>du cycle atmosphérique du</w:t>
      </w:r>
      <w:r w:rsidR="004F110C" w:rsidRPr="00F13051">
        <w:rPr>
          <w:lang w:val="fr-FR"/>
        </w:rPr>
        <w:t xml:space="preserve"> mercure </w:t>
      </w:r>
      <w:r w:rsidRPr="00F13051">
        <w:rPr>
          <w:lang w:val="fr-FR"/>
        </w:rPr>
        <w:t xml:space="preserve">sont nécessaires </w:t>
      </w:r>
      <w:r w:rsidR="004F110C" w:rsidRPr="00F13051">
        <w:rPr>
          <w:lang w:val="fr-FR"/>
        </w:rPr>
        <w:t>pour évaluer les relations source-récepteur et l</w:t>
      </w:r>
      <w:r w:rsidR="00133FD4" w:rsidRPr="00F13051">
        <w:rPr>
          <w:lang w:val="fr-FR"/>
        </w:rPr>
        <w:t>’</w:t>
      </w:r>
      <w:r w:rsidR="004F110C" w:rsidRPr="00F13051">
        <w:rPr>
          <w:lang w:val="fr-FR"/>
        </w:rPr>
        <w:t>importance relative de chaque source d</w:t>
      </w:r>
      <w:r w:rsidR="00133FD4" w:rsidRPr="00F13051">
        <w:rPr>
          <w:lang w:val="fr-FR"/>
        </w:rPr>
        <w:t>’</w:t>
      </w:r>
      <w:r w:rsidR="004F110C" w:rsidRPr="00F13051">
        <w:rPr>
          <w:lang w:val="fr-FR"/>
        </w:rPr>
        <w:t>émission anthropique au regard du bilan de masse mondial du mercure, compte tenu de la fluctuation des régimes d</w:t>
      </w:r>
      <w:r w:rsidR="00133FD4" w:rsidRPr="00F13051">
        <w:rPr>
          <w:lang w:val="fr-FR"/>
        </w:rPr>
        <w:t>’</w:t>
      </w:r>
      <w:r w:rsidR="004F110C" w:rsidRPr="00F13051">
        <w:rPr>
          <w:lang w:val="fr-FR"/>
        </w:rPr>
        <w:t>émission de mercure, des conditions météorologiques et du forçage climatique. Une bonne couverture mondiale des données de surveillance du mercure dans l</w:t>
      </w:r>
      <w:r w:rsidR="00133FD4" w:rsidRPr="00F13051">
        <w:rPr>
          <w:lang w:val="fr-FR"/>
        </w:rPr>
        <w:t>’</w:t>
      </w:r>
      <w:r w:rsidR="004F110C" w:rsidRPr="00F13051">
        <w:rPr>
          <w:lang w:val="fr-FR"/>
        </w:rPr>
        <w:t xml:space="preserve">air ambiant et </w:t>
      </w:r>
      <w:r w:rsidR="00AB3BDC" w:rsidRPr="00F13051">
        <w:rPr>
          <w:lang w:val="fr-FR"/>
        </w:rPr>
        <w:t>d</w:t>
      </w:r>
      <w:r w:rsidR="004F110C" w:rsidRPr="00F13051">
        <w:rPr>
          <w:lang w:val="fr-FR"/>
        </w:rPr>
        <w:t>es échantillons de dépôt est également essentielle à la validation de ces modèles atmosphériques. De plus amples informations figurent d</w:t>
      </w:r>
      <w:r w:rsidR="00663EA8" w:rsidRPr="00F13051">
        <w:rPr>
          <w:lang w:val="fr-FR"/>
        </w:rPr>
        <w:t>ans le document </w:t>
      </w:r>
      <w:r w:rsidR="004F110C" w:rsidRPr="00F13051">
        <w:rPr>
          <w:lang w:val="fr-FR"/>
        </w:rPr>
        <w:t>UNEP/MC/COP.3/INF/15.</w:t>
      </w:r>
    </w:p>
    <w:p w14:paraId="4D7E9EE5" w14:textId="3B723126" w:rsidR="0015792A" w:rsidRPr="00F13051" w:rsidRDefault="0086402F" w:rsidP="00E1136D">
      <w:pPr>
        <w:pStyle w:val="CH2"/>
        <w:rPr>
          <w:lang w:val="fr-FR"/>
        </w:rPr>
      </w:pPr>
      <w:r w:rsidRPr="00F13051">
        <w:rPr>
          <w:lang w:val="fr-FR"/>
        </w:rPr>
        <w:tab/>
      </w:r>
      <w:r w:rsidR="00343481" w:rsidRPr="00F13051">
        <w:rPr>
          <w:lang w:val="fr-FR"/>
        </w:rPr>
        <w:t>C.</w:t>
      </w:r>
      <w:r w:rsidR="00343481" w:rsidRPr="00F13051">
        <w:rPr>
          <w:lang w:val="fr-FR"/>
        </w:rPr>
        <w:tab/>
      </w:r>
      <w:r w:rsidR="00343481" w:rsidRPr="00F13051">
        <w:rPr>
          <w:bCs/>
          <w:lang w:val="fr-FR"/>
        </w:rPr>
        <w:t>Exposition humaine</w:t>
      </w:r>
    </w:p>
    <w:p w14:paraId="65BB6172" w14:textId="378E5428" w:rsidR="004F110C" w:rsidRPr="00F13051" w:rsidRDefault="004F110C" w:rsidP="00E1136D">
      <w:pPr>
        <w:pStyle w:val="Normalnumber"/>
        <w:rPr>
          <w:lang w:val="fr-FR"/>
        </w:rPr>
      </w:pPr>
      <w:r w:rsidRPr="00F13051">
        <w:rPr>
          <w:lang w:val="fr-FR"/>
        </w:rPr>
        <w:t xml:space="preserve">Tout le monde est exposé </w:t>
      </w:r>
      <w:r w:rsidR="00AB3BDC" w:rsidRPr="00F13051">
        <w:rPr>
          <w:lang w:val="fr-FR"/>
        </w:rPr>
        <w:t>à</w:t>
      </w:r>
      <w:r w:rsidRPr="00F13051">
        <w:rPr>
          <w:lang w:val="fr-FR"/>
        </w:rPr>
        <w:t xml:space="preserve"> des quantités plus ou moins importantes</w:t>
      </w:r>
      <w:r w:rsidR="00AB3BDC" w:rsidRPr="00F13051">
        <w:rPr>
          <w:lang w:val="fr-FR"/>
        </w:rPr>
        <w:t xml:space="preserve"> de mercure</w:t>
      </w:r>
      <w:r w:rsidRPr="00F13051">
        <w:rPr>
          <w:lang w:val="fr-FR"/>
        </w:rPr>
        <w:t xml:space="preserve">. Pour de nombreuses communautés dans le monde, la consommation habituelle de poisson, de crustacés, de </w:t>
      </w:r>
      <w:r w:rsidR="006C44BC" w:rsidRPr="00F13051">
        <w:rPr>
          <w:lang w:val="fr-FR"/>
        </w:rPr>
        <w:t>mammifères</w:t>
      </w:r>
      <w:r w:rsidRPr="00F13051">
        <w:rPr>
          <w:lang w:val="fr-FR"/>
        </w:rPr>
        <w:t xml:space="preserve"> marins et d</w:t>
      </w:r>
      <w:r w:rsidR="00133FD4" w:rsidRPr="00F13051">
        <w:rPr>
          <w:lang w:val="fr-FR"/>
        </w:rPr>
        <w:t>’</w:t>
      </w:r>
      <w:r w:rsidRPr="00F13051">
        <w:rPr>
          <w:lang w:val="fr-FR"/>
        </w:rPr>
        <w:t>autres aliments constitue sans doute la source la plus importante d</w:t>
      </w:r>
      <w:r w:rsidR="00133FD4" w:rsidRPr="00F13051">
        <w:rPr>
          <w:lang w:val="fr-FR"/>
        </w:rPr>
        <w:t>’</w:t>
      </w:r>
      <w:r w:rsidRPr="00F13051">
        <w:rPr>
          <w:lang w:val="fr-FR"/>
        </w:rPr>
        <w:t>exposition au méthylmercure. L</w:t>
      </w:r>
      <w:r w:rsidR="00133FD4" w:rsidRPr="00F13051">
        <w:rPr>
          <w:lang w:val="fr-FR"/>
        </w:rPr>
        <w:t>’</w:t>
      </w:r>
      <w:r w:rsidRPr="00F13051">
        <w:rPr>
          <w:lang w:val="fr-FR"/>
        </w:rPr>
        <w:t>exposition au mercure élémentaire et inorganique advient principalement dans le cadre professionnel (y compris l</w:t>
      </w:r>
      <w:r w:rsidR="00133FD4" w:rsidRPr="00F13051">
        <w:rPr>
          <w:lang w:val="fr-FR"/>
        </w:rPr>
        <w:t>’</w:t>
      </w:r>
      <w:r w:rsidRPr="00F13051">
        <w:rPr>
          <w:lang w:val="fr-FR"/>
        </w:rPr>
        <w:t xml:space="preserve">extraction artisanale et à </w:t>
      </w:r>
      <w:r w:rsidR="00636DEA" w:rsidRPr="00F13051">
        <w:rPr>
          <w:lang w:val="fr-FR"/>
        </w:rPr>
        <w:t>petite échelle d’or</w:t>
      </w:r>
      <w:r w:rsidRPr="00F13051">
        <w:rPr>
          <w:lang w:val="fr-FR"/>
        </w:rPr>
        <w:t xml:space="preserve">) ou au contact de produits contenant du mercure. La situation des groupes vulnérables demeure très inquiétante, notamment dans le cas de diverses populations autochtones très exposées au mercure </w:t>
      </w:r>
      <w:r w:rsidR="00636DEA" w:rsidRPr="00F13051">
        <w:rPr>
          <w:lang w:val="fr-FR"/>
        </w:rPr>
        <w:t>via</w:t>
      </w:r>
      <w:r w:rsidRPr="00F13051">
        <w:rPr>
          <w:lang w:val="fr-FR"/>
        </w:rPr>
        <w:t xml:space="preserve"> leur alimentation ou leur occupation professionnelle.</w:t>
      </w:r>
    </w:p>
    <w:p w14:paraId="44FF7BC3" w14:textId="118626BE" w:rsidR="0015792A" w:rsidRPr="00F13051" w:rsidRDefault="004F110C" w:rsidP="00E1136D">
      <w:pPr>
        <w:pStyle w:val="Normalnumber"/>
        <w:rPr>
          <w:lang w:val="fr-FR"/>
        </w:rPr>
      </w:pPr>
      <w:r w:rsidRPr="00F13051">
        <w:rPr>
          <w:lang w:val="fr-FR"/>
        </w:rPr>
        <w:t>La biosurveillance humaine, lorsqu</w:t>
      </w:r>
      <w:r w:rsidR="00133FD4" w:rsidRPr="00F13051">
        <w:rPr>
          <w:lang w:val="fr-FR"/>
        </w:rPr>
        <w:t>’</w:t>
      </w:r>
      <w:r w:rsidRPr="00F13051">
        <w:rPr>
          <w:lang w:val="fr-FR"/>
        </w:rPr>
        <w:t>elle est menée pour évaluer l</w:t>
      </w:r>
      <w:r w:rsidR="00133FD4" w:rsidRPr="00F13051">
        <w:rPr>
          <w:lang w:val="fr-FR"/>
        </w:rPr>
        <w:t>’</w:t>
      </w:r>
      <w:r w:rsidRPr="00F13051">
        <w:rPr>
          <w:lang w:val="fr-FR"/>
        </w:rPr>
        <w:t>exposition au mercure de la population générale (</w:t>
      </w:r>
      <w:r w:rsidR="00636DEA" w:rsidRPr="00F13051">
        <w:rPr>
          <w:lang w:val="fr-FR"/>
        </w:rPr>
        <w:t xml:space="preserve">c’est-à-dire le </w:t>
      </w:r>
      <w:r w:rsidRPr="00F13051">
        <w:rPr>
          <w:lang w:val="fr-FR"/>
        </w:rPr>
        <w:t xml:space="preserve">niveau de référence plutôt que </w:t>
      </w:r>
      <w:r w:rsidR="0080685D" w:rsidRPr="00F13051">
        <w:rPr>
          <w:lang w:val="fr-FR"/>
        </w:rPr>
        <w:t>l</w:t>
      </w:r>
      <w:r w:rsidRPr="00F13051">
        <w:rPr>
          <w:lang w:val="fr-FR"/>
        </w:rPr>
        <w:t>e</w:t>
      </w:r>
      <w:r w:rsidR="00636DEA" w:rsidRPr="00F13051">
        <w:rPr>
          <w:lang w:val="fr-FR"/>
        </w:rPr>
        <w:t>s</w:t>
      </w:r>
      <w:r w:rsidRPr="00F13051">
        <w:rPr>
          <w:lang w:val="fr-FR"/>
        </w:rPr>
        <w:t xml:space="preserve"> </w:t>
      </w:r>
      <w:r w:rsidR="00636DEA" w:rsidRPr="00F13051">
        <w:rPr>
          <w:lang w:val="fr-FR"/>
        </w:rPr>
        <w:t>« points chauds »</w:t>
      </w:r>
      <w:r w:rsidRPr="00F13051">
        <w:rPr>
          <w:lang w:val="fr-FR"/>
        </w:rPr>
        <w:t>), fournit des informations sur les tendances à l</w:t>
      </w:r>
      <w:r w:rsidR="00133FD4" w:rsidRPr="00F13051">
        <w:rPr>
          <w:lang w:val="fr-FR"/>
        </w:rPr>
        <w:t>’</w:t>
      </w:r>
      <w:r w:rsidRPr="00F13051">
        <w:rPr>
          <w:lang w:val="fr-FR"/>
        </w:rPr>
        <w:t>échelle mondiale. Au sei</w:t>
      </w:r>
      <w:r w:rsidR="00663EA8" w:rsidRPr="00F13051">
        <w:rPr>
          <w:lang w:val="fr-FR"/>
        </w:rPr>
        <w:t>n de la population générale, il </w:t>
      </w:r>
      <w:r w:rsidRPr="00F13051">
        <w:rPr>
          <w:lang w:val="fr-FR"/>
        </w:rPr>
        <w:t>est recommandé d</w:t>
      </w:r>
      <w:r w:rsidR="00133FD4" w:rsidRPr="00F13051">
        <w:rPr>
          <w:lang w:val="fr-FR"/>
        </w:rPr>
        <w:t>’</w:t>
      </w:r>
      <w:r w:rsidRPr="00F13051">
        <w:rPr>
          <w:lang w:val="fr-FR"/>
        </w:rPr>
        <w:t>évaluer l</w:t>
      </w:r>
      <w:r w:rsidR="00133FD4" w:rsidRPr="00F13051">
        <w:rPr>
          <w:lang w:val="fr-FR"/>
        </w:rPr>
        <w:t>’</w:t>
      </w:r>
      <w:r w:rsidRPr="00F13051">
        <w:rPr>
          <w:lang w:val="fr-FR"/>
        </w:rPr>
        <w:t xml:space="preserve">exposition prénatale, </w:t>
      </w:r>
      <w:r w:rsidR="00667FC7" w:rsidRPr="00F13051">
        <w:rPr>
          <w:lang w:val="fr-FR"/>
        </w:rPr>
        <w:t xml:space="preserve">étant donné que </w:t>
      </w:r>
      <w:r w:rsidRPr="00F13051">
        <w:rPr>
          <w:lang w:val="fr-FR"/>
        </w:rPr>
        <w:t>le fœtus présent</w:t>
      </w:r>
      <w:r w:rsidR="00667FC7" w:rsidRPr="00F13051">
        <w:rPr>
          <w:lang w:val="fr-FR"/>
        </w:rPr>
        <w:t>e</w:t>
      </w:r>
      <w:r w:rsidRPr="00F13051">
        <w:rPr>
          <w:lang w:val="fr-FR"/>
        </w:rPr>
        <w:t xml:space="preserve"> la vulnérabilité la plus élevée au méthylmercure</w:t>
      </w:r>
      <w:r w:rsidRPr="00F13051">
        <w:rPr>
          <w:u w:color="FF0000"/>
          <w:vertAlign w:val="superscript"/>
          <w:lang w:val="fr-FR"/>
        </w:rPr>
        <w:footnoteReference w:id="3"/>
      </w:r>
      <w:r w:rsidRPr="00F13051">
        <w:rPr>
          <w:lang w:val="fr-FR"/>
        </w:rPr>
        <w:t>.</w:t>
      </w:r>
    </w:p>
    <w:p w14:paraId="003FFC58" w14:textId="468DB257" w:rsidR="004F110C" w:rsidRPr="00F13051" w:rsidRDefault="004F110C" w:rsidP="00E1136D">
      <w:pPr>
        <w:pStyle w:val="Normalnumber"/>
        <w:rPr>
          <w:lang w:val="fr-FR"/>
        </w:rPr>
      </w:pPr>
      <w:r w:rsidRPr="00F13051">
        <w:rPr>
          <w:lang w:val="fr-FR"/>
        </w:rPr>
        <w:t>Il existe deux biomarqueurs principaux</w:t>
      </w:r>
      <w:r w:rsidR="00133FD4" w:rsidRPr="00F13051">
        <w:rPr>
          <w:lang w:val="fr-FR"/>
        </w:rPr>
        <w:t> :</w:t>
      </w:r>
      <w:r w:rsidRPr="00F13051">
        <w:rPr>
          <w:u w:color="FF0000"/>
          <w:vertAlign w:val="superscript"/>
          <w:lang w:val="fr-FR"/>
        </w:rPr>
        <w:footnoteReference w:id="4"/>
      </w:r>
    </w:p>
    <w:p w14:paraId="31C06F39" w14:textId="14BB3BD8" w:rsidR="004F110C" w:rsidRPr="00F13051" w:rsidRDefault="004F110C" w:rsidP="00E1136D">
      <w:pPr>
        <w:pStyle w:val="Normalnumber"/>
        <w:numPr>
          <w:ilvl w:val="1"/>
          <w:numId w:val="4"/>
        </w:numPr>
        <w:tabs>
          <w:tab w:val="clear" w:pos="1134"/>
        </w:tabs>
        <w:ind w:firstLine="624"/>
        <w:rPr>
          <w:lang w:val="fr-FR"/>
        </w:rPr>
      </w:pPr>
      <w:r w:rsidRPr="00F13051">
        <w:rPr>
          <w:lang w:val="fr-FR"/>
        </w:rPr>
        <w:t xml:space="preserve">Le mercure total </w:t>
      </w:r>
      <w:r w:rsidR="008672C8" w:rsidRPr="00F13051">
        <w:rPr>
          <w:lang w:val="fr-FR"/>
        </w:rPr>
        <w:t xml:space="preserve">présent </w:t>
      </w:r>
      <w:r w:rsidRPr="00F13051">
        <w:rPr>
          <w:lang w:val="fr-FR"/>
        </w:rPr>
        <w:t>dans les cheveux maternel</w:t>
      </w:r>
      <w:r w:rsidR="00667FC7" w:rsidRPr="00F13051">
        <w:rPr>
          <w:lang w:val="fr-FR"/>
        </w:rPr>
        <w:t>s</w:t>
      </w:r>
      <w:r w:rsidRPr="00F13051">
        <w:rPr>
          <w:lang w:val="fr-FR"/>
        </w:rPr>
        <w:t xml:space="preserve"> (mesur</w:t>
      </w:r>
      <w:r w:rsidR="008672C8" w:rsidRPr="00F13051">
        <w:rPr>
          <w:lang w:val="fr-FR"/>
        </w:rPr>
        <w:t>é sur une mèche de 3 cm pour déterminer</w:t>
      </w:r>
      <w:r w:rsidRPr="00F13051">
        <w:rPr>
          <w:lang w:val="fr-FR"/>
        </w:rPr>
        <w:t xml:space="preserve"> l</w:t>
      </w:r>
      <w:r w:rsidR="00133FD4" w:rsidRPr="00F13051">
        <w:rPr>
          <w:lang w:val="fr-FR"/>
        </w:rPr>
        <w:t>’</w:t>
      </w:r>
      <w:r w:rsidRPr="00F13051">
        <w:rPr>
          <w:lang w:val="fr-FR"/>
        </w:rPr>
        <w:t>exposition durant le troisième trimestre de la grossesse)</w:t>
      </w:r>
      <w:r w:rsidR="00133FD4" w:rsidRPr="00F13051">
        <w:rPr>
          <w:lang w:val="fr-FR"/>
        </w:rPr>
        <w:t> ;</w:t>
      </w:r>
    </w:p>
    <w:p w14:paraId="3E779A7A" w14:textId="79AF70D8" w:rsidR="004F110C" w:rsidRPr="00F13051" w:rsidRDefault="004F110C" w:rsidP="00E1136D">
      <w:pPr>
        <w:pStyle w:val="Normalnumber"/>
        <w:numPr>
          <w:ilvl w:val="1"/>
          <w:numId w:val="4"/>
        </w:numPr>
        <w:tabs>
          <w:tab w:val="clear" w:pos="1134"/>
        </w:tabs>
        <w:ind w:firstLine="624"/>
        <w:rPr>
          <w:lang w:val="fr-FR"/>
        </w:rPr>
      </w:pPr>
      <w:r w:rsidRPr="00F13051">
        <w:rPr>
          <w:lang w:val="fr-FR"/>
        </w:rPr>
        <w:t xml:space="preserve">Le mercure total </w:t>
      </w:r>
      <w:r w:rsidR="008672C8" w:rsidRPr="00F13051">
        <w:rPr>
          <w:lang w:val="fr-FR"/>
        </w:rPr>
        <w:t xml:space="preserve">présent </w:t>
      </w:r>
      <w:r w:rsidRPr="00F13051">
        <w:rPr>
          <w:lang w:val="fr-FR"/>
        </w:rPr>
        <w:t xml:space="preserve">dans le sang </w:t>
      </w:r>
      <w:r w:rsidR="00A20838" w:rsidRPr="00F13051">
        <w:rPr>
          <w:lang w:val="fr-FR"/>
        </w:rPr>
        <w:t>d</w:t>
      </w:r>
      <w:r w:rsidRPr="00F13051">
        <w:rPr>
          <w:lang w:val="fr-FR"/>
        </w:rPr>
        <w:t>e cordon ombilical.</w:t>
      </w:r>
    </w:p>
    <w:p w14:paraId="0D6E0819" w14:textId="344C2ADB" w:rsidR="004F110C" w:rsidRPr="00F13051" w:rsidRDefault="004F110C" w:rsidP="00E1136D">
      <w:pPr>
        <w:pStyle w:val="Normalnumber"/>
        <w:rPr>
          <w:lang w:val="fr-FR"/>
        </w:rPr>
      </w:pPr>
      <w:r w:rsidRPr="00F13051">
        <w:rPr>
          <w:lang w:val="fr-FR"/>
        </w:rPr>
        <w:t xml:space="preserve">Les cheveux sont la matrice biologique à privilégier, </w:t>
      </w:r>
      <w:r w:rsidR="008672C8" w:rsidRPr="00F13051">
        <w:rPr>
          <w:lang w:val="fr-FR"/>
        </w:rPr>
        <w:t>du fait qu’ils peuvent être</w:t>
      </w:r>
      <w:r w:rsidRPr="00F13051">
        <w:rPr>
          <w:lang w:val="fr-FR"/>
        </w:rPr>
        <w:t xml:space="preserve"> facilement </w:t>
      </w:r>
      <w:r w:rsidR="008672C8" w:rsidRPr="00F13051">
        <w:rPr>
          <w:lang w:val="fr-FR"/>
        </w:rPr>
        <w:t>prélevés</w:t>
      </w:r>
      <w:r w:rsidRPr="00F13051">
        <w:rPr>
          <w:lang w:val="fr-FR"/>
        </w:rPr>
        <w:t xml:space="preserve"> </w:t>
      </w:r>
      <w:r w:rsidR="00847F0A" w:rsidRPr="00F13051">
        <w:rPr>
          <w:lang w:val="fr-FR"/>
        </w:rPr>
        <w:t xml:space="preserve">au moyen de méthodes </w:t>
      </w:r>
      <w:r w:rsidRPr="00F13051">
        <w:rPr>
          <w:lang w:val="fr-FR"/>
        </w:rPr>
        <w:t>non invasive</w:t>
      </w:r>
      <w:r w:rsidR="00847F0A" w:rsidRPr="00F13051">
        <w:rPr>
          <w:lang w:val="fr-FR"/>
        </w:rPr>
        <w:t>s</w:t>
      </w:r>
      <w:r w:rsidRPr="00F13051">
        <w:rPr>
          <w:lang w:val="fr-FR"/>
        </w:rPr>
        <w:t xml:space="preserve"> et </w:t>
      </w:r>
      <w:r w:rsidR="00847F0A" w:rsidRPr="00F13051">
        <w:rPr>
          <w:lang w:val="fr-FR"/>
        </w:rPr>
        <w:t>n</w:t>
      </w:r>
      <w:r w:rsidR="00133FD4" w:rsidRPr="00F13051">
        <w:rPr>
          <w:lang w:val="fr-FR"/>
        </w:rPr>
        <w:t>’</w:t>
      </w:r>
      <w:r w:rsidRPr="00F13051">
        <w:rPr>
          <w:lang w:val="fr-FR"/>
        </w:rPr>
        <w:t>exigen</w:t>
      </w:r>
      <w:r w:rsidR="00847F0A" w:rsidRPr="00F13051">
        <w:rPr>
          <w:lang w:val="fr-FR"/>
        </w:rPr>
        <w:t>t</w:t>
      </w:r>
      <w:r w:rsidRPr="00F13051">
        <w:rPr>
          <w:lang w:val="fr-FR"/>
        </w:rPr>
        <w:t xml:space="preserve"> </w:t>
      </w:r>
      <w:r w:rsidR="00847F0A" w:rsidRPr="00F13051">
        <w:rPr>
          <w:lang w:val="fr-FR"/>
        </w:rPr>
        <w:t xml:space="preserve">aucune condition </w:t>
      </w:r>
      <w:r w:rsidRPr="00F13051">
        <w:rPr>
          <w:lang w:val="fr-FR"/>
        </w:rPr>
        <w:t>particulière de transport ou de stockage.</w:t>
      </w:r>
    </w:p>
    <w:p w14:paraId="41D91BAF" w14:textId="00D16D8F" w:rsidR="0015792A" w:rsidRPr="00F13051" w:rsidRDefault="004F110C" w:rsidP="00E1136D">
      <w:pPr>
        <w:pStyle w:val="Normalnumber"/>
        <w:rPr>
          <w:lang w:val="fr-FR"/>
        </w:rPr>
      </w:pPr>
      <w:r w:rsidRPr="00F13051">
        <w:rPr>
          <w:lang w:val="fr-FR"/>
        </w:rPr>
        <w:t xml:space="preserve">Le sang </w:t>
      </w:r>
      <w:r w:rsidR="00786CE3" w:rsidRPr="00F13051">
        <w:rPr>
          <w:lang w:val="fr-FR"/>
        </w:rPr>
        <w:t>d</w:t>
      </w:r>
      <w:r w:rsidRPr="00F13051">
        <w:rPr>
          <w:lang w:val="fr-FR"/>
        </w:rPr>
        <w:t xml:space="preserve">e cordon ombilical peut </w:t>
      </w:r>
      <w:r w:rsidR="00847F0A" w:rsidRPr="00F13051">
        <w:rPr>
          <w:lang w:val="fr-FR"/>
        </w:rPr>
        <w:t>constituer une</w:t>
      </w:r>
      <w:r w:rsidRPr="00F13051">
        <w:rPr>
          <w:lang w:val="fr-FR"/>
        </w:rPr>
        <w:t xml:space="preserve"> matrice biologique</w:t>
      </w:r>
      <w:r w:rsidR="009D10E4" w:rsidRPr="00F13051">
        <w:rPr>
          <w:lang w:val="fr-FR"/>
        </w:rPr>
        <w:t xml:space="preserve"> de remplacement</w:t>
      </w:r>
      <w:r w:rsidRPr="00F13051">
        <w:rPr>
          <w:lang w:val="fr-FR"/>
        </w:rPr>
        <w:t xml:space="preserve">. </w:t>
      </w:r>
      <w:r w:rsidR="00847F0A" w:rsidRPr="00F13051">
        <w:rPr>
          <w:lang w:val="fr-FR"/>
        </w:rPr>
        <w:t>Son inclusion</w:t>
      </w:r>
      <w:r w:rsidRPr="00F13051">
        <w:rPr>
          <w:lang w:val="fr-FR"/>
        </w:rPr>
        <w:t xml:space="preserve"> dans une é</w:t>
      </w:r>
      <w:r w:rsidR="00847F0A" w:rsidRPr="00F13051">
        <w:rPr>
          <w:lang w:val="fr-FR"/>
        </w:rPr>
        <w:t>tude</w:t>
      </w:r>
      <w:r w:rsidRPr="00F13051">
        <w:rPr>
          <w:lang w:val="fr-FR"/>
        </w:rPr>
        <w:t xml:space="preserve"> présente divers avantages, tels qu</w:t>
      </w:r>
      <w:r w:rsidR="00133FD4" w:rsidRPr="00F13051">
        <w:rPr>
          <w:lang w:val="fr-FR"/>
        </w:rPr>
        <w:t>’</w:t>
      </w:r>
      <w:r w:rsidRPr="00F13051">
        <w:rPr>
          <w:lang w:val="fr-FR"/>
        </w:rPr>
        <w:t>une estimation plus précise de l</w:t>
      </w:r>
      <w:r w:rsidR="00133FD4" w:rsidRPr="00F13051">
        <w:rPr>
          <w:lang w:val="fr-FR"/>
        </w:rPr>
        <w:t>’</w:t>
      </w:r>
      <w:r w:rsidRPr="00F13051">
        <w:rPr>
          <w:lang w:val="fr-FR"/>
        </w:rPr>
        <w:t xml:space="preserve">exposition </w:t>
      </w:r>
      <w:r w:rsidR="009D10E4" w:rsidRPr="00F13051">
        <w:rPr>
          <w:lang w:val="fr-FR"/>
        </w:rPr>
        <w:t>prénatale</w:t>
      </w:r>
      <w:r w:rsidRPr="00F13051">
        <w:rPr>
          <w:lang w:val="fr-FR"/>
        </w:rPr>
        <w:t xml:space="preserve"> et </w:t>
      </w:r>
      <w:r w:rsidR="009D10E4" w:rsidRPr="00F13051">
        <w:rPr>
          <w:lang w:val="fr-FR"/>
        </w:rPr>
        <w:t>maternelle</w:t>
      </w:r>
      <w:r w:rsidRPr="00F13051">
        <w:rPr>
          <w:lang w:val="fr-FR"/>
        </w:rPr>
        <w:t xml:space="preserve"> au mercure, tout en écartant l</w:t>
      </w:r>
      <w:r w:rsidR="00133FD4" w:rsidRPr="00F13051">
        <w:rPr>
          <w:lang w:val="fr-FR"/>
        </w:rPr>
        <w:t>’</w:t>
      </w:r>
      <w:r w:rsidRPr="00F13051">
        <w:rPr>
          <w:lang w:val="fr-FR"/>
        </w:rPr>
        <w:t>influence de facteurs extérieurs (par exemple, une contamination extérieure des cheveux par du mercure ou un traitement permanent des cheveux entraînant une diminution de l</w:t>
      </w:r>
      <w:r w:rsidR="00847F0A" w:rsidRPr="00F13051">
        <w:rPr>
          <w:lang w:val="fr-FR"/>
        </w:rPr>
        <w:t>eur taux</w:t>
      </w:r>
      <w:r w:rsidRPr="00F13051">
        <w:rPr>
          <w:lang w:val="fr-FR"/>
        </w:rPr>
        <w:t xml:space="preserve"> de mercure), ainsi que la fourniture d</w:t>
      </w:r>
      <w:r w:rsidR="00133FD4" w:rsidRPr="00F13051">
        <w:rPr>
          <w:lang w:val="fr-FR"/>
        </w:rPr>
        <w:t>’</w:t>
      </w:r>
      <w:r w:rsidRPr="00F13051">
        <w:rPr>
          <w:lang w:val="fr-FR"/>
        </w:rPr>
        <w:t xml:space="preserve">une matrice biologique de </w:t>
      </w:r>
      <w:r w:rsidR="00847F0A" w:rsidRPr="00F13051">
        <w:rPr>
          <w:lang w:val="fr-FR"/>
        </w:rPr>
        <w:t xml:space="preserve">remplacement </w:t>
      </w:r>
      <w:r w:rsidRPr="00F13051">
        <w:rPr>
          <w:lang w:val="fr-FR"/>
        </w:rPr>
        <w:t xml:space="preserve">dans </w:t>
      </w:r>
      <w:r w:rsidR="00786CE3" w:rsidRPr="00F13051">
        <w:rPr>
          <w:lang w:val="fr-FR"/>
        </w:rPr>
        <w:t>l</w:t>
      </w:r>
      <w:r w:rsidRPr="00F13051">
        <w:rPr>
          <w:lang w:val="fr-FR"/>
        </w:rPr>
        <w:t>es régions où le prélèvement de cheveux est délicat pour des raisons culturelles, éthiques ou religieuses.</w:t>
      </w:r>
    </w:p>
    <w:p w14:paraId="771910D4" w14:textId="340F7B5C" w:rsidR="0015792A" w:rsidRPr="00F13051" w:rsidRDefault="004F110C" w:rsidP="00E1136D">
      <w:pPr>
        <w:pStyle w:val="Normalnumber"/>
        <w:rPr>
          <w:lang w:val="fr-FR"/>
        </w:rPr>
      </w:pPr>
      <w:r w:rsidRPr="00F13051">
        <w:rPr>
          <w:lang w:val="fr-FR"/>
        </w:rPr>
        <w:t>Il existe des coefficients fiables, bien que variables, permett</w:t>
      </w:r>
      <w:r w:rsidR="009D10E4" w:rsidRPr="00F13051">
        <w:rPr>
          <w:lang w:val="fr-FR"/>
        </w:rPr>
        <w:t>a</w:t>
      </w:r>
      <w:r w:rsidRPr="00F13051">
        <w:rPr>
          <w:lang w:val="fr-FR"/>
        </w:rPr>
        <w:t>nt d</w:t>
      </w:r>
      <w:r w:rsidR="009D10E4" w:rsidRPr="00F13051">
        <w:rPr>
          <w:lang w:val="fr-FR"/>
        </w:rPr>
        <w:t>’assurer la</w:t>
      </w:r>
      <w:r w:rsidRPr="00F13051">
        <w:rPr>
          <w:lang w:val="fr-FR"/>
        </w:rPr>
        <w:t xml:space="preserve"> compar</w:t>
      </w:r>
      <w:r w:rsidR="009D10E4" w:rsidRPr="00F13051">
        <w:rPr>
          <w:lang w:val="fr-FR"/>
        </w:rPr>
        <w:t>abilité</w:t>
      </w:r>
      <w:r w:rsidRPr="00F13051">
        <w:rPr>
          <w:lang w:val="fr-FR"/>
        </w:rPr>
        <w:t xml:space="preserve"> </w:t>
      </w:r>
      <w:r w:rsidR="009D10E4" w:rsidRPr="00F13051">
        <w:rPr>
          <w:lang w:val="fr-FR"/>
        </w:rPr>
        <w:t>d</w:t>
      </w:r>
      <w:r w:rsidRPr="00F13051">
        <w:rPr>
          <w:lang w:val="fr-FR"/>
        </w:rPr>
        <w:t>es résultats des mesures d</w:t>
      </w:r>
      <w:r w:rsidR="009D10E4" w:rsidRPr="00F13051">
        <w:rPr>
          <w:lang w:val="fr-FR"/>
        </w:rPr>
        <w:t xml:space="preserve">u </w:t>
      </w:r>
      <w:r w:rsidRPr="00F13051">
        <w:rPr>
          <w:lang w:val="fr-FR"/>
        </w:rPr>
        <w:t xml:space="preserve">mercure </w:t>
      </w:r>
      <w:r w:rsidR="009D10E4" w:rsidRPr="00F13051">
        <w:rPr>
          <w:lang w:val="fr-FR"/>
        </w:rPr>
        <w:t xml:space="preserve">présent </w:t>
      </w:r>
      <w:r w:rsidRPr="00F13051">
        <w:rPr>
          <w:lang w:val="fr-FR"/>
        </w:rPr>
        <w:t xml:space="preserve">dans les cheveux, le sang et le sang </w:t>
      </w:r>
      <w:r w:rsidR="009D10E4" w:rsidRPr="00F13051">
        <w:rPr>
          <w:lang w:val="fr-FR"/>
        </w:rPr>
        <w:t>d</w:t>
      </w:r>
      <w:r w:rsidRPr="00F13051">
        <w:rPr>
          <w:lang w:val="fr-FR"/>
        </w:rPr>
        <w:t>e cordon ombilical.</w:t>
      </w:r>
    </w:p>
    <w:p w14:paraId="0FE037C2" w14:textId="504F59F8" w:rsidR="004F110C" w:rsidRPr="00F13051" w:rsidRDefault="004F110C" w:rsidP="00E1136D">
      <w:pPr>
        <w:pStyle w:val="Normalnumber"/>
        <w:rPr>
          <w:lang w:val="fr-FR"/>
        </w:rPr>
      </w:pPr>
      <w:r w:rsidRPr="00F13051">
        <w:rPr>
          <w:lang w:val="fr-FR"/>
        </w:rPr>
        <w:t>L</w:t>
      </w:r>
      <w:r w:rsidR="00133FD4" w:rsidRPr="00F13051">
        <w:rPr>
          <w:lang w:val="fr-FR"/>
        </w:rPr>
        <w:t>’</w:t>
      </w:r>
      <w:r w:rsidRPr="00F13051">
        <w:rPr>
          <w:lang w:val="fr-FR"/>
        </w:rPr>
        <w:t>évaluation du mercure total suffit à établir l</w:t>
      </w:r>
      <w:r w:rsidR="00133FD4" w:rsidRPr="00F13051">
        <w:rPr>
          <w:lang w:val="fr-FR"/>
        </w:rPr>
        <w:t>’</w:t>
      </w:r>
      <w:r w:rsidRPr="00F13051">
        <w:rPr>
          <w:lang w:val="fr-FR"/>
        </w:rPr>
        <w:t>exposition au mercure, à moins qu</w:t>
      </w:r>
      <w:r w:rsidR="00133FD4" w:rsidRPr="00F13051">
        <w:rPr>
          <w:lang w:val="fr-FR"/>
        </w:rPr>
        <w:t>’</w:t>
      </w:r>
      <w:r w:rsidRPr="00F13051">
        <w:rPr>
          <w:lang w:val="fr-FR"/>
        </w:rPr>
        <w:t>il ne faille également évalu</w:t>
      </w:r>
      <w:r w:rsidR="009D10E4" w:rsidRPr="00F13051">
        <w:rPr>
          <w:lang w:val="fr-FR"/>
        </w:rPr>
        <w:t>er l’</w:t>
      </w:r>
      <w:r w:rsidRPr="00F13051">
        <w:rPr>
          <w:lang w:val="fr-FR"/>
        </w:rPr>
        <w:t xml:space="preserve">exposition extérieure du cuir </w:t>
      </w:r>
      <w:r w:rsidR="006C44BC" w:rsidRPr="00F13051">
        <w:rPr>
          <w:lang w:val="fr-FR"/>
        </w:rPr>
        <w:t>chevelu.</w:t>
      </w:r>
    </w:p>
    <w:p w14:paraId="2F6F6946" w14:textId="6BACE60C" w:rsidR="0015792A" w:rsidRPr="00F13051" w:rsidRDefault="004F110C" w:rsidP="00E1136D">
      <w:pPr>
        <w:pStyle w:val="Normalnumber"/>
        <w:rPr>
          <w:lang w:val="fr-FR"/>
        </w:rPr>
      </w:pPr>
      <w:r w:rsidRPr="00F13051">
        <w:rPr>
          <w:lang w:val="fr-FR"/>
        </w:rPr>
        <w:t>Outre l</w:t>
      </w:r>
      <w:r w:rsidR="00133FD4" w:rsidRPr="00F13051">
        <w:rPr>
          <w:lang w:val="fr-FR"/>
        </w:rPr>
        <w:t>’</w:t>
      </w:r>
      <w:r w:rsidRPr="00F13051">
        <w:rPr>
          <w:lang w:val="fr-FR"/>
        </w:rPr>
        <w:t>évaluation de l</w:t>
      </w:r>
      <w:r w:rsidR="00133FD4" w:rsidRPr="00F13051">
        <w:rPr>
          <w:lang w:val="fr-FR"/>
        </w:rPr>
        <w:t>’</w:t>
      </w:r>
      <w:r w:rsidRPr="00F13051">
        <w:rPr>
          <w:lang w:val="fr-FR"/>
        </w:rPr>
        <w:t>exposition de la population générale, les Parties p</w:t>
      </w:r>
      <w:r w:rsidR="009D10E4" w:rsidRPr="00F13051">
        <w:rPr>
          <w:lang w:val="fr-FR"/>
        </w:rPr>
        <w:t>euv</w:t>
      </w:r>
      <w:r w:rsidRPr="00F13051">
        <w:rPr>
          <w:lang w:val="fr-FR"/>
        </w:rPr>
        <w:t xml:space="preserve">ent mener </w:t>
      </w:r>
      <w:r w:rsidR="009D10E4" w:rsidRPr="00F13051">
        <w:rPr>
          <w:lang w:val="fr-FR"/>
        </w:rPr>
        <w:t>une</w:t>
      </w:r>
      <w:r w:rsidRPr="00F13051">
        <w:rPr>
          <w:lang w:val="fr-FR"/>
        </w:rPr>
        <w:t xml:space="preserve"> </w:t>
      </w:r>
      <w:r w:rsidR="00BF5358" w:rsidRPr="00F13051">
        <w:rPr>
          <w:lang w:val="fr-FR"/>
        </w:rPr>
        <w:t>bio</w:t>
      </w:r>
      <w:r w:rsidRPr="00F13051">
        <w:rPr>
          <w:lang w:val="fr-FR"/>
        </w:rPr>
        <w:t>surveillance d</w:t>
      </w:r>
      <w:r w:rsidR="00133FD4" w:rsidRPr="00F13051">
        <w:rPr>
          <w:lang w:val="fr-FR"/>
        </w:rPr>
        <w:t>’</w:t>
      </w:r>
      <w:r w:rsidRPr="00F13051">
        <w:rPr>
          <w:lang w:val="fr-FR"/>
        </w:rPr>
        <w:t xml:space="preserve">autres populations vulnérables, y compris les personnes exposées </w:t>
      </w:r>
      <w:r w:rsidR="009D10E4" w:rsidRPr="00F13051">
        <w:rPr>
          <w:lang w:val="fr-FR"/>
        </w:rPr>
        <w:t>en milieu</w:t>
      </w:r>
      <w:r w:rsidRPr="00F13051">
        <w:rPr>
          <w:lang w:val="fr-FR"/>
        </w:rPr>
        <w:t xml:space="preserve"> professionnel et dans les </w:t>
      </w:r>
      <w:r w:rsidR="009D10E4" w:rsidRPr="00F13051">
        <w:rPr>
          <w:lang w:val="fr-FR"/>
        </w:rPr>
        <w:t>points chauds</w:t>
      </w:r>
      <w:r w:rsidRPr="00F13051">
        <w:rPr>
          <w:lang w:val="fr-FR"/>
        </w:rPr>
        <w:t xml:space="preserve">. Ces données peuvent fournir des informations supplémentaires utiles </w:t>
      </w:r>
      <w:r w:rsidR="00F774EF" w:rsidRPr="00F13051">
        <w:rPr>
          <w:lang w:val="fr-FR"/>
        </w:rPr>
        <w:t>pour l’</w:t>
      </w:r>
      <w:r w:rsidRPr="00F13051">
        <w:rPr>
          <w:lang w:val="fr-FR"/>
        </w:rPr>
        <w:t>évaluation de l</w:t>
      </w:r>
      <w:r w:rsidR="00133FD4" w:rsidRPr="00F13051">
        <w:rPr>
          <w:lang w:val="fr-FR"/>
        </w:rPr>
        <w:t>’</w:t>
      </w:r>
      <w:r w:rsidRPr="00F13051">
        <w:rPr>
          <w:lang w:val="fr-FR"/>
        </w:rPr>
        <w:t>efficacité (</w:t>
      </w:r>
      <w:r w:rsidR="008B0060" w:rsidRPr="00F13051">
        <w:rPr>
          <w:lang w:val="fr-FR"/>
        </w:rPr>
        <w:t>séries temporelles de résultats de mesures provenant</w:t>
      </w:r>
      <w:r w:rsidRPr="00F13051">
        <w:rPr>
          <w:lang w:val="fr-FR"/>
        </w:rPr>
        <w:t xml:space="preserve"> des mêmes populations</w:t>
      </w:r>
      <w:r w:rsidR="008B0060" w:rsidRPr="00F13051">
        <w:rPr>
          <w:lang w:val="fr-FR"/>
        </w:rPr>
        <w:t>,</w:t>
      </w:r>
      <w:r w:rsidR="008B0060" w:rsidRPr="00F13051">
        <w:rPr>
          <w:rFonts w:eastAsia="Arial Unicode MS"/>
          <w:sz w:val="24"/>
          <w:szCs w:val="24"/>
          <w:bdr w:val="nil"/>
          <w:lang w:val="fr-FR"/>
        </w:rPr>
        <w:t xml:space="preserve"> </w:t>
      </w:r>
      <w:r w:rsidR="008B0060" w:rsidRPr="00F13051">
        <w:rPr>
          <w:lang w:val="fr-FR"/>
        </w:rPr>
        <w:t>par exemple</w:t>
      </w:r>
      <w:r w:rsidRPr="00F13051">
        <w:rPr>
          <w:lang w:val="fr-FR"/>
        </w:rPr>
        <w:t>).</w:t>
      </w:r>
    </w:p>
    <w:p w14:paraId="37A0A707" w14:textId="20460FB4" w:rsidR="004F110C" w:rsidRPr="00F13051" w:rsidRDefault="004F110C" w:rsidP="00E1136D">
      <w:pPr>
        <w:pStyle w:val="Normalnumber"/>
        <w:rPr>
          <w:lang w:val="fr-FR"/>
        </w:rPr>
      </w:pPr>
      <w:r w:rsidRPr="00F13051">
        <w:rPr>
          <w:iCs/>
          <w:lang w:val="fr-FR"/>
        </w:rPr>
        <w:t>L</w:t>
      </w:r>
      <w:r w:rsidR="00133FD4" w:rsidRPr="00F13051">
        <w:rPr>
          <w:iCs/>
          <w:lang w:val="fr-FR"/>
        </w:rPr>
        <w:t>’</w:t>
      </w:r>
      <w:r w:rsidRPr="00F13051">
        <w:rPr>
          <w:i/>
          <w:iCs/>
          <w:lang w:val="fr-FR"/>
        </w:rPr>
        <w:t>Évaluation mondiale du mercure de 2018</w:t>
      </w:r>
      <w:r w:rsidRPr="00F13051">
        <w:rPr>
          <w:lang w:val="fr-FR"/>
        </w:rPr>
        <w:t xml:space="preserve"> a recensé les données </w:t>
      </w:r>
      <w:r w:rsidR="008B0060" w:rsidRPr="00F13051">
        <w:rPr>
          <w:lang w:val="fr-FR"/>
        </w:rPr>
        <w:t>d</w:t>
      </w:r>
      <w:r w:rsidR="00133FD4" w:rsidRPr="00F13051">
        <w:rPr>
          <w:lang w:val="fr-FR"/>
        </w:rPr>
        <w:t>’</w:t>
      </w:r>
      <w:r w:rsidRPr="00F13051">
        <w:rPr>
          <w:lang w:val="fr-FR"/>
        </w:rPr>
        <w:t xml:space="preserve">exposition au mercure </w:t>
      </w:r>
      <w:r w:rsidR="008B0060" w:rsidRPr="00F13051">
        <w:rPr>
          <w:lang w:val="fr-FR"/>
        </w:rPr>
        <w:t xml:space="preserve">qu’il est </w:t>
      </w:r>
      <w:r w:rsidRPr="00F13051">
        <w:rPr>
          <w:lang w:val="fr-FR"/>
        </w:rPr>
        <w:t xml:space="preserve">actuellement </w:t>
      </w:r>
      <w:r w:rsidR="008B0060" w:rsidRPr="00F13051">
        <w:rPr>
          <w:lang w:val="fr-FR"/>
        </w:rPr>
        <w:t>possible d’obtenir</w:t>
      </w:r>
      <w:r w:rsidRPr="00F13051">
        <w:rPr>
          <w:lang w:val="fr-FR"/>
        </w:rPr>
        <w:t xml:space="preserve"> des programmes régionaux et nationaux de biosurveillance humaine, des études longitudinales de cohortes de naissance et des informations transversales sur des populations données, y compris les groupes très exposés. L</w:t>
      </w:r>
      <w:r w:rsidR="00133FD4" w:rsidRPr="00F13051">
        <w:rPr>
          <w:lang w:val="fr-FR"/>
        </w:rPr>
        <w:t>’</w:t>
      </w:r>
      <w:r w:rsidRPr="00F13051">
        <w:rPr>
          <w:lang w:val="fr-FR"/>
        </w:rPr>
        <w:t>évaluation a déterminé ce qui suit</w:t>
      </w:r>
      <w:r w:rsidR="00133FD4" w:rsidRPr="00F13051">
        <w:rPr>
          <w:lang w:val="fr-FR"/>
        </w:rPr>
        <w:t> :</w:t>
      </w:r>
    </w:p>
    <w:p w14:paraId="29347762" w14:textId="77D66678" w:rsidR="004F110C" w:rsidRPr="00F13051" w:rsidRDefault="008478E9" w:rsidP="00E1136D">
      <w:pPr>
        <w:pStyle w:val="Normalnumber"/>
        <w:numPr>
          <w:ilvl w:val="1"/>
          <w:numId w:val="4"/>
        </w:numPr>
        <w:tabs>
          <w:tab w:val="clear" w:pos="1134"/>
        </w:tabs>
        <w:ind w:firstLine="624"/>
        <w:rPr>
          <w:lang w:val="fr-FR"/>
        </w:rPr>
      </w:pPr>
      <w:r w:rsidRPr="00F13051">
        <w:rPr>
          <w:lang w:val="fr-FR"/>
        </w:rPr>
        <w:t xml:space="preserve">Certaines </w:t>
      </w:r>
      <w:r w:rsidR="009665DF" w:rsidRPr="00F13051">
        <w:rPr>
          <w:lang w:val="fr-FR"/>
        </w:rPr>
        <w:t xml:space="preserve">des </w:t>
      </w:r>
      <w:r w:rsidRPr="00F13051">
        <w:rPr>
          <w:lang w:val="fr-FR"/>
        </w:rPr>
        <w:t xml:space="preserve">informations </w:t>
      </w:r>
      <w:r w:rsidR="009665DF" w:rsidRPr="00F13051">
        <w:rPr>
          <w:lang w:val="fr-FR"/>
        </w:rPr>
        <w:t>obtenues par l</w:t>
      </w:r>
      <w:r w:rsidRPr="00F13051">
        <w:rPr>
          <w:lang w:val="fr-FR"/>
        </w:rPr>
        <w:t xml:space="preserve">es programmes régionaux et nationaux de biosurveillance humaine pourraient être comparables, selon </w:t>
      </w:r>
      <w:r w:rsidR="009665DF" w:rsidRPr="00F13051">
        <w:rPr>
          <w:lang w:val="fr-FR"/>
        </w:rPr>
        <w:t>la possibilité</w:t>
      </w:r>
      <w:r w:rsidRPr="00F13051">
        <w:rPr>
          <w:lang w:val="fr-FR"/>
        </w:rPr>
        <w:t xml:space="preserve"> de </w:t>
      </w:r>
      <w:r w:rsidR="009665DF" w:rsidRPr="00F13051">
        <w:rPr>
          <w:lang w:val="fr-FR"/>
        </w:rPr>
        <w:t xml:space="preserve">les </w:t>
      </w:r>
      <w:r w:rsidRPr="00F13051">
        <w:rPr>
          <w:lang w:val="fr-FR"/>
        </w:rPr>
        <w:t xml:space="preserve">ventiler par sexe et par âge. </w:t>
      </w:r>
      <w:r w:rsidR="009665DF" w:rsidRPr="00F13051">
        <w:rPr>
          <w:lang w:val="fr-FR"/>
        </w:rPr>
        <w:t>L</w:t>
      </w:r>
      <w:r w:rsidRPr="00F13051">
        <w:rPr>
          <w:lang w:val="fr-FR"/>
        </w:rPr>
        <w:t xml:space="preserve">es programmes </w:t>
      </w:r>
      <w:r w:rsidR="009665DF" w:rsidRPr="00F13051">
        <w:rPr>
          <w:lang w:val="fr-FR"/>
        </w:rPr>
        <w:t xml:space="preserve">de ce genre </w:t>
      </w:r>
      <w:r w:rsidRPr="00F13051">
        <w:rPr>
          <w:lang w:val="fr-FR"/>
        </w:rPr>
        <w:t>n</w:t>
      </w:r>
      <w:r w:rsidR="00133FD4" w:rsidRPr="00F13051">
        <w:rPr>
          <w:lang w:val="fr-FR"/>
        </w:rPr>
        <w:t>’</w:t>
      </w:r>
      <w:r w:rsidRPr="00F13051">
        <w:rPr>
          <w:lang w:val="fr-FR"/>
        </w:rPr>
        <w:t>existent que dans un nombre très réduit de pays, principalement d</w:t>
      </w:r>
      <w:r w:rsidR="009665DF" w:rsidRPr="00F13051">
        <w:rPr>
          <w:lang w:val="fr-FR"/>
        </w:rPr>
        <w:t>e</w:t>
      </w:r>
      <w:r w:rsidRPr="00F13051">
        <w:rPr>
          <w:lang w:val="fr-FR"/>
        </w:rPr>
        <w:t xml:space="preserve"> l</w:t>
      </w:r>
      <w:r w:rsidR="00133FD4" w:rsidRPr="00F13051">
        <w:rPr>
          <w:lang w:val="fr-FR"/>
        </w:rPr>
        <w:t>’</w:t>
      </w:r>
      <w:r w:rsidRPr="00F13051">
        <w:rPr>
          <w:lang w:val="fr-FR"/>
        </w:rPr>
        <w:t xml:space="preserve">hémisphère Nord. Ils sont coûteux et ne </w:t>
      </w:r>
      <w:r w:rsidR="009665DF" w:rsidRPr="00F13051">
        <w:rPr>
          <w:lang w:val="fr-FR"/>
        </w:rPr>
        <w:t>peuvent donc pas</w:t>
      </w:r>
      <w:r w:rsidRPr="00F13051">
        <w:rPr>
          <w:lang w:val="fr-FR"/>
        </w:rPr>
        <w:t xml:space="preserve"> </w:t>
      </w:r>
      <w:r w:rsidR="009665DF" w:rsidRPr="00F13051">
        <w:rPr>
          <w:lang w:val="fr-FR"/>
        </w:rPr>
        <w:t xml:space="preserve">uniquement servir </w:t>
      </w:r>
      <w:r w:rsidRPr="00F13051">
        <w:rPr>
          <w:lang w:val="fr-FR"/>
        </w:rPr>
        <w:t xml:space="preserve">à </w:t>
      </w:r>
      <w:r w:rsidR="009665DF" w:rsidRPr="00F13051">
        <w:rPr>
          <w:lang w:val="fr-FR"/>
        </w:rPr>
        <w:t xml:space="preserve">assurer </w:t>
      </w:r>
      <w:r w:rsidRPr="00F13051">
        <w:rPr>
          <w:lang w:val="fr-FR"/>
        </w:rPr>
        <w:t>la surveillance mondiale de l</w:t>
      </w:r>
      <w:r w:rsidR="00133FD4" w:rsidRPr="00F13051">
        <w:rPr>
          <w:lang w:val="fr-FR"/>
        </w:rPr>
        <w:t>’</w:t>
      </w:r>
      <w:r w:rsidR="002574CC" w:rsidRPr="00F13051">
        <w:rPr>
          <w:lang w:val="fr-FR"/>
        </w:rPr>
        <w:t>exposition au mercure ;</w:t>
      </w:r>
    </w:p>
    <w:p w14:paraId="40D58663" w14:textId="76EFF483" w:rsidR="0015792A" w:rsidRPr="00F13051" w:rsidRDefault="004F110C" w:rsidP="00E1136D">
      <w:pPr>
        <w:pStyle w:val="Normalnumber"/>
        <w:numPr>
          <w:ilvl w:val="1"/>
          <w:numId w:val="4"/>
        </w:numPr>
        <w:tabs>
          <w:tab w:val="clear" w:pos="1134"/>
        </w:tabs>
        <w:ind w:firstLine="624"/>
        <w:rPr>
          <w:lang w:val="fr-FR"/>
        </w:rPr>
      </w:pPr>
      <w:r w:rsidRPr="00F13051">
        <w:rPr>
          <w:lang w:val="fr-FR"/>
        </w:rPr>
        <w:t xml:space="preserve">Les études longitudinales de cohortes de naissance, y compris les études de groupes </w:t>
      </w:r>
      <w:r w:rsidR="009665DF" w:rsidRPr="00F13051">
        <w:rPr>
          <w:lang w:val="fr-FR"/>
        </w:rPr>
        <w:t xml:space="preserve">de grands </w:t>
      </w:r>
      <w:r w:rsidRPr="00F13051">
        <w:rPr>
          <w:lang w:val="fr-FR"/>
        </w:rPr>
        <w:t xml:space="preserve">consommateurs de </w:t>
      </w:r>
      <w:r w:rsidR="009665DF" w:rsidRPr="00F13051">
        <w:rPr>
          <w:lang w:val="fr-FR"/>
        </w:rPr>
        <w:t>fr</w:t>
      </w:r>
      <w:r w:rsidRPr="00F13051">
        <w:rPr>
          <w:lang w:val="fr-FR"/>
        </w:rPr>
        <w:t>uits de mer, de poissons d</w:t>
      </w:r>
      <w:r w:rsidR="00133FD4" w:rsidRPr="00F13051">
        <w:rPr>
          <w:lang w:val="fr-FR"/>
        </w:rPr>
        <w:t>’</w:t>
      </w:r>
      <w:r w:rsidRPr="00F13051">
        <w:rPr>
          <w:lang w:val="fr-FR"/>
        </w:rPr>
        <w:t xml:space="preserve">eau douce ou de mammifères marins, fournissent des données comparables de </w:t>
      </w:r>
      <w:r w:rsidR="005E25F2" w:rsidRPr="00F13051">
        <w:rPr>
          <w:lang w:val="fr-FR"/>
        </w:rPr>
        <w:t>grande</w:t>
      </w:r>
      <w:r w:rsidRPr="00F13051">
        <w:rPr>
          <w:lang w:val="fr-FR"/>
        </w:rPr>
        <w:t xml:space="preserve"> qualité. </w:t>
      </w:r>
      <w:r w:rsidR="005E25F2" w:rsidRPr="00F13051">
        <w:rPr>
          <w:lang w:val="fr-FR"/>
        </w:rPr>
        <w:t>Elles</w:t>
      </w:r>
      <w:r w:rsidRPr="00F13051">
        <w:rPr>
          <w:lang w:val="fr-FR"/>
        </w:rPr>
        <w:t xml:space="preserve"> </w:t>
      </w:r>
      <w:r w:rsidR="005E25F2" w:rsidRPr="00F13051">
        <w:rPr>
          <w:lang w:val="fr-FR"/>
        </w:rPr>
        <w:t>possèdent une couverture géographique limitée</w:t>
      </w:r>
      <w:r w:rsidRPr="00F13051">
        <w:rPr>
          <w:lang w:val="fr-FR"/>
        </w:rPr>
        <w:t xml:space="preserve"> et ne sont pas représentatives </w:t>
      </w:r>
      <w:r w:rsidR="007C4333" w:rsidRPr="00F13051">
        <w:rPr>
          <w:lang w:val="fr-FR"/>
        </w:rPr>
        <w:t xml:space="preserve">sur le plan </w:t>
      </w:r>
      <w:r w:rsidR="002574CC" w:rsidRPr="00F13051">
        <w:rPr>
          <w:lang w:val="fr-FR"/>
        </w:rPr>
        <w:t>mondial ;</w:t>
      </w:r>
    </w:p>
    <w:p w14:paraId="681C84C2" w14:textId="66AFBE69" w:rsidR="004F110C" w:rsidRPr="00F13051" w:rsidRDefault="004F110C" w:rsidP="00E1136D">
      <w:pPr>
        <w:pStyle w:val="Normalnumber"/>
        <w:numPr>
          <w:ilvl w:val="1"/>
          <w:numId w:val="4"/>
        </w:numPr>
        <w:tabs>
          <w:tab w:val="clear" w:pos="1134"/>
        </w:tabs>
        <w:ind w:firstLine="624"/>
        <w:rPr>
          <w:lang w:val="fr-FR"/>
        </w:rPr>
      </w:pPr>
      <w:r w:rsidRPr="00F13051">
        <w:rPr>
          <w:lang w:val="fr-FR"/>
        </w:rPr>
        <w:t>Le projet intitulé « Élabor</w:t>
      </w:r>
      <w:r w:rsidR="001A486B" w:rsidRPr="00F13051">
        <w:rPr>
          <w:lang w:val="fr-FR"/>
        </w:rPr>
        <w:t>er</w:t>
      </w:r>
      <w:r w:rsidRPr="00F13051">
        <w:rPr>
          <w:lang w:val="fr-FR"/>
        </w:rPr>
        <w:t xml:space="preserve"> un plan pour la surveillance mondiale de l</w:t>
      </w:r>
      <w:r w:rsidR="00133FD4" w:rsidRPr="00F13051">
        <w:rPr>
          <w:lang w:val="fr-FR"/>
        </w:rPr>
        <w:t>’</w:t>
      </w:r>
      <w:r w:rsidRPr="00F13051">
        <w:rPr>
          <w:lang w:val="fr-FR"/>
        </w:rPr>
        <w:t>exposition humaine au mercure et des concentrations de mercure dans l</w:t>
      </w:r>
      <w:r w:rsidR="00133FD4" w:rsidRPr="00F13051">
        <w:rPr>
          <w:lang w:val="fr-FR"/>
        </w:rPr>
        <w:t>’</w:t>
      </w:r>
      <w:r w:rsidRPr="00F13051">
        <w:rPr>
          <w:lang w:val="fr-FR"/>
        </w:rPr>
        <w:t>environnement » (voir le d</w:t>
      </w:r>
      <w:r w:rsidR="00663EA8" w:rsidRPr="00F13051">
        <w:rPr>
          <w:lang w:val="fr-FR"/>
        </w:rPr>
        <w:t xml:space="preserve">ocument UNEP/MC/COP.3/INF/19) </w:t>
      </w:r>
      <w:r w:rsidR="007C4333" w:rsidRPr="00F13051">
        <w:rPr>
          <w:lang w:val="fr-FR"/>
        </w:rPr>
        <w:t xml:space="preserve">financé par le Fonds pour l’environnement mondial (FEM) </w:t>
      </w:r>
      <w:r w:rsidR="00663EA8" w:rsidRPr="00F13051">
        <w:rPr>
          <w:lang w:val="fr-FR"/>
        </w:rPr>
        <w:t>a </w:t>
      </w:r>
      <w:r w:rsidRPr="00F13051">
        <w:rPr>
          <w:lang w:val="fr-FR"/>
        </w:rPr>
        <w:t xml:space="preserve">produit des données comparables, </w:t>
      </w:r>
      <w:r w:rsidR="007C4333" w:rsidRPr="00F13051">
        <w:rPr>
          <w:lang w:val="fr-FR"/>
        </w:rPr>
        <w:t>obtenues selon le</w:t>
      </w:r>
      <w:r w:rsidRPr="00F13051">
        <w:rPr>
          <w:lang w:val="fr-FR"/>
        </w:rPr>
        <w:t xml:space="preserve"> protocole de l</w:t>
      </w:r>
      <w:r w:rsidR="00133FD4" w:rsidRPr="00F13051">
        <w:rPr>
          <w:lang w:val="fr-FR"/>
        </w:rPr>
        <w:t>’</w:t>
      </w:r>
      <w:r w:rsidRPr="00F13051">
        <w:rPr>
          <w:lang w:val="fr-FR"/>
        </w:rPr>
        <w:t>Organisation mondiale de la Santé (OMS) pour l</w:t>
      </w:r>
      <w:r w:rsidR="00133FD4" w:rsidRPr="00F13051">
        <w:rPr>
          <w:lang w:val="fr-FR"/>
        </w:rPr>
        <w:t>’</w:t>
      </w:r>
      <w:r w:rsidRPr="00F13051">
        <w:rPr>
          <w:lang w:val="fr-FR"/>
        </w:rPr>
        <w:t>évaluation de l</w:t>
      </w:r>
      <w:r w:rsidR="00133FD4" w:rsidRPr="00F13051">
        <w:rPr>
          <w:lang w:val="fr-FR"/>
        </w:rPr>
        <w:t>’</w:t>
      </w:r>
      <w:r w:rsidR="00663EA8" w:rsidRPr="00F13051">
        <w:rPr>
          <w:lang w:val="fr-FR"/>
        </w:rPr>
        <w:t>exposition prénatale au </w:t>
      </w:r>
      <w:r w:rsidRPr="00F13051">
        <w:rPr>
          <w:lang w:val="fr-FR"/>
        </w:rPr>
        <w:t>mercure</w:t>
      </w:r>
      <w:r w:rsidRPr="00F13051">
        <w:rPr>
          <w:vertAlign w:val="superscript"/>
          <w:lang w:val="fr-FR"/>
        </w:rPr>
        <w:footnoteReference w:id="5"/>
      </w:r>
      <w:r w:rsidR="007C4333" w:rsidRPr="00F13051">
        <w:rPr>
          <w:lang w:val="fr-FR"/>
        </w:rPr>
        <w:t xml:space="preserve"> pour un petit nombre d’autres pays</w:t>
      </w:r>
      <w:r w:rsidRPr="00F13051">
        <w:rPr>
          <w:lang w:val="fr-FR"/>
        </w:rPr>
        <w:t>.</w:t>
      </w:r>
    </w:p>
    <w:p w14:paraId="63EC2D23" w14:textId="0852C380" w:rsidR="0015792A" w:rsidRPr="00F13051" w:rsidRDefault="00F4344C" w:rsidP="00E1136D">
      <w:pPr>
        <w:pStyle w:val="Normalnumber"/>
        <w:rPr>
          <w:lang w:val="fr-FR"/>
        </w:rPr>
      </w:pPr>
      <w:r w:rsidRPr="00F13051">
        <w:rPr>
          <w:lang w:val="fr-FR"/>
        </w:rPr>
        <w:t>La biosurveillance du mercure total dans l</w:t>
      </w:r>
      <w:r w:rsidR="00133FD4" w:rsidRPr="00F13051">
        <w:rPr>
          <w:lang w:val="fr-FR"/>
        </w:rPr>
        <w:t>’</w:t>
      </w:r>
      <w:r w:rsidRPr="00F13051">
        <w:rPr>
          <w:lang w:val="fr-FR"/>
        </w:rPr>
        <w:t>urine est utile pour les</w:t>
      </w:r>
      <w:r w:rsidR="00663EA8" w:rsidRPr="00F13051">
        <w:rPr>
          <w:lang w:val="fr-FR"/>
        </w:rPr>
        <w:t xml:space="preserve"> populations très exposées au </w:t>
      </w:r>
      <w:r w:rsidRPr="00F13051">
        <w:rPr>
          <w:lang w:val="fr-FR"/>
        </w:rPr>
        <w:t>mercure élémentaire et inorganique mais ne convient pas à l</w:t>
      </w:r>
      <w:r w:rsidR="00133FD4" w:rsidRPr="00F13051">
        <w:rPr>
          <w:lang w:val="fr-FR"/>
        </w:rPr>
        <w:t>’</w:t>
      </w:r>
      <w:r w:rsidRPr="00F13051">
        <w:rPr>
          <w:lang w:val="fr-FR"/>
        </w:rPr>
        <w:t>évaluation de l</w:t>
      </w:r>
      <w:r w:rsidR="00133FD4" w:rsidRPr="00F13051">
        <w:rPr>
          <w:lang w:val="fr-FR"/>
        </w:rPr>
        <w:t>’</w:t>
      </w:r>
      <w:r w:rsidRPr="00F13051">
        <w:rPr>
          <w:lang w:val="fr-FR"/>
        </w:rPr>
        <w:t xml:space="preserve">exposition au méthylmercure. Elle peut également être utile </w:t>
      </w:r>
      <w:r w:rsidR="007C4333" w:rsidRPr="00F13051">
        <w:rPr>
          <w:lang w:val="fr-FR"/>
        </w:rPr>
        <w:t xml:space="preserve">pour </w:t>
      </w:r>
      <w:r w:rsidRPr="00F13051">
        <w:rPr>
          <w:lang w:val="fr-FR"/>
        </w:rPr>
        <w:t>évalu</w:t>
      </w:r>
      <w:r w:rsidR="007C4333" w:rsidRPr="00F13051">
        <w:rPr>
          <w:lang w:val="fr-FR"/>
        </w:rPr>
        <w:t>er</w:t>
      </w:r>
      <w:r w:rsidRPr="00F13051">
        <w:rPr>
          <w:lang w:val="fr-FR"/>
        </w:rPr>
        <w:t xml:space="preserve"> l</w:t>
      </w:r>
      <w:r w:rsidR="00133FD4" w:rsidRPr="00F13051">
        <w:rPr>
          <w:lang w:val="fr-FR"/>
        </w:rPr>
        <w:t>’</w:t>
      </w:r>
      <w:r w:rsidRPr="00F13051">
        <w:rPr>
          <w:lang w:val="fr-FR"/>
        </w:rPr>
        <w:t>incidence des mesures de contrôle prises par les Parties concernant l</w:t>
      </w:r>
      <w:r w:rsidR="00133FD4" w:rsidRPr="00F13051">
        <w:rPr>
          <w:lang w:val="fr-FR"/>
        </w:rPr>
        <w:t>’</w:t>
      </w:r>
      <w:r w:rsidRPr="00F13051">
        <w:rPr>
          <w:lang w:val="fr-FR"/>
        </w:rPr>
        <w:t>exposition au mercure des communautés minières.</w:t>
      </w:r>
    </w:p>
    <w:p w14:paraId="7BF980A9" w14:textId="02005363" w:rsidR="004F110C" w:rsidRPr="00F13051" w:rsidRDefault="004F110C" w:rsidP="00E1136D">
      <w:pPr>
        <w:pStyle w:val="Normalnumber"/>
        <w:rPr>
          <w:lang w:val="fr-FR"/>
        </w:rPr>
      </w:pPr>
      <w:r w:rsidRPr="00F13051">
        <w:rPr>
          <w:lang w:val="fr-FR"/>
        </w:rPr>
        <w:t>La biosurveillance humaine présente un certain nombre d</w:t>
      </w:r>
      <w:r w:rsidR="00133FD4" w:rsidRPr="00F13051">
        <w:rPr>
          <w:lang w:val="fr-FR"/>
        </w:rPr>
        <w:t>’</w:t>
      </w:r>
      <w:r w:rsidRPr="00F13051">
        <w:rPr>
          <w:lang w:val="fr-FR"/>
        </w:rPr>
        <w:t xml:space="preserve">avantages </w:t>
      </w:r>
      <w:r w:rsidR="0074019F" w:rsidRPr="00F13051">
        <w:rPr>
          <w:lang w:val="fr-FR"/>
        </w:rPr>
        <w:t xml:space="preserve">du point de vue de l’obtention </w:t>
      </w:r>
      <w:r w:rsidRPr="00F13051">
        <w:rPr>
          <w:lang w:val="fr-FR"/>
        </w:rPr>
        <w:t>d</w:t>
      </w:r>
      <w:r w:rsidR="0074019F" w:rsidRPr="00F13051">
        <w:rPr>
          <w:lang w:val="fr-FR"/>
        </w:rPr>
        <w:t>’</w:t>
      </w:r>
      <w:r w:rsidRPr="00F13051">
        <w:rPr>
          <w:lang w:val="fr-FR"/>
        </w:rPr>
        <w:t xml:space="preserve">informations </w:t>
      </w:r>
      <w:r w:rsidR="0074019F" w:rsidRPr="00F13051">
        <w:rPr>
          <w:lang w:val="fr-FR"/>
        </w:rPr>
        <w:t xml:space="preserve">pour </w:t>
      </w:r>
      <w:r w:rsidRPr="00F13051">
        <w:rPr>
          <w:lang w:val="fr-FR"/>
        </w:rPr>
        <w:t>évalu</w:t>
      </w:r>
      <w:r w:rsidR="0074019F" w:rsidRPr="00F13051">
        <w:rPr>
          <w:lang w:val="fr-FR"/>
        </w:rPr>
        <w:t>er</w:t>
      </w:r>
      <w:r w:rsidRPr="00F13051">
        <w:rPr>
          <w:lang w:val="fr-FR"/>
        </w:rPr>
        <w:t xml:space="preserve"> l</w:t>
      </w:r>
      <w:r w:rsidR="00133FD4" w:rsidRPr="00F13051">
        <w:rPr>
          <w:lang w:val="fr-FR"/>
        </w:rPr>
        <w:t>’</w:t>
      </w:r>
      <w:r w:rsidRPr="00F13051">
        <w:rPr>
          <w:lang w:val="fr-FR"/>
        </w:rPr>
        <w:t xml:space="preserve">efficacité de la Convention de Minamata, notamment </w:t>
      </w:r>
      <w:r w:rsidR="0074019F" w:rsidRPr="00F13051">
        <w:rPr>
          <w:lang w:val="fr-FR"/>
        </w:rPr>
        <w:t>les suivants</w:t>
      </w:r>
      <w:r w:rsidR="00133FD4" w:rsidRPr="00F13051">
        <w:rPr>
          <w:lang w:val="fr-FR"/>
        </w:rPr>
        <w:t> :</w:t>
      </w:r>
    </w:p>
    <w:p w14:paraId="2DC9D433" w14:textId="55CA780C" w:rsidR="004F110C" w:rsidRPr="00F13051" w:rsidRDefault="0074019F" w:rsidP="00E1136D">
      <w:pPr>
        <w:pStyle w:val="Normalnumber"/>
        <w:numPr>
          <w:ilvl w:val="1"/>
          <w:numId w:val="4"/>
        </w:numPr>
        <w:tabs>
          <w:tab w:val="clear" w:pos="1134"/>
        </w:tabs>
        <w:ind w:firstLine="624"/>
        <w:rPr>
          <w:lang w:val="fr-FR"/>
        </w:rPr>
      </w:pPr>
      <w:r w:rsidRPr="00F13051">
        <w:rPr>
          <w:lang w:val="fr-FR"/>
        </w:rPr>
        <w:t xml:space="preserve">Réponse </w:t>
      </w:r>
      <w:r w:rsidR="004F110C" w:rsidRPr="00F13051">
        <w:rPr>
          <w:lang w:val="fr-FR"/>
        </w:rPr>
        <w:t>directe</w:t>
      </w:r>
      <w:r w:rsidRPr="00F13051">
        <w:rPr>
          <w:lang w:val="fr-FR"/>
        </w:rPr>
        <w:t xml:space="preserve"> à</w:t>
      </w:r>
      <w:r w:rsidR="004F110C" w:rsidRPr="00F13051">
        <w:rPr>
          <w:lang w:val="fr-FR"/>
        </w:rPr>
        <w:t xml:space="preserve"> la question fondamentale </w:t>
      </w:r>
      <w:r w:rsidR="007C4333" w:rsidRPr="00F13051">
        <w:rPr>
          <w:lang w:val="fr-FR"/>
        </w:rPr>
        <w:t>de savoir</w:t>
      </w:r>
      <w:r w:rsidR="004F110C" w:rsidRPr="00F13051">
        <w:rPr>
          <w:lang w:val="fr-FR"/>
        </w:rPr>
        <w:t xml:space="preserve"> si suffisamment d</w:t>
      </w:r>
      <w:r w:rsidR="00133FD4" w:rsidRPr="00F13051">
        <w:rPr>
          <w:lang w:val="fr-FR"/>
        </w:rPr>
        <w:t>’</w:t>
      </w:r>
      <w:r w:rsidR="004F110C" w:rsidRPr="00F13051">
        <w:rPr>
          <w:lang w:val="fr-FR"/>
        </w:rPr>
        <w:t>efforts sont déployés pour pro</w:t>
      </w:r>
      <w:r w:rsidR="00663EA8" w:rsidRPr="00F13051">
        <w:rPr>
          <w:lang w:val="fr-FR"/>
        </w:rPr>
        <w:t>téger la santé humaine (article </w:t>
      </w:r>
      <w:r w:rsidR="004F110C" w:rsidRPr="00F13051">
        <w:rPr>
          <w:lang w:val="fr-FR"/>
        </w:rPr>
        <w:t>1</w:t>
      </w:r>
      <w:r w:rsidR="004F110C" w:rsidRPr="00F13051">
        <w:rPr>
          <w:vertAlign w:val="superscript"/>
          <w:lang w:val="fr-FR"/>
        </w:rPr>
        <w:t>er</w:t>
      </w:r>
      <w:r w:rsidR="004F110C" w:rsidRPr="00F13051">
        <w:rPr>
          <w:lang w:val="fr-FR"/>
        </w:rPr>
        <w:t xml:space="preserve"> de la Convention)</w:t>
      </w:r>
      <w:r w:rsidR="00133FD4" w:rsidRPr="00F13051">
        <w:rPr>
          <w:lang w:val="fr-FR"/>
        </w:rPr>
        <w:t> ;</w:t>
      </w:r>
    </w:p>
    <w:p w14:paraId="32DE654C" w14:textId="2F182CDB" w:rsidR="004F110C" w:rsidRPr="00F13051" w:rsidRDefault="0074019F" w:rsidP="00E1136D">
      <w:pPr>
        <w:pStyle w:val="Normalnumber"/>
        <w:numPr>
          <w:ilvl w:val="1"/>
          <w:numId w:val="4"/>
        </w:numPr>
        <w:tabs>
          <w:tab w:val="clear" w:pos="1134"/>
        </w:tabs>
        <w:ind w:firstLine="624"/>
        <w:rPr>
          <w:lang w:val="fr-FR"/>
        </w:rPr>
      </w:pPr>
      <w:r w:rsidRPr="00F13051">
        <w:rPr>
          <w:lang w:val="fr-FR"/>
        </w:rPr>
        <w:t>Intégration</w:t>
      </w:r>
      <w:r w:rsidR="004F110C" w:rsidRPr="00F13051">
        <w:rPr>
          <w:lang w:val="fr-FR"/>
        </w:rPr>
        <w:t xml:space="preserve"> d</w:t>
      </w:r>
      <w:r w:rsidRPr="00F13051">
        <w:rPr>
          <w:lang w:val="fr-FR"/>
        </w:rPr>
        <w:t>’</w:t>
      </w:r>
      <w:r w:rsidR="004F110C" w:rsidRPr="00F13051">
        <w:rPr>
          <w:lang w:val="fr-FR"/>
        </w:rPr>
        <w:t>informations sur l</w:t>
      </w:r>
      <w:r w:rsidR="00133FD4" w:rsidRPr="00F13051">
        <w:rPr>
          <w:lang w:val="fr-FR"/>
        </w:rPr>
        <w:t>’</w:t>
      </w:r>
      <w:r w:rsidR="004F110C" w:rsidRPr="00F13051">
        <w:rPr>
          <w:lang w:val="fr-FR"/>
        </w:rPr>
        <w:t>exposition au mercure provenant de sources diverses</w:t>
      </w:r>
      <w:r w:rsidR="00133FD4" w:rsidRPr="00F13051">
        <w:rPr>
          <w:lang w:val="fr-FR"/>
        </w:rPr>
        <w:t> ;</w:t>
      </w:r>
    </w:p>
    <w:p w14:paraId="18E0D400" w14:textId="353193EA" w:rsidR="004F110C" w:rsidRPr="00F13051" w:rsidRDefault="0074019F" w:rsidP="00E1136D">
      <w:pPr>
        <w:pStyle w:val="Normalnumber"/>
        <w:numPr>
          <w:ilvl w:val="1"/>
          <w:numId w:val="4"/>
        </w:numPr>
        <w:tabs>
          <w:tab w:val="clear" w:pos="1134"/>
        </w:tabs>
        <w:ind w:firstLine="624"/>
        <w:rPr>
          <w:lang w:val="fr-FR"/>
        </w:rPr>
      </w:pPr>
      <w:r w:rsidRPr="00F13051">
        <w:rPr>
          <w:lang w:val="fr-FR"/>
        </w:rPr>
        <w:t>Intégration</w:t>
      </w:r>
      <w:r w:rsidR="004F110C" w:rsidRPr="00F13051">
        <w:rPr>
          <w:lang w:val="fr-FR"/>
        </w:rPr>
        <w:t xml:space="preserve"> de l</w:t>
      </w:r>
      <w:r w:rsidR="00133FD4" w:rsidRPr="00F13051">
        <w:rPr>
          <w:lang w:val="fr-FR"/>
        </w:rPr>
        <w:t>’</w:t>
      </w:r>
      <w:r w:rsidR="004F110C" w:rsidRPr="00F13051">
        <w:rPr>
          <w:lang w:val="fr-FR"/>
        </w:rPr>
        <w:t xml:space="preserve">incidence des diverses mesures prises </w:t>
      </w:r>
      <w:r w:rsidRPr="00F13051">
        <w:rPr>
          <w:lang w:val="fr-FR"/>
        </w:rPr>
        <w:t>pour</w:t>
      </w:r>
      <w:r w:rsidR="004F110C" w:rsidRPr="00F13051">
        <w:rPr>
          <w:lang w:val="fr-FR"/>
        </w:rPr>
        <w:t xml:space="preserve"> rédu</w:t>
      </w:r>
      <w:r w:rsidRPr="00F13051">
        <w:rPr>
          <w:lang w:val="fr-FR"/>
        </w:rPr>
        <w:t>ire l</w:t>
      </w:r>
      <w:r w:rsidR="004F110C" w:rsidRPr="00F13051">
        <w:rPr>
          <w:lang w:val="fr-FR"/>
        </w:rPr>
        <w:t>es risques.</w:t>
      </w:r>
    </w:p>
    <w:p w14:paraId="0431D11B" w14:textId="272BE8B3" w:rsidR="004F110C" w:rsidRPr="00F13051" w:rsidRDefault="004F110C" w:rsidP="00E1136D">
      <w:pPr>
        <w:pStyle w:val="Normalnumber"/>
        <w:rPr>
          <w:lang w:val="fr-FR"/>
        </w:rPr>
      </w:pPr>
      <w:r w:rsidRPr="00F13051">
        <w:rPr>
          <w:lang w:val="fr-FR"/>
        </w:rPr>
        <w:t>Il est à noter, dans le cadre de la biosurveillance humaine, que les concentrations de mercure chez les êtres humains varient en fonction de nombreux</w:t>
      </w:r>
      <w:r w:rsidR="0074019F" w:rsidRPr="00F13051">
        <w:rPr>
          <w:lang w:val="fr-FR"/>
        </w:rPr>
        <w:t xml:space="preserve"> paramètres</w:t>
      </w:r>
      <w:r w:rsidRPr="00F13051">
        <w:rPr>
          <w:lang w:val="fr-FR"/>
        </w:rPr>
        <w:t>, tels que les habitudes de consommation d</w:t>
      </w:r>
      <w:r w:rsidR="0074019F" w:rsidRPr="00F13051">
        <w:rPr>
          <w:lang w:val="fr-FR"/>
        </w:rPr>
        <w:t>e</w:t>
      </w:r>
      <w:r w:rsidRPr="00F13051">
        <w:rPr>
          <w:lang w:val="fr-FR"/>
        </w:rPr>
        <w:t xml:space="preserve"> poisson</w:t>
      </w:r>
      <w:r w:rsidR="0074019F" w:rsidRPr="00F13051">
        <w:rPr>
          <w:lang w:val="fr-FR"/>
        </w:rPr>
        <w:t>s</w:t>
      </w:r>
      <w:r w:rsidRPr="00F13051">
        <w:rPr>
          <w:lang w:val="fr-FR"/>
        </w:rPr>
        <w:t xml:space="preserve"> (espèces et quantités consommées), l</w:t>
      </w:r>
      <w:r w:rsidR="00133FD4" w:rsidRPr="00F13051">
        <w:rPr>
          <w:lang w:val="fr-FR"/>
        </w:rPr>
        <w:t>’</w:t>
      </w:r>
      <w:r w:rsidRPr="00F13051">
        <w:rPr>
          <w:lang w:val="fr-FR"/>
        </w:rPr>
        <w:t>âge, le sexe, la consommation d</w:t>
      </w:r>
      <w:r w:rsidR="00133FD4" w:rsidRPr="00F13051">
        <w:rPr>
          <w:lang w:val="fr-FR"/>
        </w:rPr>
        <w:t>’</w:t>
      </w:r>
      <w:r w:rsidRPr="00F13051">
        <w:rPr>
          <w:lang w:val="fr-FR"/>
        </w:rPr>
        <w:t>alcool, les conditions de santé et la situation économique</w:t>
      </w:r>
      <w:r w:rsidR="0074019F" w:rsidRPr="00F13051">
        <w:rPr>
          <w:lang w:val="fr-FR"/>
        </w:rPr>
        <w:t>, qui constituent des facteurs de confusion</w:t>
      </w:r>
      <w:r w:rsidRPr="00F13051">
        <w:rPr>
          <w:lang w:val="fr-FR"/>
        </w:rPr>
        <w:t>.</w:t>
      </w:r>
    </w:p>
    <w:p w14:paraId="062FA8C4" w14:textId="1488A08D" w:rsidR="004F110C" w:rsidRPr="00F13051" w:rsidRDefault="00582208" w:rsidP="00E9604D">
      <w:pPr>
        <w:pStyle w:val="CH2"/>
        <w:rPr>
          <w:lang w:val="fr-FR"/>
        </w:rPr>
      </w:pPr>
      <w:r w:rsidRPr="00F13051">
        <w:rPr>
          <w:lang w:val="fr-FR"/>
        </w:rPr>
        <w:tab/>
      </w:r>
      <w:r w:rsidR="00B93064" w:rsidRPr="00F13051">
        <w:rPr>
          <w:lang w:val="fr-FR"/>
        </w:rPr>
        <w:t>D.</w:t>
      </w:r>
      <w:r w:rsidR="00B93064" w:rsidRPr="00F13051">
        <w:rPr>
          <w:lang w:val="fr-FR"/>
        </w:rPr>
        <w:tab/>
      </w:r>
      <w:r w:rsidR="00B93064" w:rsidRPr="00F13051">
        <w:rPr>
          <w:bCs/>
          <w:lang w:val="fr-FR"/>
        </w:rPr>
        <w:t>Milieu biotique</w:t>
      </w:r>
    </w:p>
    <w:p w14:paraId="391B1BA2" w14:textId="6DC3C85A" w:rsidR="0015792A" w:rsidRPr="00F13051" w:rsidRDefault="004F110C" w:rsidP="00E9604D">
      <w:pPr>
        <w:pStyle w:val="Normalnumber"/>
        <w:keepNext/>
        <w:keepLines/>
        <w:rPr>
          <w:lang w:val="fr-FR"/>
        </w:rPr>
      </w:pPr>
      <w:r w:rsidRPr="00F13051">
        <w:rPr>
          <w:lang w:val="fr-FR"/>
        </w:rPr>
        <w:t xml:space="preserve">Les </w:t>
      </w:r>
      <w:r w:rsidR="0074019F" w:rsidRPr="00F13051">
        <w:rPr>
          <w:lang w:val="fr-FR"/>
        </w:rPr>
        <w:t>échantillons biotiques</w:t>
      </w:r>
      <w:r w:rsidRPr="00F13051">
        <w:rPr>
          <w:lang w:val="fr-FR"/>
        </w:rPr>
        <w:t xml:space="preserve"> peuvent fournir des informations </w:t>
      </w:r>
      <w:r w:rsidR="00E27B9C" w:rsidRPr="00F13051">
        <w:rPr>
          <w:lang w:val="fr-FR"/>
        </w:rPr>
        <w:t xml:space="preserve">utilisables </w:t>
      </w:r>
      <w:r w:rsidRPr="00F13051">
        <w:rPr>
          <w:lang w:val="fr-FR"/>
        </w:rPr>
        <w:t>à des fins diverses. La</w:t>
      </w:r>
      <w:r w:rsidR="00F9738F" w:rsidRPr="00F13051">
        <w:rPr>
          <w:lang w:val="fr-FR"/>
        </w:rPr>
        <w:t> </w:t>
      </w:r>
      <w:r w:rsidRPr="00F13051">
        <w:rPr>
          <w:lang w:val="fr-FR"/>
        </w:rPr>
        <w:t>surveillance du biote vise la collecte d</w:t>
      </w:r>
      <w:r w:rsidR="00133FD4" w:rsidRPr="00F13051">
        <w:rPr>
          <w:lang w:val="fr-FR"/>
        </w:rPr>
        <w:t>’</w:t>
      </w:r>
      <w:r w:rsidRPr="00F13051">
        <w:rPr>
          <w:lang w:val="fr-FR"/>
        </w:rPr>
        <w:t>information</w:t>
      </w:r>
      <w:r w:rsidR="0074019F" w:rsidRPr="00F13051">
        <w:rPr>
          <w:lang w:val="fr-FR"/>
        </w:rPr>
        <w:t>s</w:t>
      </w:r>
      <w:r w:rsidRPr="00F13051">
        <w:rPr>
          <w:lang w:val="fr-FR"/>
        </w:rPr>
        <w:t xml:space="preserve"> dans trois domaines</w:t>
      </w:r>
      <w:r w:rsidR="00133FD4" w:rsidRPr="00F13051">
        <w:rPr>
          <w:lang w:val="fr-FR"/>
        </w:rPr>
        <w:t> :</w:t>
      </w:r>
      <w:r w:rsidRPr="00F13051">
        <w:rPr>
          <w:lang w:val="fr-FR"/>
        </w:rPr>
        <w:t xml:space="preserve"> l</w:t>
      </w:r>
      <w:r w:rsidR="00133FD4" w:rsidRPr="00F13051">
        <w:rPr>
          <w:lang w:val="fr-FR"/>
        </w:rPr>
        <w:t>’</w:t>
      </w:r>
      <w:r w:rsidRPr="00F13051">
        <w:rPr>
          <w:lang w:val="fr-FR"/>
        </w:rPr>
        <w:t>exposition humaine, la santé de l</w:t>
      </w:r>
      <w:r w:rsidR="00133FD4" w:rsidRPr="00F13051">
        <w:rPr>
          <w:lang w:val="fr-FR"/>
        </w:rPr>
        <w:t>’</w:t>
      </w:r>
      <w:r w:rsidRPr="00F13051">
        <w:rPr>
          <w:lang w:val="fr-FR"/>
        </w:rPr>
        <w:t>environnement et les tendances temporelles. Il existe suffisamment de données biotiques sur le mercure aux échelles régionale et mondiale pour évaluer l</w:t>
      </w:r>
      <w:r w:rsidR="00133FD4" w:rsidRPr="00F13051">
        <w:rPr>
          <w:lang w:val="fr-FR"/>
        </w:rPr>
        <w:t>’</w:t>
      </w:r>
      <w:r w:rsidRPr="00F13051">
        <w:rPr>
          <w:lang w:val="fr-FR"/>
        </w:rPr>
        <w:t>exposition de l</w:t>
      </w:r>
      <w:r w:rsidR="00133FD4" w:rsidRPr="00F13051">
        <w:rPr>
          <w:lang w:val="fr-FR"/>
        </w:rPr>
        <w:t>’</w:t>
      </w:r>
      <w:r w:rsidRPr="00F13051">
        <w:rPr>
          <w:lang w:val="fr-FR"/>
        </w:rPr>
        <w:t xml:space="preserve">environnement et les tendances spatiales et temporelles dans nombre des écosystèmes et biomes présentant un intérêt géographique, mais pas tous. Les êtres humains peuvent être exposés au méthylmercure </w:t>
      </w:r>
      <w:r w:rsidR="008C3964" w:rsidRPr="00F13051">
        <w:rPr>
          <w:lang w:val="fr-FR"/>
        </w:rPr>
        <w:t>via les</w:t>
      </w:r>
      <w:r w:rsidRPr="00F13051">
        <w:rPr>
          <w:lang w:val="fr-FR"/>
        </w:rPr>
        <w:t xml:space="preserve"> poisson</w:t>
      </w:r>
      <w:r w:rsidR="008C3964" w:rsidRPr="00F13051">
        <w:rPr>
          <w:lang w:val="fr-FR"/>
        </w:rPr>
        <w:t>s</w:t>
      </w:r>
      <w:r w:rsidRPr="00F13051">
        <w:rPr>
          <w:lang w:val="fr-FR"/>
        </w:rPr>
        <w:t xml:space="preserve">, oiseaux et mammifères marins </w:t>
      </w:r>
      <w:r w:rsidR="008C3964" w:rsidRPr="00F13051">
        <w:rPr>
          <w:lang w:val="fr-FR"/>
        </w:rPr>
        <w:t xml:space="preserve">qu’ils consomment </w:t>
      </w:r>
      <w:r w:rsidRPr="00F13051">
        <w:rPr>
          <w:lang w:val="fr-FR"/>
        </w:rPr>
        <w:t>(le poisson étant la source principale d</w:t>
      </w:r>
      <w:r w:rsidR="00133FD4" w:rsidRPr="00F13051">
        <w:rPr>
          <w:lang w:val="fr-FR"/>
        </w:rPr>
        <w:t>’</w:t>
      </w:r>
      <w:r w:rsidRPr="00F13051">
        <w:rPr>
          <w:lang w:val="fr-FR"/>
        </w:rPr>
        <w:t>exposition, tandis que les oiseaux peuvent constituer une source d</w:t>
      </w:r>
      <w:r w:rsidR="00133FD4" w:rsidRPr="00F13051">
        <w:rPr>
          <w:lang w:val="fr-FR"/>
        </w:rPr>
        <w:t>’</w:t>
      </w:r>
      <w:r w:rsidRPr="00F13051">
        <w:rPr>
          <w:lang w:val="fr-FR"/>
        </w:rPr>
        <w:t>exposition principale ou secondaire en fonction du régime alimentaire</w:t>
      </w:r>
      <w:r w:rsidR="00612FF2" w:rsidRPr="00F13051">
        <w:rPr>
          <w:lang w:val="fr-FR"/>
        </w:rPr>
        <w:t>,</w:t>
      </w:r>
      <w:r w:rsidRPr="00F13051">
        <w:rPr>
          <w:lang w:val="fr-FR"/>
        </w:rPr>
        <w:t xml:space="preserve"> les mammifères marins étant une source d</w:t>
      </w:r>
      <w:r w:rsidR="00133FD4" w:rsidRPr="00F13051">
        <w:rPr>
          <w:lang w:val="fr-FR"/>
        </w:rPr>
        <w:t>’</w:t>
      </w:r>
      <w:r w:rsidRPr="00F13051">
        <w:rPr>
          <w:lang w:val="fr-FR"/>
        </w:rPr>
        <w:t>exposition principale dans certains régimes).</w:t>
      </w:r>
    </w:p>
    <w:p w14:paraId="1BFE4655" w14:textId="61133668" w:rsidR="004F110C" w:rsidRPr="00F13051" w:rsidRDefault="004F110C" w:rsidP="00E1136D">
      <w:pPr>
        <w:pStyle w:val="Normalnumber"/>
        <w:rPr>
          <w:lang w:val="fr-FR"/>
        </w:rPr>
      </w:pPr>
      <w:r w:rsidRPr="00F13051">
        <w:rPr>
          <w:lang w:val="fr-FR"/>
        </w:rPr>
        <w:t>Les types d</w:t>
      </w:r>
      <w:r w:rsidR="00133FD4" w:rsidRPr="00F13051">
        <w:rPr>
          <w:lang w:val="fr-FR"/>
        </w:rPr>
        <w:t>’</w:t>
      </w:r>
      <w:r w:rsidRPr="00F13051">
        <w:rPr>
          <w:lang w:val="fr-FR"/>
        </w:rPr>
        <w:t>échantillons ci-dessous au sein de quatre grands groupes (taxons) de biomarqueurs sont considérés comme les plus pertinents et sont les plus fréquemment prélevés dans le cadre de la surveillance du méthylmercure</w:t>
      </w:r>
      <w:r w:rsidR="00133FD4" w:rsidRPr="00F13051">
        <w:rPr>
          <w:lang w:val="fr-FR"/>
        </w:rPr>
        <w:t> :</w:t>
      </w:r>
    </w:p>
    <w:p w14:paraId="04DCE7A6" w14:textId="73FC9F3D" w:rsidR="004F110C" w:rsidRPr="00F13051" w:rsidRDefault="004F110C" w:rsidP="00E1136D">
      <w:pPr>
        <w:pStyle w:val="Normalnumber"/>
        <w:numPr>
          <w:ilvl w:val="1"/>
          <w:numId w:val="4"/>
        </w:numPr>
        <w:tabs>
          <w:tab w:val="clear" w:pos="1134"/>
        </w:tabs>
        <w:ind w:firstLine="624"/>
        <w:rPr>
          <w:lang w:val="fr-FR"/>
        </w:rPr>
      </w:pPr>
      <w:r w:rsidRPr="00F13051">
        <w:rPr>
          <w:lang w:val="fr-FR"/>
        </w:rPr>
        <w:t>Poisson</w:t>
      </w:r>
      <w:r w:rsidR="00133FD4" w:rsidRPr="00F13051">
        <w:rPr>
          <w:lang w:val="fr-FR"/>
        </w:rPr>
        <w:t> :</w:t>
      </w:r>
      <w:r w:rsidRPr="00F13051">
        <w:rPr>
          <w:lang w:val="fr-FR"/>
        </w:rPr>
        <w:t xml:space="preserve"> filet, biopsie musculaire, fragment de nageoire, sang</w:t>
      </w:r>
      <w:r w:rsidR="00133FD4" w:rsidRPr="00F13051">
        <w:rPr>
          <w:lang w:val="fr-FR"/>
        </w:rPr>
        <w:t> ;</w:t>
      </w:r>
    </w:p>
    <w:p w14:paraId="29AF8AB2" w14:textId="775D5657" w:rsidR="004F110C" w:rsidRPr="00F13051" w:rsidRDefault="004F110C" w:rsidP="00E1136D">
      <w:pPr>
        <w:pStyle w:val="Normalnumber"/>
        <w:numPr>
          <w:ilvl w:val="1"/>
          <w:numId w:val="4"/>
        </w:numPr>
        <w:tabs>
          <w:tab w:val="clear" w:pos="1134"/>
        </w:tabs>
        <w:ind w:firstLine="624"/>
        <w:rPr>
          <w:lang w:val="fr-FR"/>
        </w:rPr>
      </w:pPr>
      <w:r w:rsidRPr="00F13051">
        <w:rPr>
          <w:lang w:val="fr-FR"/>
        </w:rPr>
        <w:t>Tortues marines</w:t>
      </w:r>
      <w:r w:rsidR="00133FD4" w:rsidRPr="00F13051">
        <w:rPr>
          <w:lang w:val="fr-FR"/>
        </w:rPr>
        <w:t> :</w:t>
      </w:r>
      <w:r w:rsidRPr="00F13051">
        <w:rPr>
          <w:lang w:val="fr-FR"/>
        </w:rPr>
        <w:t xml:space="preserve"> </w:t>
      </w:r>
      <w:r w:rsidR="007C5DF0" w:rsidRPr="00F13051">
        <w:rPr>
          <w:lang w:val="fr-FR"/>
        </w:rPr>
        <w:t>écai</w:t>
      </w:r>
      <w:r w:rsidRPr="00F13051">
        <w:rPr>
          <w:lang w:val="fr-FR"/>
        </w:rPr>
        <w:t>lles, sang, tissu musculaire</w:t>
      </w:r>
      <w:r w:rsidR="00133FD4" w:rsidRPr="00F13051">
        <w:rPr>
          <w:lang w:val="fr-FR"/>
        </w:rPr>
        <w:t> ;</w:t>
      </w:r>
    </w:p>
    <w:p w14:paraId="4E689BC4" w14:textId="62E091DB" w:rsidR="004F110C" w:rsidRPr="00F13051" w:rsidRDefault="004F110C" w:rsidP="00E1136D">
      <w:pPr>
        <w:pStyle w:val="Normalnumber"/>
        <w:numPr>
          <w:ilvl w:val="1"/>
          <w:numId w:val="4"/>
        </w:numPr>
        <w:tabs>
          <w:tab w:val="clear" w:pos="1134"/>
        </w:tabs>
        <w:ind w:firstLine="624"/>
        <w:rPr>
          <w:lang w:val="fr-FR"/>
        </w:rPr>
      </w:pPr>
      <w:r w:rsidRPr="00F13051">
        <w:rPr>
          <w:lang w:val="fr-FR"/>
        </w:rPr>
        <w:t>Oiseaux</w:t>
      </w:r>
      <w:r w:rsidR="00133FD4" w:rsidRPr="00F13051">
        <w:rPr>
          <w:lang w:val="fr-FR"/>
        </w:rPr>
        <w:t> :</w:t>
      </w:r>
      <w:r w:rsidRPr="00F13051">
        <w:rPr>
          <w:lang w:val="fr-FR"/>
        </w:rPr>
        <w:t xml:space="preserve"> sang, plumes, œufs, tissu musculaire, coquilles et membranes d</w:t>
      </w:r>
      <w:r w:rsidR="00133FD4" w:rsidRPr="00F13051">
        <w:rPr>
          <w:lang w:val="fr-FR"/>
        </w:rPr>
        <w:t>’</w:t>
      </w:r>
      <w:r w:rsidRPr="00F13051">
        <w:rPr>
          <w:lang w:val="fr-FR"/>
        </w:rPr>
        <w:t>œuf, foie et reins</w:t>
      </w:r>
      <w:r w:rsidR="00133FD4" w:rsidRPr="00F13051">
        <w:rPr>
          <w:lang w:val="fr-FR"/>
        </w:rPr>
        <w:t> ;</w:t>
      </w:r>
    </w:p>
    <w:p w14:paraId="1E2C8486" w14:textId="04E8BC34" w:rsidR="004F110C" w:rsidRPr="00F13051" w:rsidRDefault="004F110C" w:rsidP="00E1136D">
      <w:pPr>
        <w:pStyle w:val="Normalnumber"/>
        <w:numPr>
          <w:ilvl w:val="1"/>
          <w:numId w:val="4"/>
        </w:numPr>
        <w:tabs>
          <w:tab w:val="clear" w:pos="1134"/>
        </w:tabs>
        <w:ind w:firstLine="624"/>
        <w:rPr>
          <w:lang w:val="fr-FR"/>
        </w:rPr>
      </w:pPr>
      <w:r w:rsidRPr="00F13051">
        <w:rPr>
          <w:lang w:val="fr-FR"/>
        </w:rPr>
        <w:t>Mammifères</w:t>
      </w:r>
      <w:r w:rsidR="00133FD4" w:rsidRPr="00F13051">
        <w:rPr>
          <w:lang w:val="fr-FR"/>
        </w:rPr>
        <w:t> :</w:t>
      </w:r>
      <w:r w:rsidRPr="00F13051">
        <w:rPr>
          <w:lang w:val="fr-FR"/>
        </w:rPr>
        <w:t xml:space="preserve"> peau, fourrure ou poils, tissu musculaire, foie et reins.</w:t>
      </w:r>
    </w:p>
    <w:p w14:paraId="2CE4C5BF" w14:textId="05CA614A" w:rsidR="004F110C" w:rsidRPr="00F13051" w:rsidRDefault="002F0D74" w:rsidP="002F0D74">
      <w:pPr>
        <w:pStyle w:val="Normalnumber"/>
        <w:rPr>
          <w:lang w:val="fr-FR"/>
        </w:rPr>
      </w:pPr>
      <w:r w:rsidRPr="00F13051">
        <w:rPr>
          <w:lang w:val="fr-FR"/>
        </w:rPr>
        <w:t>Il est recommandé que l</w:t>
      </w:r>
      <w:r w:rsidR="007C5DF0" w:rsidRPr="00F13051">
        <w:rPr>
          <w:lang w:val="fr-FR"/>
        </w:rPr>
        <w:t>’évaluation d</w:t>
      </w:r>
      <w:r w:rsidRPr="00F13051">
        <w:rPr>
          <w:lang w:val="fr-FR"/>
        </w:rPr>
        <w:t xml:space="preserve">es poissons et mammifères marins </w:t>
      </w:r>
      <w:r w:rsidR="007C5DF0" w:rsidRPr="00F13051">
        <w:rPr>
          <w:lang w:val="fr-FR"/>
        </w:rPr>
        <w:t xml:space="preserve">se fasse sur des </w:t>
      </w:r>
      <w:r w:rsidRPr="00F13051">
        <w:rPr>
          <w:lang w:val="fr-FR"/>
        </w:rPr>
        <w:t xml:space="preserve">échantillons de tissu musculaire. </w:t>
      </w:r>
      <w:r w:rsidR="007C5DF0" w:rsidRPr="00F13051">
        <w:rPr>
          <w:lang w:val="fr-FR"/>
        </w:rPr>
        <w:t>Pour l</w:t>
      </w:r>
      <w:r w:rsidRPr="00F13051">
        <w:rPr>
          <w:lang w:val="fr-FR"/>
        </w:rPr>
        <w:t xml:space="preserve">es oiseaux, </w:t>
      </w:r>
      <w:r w:rsidR="007C5DF0" w:rsidRPr="00F13051">
        <w:rPr>
          <w:lang w:val="fr-FR"/>
        </w:rPr>
        <w:t xml:space="preserve">il convient d’utiliser le sang pour </w:t>
      </w:r>
      <w:r w:rsidRPr="00F13051">
        <w:rPr>
          <w:lang w:val="fr-FR"/>
        </w:rPr>
        <w:t>les données à court terme (</w:t>
      </w:r>
      <w:r w:rsidR="007C5DF0" w:rsidRPr="00F13051">
        <w:rPr>
          <w:lang w:val="fr-FR"/>
        </w:rPr>
        <w:t>quelques</w:t>
      </w:r>
      <w:r w:rsidRPr="00F13051">
        <w:rPr>
          <w:lang w:val="fr-FR"/>
        </w:rPr>
        <w:t xml:space="preserve"> jours </w:t>
      </w:r>
      <w:r w:rsidR="007C5DF0" w:rsidRPr="00F13051">
        <w:rPr>
          <w:lang w:val="fr-FR"/>
        </w:rPr>
        <w:t>après</w:t>
      </w:r>
      <w:r w:rsidRPr="00F13051">
        <w:rPr>
          <w:lang w:val="fr-FR"/>
        </w:rPr>
        <w:t xml:space="preserve"> l</w:t>
      </w:r>
      <w:r w:rsidR="00133FD4" w:rsidRPr="00F13051">
        <w:rPr>
          <w:lang w:val="fr-FR"/>
        </w:rPr>
        <w:t>’</w:t>
      </w:r>
      <w:r w:rsidRPr="00F13051">
        <w:rPr>
          <w:lang w:val="fr-FR"/>
        </w:rPr>
        <w:t>exposition)</w:t>
      </w:r>
      <w:r w:rsidR="007C5DF0" w:rsidRPr="00F13051">
        <w:rPr>
          <w:lang w:val="fr-FR"/>
        </w:rPr>
        <w:t>, le tissu musculaire ou les œufs</w:t>
      </w:r>
      <w:r w:rsidRPr="00F13051">
        <w:rPr>
          <w:lang w:val="fr-FR"/>
        </w:rPr>
        <w:t xml:space="preserve"> </w:t>
      </w:r>
      <w:r w:rsidR="007C5DF0" w:rsidRPr="00F13051">
        <w:rPr>
          <w:lang w:val="fr-FR"/>
        </w:rPr>
        <w:t xml:space="preserve">pour les données </w:t>
      </w:r>
      <w:r w:rsidRPr="00F13051">
        <w:rPr>
          <w:lang w:val="fr-FR"/>
        </w:rPr>
        <w:t>à moyen terme (</w:t>
      </w:r>
      <w:r w:rsidR="007C5DF0" w:rsidRPr="00F13051">
        <w:rPr>
          <w:lang w:val="fr-FR"/>
        </w:rPr>
        <w:t>quelques semaines ou mois après</w:t>
      </w:r>
      <w:r w:rsidRPr="00F13051">
        <w:rPr>
          <w:lang w:val="fr-FR"/>
        </w:rPr>
        <w:t xml:space="preserve"> l</w:t>
      </w:r>
      <w:r w:rsidR="00133FD4" w:rsidRPr="00F13051">
        <w:rPr>
          <w:lang w:val="fr-FR"/>
        </w:rPr>
        <w:t>’</w:t>
      </w:r>
      <w:r w:rsidRPr="00F13051">
        <w:rPr>
          <w:lang w:val="fr-FR"/>
        </w:rPr>
        <w:t>exposition)</w:t>
      </w:r>
      <w:r w:rsidR="007C5DF0" w:rsidRPr="00F13051">
        <w:rPr>
          <w:lang w:val="fr-FR"/>
        </w:rPr>
        <w:t xml:space="preserve"> et</w:t>
      </w:r>
      <w:r w:rsidRPr="00F13051">
        <w:rPr>
          <w:lang w:val="fr-FR"/>
        </w:rPr>
        <w:t xml:space="preserve"> les plumes </w:t>
      </w:r>
      <w:r w:rsidR="007C5DF0" w:rsidRPr="00F13051">
        <w:rPr>
          <w:lang w:val="fr-FR"/>
        </w:rPr>
        <w:t>pour les</w:t>
      </w:r>
      <w:r w:rsidRPr="00F13051">
        <w:rPr>
          <w:lang w:val="fr-FR"/>
        </w:rPr>
        <w:t xml:space="preserve"> données à long terme (</w:t>
      </w:r>
      <w:r w:rsidR="007C5DF0" w:rsidRPr="00F13051">
        <w:rPr>
          <w:lang w:val="fr-FR"/>
        </w:rPr>
        <w:t>quelques mois ou années après</w:t>
      </w:r>
      <w:r w:rsidRPr="00F13051">
        <w:rPr>
          <w:lang w:val="fr-FR"/>
        </w:rPr>
        <w:t xml:space="preserve"> l</w:t>
      </w:r>
      <w:r w:rsidR="00133FD4" w:rsidRPr="00F13051">
        <w:rPr>
          <w:lang w:val="fr-FR"/>
        </w:rPr>
        <w:t>’</w:t>
      </w:r>
      <w:r w:rsidRPr="00F13051">
        <w:rPr>
          <w:lang w:val="fr-FR"/>
        </w:rPr>
        <w:t xml:space="preserve">exposition). </w:t>
      </w:r>
      <w:r w:rsidR="000E1CBB" w:rsidRPr="00F13051">
        <w:rPr>
          <w:lang w:val="fr-FR"/>
        </w:rPr>
        <w:t>Dans les cas où la</w:t>
      </w:r>
      <w:r w:rsidRPr="00F13051">
        <w:rPr>
          <w:lang w:val="fr-FR"/>
        </w:rPr>
        <w:t xml:space="preserve"> concentration moyenne de méthylmercure </w:t>
      </w:r>
      <w:r w:rsidR="000E1CBB" w:rsidRPr="00F13051">
        <w:rPr>
          <w:lang w:val="fr-FR"/>
        </w:rPr>
        <w:t xml:space="preserve">est </w:t>
      </w:r>
      <w:r w:rsidRPr="00F13051">
        <w:rPr>
          <w:lang w:val="fr-FR"/>
        </w:rPr>
        <w:t>supérieure à 80 %, on considère que l</w:t>
      </w:r>
      <w:r w:rsidR="00133FD4" w:rsidRPr="00F13051">
        <w:rPr>
          <w:lang w:val="fr-FR"/>
        </w:rPr>
        <w:t>’</w:t>
      </w:r>
      <w:r w:rsidRPr="00F13051">
        <w:rPr>
          <w:lang w:val="fr-FR"/>
        </w:rPr>
        <w:t>évaluation du mercure total dans l</w:t>
      </w:r>
      <w:r w:rsidR="00133FD4" w:rsidRPr="00F13051">
        <w:rPr>
          <w:lang w:val="fr-FR"/>
        </w:rPr>
        <w:t>’</w:t>
      </w:r>
      <w:r w:rsidRPr="00F13051">
        <w:rPr>
          <w:lang w:val="fr-FR"/>
        </w:rPr>
        <w:t xml:space="preserve">ensemble des tissus peut se faire indifféremment </w:t>
      </w:r>
      <w:r w:rsidR="000E1CBB" w:rsidRPr="00F13051">
        <w:rPr>
          <w:lang w:val="fr-FR"/>
        </w:rPr>
        <w:t>par rapport au</w:t>
      </w:r>
      <w:r w:rsidRPr="00F13051">
        <w:rPr>
          <w:lang w:val="fr-FR"/>
        </w:rPr>
        <w:t xml:space="preserve"> poids humide ou </w:t>
      </w:r>
      <w:r w:rsidR="000E1CBB" w:rsidRPr="00F13051">
        <w:rPr>
          <w:lang w:val="fr-FR"/>
        </w:rPr>
        <w:t xml:space="preserve">au poids </w:t>
      </w:r>
      <w:r w:rsidRPr="00F13051">
        <w:rPr>
          <w:lang w:val="fr-FR"/>
        </w:rPr>
        <w:t>sec. Les échantillons devraient être géoréférencés à un niveau de détail correspondant à l</w:t>
      </w:r>
      <w:r w:rsidR="00133FD4" w:rsidRPr="00F13051">
        <w:rPr>
          <w:lang w:val="fr-FR"/>
        </w:rPr>
        <w:t>’</w:t>
      </w:r>
      <w:r w:rsidRPr="00F13051">
        <w:rPr>
          <w:lang w:val="fr-FR"/>
        </w:rPr>
        <w:t xml:space="preserve">objectif du prélèvement. </w:t>
      </w:r>
      <w:r w:rsidR="000E1CBB" w:rsidRPr="00F13051">
        <w:rPr>
          <w:lang w:val="fr-FR"/>
        </w:rPr>
        <w:t>Des</w:t>
      </w:r>
      <w:r w:rsidR="00F9738F" w:rsidRPr="00F13051">
        <w:rPr>
          <w:lang w:val="fr-FR"/>
        </w:rPr>
        <w:t> </w:t>
      </w:r>
      <w:r w:rsidR="000E1CBB" w:rsidRPr="00F13051">
        <w:rPr>
          <w:lang w:val="fr-FR"/>
        </w:rPr>
        <w:t>modes opératoires normalisés</w:t>
      </w:r>
      <w:r w:rsidRPr="00F13051">
        <w:rPr>
          <w:lang w:val="fr-FR"/>
        </w:rPr>
        <w:t xml:space="preserve"> (</w:t>
      </w:r>
      <w:r w:rsidR="000E1CBB" w:rsidRPr="00F13051">
        <w:rPr>
          <w:lang w:val="fr-FR"/>
        </w:rPr>
        <w:t>défini</w:t>
      </w:r>
      <w:r w:rsidRPr="00F13051">
        <w:rPr>
          <w:lang w:val="fr-FR"/>
        </w:rPr>
        <w:t>s, par exemple, par les programmes de surveillance nationaux et régionaux)</w:t>
      </w:r>
      <w:r w:rsidR="000E1CBB" w:rsidRPr="00F13051">
        <w:rPr>
          <w:lang w:val="fr-FR"/>
        </w:rPr>
        <w:t xml:space="preserve"> existent</w:t>
      </w:r>
      <w:r w:rsidRPr="00F13051">
        <w:rPr>
          <w:lang w:val="fr-FR"/>
        </w:rPr>
        <w:t>, mais il peut</w:t>
      </w:r>
      <w:r w:rsidR="000E1CBB" w:rsidRPr="00F13051">
        <w:rPr>
          <w:lang w:val="fr-FR"/>
        </w:rPr>
        <w:t xml:space="preserve"> </w:t>
      </w:r>
      <w:r w:rsidRPr="00F13051">
        <w:rPr>
          <w:lang w:val="fr-FR"/>
        </w:rPr>
        <w:t xml:space="preserve">être </w:t>
      </w:r>
      <w:r w:rsidR="000E1CBB" w:rsidRPr="00F13051">
        <w:rPr>
          <w:lang w:val="fr-FR"/>
        </w:rPr>
        <w:t xml:space="preserve">nécessaire </w:t>
      </w:r>
      <w:r w:rsidRPr="00F13051">
        <w:rPr>
          <w:lang w:val="fr-FR"/>
        </w:rPr>
        <w:t>de convenir d</w:t>
      </w:r>
      <w:r w:rsidR="00133FD4" w:rsidRPr="00F13051">
        <w:rPr>
          <w:lang w:val="fr-FR"/>
        </w:rPr>
        <w:t>’</w:t>
      </w:r>
      <w:r w:rsidRPr="00F13051">
        <w:rPr>
          <w:lang w:val="fr-FR"/>
        </w:rPr>
        <w:t xml:space="preserve">autres protocoles </w:t>
      </w:r>
      <w:r w:rsidR="000E1CBB" w:rsidRPr="00F13051">
        <w:rPr>
          <w:lang w:val="fr-FR"/>
        </w:rPr>
        <w:t xml:space="preserve">d’échantillonnage </w:t>
      </w:r>
      <w:r w:rsidRPr="00F13051">
        <w:rPr>
          <w:lang w:val="fr-FR"/>
        </w:rPr>
        <w:t xml:space="preserve">plus universels pour les </w:t>
      </w:r>
      <w:r w:rsidR="000E1CBB" w:rsidRPr="00F13051">
        <w:rPr>
          <w:lang w:val="fr-FR"/>
        </w:rPr>
        <w:t>cas non prévus dans ces derniers</w:t>
      </w:r>
      <w:r w:rsidRPr="00F13051">
        <w:rPr>
          <w:lang w:val="fr-FR"/>
        </w:rPr>
        <w:t xml:space="preserve">. Les conversions </w:t>
      </w:r>
      <w:r w:rsidR="00F9738F" w:rsidRPr="00F13051">
        <w:rPr>
          <w:lang w:val="fr-FR"/>
        </w:rPr>
        <w:br/>
      </w:r>
      <w:r w:rsidRPr="00F13051">
        <w:rPr>
          <w:lang w:val="fr-FR"/>
        </w:rPr>
        <w:t xml:space="preserve">inter-tissulaires </w:t>
      </w:r>
      <w:r w:rsidR="000E1CBB" w:rsidRPr="00F13051">
        <w:rPr>
          <w:lang w:val="fr-FR"/>
        </w:rPr>
        <w:t>offre</w:t>
      </w:r>
      <w:r w:rsidRPr="00F13051">
        <w:rPr>
          <w:lang w:val="fr-FR"/>
        </w:rPr>
        <w:t>nt généralement un</w:t>
      </w:r>
      <w:r w:rsidR="000E1CBB" w:rsidRPr="00F13051">
        <w:rPr>
          <w:lang w:val="fr-FR"/>
        </w:rPr>
        <w:t>e possibilité</w:t>
      </w:r>
      <w:r w:rsidR="00AC5182" w:rsidRPr="00F13051">
        <w:rPr>
          <w:lang w:val="fr-FR"/>
        </w:rPr>
        <w:t xml:space="preserve"> </w:t>
      </w:r>
      <w:r w:rsidRPr="00F13051">
        <w:rPr>
          <w:lang w:val="fr-FR"/>
        </w:rPr>
        <w:t>d</w:t>
      </w:r>
      <w:r w:rsidR="00133FD4" w:rsidRPr="00F13051">
        <w:rPr>
          <w:lang w:val="fr-FR"/>
        </w:rPr>
        <w:t>’</w:t>
      </w:r>
      <w:r w:rsidRPr="00F13051">
        <w:rPr>
          <w:lang w:val="fr-FR"/>
        </w:rPr>
        <w:t xml:space="preserve">obtenir des données standardisées, donc comparables, sur les </w:t>
      </w:r>
      <w:r w:rsidR="00A36D4A" w:rsidRPr="00F13051">
        <w:rPr>
          <w:lang w:val="fr-FR"/>
        </w:rPr>
        <w:t>concentrations de mercure</w:t>
      </w:r>
      <w:r w:rsidRPr="00F13051">
        <w:rPr>
          <w:lang w:val="fr-FR"/>
        </w:rPr>
        <w:t xml:space="preserve"> dans les tissus.</w:t>
      </w:r>
    </w:p>
    <w:p w14:paraId="5F830BA6" w14:textId="37B5F5C4" w:rsidR="004F110C" w:rsidRPr="00F13051" w:rsidRDefault="004F110C" w:rsidP="00E1136D">
      <w:pPr>
        <w:pStyle w:val="Normalnumber"/>
        <w:rPr>
          <w:lang w:val="fr-FR"/>
        </w:rPr>
      </w:pPr>
      <w:r w:rsidRPr="00F13051">
        <w:rPr>
          <w:iCs/>
          <w:lang w:val="fr-FR"/>
        </w:rPr>
        <w:t>L</w:t>
      </w:r>
      <w:r w:rsidR="00133FD4" w:rsidRPr="00F13051">
        <w:rPr>
          <w:iCs/>
          <w:lang w:val="fr-FR"/>
        </w:rPr>
        <w:t>’</w:t>
      </w:r>
      <w:r w:rsidRPr="00F13051">
        <w:rPr>
          <w:i/>
          <w:iCs/>
          <w:lang w:val="fr-FR"/>
        </w:rPr>
        <w:t>Évaluation mondiale du mercure de 2018</w:t>
      </w:r>
      <w:r w:rsidRPr="00F13051">
        <w:rPr>
          <w:lang w:val="fr-FR"/>
        </w:rPr>
        <w:t xml:space="preserve"> </w:t>
      </w:r>
      <w:r w:rsidR="00D942D3" w:rsidRPr="00F13051">
        <w:rPr>
          <w:lang w:val="fr-FR"/>
        </w:rPr>
        <w:t>fait appel</w:t>
      </w:r>
      <w:r w:rsidRPr="00F13051">
        <w:rPr>
          <w:lang w:val="fr-FR"/>
        </w:rPr>
        <w:t xml:space="preserve"> aux données biotiques de la base de données Global Biotic Mercury Synthesis (synthèse mondiale sur le mercure biotique)</w:t>
      </w:r>
      <w:r w:rsidRPr="00F13051">
        <w:rPr>
          <w:u w:color="FF0000"/>
          <w:vertAlign w:val="superscript"/>
          <w:lang w:val="fr-FR"/>
        </w:rPr>
        <w:footnoteReference w:id="6"/>
      </w:r>
      <w:r w:rsidRPr="00F13051">
        <w:rPr>
          <w:lang w:val="fr-FR"/>
        </w:rPr>
        <w:t>, qui contient des informations détaillées sur chaque organisme ayant fait l</w:t>
      </w:r>
      <w:r w:rsidR="00133FD4" w:rsidRPr="00F13051">
        <w:rPr>
          <w:lang w:val="fr-FR"/>
        </w:rPr>
        <w:t>’</w:t>
      </w:r>
      <w:r w:rsidRPr="00F13051">
        <w:rPr>
          <w:lang w:val="fr-FR"/>
        </w:rPr>
        <w:t>objet d</w:t>
      </w:r>
      <w:r w:rsidR="00133FD4" w:rsidRPr="00F13051">
        <w:rPr>
          <w:lang w:val="fr-FR"/>
        </w:rPr>
        <w:t>’</w:t>
      </w:r>
      <w:r w:rsidRPr="00F13051">
        <w:rPr>
          <w:lang w:val="fr-FR"/>
        </w:rPr>
        <w:t xml:space="preserve">un prélèvement, le site où le prélèvement a été réalisé et les données écologiques de base y relatives. Des données ont </w:t>
      </w:r>
      <w:r w:rsidR="000B3412" w:rsidRPr="00F13051">
        <w:rPr>
          <w:lang w:val="fr-FR"/>
        </w:rPr>
        <w:t>été compilées à partir de 1 095 </w:t>
      </w:r>
      <w:r w:rsidRPr="00F13051">
        <w:rPr>
          <w:lang w:val="fr-FR"/>
        </w:rPr>
        <w:t>référence</w:t>
      </w:r>
      <w:r w:rsidR="000B3412" w:rsidRPr="00F13051">
        <w:rPr>
          <w:lang w:val="fr-FR"/>
        </w:rPr>
        <w:t>s différentes, représentant 119 </w:t>
      </w:r>
      <w:r w:rsidRPr="00F13051">
        <w:rPr>
          <w:lang w:val="fr-FR"/>
        </w:rPr>
        <w:t>pays,</w:t>
      </w:r>
      <w:r w:rsidR="000B3412" w:rsidRPr="00F13051">
        <w:rPr>
          <w:lang w:val="fr-FR"/>
        </w:rPr>
        <w:t xml:space="preserve"> 2 781 sites uniques et 458 840 </w:t>
      </w:r>
      <w:r w:rsidRPr="00F13051">
        <w:rPr>
          <w:lang w:val="fr-FR"/>
        </w:rPr>
        <w:t>échantillons de mercure p</w:t>
      </w:r>
      <w:r w:rsidR="000B3412" w:rsidRPr="00F13051">
        <w:rPr>
          <w:lang w:val="fr-FR"/>
        </w:rPr>
        <w:t>rélevés sur un total de 375 677 </w:t>
      </w:r>
      <w:r w:rsidRPr="00F13051">
        <w:rPr>
          <w:lang w:val="fr-FR"/>
        </w:rPr>
        <w:t>organismes individuels. Parmi les exemples figurant dans la base de données Global Biotic Mercury Synthesis, on trouve des ensembles de données relatifs à certaines zones géographiques</w:t>
      </w:r>
      <w:r w:rsidR="00D942D3" w:rsidRPr="00F13051">
        <w:rPr>
          <w:lang w:val="fr-FR"/>
        </w:rPr>
        <w:t>, dont</w:t>
      </w:r>
      <w:r w:rsidRPr="00F13051">
        <w:rPr>
          <w:lang w:val="fr-FR"/>
        </w:rPr>
        <w:t xml:space="preserve"> des informations temporelles et spatiales approfondies</w:t>
      </w:r>
      <w:r w:rsidR="00D942D3" w:rsidRPr="00F13051">
        <w:rPr>
          <w:lang w:val="fr-FR"/>
        </w:rPr>
        <w:t xml:space="preserve"> couvrant, entre autres,</w:t>
      </w:r>
      <w:r w:rsidRPr="00F13051">
        <w:rPr>
          <w:lang w:val="fr-FR"/>
        </w:rPr>
        <w:t xml:space="preserve"> les régions de lacs d</w:t>
      </w:r>
      <w:r w:rsidR="00133FD4" w:rsidRPr="00F13051">
        <w:rPr>
          <w:lang w:val="fr-FR"/>
        </w:rPr>
        <w:t>’</w:t>
      </w:r>
      <w:r w:rsidRPr="00F13051">
        <w:rPr>
          <w:lang w:val="fr-FR"/>
        </w:rPr>
        <w:t>eau douce d</w:t>
      </w:r>
      <w:r w:rsidR="00D942D3" w:rsidRPr="00F13051">
        <w:rPr>
          <w:lang w:val="fr-FR"/>
        </w:rPr>
        <w:t>u</w:t>
      </w:r>
      <w:r w:rsidRPr="00F13051">
        <w:rPr>
          <w:lang w:val="fr-FR"/>
        </w:rPr>
        <w:t xml:space="preserve"> nord des États-Unis</w:t>
      </w:r>
      <w:r w:rsidR="00D942D3" w:rsidRPr="00F13051">
        <w:rPr>
          <w:lang w:val="fr-FR"/>
        </w:rPr>
        <w:t>,</w:t>
      </w:r>
      <w:r w:rsidRPr="00F13051">
        <w:rPr>
          <w:lang w:val="fr-FR"/>
        </w:rPr>
        <w:t xml:space="preserve"> </w:t>
      </w:r>
      <w:r w:rsidR="00D942D3" w:rsidRPr="00F13051">
        <w:rPr>
          <w:lang w:val="fr-FR"/>
        </w:rPr>
        <w:t xml:space="preserve">d’une grande partie </w:t>
      </w:r>
      <w:r w:rsidRPr="00F13051">
        <w:rPr>
          <w:lang w:val="fr-FR"/>
        </w:rPr>
        <w:t xml:space="preserve">du Canada et </w:t>
      </w:r>
      <w:r w:rsidR="00D942D3" w:rsidRPr="00F13051">
        <w:rPr>
          <w:lang w:val="fr-FR"/>
        </w:rPr>
        <w:t>de</w:t>
      </w:r>
      <w:r w:rsidRPr="00F13051">
        <w:rPr>
          <w:lang w:val="fr-FR"/>
        </w:rPr>
        <w:t xml:space="preserve"> Scandinavie. Ces z</w:t>
      </w:r>
      <w:r w:rsidR="000B3412" w:rsidRPr="00F13051">
        <w:rPr>
          <w:lang w:val="fr-FR"/>
        </w:rPr>
        <w:t>ones regroupent plus de 500 000 </w:t>
      </w:r>
      <w:r w:rsidRPr="00F13051">
        <w:rPr>
          <w:lang w:val="fr-FR"/>
        </w:rPr>
        <w:t>échantillons prélevés au cours des 50</w:t>
      </w:r>
      <w:r w:rsidR="00F9738F" w:rsidRPr="00F13051">
        <w:rPr>
          <w:lang w:val="fr-FR"/>
        </w:rPr>
        <w:t> </w:t>
      </w:r>
      <w:r w:rsidRPr="00F13051">
        <w:rPr>
          <w:lang w:val="fr-FR"/>
        </w:rPr>
        <w:t xml:space="preserve">dernières années pour mesurer les </w:t>
      </w:r>
      <w:r w:rsidR="00A36D4A" w:rsidRPr="00F13051">
        <w:rPr>
          <w:lang w:val="fr-FR"/>
        </w:rPr>
        <w:t>concentrations de mercure</w:t>
      </w:r>
      <w:r w:rsidRPr="00F13051">
        <w:rPr>
          <w:lang w:val="fr-FR"/>
        </w:rPr>
        <w:t xml:space="preserve"> dans le poisson, certaines des données collectées étant standardisées en vue de leur comparaison. De plus amples informa</w:t>
      </w:r>
      <w:r w:rsidR="000B3412" w:rsidRPr="00F13051">
        <w:rPr>
          <w:lang w:val="fr-FR"/>
        </w:rPr>
        <w:t>tions figurent dans le document </w:t>
      </w:r>
      <w:r w:rsidR="00F9738F" w:rsidRPr="00F13051">
        <w:rPr>
          <w:lang w:val="fr-FR"/>
        </w:rPr>
        <w:t>UNEP/MC/</w:t>
      </w:r>
      <w:r w:rsidRPr="00F13051">
        <w:rPr>
          <w:lang w:val="fr-FR"/>
        </w:rPr>
        <w:t>COP.3/INF/15.</w:t>
      </w:r>
    </w:p>
    <w:p w14:paraId="64C2B895" w14:textId="5B4DD0F4" w:rsidR="0015792A" w:rsidRPr="00F13051" w:rsidRDefault="00D942D3" w:rsidP="00602796">
      <w:pPr>
        <w:pStyle w:val="Normalnumber"/>
        <w:rPr>
          <w:lang w:val="fr-FR"/>
        </w:rPr>
      </w:pPr>
      <w:r w:rsidRPr="00F13051">
        <w:rPr>
          <w:lang w:val="fr-FR"/>
        </w:rPr>
        <w:t xml:space="preserve">Pour pouvoir </w:t>
      </w:r>
      <w:r w:rsidR="00440B2D" w:rsidRPr="00F13051">
        <w:rPr>
          <w:lang w:val="fr-FR"/>
        </w:rPr>
        <w:t xml:space="preserve">expliquer la façon dont les tendances temporelles des </w:t>
      </w:r>
      <w:r w:rsidR="00A36D4A" w:rsidRPr="00F13051">
        <w:rPr>
          <w:lang w:val="fr-FR"/>
        </w:rPr>
        <w:t>concentrations de mercure</w:t>
      </w:r>
      <w:r w:rsidR="00440B2D" w:rsidRPr="00F13051">
        <w:rPr>
          <w:lang w:val="fr-FR"/>
        </w:rPr>
        <w:t xml:space="preserve"> dans le poisson varient en fonction de divers facteurs, y compris les changements environnementaux et climatiques et la modification des dépôts</w:t>
      </w:r>
      <w:r w:rsidRPr="00F13051">
        <w:rPr>
          <w:lang w:val="fr-FR"/>
        </w:rPr>
        <w:t>, il convient d’élaborer un ensemble de cibles minimales en matière d’informations</w:t>
      </w:r>
      <w:r w:rsidR="00440B2D" w:rsidRPr="00F13051">
        <w:rPr>
          <w:lang w:val="fr-FR"/>
        </w:rPr>
        <w:t xml:space="preserve">. Pour chaque site </w:t>
      </w:r>
      <w:r w:rsidR="00993593" w:rsidRPr="00F13051">
        <w:rPr>
          <w:lang w:val="fr-FR"/>
        </w:rPr>
        <w:t>étudié</w:t>
      </w:r>
      <w:r w:rsidR="00440B2D" w:rsidRPr="00F13051">
        <w:rPr>
          <w:lang w:val="fr-FR"/>
        </w:rPr>
        <w:t xml:space="preserve">, ces cibles devraient comprendre la morphologie du bassin versant des lacs, </w:t>
      </w:r>
      <w:r w:rsidR="005412F5" w:rsidRPr="00F13051">
        <w:rPr>
          <w:lang w:val="fr-FR"/>
        </w:rPr>
        <w:t>cours d’eau</w:t>
      </w:r>
      <w:r w:rsidR="00440B2D" w:rsidRPr="00F13051">
        <w:rPr>
          <w:lang w:val="fr-FR"/>
        </w:rPr>
        <w:t xml:space="preserve">, estuaires, mers, etc., le profil des dépôts et le contexte historique local en matière de pollution. Pour chaque espèce biotique </w:t>
      </w:r>
      <w:r w:rsidR="00993593" w:rsidRPr="00F13051">
        <w:rPr>
          <w:lang w:val="fr-FR"/>
        </w:rPr>
        <w:t>étudiée</w:t>
      </w:r>
      <w:r w:rsidR="00440B2D" w:rsidRPr="00F13051">
        <w:rPr>
          <w:lang w:val="fr-FR"/>
        </w:rPr>
        <w:t>, dont l</w:t>
      </w:r>
      <w:r w:rsidR="00133FD4" w:rsidRPr="00F13051">
        <w:rPr>
          <w:lang w:val="fr-FR"/>
        </w:rPr>
        <w:t>’</w:t>
      </w:r>
      <w:r w:rsidR="00440B2D" w:rsidRPr="00F13051">
        <w:rPr>
          <w:lang w:val="fr-FR"/>
        </w:rPr>
        <w:t>exemple présent est le poisson, les données minimales devraient comprendre la taille, le poids, le sexe et la maturité sexuelle. Les échantillons (tels que le</w:t>
      </w:r>
      <w:r w:rsidRPr="00F13051">
        <w:rPr>
          <w:lang w:val="fr-FR"/>
        </w:rPr>
        <w:t>s</w:t>
      </w:r>
      <w:r w:rsidR="00440B2D" w:rsidRPr="00F13051">
        <w:rPr>
          <w:lang w:val="fr-FR"/>
        </w:rPr>
        <w:t xml:space="preserve"> tissu</w:t>
      </w:r>
      <w:r w:rsidRPr="00F13051">
        <w:rPr>
          <w:lang w:val="fr-FR"/>
        </w:rPr>
        <w:t>s</w:t>
      </w:r>
      <w:r w:rsidR="00440B2D" w:rsidRPr="00F13051">
        <w:rPr>
          <w:lang w:val="fr-FR"/>
        </w:rPr>
        <w:t xml:space="preserve"> musculaire</w:t>
      </w:r>
      <w:r w:rsidRPr="00F13051">
        <w:rPr>
          <w:lang w:val="fr-FR"/>
        </w:rPr>
        <w:t>s</w:t>
      </w:r>
      <w:r w:rsidR="00440B2D" w:rsidRPr="00F13051">
        <w:rPr>
          <w:lang w:val="fr-FR"/>
        </w:rPr>
        <w:t xml:space="preserve">) prélevés pour déterminer les </w:t>
      </w:r>
      <w:r w:rsidR="00A36D4A" w:rsidRPr="00F13051">
        <w:rPr>
          <w:lang w:val="fr-FR"/>
        </w:rPr>
        <w:t>concentrations de mercure</w:t>
      </w:r>
      <w:r w:rsidR="00440B2D" w:rsidRPr="00F13051">
        <w:rPr>
          <w:lang w:val="fr-FR"/>
        </w:rPr>
        <w:t xml:space="preserve"> total pourraient également être analysés pour détecter des isotopes stables (l</w:t>
      </w:r>
      <w:r w:rsidR="00133FD4" w:rsidRPr="00F13051">
        <w:rPr>
          <w:lang w:val="fr-FR"/>
        </w:rPr>
        <w:t>’</w:t>
      </w:r>
      <w:r w:rsidR="00440B2D" w:rsidRPr="00F13051">
        <w:rPr>
          <w:lang w:val="fr-FR"/>
        </w:rPr>
        <w:t>azote, à tout le moins, et éventuellement le carbone), afin de mieux comprendre les processus du réseau trophique. Nombre de ces paramètres manquent dans les bases de données existantes. Par exemple, la variabilité d</w:t>
      </w:r>
      <w:r w:rsidR="00133FD4" w:rsidRPr="00F13051">
        <w:rPr>
          <w:lang w:val="fr-FR"/>
        </w:rPr>
        <w:t>’</w:t>
      </w:r>
      <w:r w:rsidR="00440B2D" w:rsidRPr="00F13051">
        <w:rPr>
          <w:lang w:val="fr-FR"/>
        </w:rPr>
        <w:t>une année sur l</w:t>
      </w:r>
      <w:r w:rsidR="00133FD4" w:rsidRPr="00F13051">
        <w:rPr>
          <w:lang w:val="fr-FR"/>
        </w:rPr>
        <w:t>’</w:t>
      </w:r>
      <w:r w:rsidR="00440B2D" w:rsidRPr="00F13051">
        <w:rPr>
          <w:lang w:val="fr-FR"/>
        </w:rPr>
        <w:t>autre et au cours d</w:t>
      </w:r>
      <w:r w:rsidR="00133FD4" w:rsidRPr="00F13051">
        <w:rPr>
          <w:lang w:val="fr-FR"/>
        </w:rPr>
        <w:t>’</w:t>
      </w:r>
      <w:r w:rsidR="00440B2D" w:rsidRPr="00F13051">
        <w:rPr>
          <w:lang w:val="fr-FR"/>
        </w:rPr>
        <w:t>une même année est souvent bien plus importante que ce qu</w:t>
      </w:r>
      <w:r w:rsidR="00133FD4" w:rsidRPr="00F13051">
        <w:rPr>
          <w:lang w:val="fr-FR"/>
        </w:rPr>
        <w:t>’</w:t>
      </w:r>
      <w:r w:rsidR="00440B2D" w:rsidRPr="00F13051">
        <w:rPr>
          <w:lang w:val="fr-FR"/>
        </w:rPr>
        <w:t>indiquent les tendances à long terme, ce qui complique la mise en rapport de la variation des tendances temporelles avec les grands facteurs environnement</w:t>
      </w:r>
      <w:r w:rsidR="00E86C32" w:rsidRPr="00F13051">
        <w:rPr>
          <w:lang w:val="fr-FR"/>
        </w:rPr>
        <w:t>aux (y compris les dépôts). Les </w:t>
      </w:r>
      <w:r w:rsidR="00440B2D" w:rsidRPr="00F13051">
        <w:rPr>
          <w:lang w:val="fr-FR"/>
        </w:rPr>
        <w:t>évaluations de l</w:t>
      </w:r>
      <w:r w:rsidR="00133FD4" w:rsidRPr="00F13051">
        <w:rPr>
          <w:lang w:val="fr-FR"/>
        </w:rPr>
        <w:t>’</w:t>
      </w:r>
      <w:r w:rsidR="00440B2D" w:rsidRPr="00F13051">
        <w:rPr>
          <w:lang w:val="fr-FR"/>
        </w:rPr>
        <w:t>efficacité de la Convention qui seront menées dans les années à venir devraient tenir compte des variations spatiales au sein des tendances temporelles. Afin de pouvoir rendre compte des possibles modifications des tendances temporelles, la variabilité au cours d</w:t>
      </w:r>
      <w:r w:rsidR="00133FD4" w:rsidRPr="00F13051">
        <w:rPr>
          <w:lang w:val="fr-FR"/>
        </w:rPr>
        <w:t>’</w:t>
      </w:r>
      <w:r w:rsidR="00440B2D" w:rsidRPr="00F13051">
        <w:rPr>
          <w:lang w:val="fr-FR"/>
        </w:rPr>
        <w:t>une même année doit être réduite en améliorant l</w:t>
      </w:r>
      <w:r w:rsidR="00133FD4" w:rsidRPr="00F13051">
        <w:rPr>
          <w:lang w:val="fr-FR"/>
        </w:rPr>
        <w:t>’</w:t>
      </w:r>
      <w:r w:rsidR="00440B2D" w:rsidRPr="00F13051">
        <w:rPr>
          <w:lang w:val="fr-FR"/>
        </w:rPr>
        <w:t>ajustement des données, en tenant compte d</w:t>
      </w:r>
      <w:r w:rsidR="00133FD4" w:rsidRPr="00F13051">
        <w:rPr>
          <w:lang w:val="fr-FR"/>
        </w:rPr>
        <w:t>’</w:t>
      </w:r>
      <w:r w:rsidR="00440B2D" w:rsidRPr="00F13051">
        <w:rPr>
          <w:lang w:val="fr-FR"/>
        </w:rPr>
        <w:t>un plus grand nombre de données et d</w:t>
      </w:r>
      <w:r w:rsidR="00133FD4" w:rsidRPr="00F13051">
        <w:rPr>
          <w:lang w:val="fr-FR"/>
        </w:rPr>
        <w:t>’</w:t>
      </w:r>
      <w:r w:rsidR="00440B2D" w:rsidRPr="00F13051">
        <w:rPr>
          <w:lang w:val="fr-FR"/>
        </w:rPr>
        <w:t>informations relatives aux lacs et en co</w:t>
      </w:r>
      <w:r w:rsidR="003C50EC" w:rsidRPr="00F13051">
        <w:rPr>
          <w:lang w:val="fr-FR"/>
        </w:rPr>
        <w:t>nstituant</w:t>
      </w:r>
      <w:r w:rsidR="00440B2D" w:rsidRPr="00F13051">
        <w:rPr>
          <w:lang w:val="fr-FR"/>
        </w:rPr>
        <w:t xml:space="preserve"> des </w:t>
      </w:r>
      <w:r w:rsidR="003C50EC" w:rsidRPr="00F13051">
        <w:rPr>
          <w:lang w:val="fr-FR"/>
        </w:rPr>
        <w:t xml:space="preserve">séries temporelles de </w:t>
      </w:r>
      <w:r w:rsidR="00440B2D" w:rsidRPr="00F13051">
        <w:rPr>
          <w:lang w:val="fr-FR"/>
        </w:rPr>
        <w:t xml:space="preserve">données </w:t>
      </w:r>
      <w:r w:rsidR="003C50EC" w:rsidRPr="00F13051">
        <w:rPr>
          <w:lang w:val="fr-FR"/>
        </w:rPr>
        <w:t>provenant du</w:t>
      </w:r>
      <w:r w:rsidR="00440B2D" w:rsidRPr="00F13051">
        <w:rPr>
          <w:lang w:val="fr-FR"/>
        </w:rPr>
        <w:t xml:space="preserve"> même lac.</w:t>
      </w:r>
    </w:p>
    <w:p w14:paraId="04C44257" w14:textId="2D244DA0" w:rsidR="004F110C" w:rsidRPr="00F13051" w:rsidRDefault="00582208" w:rsidP="00165629">
      <w:pPr>
        <w:pStyle w:val="CH2"/>
        <w:rPr>
          <w:bCs/>
          <w:lang w:val="fr-FR"/>
        </w:rPr>
      </w:pPr>
      <w:r w:rsidRPr="00F13051">
        <w:rPr>
          <w:lang w:val="fr-FR"/>
        </w:rPr>
        <w:tab/>
      </w:r>
      <w:r w:rsidR="00B93064" w:rsidRPr="00F13051">
        <w:rPr>
          <w:lang w:val="fr-FR"/>
        </w:rPr>
        <w:t>E.</w:t>
      </w:r>
      <w:r w:rsidR="0035113E" w:rsidRPr="00F13051">
        <w:rPr>
          <w:lang w:val="fr-FR"/>
        </w:rPr>
        <w:tab/>
      </w:r>
      <w:r w:rsidR="00B93064" w:rsidRPr="00F13051">
        <w:rPr>
          <w:bCs/>
          <w:lang w:val="fr-FR"/>
        </w:rPr>
        <w:t>Eau et sols</w:t>
      </w:r>
    </w:p>
    <w:p w14:paraId="7B5030FB" w14:textId="25E421EF" w:rsidR="0015792A" w:rsidRPr="00F13051" w:rsidRDefault="004F110C" w:rsidP="00165629">
      <w:pPr>
        <w:pStyle w:val="Normalnumber"/>
        <w:keepNext/>
        <w:keepLines/>
        <w:rPr>
          <w:lang w:val="fr-FR"/>
        </w:rPr>
      </w:pPr>
      <w:r w:rsidRPr="00F13051">
        <w:rPr>
          <w:lang w:val="fr-FR"/>
        </w:rPr>
        <w:t>Dans un certain nombre de pays, les données relatives aux concentrations de mercure et de composés du mercure dans l</w:t>
      </w:r>
      <w:r w:rsidR="00133FD4" w:rsidRPr="00F13051">
        <w:rPr>
          <w:lang w:val="fr-FR"/>
        </w:rPr>
        <w:t>’</w:t>
      </w:r>
      <w:r w:rsidRPr="00F13051">
        <w:rPr>
          <w:lang w:val="fr-FR"/>
        </w:rPr>
        <w:t>eau sont collectées en rapport avec les difficultés rencontrées en matière de qualité de l</w:t>
      </w:r>
      <w:r w:rsidR="00133FD4" w:rsidRPr="00F13051">
        <w:rPr>
          <w:lang w:val="fr-FR"/>
        </w:rPr>
        <w:t>’</w:t>
      </w:r>
      <w:r w:rsidRPr="00F13051">
        <w:rPr>
          <w:lang w:val="fr-FR"/>
        </w:rPr>
        <w:t>eau. Ces données peuvent servir à suivre le mercure provenant d</w:t>
      </w:r>
      <w:r w:rsidR="00133FD4" w:rsidRPr="00F13051">
        <w:rPr>
          <w:lang w:val="fr-FR"/>
        </w:rPr>
        <w:t>’</w:t>
      </w:r>
      <w:r w:rsidRPr="00F13051">
        <w:rPr>
          <w:lang w:val="fr-FR"/>
        </w:rPr>
        <w:t xml:space="preserve">activités locales rejetant cette substance et à modéliser son déplacement dans le milieu aquatique, mais les données de surveillance provenant des </w:t>
      </w:r>
      <w:r w:rsidR="005412F5" w:rsidRPr="00F13051">
        <w:rPr>
          <w:lang w:val="fr-FR"/>
        </w:rPr>
        <w:t>cours d’eau</w:t>
      </w:r>
      <w:r w:rsidRPr="00F13051">
        <w:rPr>
          <w:lang w:val="fr-FR"/>
        </w:rPr>
        <w:t xml:space="preserve"> et des zones côtières ne contribuent pas à déterminer les tendances mondiales générales. En revanche, les </w:t>
      </w:r>
      <w:r w:rsidR="00A36D4A" w:rsidRPr="00F13051">
        <w:rPr>
          <w:lang w:val="fr-FR"/>
        </w:rPr>
        <w:t>concentrations de mercure</w:t>
      </w:r>
      <w:r w:rsidRPr="00F13051">
        <w:rPr>
          <w:lang w:val="fr-FR"/>
        </w:rPr>
        <w:t xml:space="preserve"> dans </w:t>
      </w:r>
      <w:r w:rsidR="00993593" w:rsidRPr="00F13051">
        <w:rPr>
          <w:lang w:val="fr-FR"/>
        </w:rPr>
        <w:t>les océans</w:t>
      </w:r>
      <w:r w:rsidRPr="00F13051">
        <w:rPr>
          <w:lang w:val="fr-FR"/>
        </w:rPr>
        <w:t xml:space="preserve"> pourraient être comparées au niveau mondial et aider à comprendre le cycle </w:t>
      </w:r>
      <w:r w:rsidR="00993593" w:rsidRPr="00F13051">
        <w:rPr>
          <w:lang w:val="fr-FR"/>
        </w:rPr>
        <w:t xml:space="preserve">mondial </w:t>
      </w:r>
      <w:r w:rsidR="00E86C32" w:rsidRPr="00F13051">
        <w:rPr>
          <w:lang w:val="fr-FR"/>
        </w:rPr>
        <w:t>du mercure. Actuellement, ces </w:t>
      </w:r>
      <w:r w:rsidRPr="00F13051">
        <w:rPr>
          <w:lang w:val="fr-FR"/>
        </w:rPr>
        <w:t>données sont collectées par des réseaux et des programmes spéciaux de recherche mais pas par des programmes spécifiques de surveillance à long terme.</w:t>
      </w:r>
    </w:p>
    <w:p w14:paraId="48049DEB" w14:textId="004621F1" w:rsidR="0015792A" w:rsidRPr="00F13051" w:rsidRDefault="004F110C" w:rsidP="00E1136D">
      <w:pPr>
        <w:pStyle w:val="Normalnumber"/>
        <w:rPr>
          <w:lang w:val="fr-FR"/>
        </w:rPr>
      </w:pPr>
      <w:r w:rsidRPr="00F13051">
        <w:rPr>
          <w:lang w:val="fr-FR"/>
        </w:rPr>
        <w:t>Les échantillons de sol peuvent s</w:t>
      </w:r>
      <w:r w:rsidR="00133FD4" w:rsidRPr="00F13051">
        <w:rPr>
          <w:lang w:val="fr-FR"/>
        </w:rPr>
        <w:t>’</w:t>
      </w:r>
      <w:r w:rsidRPr="00F13051">
        <w:rPr>
          <w:lang w:val="fr-FR"/>
        </w:rPr>
        <w:t>avérer très utiles dans l</w:t>
      </w:r>
      <w:r w:rsidR="00133FD4" w:rsidRPr="00F13051">
        <w:rPr>
          <w:lang w:val="fr-FR"/>
        </w:rPr>
        <w:t>’</w:t>
      </w:r>
      <w:r w:rsidRPr="00F13051">
        <w:rPr>
          <w:lang w:val="fr-FR"/>
        </w:rPr>
        <w:t>évaluation du niveau de contamination d</w:t>
      </w:r>
      <w:r w:rsidR="00133FD4" w:rsidRPr="00F13051">
        <w:rPr>
          <w:lang w:val="fr-FR"/>
        </w:rPr>
        <w:t>’</w:t>
      </w:r>
      <w:r w:rsidRPr="00F13051">
        <w:rPr>
          <w:lang w:val="fr-FR"/>
        </w:rPr>
        <w:t>un site donné, mais ils peuvent ne pas être comparables à l</w:t>
      </w:r>
      <w:r w:rsidR="00133FD4" w:rsidRPr="00F13051">
        <w:rPr>
          <w:lang w:val="fr-FR"/>
        </w:rPr>
        <w:t>’</w:t>
      </w:r>
      <w:r w:rsidRPr="00F13051">
        <w:rPr>
          <w:lang w:val="fr-FR"/>
        </w:rPr>
        <w:t>échelle mondiale en raison, notamment, de</w:t>
      </w:r>
      <w:r w:rsidR="00DE3BB2" w:rsidRPr="00F13051">
        <w:rPr>
          <w:lang w:val="fr-FR"/>
        </w:rPr>
        <w:t>s</w:t>
      </w:r>
      <w:r w:rsidRPr="00F13051">
        <w:rPr>
          <w:lang w:val="fr-FR"/>
        </w:rPr>
        <w:t xml:space="preserve"> </w:t>
      </w:r>
      <w:r w:rsidR="003C50EC" w:rsidRPr="00F13051">
        <w:rPr>
          <w:lang w:val="fr-FR"/>
        </w:rPr>
        <w:t xml:space="preserve">différences entre les </w:t>
      </w:r>
      <w:r w:rsidRPr="00F13051">
        <w:rPr>
          <w:lang w:val="fr-FR"/>
        </w:rPr>
        <w:t>types de sols. Les données relatives aux concentrations de mercure dans les sédiments sont très utiles à l</w:t>
      </w:r>
      <w:r w:rsidR="00133FD4" w:rsidRPr="00F13051">
        <w:rPr>
          <w:lang w:val="fr-FR"/>
        </w:rPr>
        <w:t>’</w:t>
      </w:r>
      <w:r w:rsidRPr="00F13051">
        <w:rPr>
          <w:lang w:val="fr-FR"/>
        </w:rPr>
        <w:t>évaluation des niveaux connexes de mercure dans le milieu biotique</w:t>
      </w:r>
      <w:r w:rsidR="00133FD4" w:rsidRPr="00F13051">
        <w:rPr>
          <w:lang w:val="fr-FR"/>
        </w:rPr>
        <w:t> ;</w:t>
      </w:r>
      <w:r w:rsidRPr="00F13051">
        <w:rPr>
          <w:lang w:val="fr-FR"/>
        </w:rPr>
        <w:t xml:space="preserve"> cependant, le prélèvement de sédiments n</w:t>
      </w:r>
      <w:r w:rsidR="00133FD4" w:rsidRPr="00F13051">
        <w:rPr>
          <w:lang w:val="fr-FR"/>
        </w:rPr>
        <w:t>’</w:t>
      </w:r>
      <w:r w:rsidRPr="00F13051">
        <w:rPr>
          <w:lang w:val="fr-FR"/>
        </w:rPr>
        <w:t>est pour le moment pas considéré comme répandu ni facilement comparable à l</w:t>
      </w:r>
      <w:r w:rsidR="00133FD4" w:rsidRPr="00F13051">
        <w:rPr>
          <w:lang w:val="fr-FR"/>
        </w:rPr>
        <w:t>’</w:t>
      </w:r>
      <w:r w:rsidRPr="00F13051">
        <w:rPr>
          <w:lang w:val="fr-FR"/>
        </w:rPr>
        <w:t>échelle mondiale.</w:t>
      </w:r>
    </w:p>
    <w:p w14:paraId="1231FC13" w14:textId="06BE27AC" w:rsidR="004F110C" w:rsidRPr="00F13051" w:rsidRDefault="00F5720B" w:rsidP="00F5720B">
      <w:pPr>
        <w:pStyle w:val="CH1"/>
        <w:rPr>
          <w:u w:color="FF0000"/>
          <w:lang w:val="fr-FR"/>
        </w:rPr>
      </w:pPr>
      <w:r w:rsidRPr="00F13051">
        <w:rPr>
          <w:bCs/>
          <w:lang w:val="fr-FR"/>
        </w:rPr>
        <w:tab/>
        <w:t>III.</w:t>
      </w:r>
      <w:r w:rsidRPr="00F13051">
        <w:rPr>
          <w:bCs/>
          <w:lang w:val="fr-FR"/>
        </w:rPr>
        <w:tab/>
      </w:r>
      <w:r w:rsidR="00DC6081" w:rsidRPr="00F13051">
        <w:rPr>
          <w:bCs/>
          <w:lang w:val="fr-FR"/>
        </w:rPr>
        <w:t>Comparabilité, lacunes et solutions pour les combler</w:t>
      </w:r>
    </w:p>
    <w:p w14:paraId="22A02A96" w14:textId="0C63759A" w:rsidR="004F110C" w:rsidRPr="00F13051" w:rsidRDefault="00582208" w:rsidP="00582208">
      <w:pPr>
        <w:pStyle w:val="CH2"/>
        <w:rPr>
          <w:bCs/>
          <w:lang w:val="fr-FR"/>
        </w:rPr>
      </w:pPr>
      <w:r w:rsidRPr="00F13051">
        <w:rPr>
          <w:lang w:val="fr-FR"/>
        </w:rPr>
        <w:tab/>
      </w:r>
      <w:r w:rsidR="00DC6081" w:rsidRPr="00F13051">
        <w:rPr>
          <w:lang w:val="fr-FR"/>
        </w:rPr>
        <w:t>A.</w:t>
      </w:r>
      <w:r w:rsidR="0035113E" w:rsidRPr="00F13051">
        <w:rPr>
          <w:lang w:val="fr-FR"/>
        </w:rPr>
        <w:tab/>
      </w:r>
      <w:r w:rsidR="00DC6081" w:rsidRPr="00F13051">
        <w:rPr>
          <w:bCs/>
          <w:lang w:val="fr-FR"/>
        </w:rPr>
        <w:t>Air ambiant</w:t>
      </w:r>
    </w:p>
    <w:p w14:paraId="0531C0B9" w14:textId="24C8DCCC" w:rsidR="0015792A" w:rsidRPr="00F13051" w:rsidRDefault="004F110C" w:rsidP="00B93064">
      <w:pPr>
        <w:pStyle w:val="Normalnumber"/>
        <w:rPr>
          <w:lang w:val="fr-FR"/>
        </w:rPr>
      </w:pPr>
      <w:r w:rsidRPr="00F13051">
        <w:rPr>
          <w:lang w:val="fr-FR"/>
        </w:rPr>
        <w:t xml:space="preserve">La figure </w:t>
      </w:r>
      <w:r w:rsidR="00F00C44" w:rsidRPr="00F13051">
        <w:rPr>
          <w:lang w:val="fr-FR"/>
        </w:rPr>
        <w:t>ci-</w:t>
      </w:r>
      <w:r w:rsidR="003C50EC" w:rsidRPr="00F13051">
        <w:rPr>
          <w:lang w:val="fr-FR"/>
        </w:rPr>
        <w:t>après</w:t>
      </w:r>
      <w:r w:rsidRPr="00F13051">
        <w:rPr>
          <w:lang w:val="fr-FR"/>
        </w:rPr>
        <w:t xml:space="preserve"> présente les efforts actuels de surveillance </w:t>
      </w:r>
      <w:r w:rsidR="003C50EC" w:rsidRPr="00F13051">
        <w:rPr>
          <w:lang w:val="fr-FR"/>
        </w:rPr>
        <w:t>du</w:t>
      </w:r>
      <w:r w:rsidR="00A36D4A" w:rsidRPr="00F13051">
        <w:rPr>
          <w:lang w:val="fr-FR"/>
        </w:rPr>
        <w:t xml:space="preserve"> mercure</w:t>
      </w:r>
      <w:r w:rsidRPr="00F13051">
        <w:rPr>
          <w:lang w:val="fr-FR"/>
        </w:rPr>
        <w:t xml:space="preserve"> gazeux total et </w:t>
      </w:r>
      <w:r w:rsidR="003C50EC" w:rsidRPr="00F13051">
        <w:rPr>
          <w:lang w:val="fr-FR"/>
        </w:rPr>
        <w:t>du</w:t>
      </w:r>
      <w:r w:rsidRPr="00F13051">
        <w:rPr>
          <w:lang w:val="fr-FR"/>
        </w:rPr>
        <w:t xml:space="preserve"> mercure élémentaire gazeux. Elle fait apparaître que les lacunes dans les informations </w:t>
      </w:r>
      <w:r w:rsidR="003C50EC" w:rsidRPr="00F13051">
        <w:rPr>
          <w:lang w:val="fr-FR"/>
        </w:rPr>
        <w:t xml:space="preserve">correspondantes </w:t>
      </w:r>
      <w:r w:rsidRPr="00F13051">
        <w:rPr>
          <w:lang w:val="fr-FR"/>
        </w:rPr>
        <w:t>pourraient être comblées en étendant les réseaux de surveillance du mercure atmosphérique</w:t>
      </w:r>
      <w:r w:rsidR="006326B4" w:rsidRPr="00F13051">
        <w:rPr>
          <w:lang w:val="fr-FR"/>
        </w:rPr>
        <w:t xml:space="preserve"> qui existent</w:t>
      </w:r>
      <w:r w:rsidRPr="00F13051">
        <w:rPr>
          <w:lang w:val="fr-FR"/>
        </w:rPr>
        <w:t xml:space="preserve"> en Amérique du Sud, en Afrique, dans les Caraïbes, dans certaines régions d</w:t>
      </w:r>
      <w:r w:rsidR="00133FD4" w:rsidRPr="00F13051">
        <w:rPr>
          <w:lang w:val="fr-FR"/>
        </w:rPr>
        <w:t>’</w:t>
      </w:r>
      <w:r w:rsidRPr="00F13051">
        <w:rPr>
          <w:lang w:val="fr-FR"/>
        </w:rPr>
        <w:t>Asie, en Fédération de Russie et en Océanie.</w:t>
      </w:r>
    </w:p>
    <w:p w14:paraId="1DF5F50C" w14:textId="47342950" w:rsidR="0015792A" w:rsidRPr="00F13051" w:rsidRDefault="00F9738F" w:rsidP="00582208">
      <w:pPr>
        <w:pStyle w:val="Caption"/>
        <w:spacing w:after="0"/>
        <w:ind w:left="1276"/>
        <w:rPr>
          <w:rFonts w:eastAsia="Times New Roman"/>
          <w:i w:val="0"/>
          <w:iCs w:val="0"/>
          <w:color w:val="auto"/>
          <w:sz w:val="20"/>
          <w:szCs w:val="20"/>
          <w:lang w:val="fr-FR"/>
        </w:rPr>
      </w:pPr>
      <w:r w:rsidRPr="00F13051">
        <w:rPr>
          <w:i w:val="0"/>
          <w:color w:val="auto"/>
          <w:lang w:val="fr-FR"/>
        </w:rPr>
        <w:t>Figure</w:t>
      </w:r>
    </w:p>
    <w:p w14:paraId="5BBC9EC4" w14:textId="0918F830" w:rsidR="004F110C" w:rsidRPr="00F13051" w:rsidRDefault="00096E68" w:rsidP="00582208">
      <w:pPr>
        <w:pStyle w:val="Caption"/>
        <w:ind w:left="1276"/>
        <w:rPr>
          <w:rFonts w:eastAsia="Times New Roman"/>
          <w:b/>
          <w:bCs/>
          <w:i w:val="0"/>
          <w:iCs w:val="0"/>
          <w:color w:val="auto"/>
          <w:sz w:val="20"/>
          <w:szCs w:val="20"/>
          <w:lang w:val="fr-FR"/>
        </w:rPr>
      </w:pPr>
      <w:r w:rsidRPr="00F13051">
        <w:rPr>
          <w:b/>
          <w:bCs/>
          <w:i w:val="0"/>
          <w:color w:val="auto"/>
          <w:lang w:val="fr-FR"/>
        </w:rPr>
        <w:t>Réseaux existants de surveillance des concentrations de mercure dans l</w:t>
      </w:r>
      <w:r w:rsidR="00133FD4" w:rsidRPr="00F13051">
        <w:rPr>
          <w:b/>
          <w:bCs/>
          <w:i w:val="0"/>
          <w:color w:val="auto"/>
          <w:lang w:val="fr-FR"/>
        </w:rPr>
        <w:t>’</w:t>
      </w:r>
      <w:r w:rsidRPr="00F13051">
        <w:rPr>
          <w:b/>
          <w:bCs/>
          <w:i w:val="0"/>
          <w:color w:val="auto"/>
          <w:lang w:val="fr-FR"/>
        </w:rPr>
        <w:t>air</w:t>
      </w:r>
    </w:p>
    <w:p w14:paraId="6E23ABA1" w14:textId="77777777" w:rsidR="004F110C" w:rsidRPr="00F13051" w:rsidRDefault="004F110C" w:rsidP="00092C85">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ind w:left="490"/>
        <w:rPr>
          <w:rFonts w:eastAsia="Times New Roman"/>
          <w:sz w:val="20"/>
          <w:szCs w:val="20"/>
          <w:lang w:val="fr-FR"/>
        </w:rPr>
      </w:pPr>
      <w:r w:rsidRPr="00F13051">
        <w:rPr>
          <w:noProof/>
          <w:sz w:val="20"/>
          <w:szCs w:val="20"/>
          <w:lang w:val="fr-FR" w:eastAsia="en-GB"/>
        </w:rPr>
        <w:drawing>
          <wp:inline distT="0" distB="0" distL="0" distR="0" wp14:anchorId="233937DE" wp14:editId="3BA99FF1">
            <wp:extent cx="5580634" cy="4008120"/>
            <wp:effectExtent l="0" t="0" r="127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7"/>
                    <a:stretch>
                      <a:fillRect/>
                    </a:stretch>
                  </pic:blipFill>
                  <pic:spPr>
                    <a:xfrm>
                      <a:off x="0" y="0"/>
                      <a:ext cx="5615207" cy="4032951"/>
                    </a:xfrm>
                    <a:prstGeom prst="rect">
                      <a:avLst/>
                    </a:prstGeom>
                    <a:ln w="12700" cap="flat">
                      <a:noFill/>
                      <a:miter lim="400000"/>
                    </a:ln>
                    <a:effectLst/>
                  </pic:spPr>
                </pic:pic>
              </a:graphicData>
            </a:graphic>
          </wp:inline>
        </w:drawing>
      </w:r>
    </w:p>
    <w:p w14:paraId="593199FE" w14:textId="6FA49FD8" w:rsidR="0015792A" w:rsidRPr="00F13051" w:rsidRDefault="00096E68" w:rsidP="00206FF9">
      <w:pPr>
        <w:shd w:val="clear" w:color="auto" w:fill="FFFFFF"/>
        <w:spacing w:before="40" w:after="240"/>
        <w:ind w:left="1247"/>
        <w:rPr>
          <w:rFonts w:eastAsia="Times New Roman"/>
          <w:sz w:val="17"/>
          <w:szCs w:val="17"/>
          <w:bdr w:val="none" w:sz="0" w:space="0" w:color="auto"/>
          <w:lang w:val="fr-FR"/>
        </w:rPr>
      </w:pPr>
      <w:r w:rsidRPr="00F13051">
        <w:rPr>
          <w:i/>
          <w:iCs/>
          <w:sz w:val="17"/>
          <w:szCs w:val="17"/>
          <w:lang w:val="fr-FR"/>
        </w:rPr>
        <w:t>Abréviations</w:t>
      </w:r>
      <w:r w:rsidR="00133FD4" w:rsidRPr="00F13051">
        <w:rPr>
          <w:i/>
          <w:iCs/>
          <w:sz w:val="17"/>
          <w:szCs w:val="17"/>
          <w:lang w:val="fr-FR"/>
        </w:rPr>
        <w:t> :</w:t>
      </w:r>
      <w:r w:rsidRPr="00F13051">
        <w:rPr>
          <w:sz w:val="17"/>
          <w:szCs w:val="17"/>
          <w:lang w:val="fr-FR"/>
        </w:rPr>
        <w:t xml:space="preserve"> AMAP = </w:t>
      </w:r>
      <w:r w:rsidR="006326B4" w:rsidRPr="00F13051">
        <w:rPr>
          <w:sz w:val="17"/>
          <w:szCs w:val="17"/>
          <w:lang w:val="fr-FR"/>
        </w:rPr>
        <w:t>Programme de surveillance et d’évaluation de l’Arctique</w:t>
      </w:r>
      <w:r w:rsidR="00133FD4" w:rsidRPr="00F13051">
        <w:rPr>
          <w:sz w:val="17"/>
          <w:szCs w:val="17"/>
          <w:lang w:val="fr-FR"/>
        </w:rPr>
        <w:t> ;</w:t>
      </w:r>
      <w:r w:rsidRPr="00F13051">
        <w:rPr>
          <w:sz w:val="17"/>
          <w:szCs w:val="17"/>
          <w:lang w:val="fr-FR"/>
        </w:rPr>
        <w:t xml:space="preserve"> EMEP = Programme concerté de surveillance continue et d</w:t>
      </w:r>
      <w:r w:rsidR="00133FD4" w:rsidRPr="00F13051">
        <w:rPr>
          <w:sz w:val="17"/>
          <w:szCs w:val="17"/>
          <w:lang w:val="fr-FR"/>
        </w:rPr>
        <w:t>’</w:t>
      </w:r>
      <w:r w:rsidRPr="00F13051">
        <w:rPr>
          <w:sz w:val="17"/>
          <w:szCs w:val="17"/>
          <w:lang w:val="fr-FR"/>
        </w:rPr>
        <w:t>évaluation du transport à longue distance des polluants atmosphériques en Europe</w:t>
      </w:r>
      <w:r w:rsidR="00133FD4" w:rsidRPr="00F13051">
        <w:rPr>
          <w:sz w:val="17"/>
          <w:szCs w:val="17"/>
          <w:lang w:val="fr-FR"/>
        </w:rPr>
        <w:t> ;</w:t>
      </w:r>
      <w:r w:rsidRPr="00F13051">
        <w:rPr>
          <w:sz w:val="17"/>
          <w:szCs w:val="17"/>
          <w:lang w:val="fr-FR"/>
        </w:rPr>
        <w:t xml:space="preserve"> GMOS = Global Mercury Observation System (système mondial de surveillance du mercure)</w:t>
      </w:r>
      <w:r w:rsidR="00133FD4" w:rsidRPr="00F13051">
        <w:rPr>
          <w:sz w:val="17"/>
          <w:szCs w:val="17"/>
          <w:lang w:val="fr-FR"/>
        </w:rPr>
        <w:t> ;</w:t>
      </w:r>
      <w:r w:rsidRPr="00F13051">
        <w:rPr>
          <w:sz w:val="17"/>
          <w:szCs w:val="17"/>
          <w:lang w:val="fr-FR"/>
        </w:rPr>
        <w:t xml:space="preserve"> MDN = Mercury Deposition Network (réseau pour les dépôts de mercure).</w:t>
      </w:r>
    </w:p>
    <w:p w14:paraId="5AA2094A" w14:textId="10910F35" w:rsidR="004F110C" w:rsidRPr="00F13051" w:rsidRDefault="004F110C" w:rsidP="00E1136D">
      <w:pPr>
        <w:pStyle w:val="Normalnumber"/>
        <w:rPr>
          <w:lang w:val="fr-FR"/>
        </w:rPr>
      </w:pPr>
      <w:r w:rsidRPr="00F13051">
        <w:rPr>
          <w:lang w:val="fr-FR"/>
        </w:rPr>
        <w:t xml:space="preserve">Il est proposé de remédier aux lacunes </w:t>
      </w:r>
      <w:r w:rsidR="006326B4" w:rsidRPr="00F13051">
        <w:rPr>
          <w:lang w:val="fr-FR"/>
        </w:rPr>
        <w:t xml:space="preserve">par les </w:t>
      </w:r>
      <w:r w:rsidRPr="00F13051">
        <w:rPr>
          <w:lang w:val="fr-FR"/>
        </w:rPr>
        <w:t>moyen</w:t>
      </w:r>
      <w:r w:rsidR="006326B4" w:rsidRPr="00F13051">
        <w:rPr>
          <w:lang w:val="fr-FR"/>
        </w:rPr>
        <w:t>s</w:t>
      </w:r>
      <w:r w:rsidRPr="00F13051">
        <w:rPr>
          <w:lang w:val="fr-FR"/>
        </w:rPr>
        <w:t xml:space="preserve"> suivants</w:t>
      </w:r>
      <w:r w:rsidR="00133FD4" w:rsidRPr="00F13051">
        <w:rPr>
          <w:lang w:val="fr-FR"/>
        </w:rPr>
        <w:t> :</w:t>
      </w:r>
    </w:p>
    <w:p w14:paraId="154B50A0" w14:textId="7F094C15" w:rsidR="004F110C" w:rsidRPr="00F13051" w:rsidRDefault="004F110C" w:rsidP="00E1136D">
      <w:pPr>
        <w:pStyle w:val="Normalnumber"/>
        <w:numPr>
          <w:ilvl w:val="1"/>
          <w:numId w:val="4"/>
        </w:numPr>
        <w:tabs>
          <w:tab w:val="clear" w:pos="1134"/>
        </w:tabs>
        <w:ind w:firstLine="624"/>
        <w:rPr>
          <w:lang w:val="fr-FR"/>
        </w:rPr>
      </w:pPr>
      <w:r w:rsidRPr="00F13051">
        <w:rPr>
          <w:lang w:val="fr-FR"/>
        </w:rPr>
        <w:t xml:space="preserve">Associer la surveillance actuelle </w:t>
      </w:r>
      <w:r w:rsidR="006326B4" w:rsidRPr="00F13051">
        <w:rPr>
          <w:lang w:val="fr-FR"/>
        </w:rPr>
        <w:t xml:space="preserve">du </w:t>
      </w:r>
      <w:r w:rsidR="00A36D4A" w:rsidRPr="00F13051">
        <w:rPr>
          <w:lang w:val="fr-FR"/>
        </w:rPr>
        <w:t>mercure</w:t>
      </w:r>
      <w:r w:rsidRPr="00F13051">
        <w:rPr>
          <w:lang w:val="fr-FR"/>
        </w:rPr>
        <w:t xml:space="preserve"> gazeux total et </w:t>
      </w:r>
      <w:r w:rsidR="003D050E" w:rsidRPr="00F13051">
        <w:rPr>
          <w:lang w:val="fr-FR"/>
        </w:rPr>
        <w:t>d</w:t>
      </w:r>
      <w:r w:rsidR="006326B4" w:rsidRPr="00F13051">
        <w:rPr>
          <w:lang w:val="fr-FR"/>
        </w:rPr>
        <w:t>u</w:t>
      </w:r>
      <w:r w:rsidRPr="00F13051">
        <w:rPr>
          <w:lang w:val="fr-FR"/>
        </w:rPr>
        <w:t xml:space="preserve"> mercure élémentaire gazeux aux nouvelles technologies (y compris l</w:t>
      </w:r>
      <w:r w:rsidR="00133FD4" w:rsidRPr="00F13051">
        <w:rPr>
          <w:lang w:val="fr-FR"/>
        </w:rPr>
        <w:t>’</w:t>
      </w:r>
      <w:r w:rsidRPr="00F13051">
        <w:rPr>
          <w:lang w:val="fr-FR"/>
        </w:rPr>
        <w:t>échantillonnage passif et actif du mercure)</w:t>
      </w:r>
      <w:r w:rsidR="00133FD4" w:rsidRPr="00F13051">
        <w:rPr>
          <w:lang w:val="fr-FR"/>
        </w:rPr>
        <w:t> ;</w:t>
      </w:r>
    </w:p>
    <w:p w14:paraId="0560BD74" w14:textId="13D88D5B" w:rsidR="004F110C" w:rsidRPr="00F13051" w:rsidRDefault="004F110C" w:rsidP="00E86C32">
      <w:pPr>
        <w:pStyle w:val="Normalnumber"/>
        <w:numPr>
          <w:ilvl w:val="1"/>
          <w:numId w:val="4"/>
        </w:numPr>
        <w:tabs>
          <w:tab w:val="clear" w:pos="1134"/>
        </w:tabs>
        <w:ind w:firstLine="624"/>
        <w:rPr>
          <w:lang w:val="fr-FR"/>
        </w:rPr>
      </w:pPr>
      <w:r w:rsidRPr="00F13051">
        <w:rPr>
          <w:lang w:val="fr-FR"/>
        </w:rPr>
        <w:t>Étendre les réseaux de surveillance existants, dans la mesure du possible, afin de combler les lacunes en matière de données</w:t>
      </w:r>
      <w:r w:rsidR="00133FD4" w:rsidRPr="00F13051">
        <w:rPr>
          <w:lang w:val="fr-FR"/>
        </w:rPr>
        <w:t> ;</w:t>
      </w:r>
    </w:p>
    <w:p w14:paraId="6B50CEE0" w14:textId="035A1AAC" w:rsidR="004F110C" w:rsidRPr="00F13051" w:rsidRDefault="004F110C" w:rsidP="00E86C32">
      <w:pPr>
        <w:pStyle w:val="Normalnumber"/>
        <w:numPr>
          <w:ilvl w:val="1"/>
          <w:numId w:val="4"/>
        </w:numPr>
        <w:tabs>
          <w:tab w:val="clear" w:pos="1134"/>
        </w:tabs>
        <w:ind w:firstLine="624"/>
        <w:rPr>
          <w:lang w:val="fr-FR"/>
        </w:rPr>
      </w:pPr>
      <w:r w:rsidRPr="00F13051">
        <w:rPr>
          <w:lang w:val="fr-FR"/>
        </w:rPr>
        <w:t>Dans la mesure du possible, recourir aux procédures standards actuellement utilisées pour la collecte et le traitement des données</w:t>
      </w:r>
      <w:r w:rsidR="00133FD4" w:rsidRPr="00F13051">
        <w:rPr>
          <w:lang w:val="fr-FR"/>
        </w:rPr>
        <w:t> ;</w:t>
      </w:r>
    </w:p>
    <w:p w14:paraId="09C94EE4" w14:textId="5EA1E81B" w:rsidR="0015792A" w:rsidRPr="00F13051" w:rsidRDefault="0074541F" w:rsidP="00E1136D">
      <w:pPr>
        <w:pStyle w:val="Normalnumber"/>
        <w:numPr>
          <w:ilvl w:val="1"/>
          <w:numId w:val="4"/>
        </w:numPr>
        <w:tabs>
          <w:tab w:val="clear" w:pos="1134"/>
        </w:tabs>
        <w:ind w:firstLine="624"/>
        <w:rPr>
          <w:lang w:val="fr-FR"/>
        </w:rPr>
      </w:pPr>
      <w:r w:rsidRPr="00F13051">
        <w:rPr>
          <w:lang w:val="fr-FR"/>
        </w:rPr>
        <w:t>Comparer les technologies de mesure et le traitement des données dans l</w:t>
      </w:r>
      <w:r w:rsidR="00133FD4" w:rsidRPr="00F13051">
        <w:rPr>
          <w:lang w:val="fr-FR"/>
        </w:rPr>
        <w:t>’</w:t>
      </w:r>
      <w:r w:rsidRPr="00F13051">
        <w:rPr>
          <w:lang w:val="fr-FR"/>
        </w:rPr>
        <w:t>ensemble des réseaux</w:t>
      </w:r>
      <w:r w:rsidR="00133FD4" w:rsidRPr="00F13051">
        <w:rPr>
          <w:lang w:val="fr-FR"/>
        </w:rPr>
        <w:t> ;</w:t>
      </w:r>
    </w:p>
    <w:p w14:paraId="6E48E6A7" w14:textId="045241BB" w:rsidR="0015792A" w:rsidRPr="00F13051" w:rsidRDefault="004F110C" w:rsidP="00E1136D">
      <w:pPr>
        <w:pStyle w:val="Normalnumber"/>
        <w:numPr>
          <w:ilvl w:val="1"/>
          <w:numId w:val="4"/>
        </w:numPr>
        <w:tabs>
          <w:tab w:val="clear" w:pos="1134"/>
        </w:tabs>
        <w:ind w:firstLine="624"/>
        <w:rPr>
          <w:lang w:val="fr-FR"/>
        </w:rPr>
      </w:pPr>
      <w:r w:rsidRPr="00F13051">
        <w:rPr>
          <w:lang w:val="fr-FR"/>
        </w:rPr>
        <w:t>Combler les lacunes en matière de données géographiques au moyen de méthodes d</w:t>
      </w:r>
      <w:r w:rsidR="00133FD4" w:rsidRPr="00F13051">
        <w:rPr>
          <w:lang w:val="fr-FR"/>
        </w:rPr>
        <w:t>’</w:t>
      </w:r>
      <w:r w:rsidRPr="00F13051">
        <w:rPr>
          <w:lang w:val="fr-FR"/>
        </w:rPr>
        <w:t>échantillonnage actives ou passives</w:t>
      </w:r>
      <w:r w:rsidR="00133FD4" w:rsidRPr="00F13051">
        <w:rPr>
          <w:lang w:val="fr-FR"/>
        </w:rPr>
        <w:t> ;</w:t>
      </w:r>
    </w:p>
    <w:p w14:paraId="1741210C" w14:textId="62B06851" w:rsidR="0015792A" w:rsidRPr="00F13051" w:rsidRDefault="004F110C" w:rsidP="00E1136D">
      <w:pPr>
        <w:pStyle w:val="Normalnumber"/>
        <w:numPr>
          <w:ilvl w:val="1"/>
          <w:numId w:val="4"/>
        </w:numPr>
        <w:tabs>
          <w:tab w:val="clear" w:pos="1134"/>
        </w:tabs>
        <w:ind w:firstLine="624"/>
        <w:rPr>
          <w:lang w:val="fr-FR"/>
        </w:rPr>
      </w:pPr>
      <w:r w:rsidRPr="00F13051">
        <w:rPr>
          <w:lang w:val="fr-FR"/>
        </w:rPr>
        <w:t>Associer si possible des mesures manuelles actives ou passive de l</w:t>
      </w:r>
      <w:r w:rsidR="00133FD4" w:rsidRPr="00F13051">
        <w:rPr>
          <w:lang w:val="fr-FR"/>
        </w:rPr>
        <w:t>’</w:t>
      </w:r>
      <w:r w:rsidRPr="00F13051">
        <w:rPr>
          <w:lang w:val="fr-FR"/>
        </w:rPr>
        <w:t>air à des mesures actives de dépôts humides ou secs</w:t>
      </w:r>
      <w:r w:rsidR="00133FD4" w:rsidRPr="00F13051">
        <w:rPr>
          <w:lang w:val="fr-FR"/>
        </w:rPr>
        <w:t> ;</w:t>
      </w:r>
    </w:p>
    <w:p w14:paraId="394E78CE" w14:textId="7E36CC1B" w:rsidR="004F110C" w:rsidRPr="00F13051" w:rsidRDefault="004F110C" w:rsidP="00E1136D">
      <w:pPr>
        <w:pStyle w:val="Normalnumber"/>
        <w:numPr>
          <w:ilvl w:val="1"/>
          <w:numId w:val="4"/>
        </w:numPr>
        <w:tabs>
          <w:tab w:val="clear" w:pos="1134"/>
        </w:tabs>
        <w:ind w:firstLine="624"/>
        <w:rPr>
          <w:lang w:val="fr-FR"/>
        </w:rPr>
      </w:pPr>
      <w:r w:rsidRPr="00F13051">
        <w:rPr>
          <w:lang w:val="fr-FR"/>
        </w:rPr>
        <w:t>Prélever des échantillons au moins une fois tous les trois mois (en établissant une moyenne avec les données d</w:t>
      </w:r>
      <w:r w:rsidR="00133FD4" w:rsidRPr="00F13051">
        <w:rPr>
          <w:lang w:val="fr-FR"/>
        </w:rPr>
        <w:t>’</w:t>
      </w:r>
      <w:r w:rsidRPr="00F13051">
        <w:rPr>
          <w:lang w:val="fr-FR"/>
        </w:rPr>
        <w:t>échantillonnage actif ou en intégrant les données à celles tirées de l</w:t>
      </w:r>
      <w:r w:rsidR="00133FD4" w:rsidRPr="00F13051">
        <w:rPr>
          <w:lang w:val="fr-FR"/>
        </w:rPr>
        <w:t>’</w:t>
      </w:r>
      <w:r w:rsidRPr="00F13051">
        <w:rPr>
          <w:lang w:val="fr-FR"/>
        </w:rPr>
        <w:t>échantillonnage passif réalisé au cours d</w:t>
      </w:r>
      <w:r w:rsidR="00133FD4" w:rsidRPr="00F13051">
        <w:rPr>
          <w:lang w:val="fr-FR"/>
        </w:rPr>
        <w:t>’</w:t>
      </w:r>
      <w:r w:rsidR="00E86C32" w:rsidRPr="00F13051">
        <w:rPr>
          <w:lang w:val="fr-FR"/>
        </w:rPr>
        <w:t>une période de trois </w:t>
      </w:r>
      <w:r w:rsidRPr="00F13051">
        <w:rPr>
          <w:lang w:val="fr-FR"/>
        </w:rPr>
        <w:t>mois), afin d</w:t>
      </w:r>
      <w:r w:rsidR="00133FD4" w:rsidRPr="00F13051">
        <w:rPr>
          <w:lang w:val="fr-FR"/>
        </w:rPr>
        <w:t>’</w:t>
      </w:r>
      <w:r w:rsidRPr="00F13051">
        <w:rPr>
          <w:lang w:val="fr-FR"/>
        </w:rPr>
        <w:t>évaluer les variations saisonnières</w:t>
      </w:r>
      <w:r w:rsidR="00133FD4" w:rsidRPr="00F13051">
        <w:rPr>
          <w:lang w:val="fr-FR"/>
        </w:rPr>
        <w:t> ;</w:t>
      </w:r>
    </w:p>
    <w:p w14:paraId="127D3BEC" w14:textId="5026266C" w:rsidR="004F110C" w:rsidRPr="00F13051" w:rsidRDefault="006E5977" w:rsidP="00E1136D">
      <w:pPr>
        <w:pStyle w:val="Normalnumber"/>
        <w:numPr>
          <w:ilvl w:val="1"/>
          <w:numId w:val="4"/>
        </w:numPr>
        <w:tabs>
          <w:tab w:val="clear" w:pos="1134"/>
        </w:tabs>
        <w:ind w:firstLine="624"/>
        <w:rPr>
          <w:lang w:val="fr-FR"/>
        </w:rPr>
      </w:pPr>
      <w:r w:rsidRPr="00F13051">
        <w:rPr>
          <w:lang w:val="fr-FR"/>
        </w:rPr>
        <w:t>Choisir les nouveaux sites d</w:t>
      </w:r>
      <w:r w:rsidR="006326B4" w:rsidRPr="00F13051">
        <w:rPr>
          <w:lang w:val="fr-FR"/>
        </w:rPr>
        <w:t>’</w:t>
      </w:r>
      <w:r w:rsidRPr="00F13051">
        <w:rPr>
          <w:lang w:val="fr-FR"/>
        </w:rPr>
        <w:t>échantillon</w:t>
      </w:r>
      <w:r w:rsidR="006326B4" w:rsidRPr="00F13051">
        <w:rPr>
          <w:lang w:val="fr-FR"/>
        </w:rPr>
        <w:t>nage</w:t>
      </w:r>
      <w:r w:rsidRPr="00F13051">
        <w:rPr>
          <w:lang w:val="fr-FR"/>
        </w:rPr>
        <w:t xml:space="preserve"> en donnant la priorité à la réduction des lacunes en matière d</w:t>
      </w:r>
      <w:r w:rsidR="00133FD4" w:rsidRPr="00F13051">
        <w:rPr>
          <w:lang w:val="fr-FR"/>
        </w:rPr>
        <w:t>’</w:t>
      </w:r>
      <w:r w:rsidRPr="00F13051">
        <w:rPr>
          <w:lang w:val="fr-FR"/>
        </w:rPr>
        <w:t>informations et de données recensées dans l</w:t>
      </w:r>
      <w:r w:rsidR="00133FD4" w:rsidRPr="00F13051">
        <w:rPr>
          <w:lang w:val="fr-FR"/>
        </w:rPr>
        <w:t>’</w:t>
      </w:r>
      <w:r w:rsidRPr="00F13051">
        <w:rPr>
          <w:i/>
          <w:iCs/>
          <w:lang w:val="fr-FR"/>
        </w:rPr>
        <w:t>Évaluation mondiale du mercure de</w:t>
      </w:r>
      <w:r w:rsidR="009D2567" w:rsidRPr="00F13051">
        <w:rPr>
          <w:i/>
          <w:iCs/>
          <w:lang w:val="fr-FR"/>
        </w:rPr>
        <w:t> </w:t>
      </w:r>
      <w:r w:rsidRPr="00F13051">
        <w:rPr>
          <w:i/>
          <w:iCs/>
          <w:lang w:val="fr-FR"/>
        </w:rPr>
        <w:t>2018</w:t>
      </w:r>
      <w:r w:rsidRPr="00F13051">
        <w:rPr>
          <w:lang w:val="fr-FR"/>
        </w:rPr>
        <w:t xml:space="preserve"> et d</w:t>
      </w:r>
      <w:r w:rsidR="00133FD4" w:rsidRPr="00F13051">
        <w:rPr>
          <w:lang w:val="fr-FR"/>
        </w:rPr>
        <w:t>’</w:t>
      </w:r>
      <w:r w:rsidRPr="00F13051">
        <w:rPr>
          <w:lang w:val="fr-FR"/>
        </w:rPr>
        <w:t>autres publications.</w:t>
      </w:r>
    </w:p>
    <w:p w14:paraId="69709257" w14:textId="2F0F5ACB" w:rsidR="004F110C" w:rsidRPr="00F13051" w:rsidRDefault="004F110C" w:rsidP="00E1136D">
      <w:pPr>
        <w:pStyle w:val="Normalnumber"/>
        <w:rPr>
          <w:lang w:val="fr-FR"/>
        </w:rPr>
      </w:pPr>
      <w:r w:rsidRPr="00F13051">
        <w:rPr>
          <w:lang w:val="fr-FR"/>
        </w:rPr>
        <w:t>Il est recommandé que l</w:t>
      </w:r>
      <w:r w:rsidR="00133FD4" w:rsidRPr="00F13051">
        <w:rPr>
          <w:lang w:val="fr-FR"/>
        </w:rPr>
        <w:t>’</w:t>
      </w:r>
      <w:r w:rsidRPr="00F13051">
        <w:rPr>
          <w:lang w:val="fr-FR"/>
        </w:rPr>
        <w:t>élaboration des futures stratégies pour combler les lacunes géographiques en matière de données de surveillance du mercure atmosphérique vise le fonctionnement d</w:t>
      </w:r>
      <w:r w:rsidR="00133FD4" w:rsidRPr="00F13051">
        <w:rPr>
          <w:lang w:val="fr-FR"/>
        </w:rPr>
        <w:t>’</w:t>
      </w:r>
      <w:r w:rsidR="00E86C32" w:rsidRPr="00F13051">
        <w:rPr>
          <w:lang w:val="fr-FR"/>
        </w:rPr>
        <w:t>environ 30 </w:t>
      </w:r>
      <w:r w:rsidRPr="00F13051">
        <w:rPr>
          <w:lang w:val="fr-FR"/>
        </w:rPr>
        <w:t xml:space="preserve">sites de surveillance, </w:t>
      </w:r>
      <w:r w:rsidR="005A7A57" w:rsidRPr="00F13051">
        <w:rPr>
          <w:lang w:val="fr-FR"/>
        </w:rPr>
        <w:t>avec l’</w:t>
      </w:r>
      <w:r w:rsidRPr="00F13051">
        <w:rPr>
          <w:lang w:val="fr-FR"/>
        </w:rPr>
        <w:t>échantillonnage manuel actif ou passif de l</w:t>
      </w:r>
      <w:r w:rsidR="00133FD4" w:rsidRPr="00F13051">
        <w:rPr>
          <w:lang w:val="fr-FR"/>
        </w:rPr>
        <w:t>’</w:t>
      </w:r>
      <w:r w:rsidRPr="00F13051">
        <w:rPr>
          <w:lang w:val="fr-FR"/>
        </w:rPr>
        <w:t>air dans chacune des grandes zones géographiques, telles que l</w:t>
      </w:r>
      <w:r w:rsidR="00133FD4" w:rsidRPr="00F13051">
        <w:rPr>
          <w:lang w:val="fr-FR"/>
        </w:rPr>
        <w:t>’</w:t>
      </w:r>
      <w:r w:rsidRPr="00F13051">
        <w:rPr>
          <w:lang w:val="fr-FR"/>
        </w:rPr>
        <w:t>Afrique, l</w:t>
      </w:r>
      <w:r w:rsidR="00133FD4" w:rsidRPr="00F13051">
        <w:rPr>
          <w:lang w:val="fr-FR"/>
        </w:rPr>
        <w:t>’</w:t>
      </w:r>
      <w:r w:rsidRPr="00F13051">
        <w:rPr>
          <w:lang w:val="fr-FR"/>
        </w:rPr>
        <w:t xml:space="preserve">Amérique latine et la Fédération de Russie, à des endroits susceptibles de fournir des informations sur les </w:t>
      </w:r>
      <w:r w:rsidR="00A36D4A" w:rsidRPr="00F13051">
        <w:rPr>
          <w:lang w:val="fr-FR"/>
        </w:rPr>
        <w:t>concentrations de mercure</w:t>
      </w:r>
      <w:r w:rsidRPr="00F13051">
        <w:rPr>
          <w:lang w:val="fr-FR"/>
        </w:rPr>
        <w:t xml:space="preserve"> régionales et locales de référence. Le nombre proposé de sites est donné à titre indicatif uniquement, sachant qu</w:t>
      </w:r>
      <w:r w:rsidR="00133FD4" w:rsidRPr="00F13051">
        <w:rPr>
          <w:lang w:val="fr-FR"/>
        </w:rPr>
        <w:t>’</w:t>
      </w:r>
      <w:r w:rsidRPr="00F13051">
        <w:rPr>
          <w:lang w:val="fr-FR"/>
        </w:rPr>
        <w:t>un plus grand nombre de sites procédant à un échantillonnage manuel actif ou passif de l</w:t>
      </w:r>
      <w:r w:rsidR="00133FD4" w:rsidRPr="00F13051">
        <w:rPr>
          <w:lang w:val="fr-FR"/>
        </w:rPr>
        <w:t>’</w:t>
      </w:r>
      <w:r w:rsidRPr="00F13051">
        <w:rPr>
          <w:lang w:val="fr-FR"/>
        </w:rPr>
        <w:t>air permettrait certainement de parvenir à une meilleure répartition géographique et une meilleure représentation des régimes d</w:t>
      </w:r>
      <w:r w:rsidR="00133FD4" w:rsidRPr="00F13051">
        <w:rPr>
          <w:lang w:val="fr-FR"/>
        </w:rPr>
        <w:t>’</w:t>
      </w:r>
      <w:r w:rsidRPr="00F13051">
        <w:rPr>
          <w:lang w:val="fr-FR"/>
        </w:rPr>
        <w:t>émission, de la météorologie et des profils de transport et de dépôt à l</w:t>
      </w:r>
      <w:r w:rsidR="00133FD4" w:rsidRPr="00F13051">
        <w:rPr>
          <w:lang w:val="fr-FR"/>
        </w:rPr>
        <w:t>’</w:t>
      </w:r>
      <w:r w:rsidRPr="00F13051">
        <w:rPr>
          <w:lang w:val="fr-FR"/>
        </w:rPr>
        <w:t>échelle régionale et locale. Une analyse des coûts associés à la surveillance de l</w:t>
      </w:r>
      <w:r w:rsidR="00133FD4" w:rsidRPr="00F13051">
        <w:rPr>
          <w:lang w:val="fr-FR"/>
        </w:rPr>
        <w:t>’</w:t>
      </w:r>
      <w:r w:rsidR="00E86C32" w:rsidRPr="00F13051">
        <w:rPr>
          <w:lang w:val="fr-FR"/>
        </w:rPr>
        <w:t>air, y </w:t>
      </w:r>
      <w:r w:rsidRPr="00F13051">
        <w:rPr>
          <w:lang w:val="fr-FR"/>
        </w:rPr>
        <w:t>compris les prélèvements proposés</w:t>
      </w:r>
      <w:r w:rsidR="00E86C32" w:rsidRPr="00F13051">
        <w:rPr>
          <w:lang w:val="fr-FR"/>
        </w:rPr>
        <w:t>, est reproduite dans la partie I, section 4 du document </w:t>
      </w:r>
      <w:r w:rsidRPr="00F13051">
        <w:rPr>
          <w:lang w:val="fr-FR"/>
        </w:rPr>
        <w:t>UNEP/MC/COP.3/INF/15.</w:t>
      </w:r>
    </w:p>
    <w:p w14:paraId="1EAB09FF" w14:textId="505B0350" w:rsidR="004F110C" w:rsidRPr="00F13051" w:rsidRDefault="00582208" w:rsidP="00E1136D">
      <w:pPr>
        <w:pStyle w:val="CH2"/>
        <w:rPr>
          <w:bCs/>
          <w:lang w:val="fr-FR"/>
        </w:rPr>
      </w:pPr>
      <w:r w:rsidRPr="00F13051">
        <w:rPr>
          <w:lang w:val="fr-FR"/>
        </w:rPr>
        <w:tab/>
      </w:r>
      <w:r w:rsidR="00032AF5" w:rsidRPr="00F13051">
        <w:rPr>
          <w:lang w:val="fr-FR"/>
        </w:rPr>
        <w:t>B.</w:t>
      </w:r>
      <w:r w:rsidR="00032AF5" w:rsidRPr="00F13051">
        <w:rPr>
          <w:lang w:val="fr-FR"/>
        </w:rPr>
        <w:tab/>
      </w:r>
      <w:r w:rsidR="00032AF5" w:rsidRPr="00F13051">
        <w:rPr>
          <w:bCs/>
          <w:lang w:val="fr-FR"/>
        </w:rPr>
        <w:t>Exposition humaine</w:t>
      </w:r>
    </w:p>
    <w:p w14:paraId="3BA9913D" w14:textId="249ECCE9" w:rsidR="0015792A" w:rsidRPr="00F13051" w:rsidRDefault="004F110C" w:rsidP="00E1136D">
      <w:pPr>
        <w:pStyle w:val="Normalnumber"/>
        <w:rPr>
          <w:lang w:val="fr-FR"/>
        </w:rPr>
      </w:pPr>
      <w:r w:rsidRPr="00F13051">
        <w:rPr>
          <w:lang w:val="fr-FR"/>
        </w:rPr>
        <w:t>Il est recommandé de mener des études s</w:t>
      </w:r>
      <w:r w:rsidR="00133FD4" w:rsidRPr="00F13051">
        <w:rPr>
          <w:lang w:val="fr-FR"/>
        </w:rPr>
        <w:t>’</w:t>
      </w:r>
      <w:r w:rsidRPr="00F13051">
        <w:rPr>
          <w:lang w:val="fr-FR"/>
        </w:rPr>
        <w:t>appuyant sur le protocole de l</w:t>
      </w:r>
      <w:r w:rsidR="00133FD4" w:rsidRPr="00F13051">
        <w:rPr>
          <w:lang w:val="fr-FR"/>
        </w:rPr>
        <w:t>’</w:t>
      </w:r>
      <w:r w:rsidRPr="00F13051">
        <w:rPr>
          <w:lang w:val="fr-FR"/>
        </w:rPr>
        <w:t>OMS pour évaluer l</w:t>
      </w:r>
      <w:r w:rsidR="00133FD4" w:rsidRPr="00F13051">
        <w:rPr>
          <w:lang w:val="fr-FR"/>
        </w:rPr>
        <w:t>’</w:t>
      </w:r>
      <w:r w:rsidRPr="00F13051">
        <w:rPr>
          <w:lang w:val="fr-FR"/>
        </w:rPr>
        <w:t>exposition prénatale au méthylmercure, afin de combler les lacunes en matière de données et d</w:t>
      </w:r>
      <w:r w:rsidR="00133FD4" w:rsidRPr="00F13051">
        <w:rPr>
          <w:lang w:val="fr-FR"/>
        </w:rPr>
        <w:t>’</w:t>
      </w:r>
      <w:r w:rsidRPr="00F13051">
        <w:rPr>
          <w:lang w:val="fr-FR"/>
        </w:rPr>
        <w:t>obtenir une vue d</w:t>
      </w:r>
      <w:r w:rsidR="00133FD4" w:rsidRPr="00F13051">
        <w:rPr>
          <w:lang w:val="fr-FR"/>
        </w:rPr>
        <w:t>’</w:t>
      </w:r>
      <w:r w:rsidRPr="00F13051">
        <w:rPr>
          <w:lang w:val="fr-FR"/>
        </w:rPr>
        <w:t>ensemble indispensable pour l</w:t>
      </w:r>
      <w:r w:rsidR="00133FD4" w:rsidRPr="00F13051">
        <w:rPr>
          <w:lang w:val="fr-FR"/>
        </w:rPr>
        <w:t>’</w:t>
      </w:r>
      <w:r w:rsidRPr="00F13051">
        <w:rPr>
          <w:lang w:val="fr-FR"/>
        </w:rPr>
        <w:t>évaluation de l</w:t>
      </w:r>
      <w:r w:rsidR="00133FD4" w:rsidRPr="00F13051">
        <w:rPr>
          <w:lang w:val="fr-FR"/>
        </w:rPr>
        <w:t>’</w:t>
      </w:r>
      <w:r w:rsidRPr="00F13051">
        <w:rPr>
          <w:lang w:val="fr-FR"/>
        </w:rPr>
        <w:t>efficacité</w:t>
      </w:r>
      <w:r w:rsidRPr="00F13051">
        <w:rPr>
          <w:vertAlign w:val="superscript"/>
          <w:lang w:val="fr-FR"/>
        </w:rPr>
        <w:footnoteReference w:id="7"/>
      </w:r>
      <w:r w:rsidRPr="00F13051">
        <w:rPr>
          <w:lang w:val="fr-FR"/>
        </w:rPr>
        <w:t>. Recourir au protocole de l</w:t>
      </w:r>
      <w:r w:rsidR="00133FD4" w:rsidRPr="00F13051">
        <w:rPr>
          <w:lang w:val="fr-FR"/>
        </w:rPr>
        <w:t>’</w:t>
      </w:r>
      <w:r w:rsidRPr="00F13051">
        <w:rPr>
          <w:lang w:val="fr-FR"/>
        </w:rPr>
        <w:t xml:space="preserve">OMS permettrait de collecter des données comparables (par exemple, </w:t>
      </w:r>
      <w:r w:rsidR="008E6F6A" w:rsidRPr="00F13051">
        <w:rPr>
          <w:lang w:val="fr-FR"/>
        </w:rPr>
        <w:t>l</w:t>
      </w:r>
      <w:r w:rsidRPr="00F13051">
        <w:rPr>
          <w:lang w:val="fr-FR"/>
        </w:rPr>
        <w:t xml:space="preserve">es </w:t>
      </w:r>
      <w:r w:rsidR="00E86C32" w:rsidRPr="00F13051">
        <w:rPr>
          <w:lang w:val="fr-FR"/>
        </w:rPr>
        <w:t>échantillons capillaires de 250 </w:t>
      </w:r>
      <w:r w:rsidRPr="00F13051">
        <w:rPr>
          <w:lang w:val="fr-FR"/>
        </w:rPr>
        <w:t>personnes dans chaque site étudié avec une recommandation de diversité minimale). Les études seraient menées par les pays, un agrément éthique local (délivré, par exemple, par un comité de contrôle institutionnel) serait exigé et les études seraient menées dans le cadre des systèmes de santé nationaux. Par conséquent, l</w:t>
      </w:r>
      <w:r w:rsidR="00133FD4" w:rsidRPr="00F13051">
        <w:rPr>
          <w:lang w:val="fr-FR"/>
        </w:rPr>
        <w:t>’</w:t>
      </w:r>
      <w:r w:rsidRPr="00F13051">
        <w:rPr>
          <w:lang w:val="fr-FR"/>
        </w:rPr>
        <w:t>approbation des pays serait indispensable. Chaque pays serait propriétaire de ses données et les résultats seraient communiqués à titre volontaire.</w:t>
      </w:r>
    </w:p>
    <w:p w14:paraId="0A3814B4" w14:textId="242C6CFB" w:rsidR="0015792A" w:rsidRPr="00F13051" w:rsidRDefault="00FD0905" w:rsidP="00E1136D">
      <w:pPr>
        <w:pStyle w:val="Normalnumber"/>
        <w:rPr>
          <w:lang w:val="fr-FR"/>
        </w:rPr>
      </w:pPr>
      <w:r w:rsidRPr="00F13051">
        <w:rPr>
          <w:lang w:val="fr-FR"/>
        </w:rPr>
        <w:t>L</w:t>
      </w:r>
      <w:r w:rsidR="00133FD4" w:rsidRPr="00F13051">
        <w:rPr>
          <w:lang w:val="fr-FR"/>
        </w:rPr>
        <w:t>’</w:t>
      </w:r>
      <w:r w:rsidRPr="00F13051">
        <w:rPr>
          <w:lang w:val="fr-FR"/>
        </w:rPr>
        <w:t>alinéa 1 d) de l</w:t>
      </w:r>
      <w:r w:rsidR="00133FD4" w:rsidRPr="00F13051">
        <w:rPr>
          <w:lang w:val="fr-FR"/>
        </w:rPr>
        <w:t>’</w:t>
      </w:r>
      <w:r w:rsidR="00E86C32" w:rsidRPr="00F13051">
        <w:rPr>
          <w:lang w:val="fr-FR"/>
        </w:rPr>
        <w:t>article </w:t>
      </w:r>
      <w:r w:rsidRPr="00F13051">
        <w:rPr>
          <w:lang w:val="fr-FR"/>
        </w:rPr>
        <w:t>17 de la Convention prévoit que chaque Partie facilit</w:t>
      </w:r>
      <w:r w:rsidR="006326B4" w:rsidRPr="00F13051">
        <w:rPr>
          <w:lang w:val="fr-FR"/>
        </w:rPr>
        <w:t>e</w:t>
      </w:r>
      <w:r w:rsidRPr="00F13051">
        <w:rPr>
          <w:lang w:val="fr-FR"/>
        </w:rPr>
        <w:t xml:space="preserve"> l</w:t>
      </w:r>
      <w:r w:rsidR="00133FD4" w:rsidRPr="00F13051">
        <w:rPr>
          <w:lang w:val="fr-FR"/>
        </w:rPr>
        <w:t>’</w:t>
      </w:r>
      <w:r w:rsidRPr="00F13051">
        <w:rPr>
          <w:lang w:val="fr-FR"/>
        </w:rPr>
        <w:t>échange d</w:t>
      </w:r>
      <w:r w:rsidR="00133FD4" w:rsidRPr="00F13051">
        <w:rPr>
          <w:lang w:val="fr-FR"/>
        </w:rPr>
        <w:t>’</w:t>
      </w:r>
      <w:r w:rsidRPr="00F13051">
        <w:rPr>
          <w:lang w:val="fr-FR"/>
        </w:rPr>
        <w:t>informations épidémiologiques concernant les effets sur la santé de l</w:t>
      </w:r>
      <w:r w:rsidR="00133FD4" w:rsidRPr="00F13051">
        <w:rPr>
          <w:lang w:val="fr-FR"/>
        </w:rPr>
        <w:t>’</w:t>
      </w:r>
      <w:r w:rsidRPr="00F13051">
        <w:rPr>
          <w:lang w:val="fr-FR"/>
        </w:rPr>
        <w:t>exposition au mercure et aux composés du mercure, en étroite coopération avec l</w:t>
      </w:r>
      <w:r w:rsidR="00133FD4" w:rsidRPr="00F13051">
        <w:rPr>
          <w:lang w:val="fr-FR"/>
        </w:rPr>
        <w:t>’</w:t>
      </w:r>
      <w:r w:rsidRPr="00F13051">
        <w:rPr>
          <w:lang w:val="fr-FR"/>
        </w:rPr>
        <w:t>Organisation mondiale de la Santé et d</w:t>
      </w:r>
      <w:r w:rsidR="00133FD4" w:rsidRPr="00F13051">
        <w:rPr>
          <w:lang w:val="fr-FR"/>
        </w:rPr>
        <w:t>’</w:t>
      </w:r>
      <w:r w:rsidRPr="00F13051">
        <w:rPr>
          <w:lang w:val="fr-FR"/>
        </w:rPr>
        <w:t>autres organisations compétentes, au besoin. En application de cet article, il faudrait donc procéder à la compilation et à l</w:t>
      </w:r>
      <w:r w:rsidR="00133FD4" w:rsidRPr="00F13051">
        <w:rPr>
          <w:lang w:val="fr-FR"/>
        </w:rPr>
        <w:t>’</w:t>
      </w:r>
      <w:r w:rsidRPr="00F13051">
        <w:rPr>
          <w:lang w:val="fr-FR"/>
        </w:rPr>
        <w:t xml:space="preserve">échange des données sur les </w:t>
      </w:r>
      <w:r w:rsidR="00A36D4A" w:rsidRPr="00F13051">
        <w:rPr>
          <w:lang w:val="fr-FR"/>
        </w:rPr>
        <w:t>concentrations de mercure</w:t>
      </w:r>
      <w:r w:rsidRPr="00F13051">
        <w:rPr>
          <w:lang w:val="fr-FR"/>
        </w:rPr>
        <w:t xml:space="preserve"> </w:t>
      </w:r>
      <w:r w:rsidR="006326B4" w:rsidRPr="00F13051">
        <w:rPr>
          <w:lang w:val="fr-FR"/>
        </w:rPr>
        <w:t>proven</w:t>
      </w:r>
      <w:r w:rsidRPr="00F13051">
        <w:rPr>
          <w:lang w:val="fr-FR"/>
        </w:rPr>
        <w:t>ant de la biosurveillance humaine.</w:t>
      </w:r>
    </w:p>
    <w:p w14:paraId="4B4B6198" w14:textId="3FEAD41D" w:rsidR="0015792A" w:rsidRPr="00F13051" w:rsidRDefault="004F110C" w:rsidP="00802A11">
      <w:pPr>
        <w:pStyle w:val="Normalnumber"/>
        <w:keepNext/>
        <w:keepLines/>
        <w:rPr>
          <w:lang w:val="fr-FR"/>
        </w:rPr>
      </w:pPr>
      <w:r w:rsidRPr="00F13051">
        <w:rPr>
          <w:lang w:val="fr-FR"/>
        </w:rPr>
        <w:t>Afin de faciliter la production de données de biosurveillance humaine et d</w:t>
      </w:r>
      <w:r w:rsidR="00133FD4" w:rsidRPr="00F13051">
        <w:rPr>
          <w:lang w:val="fr-FR"/>
        </w:rPr>
        <w:t>’</w:t>
      </w:r>
      <w:r w:rsidRPr="00F13051">
        <w:rPr>
          <w:lang w:val="fr-FR"/>
        </w:rPr>
        <w:t>informations sur les tendances représentatives à l</w:t>
      </w:r>
      <w:r w:rsidR="00133FD4" w:rsidRPr="00F13051">
        <w:rPr>
          <w:lang w:val="fr-FR"/>
        </w:rPr>
        <w:t>’</w:t>
      </w:r>
      <w:r w:rsidRPr="00F13051">
        <w:rPr>
          <w:lang w:val="fr-FR"/>
        </w:rPr>
        <w:t>échelle mondiale, lesquelles seront indispensables pour l</w:t>
      </w:r>
      <w:r w:rsidR="00133FD4" w:rsidRPr="00F13051">
        <w:rPr>
          <w:lang w:val="fr-FR"/>
        </w:rPr>
        <w:t>’</w:t>
      </w:r>
      <w:r w:rsidRPr="00F13051">
        <w:rPr>
          <w:lang w:val="fr-FR"/>
        </w:rPr>
        <w:t>évaluation de l</w:t>
      </w:r>
      <w:r w:rsidR="00133FD4" w:rsidRPr="00F13051">
        <w:rPr>
          <w:lang w:val="fr-FR"/>
        </w:rPr>
        <w:t>’</w:t>
      </w:r>
      <w:r w:rsidRPr="00F13051">
        <w:rPr>
          <w:lang w:val="fr-FR"/>
        </w:rPr>
        <w:t>efficacité, le groupe créé dans le cadre des arrangements mondiaux en matière de surveillance pour l</w:t>
      </w:r>
      <w:r w:rsidR="00133FD4" w:rsidRPr="00F13051">
        <w:rPr>
          <w:lang w:val="fr-FR"/>
        </w:rPr>
        <w:t>’</w:t>
      </w:r>
      <w:r w:rsidRPr="00F13051">
        <w:rPr>
          <w:lang w:val="fr-FR"/>
        </w:rPr>
        <w:t>évaluation de l</w:t>
      </w:r>
      <w:r w:rsidR="00133FD4" w:rsidRPr="00F13051">
        <w:rPr>
          <w:lang w:val="fr-FR"/>
        </w:rPr>
        <w:t>’</w:t>
      </w:r>
      <w:r w:rsidRPr="00F13051">
        <w:rPr>
          <w:lang w:val="fr-FR"/>
        </w:rPr>
        <w:t>efficacité devrait être tenu informé des études planifiées et menées.</w:t>
      </w:r>
    </w:p>
    <w:p w14:paraId="2DD892DA" w14:textId="0DCE217A" w:rsidR="0015792A" w:rsidRPr="00F13051" w:rsidRDefault="004F110C" w:rsidP="00E1136D">
      <w:pPr>
        <w:pStyle w:val="Normalnumber"/>
        <w:rPr>
          <w:lang w:val="fr-FR"/>
        </w:rPr>
      </w:pPr>
      <w:r w:rsidRPr="00F13051">
        <w:rPr>
          <w:lang w:val="fr-FR"/>
        </w:rPr>
        <w:t>Le protocole de l</w:t>
      </w:r>
      <w:r w:rsidR="00133FD4" w:rsidRPr="00F13051">
        <w:rPr>
          <w:lang w:val="fr-FR"/>
        </w:rPr>
        <w:t>’</w:t>
      </w:r>
      <w:r w:rsidRPr="00F13051">
        <w:rPr>
          <w:lang w:val="fr-FR"/>
        </w:rPr>
        <w:t>OMS traite des difficultés en matière de qualité des données. Les résultats des mesures doivent être comparables sur le plan analytique pour l</w:t>
      </w:r>
      <w:r w:rsidR="00133FD4" w:rsidRPr="00F13051">
        <w:rPr>
          <w:lang w:val="fr-FR"/>
        </w:rPr>
        <w:t>’</w:t>
      </w:r>
      <w:r w:rsidRPr="00F13051">
        <w:rPr>
          <w:lang w:val="fr-FR"/>
        </w:rPr>
        <w:t xml:space="preserve">ensemble des laboratoires et études. Afin </w:t>
      </w:r>
      <w:r w:rsidR="0032673B" w:rsidRPr="00F13051">
        <w:rPr>
          <w:lang w:val="fr-FR"/>
        </w:rPr>
        <w:t>de garantir</w:t>
      </w:r>
      <w:r w:rsidRPr="00F13051">
        <w:rPr>
          <w:lang w:val="fr-FR"/>
        </w:rPr>
        <w:t xml:space="preserve"> cette comparabilité, chaque enquête nationale devrait respecter les directives générales pour l</w:t>
      </w:r>
      <w:r w:rsidR="00133FD4" w:rsidRPr="00F13051">
        <w:rPr>
          <w:lang w:val="fr-FR"/>
        </w:rPr>
        <w:t>’</w:t>
      </w:r>
      <w:r w:rsidRPr="00F13051">
        <w:rPr>
          <w:lang w:val="fr-FR"/>
        </w:rPr>
        <w:t>échantillonnage et les méthodes analytiques harmonisées de l</w:t>
      </w:r>
      <w:r w:rsidR="00133FD4" w:rsidRPr="00F13051">
        <w:rPr>
          <w:lang w:val="fr-FR"/>
        </w:rPr>
        <w:t>’</w:t>
      </w:r>
      <w:r w:rsidRPr="00F13051">
        <w:rPr>
          <w:lang w:val="fr-FR"/>
        </w:rPr>
        <w:t>OMS, et élaborer des procédures d</w:t>
      </w:r>
      <w:r w:rsidR="00133FD4" w:rsidRPr="00F13051">
        <w:rPr>
          <w:lang w:val="fr-FR"/>
        </w:rPr>
        <w:t>’</w:t>
      </w:r>
      <w:r w:rsidRPr="00F13051">
        <w:rPr>
          <w:lang w:val="fr-FR"/>
        </w:rPr>
        <w:t xml:space="preserve">assurance et de contrôle de la qualité pour la phase pré-analytique. </w:t>
      </w:r>
      <w:r w:rsidR="00DF20A0" w:rsidRPr="00F13051">
        <w:rPr>
          <w:lang w:val="fr-FR"/>
        </w:rPr>
        <w:t>La mise à disposition</w:t>
      </w:r>
      <w:r w:rsidRPr="00F13051">
        <w:rPr>
          <w:lang w:val="fr-FR"/>
        </w:rPr>
        <w:t xml:space="preserve"> d</w:t>
      </w:r>
      <w:r w:rsidR="00133FD4" w:rsidRPr="00F13051">
        <w:rPr>
          <w:lang w:val="fr-FR"/>
        </w:rPr>
        <w:t>’</w:t>
      </w:r>
      <w:r w:rsidRPr="00F13051">
        <w:rPr>
          <w:lang w:val="fr-FR"/>
        </w:rPr>
        <w:t xml:space="preserve">une documentation de référence pertinente (des échantillons présentant une certaine concentration </w:t>
      </w:r>
      <w:r w:rsidR="003D050E" w:rsidRPr="00F13051">
        <w:rPr>
          <w:lang w:val="fr-FR"/>
        </w:rPr>
        <w:t>de</w:t>
      </w:r>
      <w:r w:rsidRPr="00F13051">
        <w:rPr>
          <w:lang w:val="fr-FR"/>
        </w:rPr>
        <w:t xml:space="preserve"> mercure)</w:t>
      </w:r>
      <w:r w:rsidRPr="00F13051">
        <w:rPr>
          <w:vertAlign w:val="superscript"/>
          <w:lang w:val="fr-FR"/>
        </w:rPr>
        <w:footnoteReference w:id="8"/>
      </w:r>
      <w:r w:rsidRPr="00F13051">
        <w:rPr>
          <w:lang w:val="fr-FR"/>
        </w:rPr>
        <w:t xml:space="preserve"> contribuerait à l</w:t>
      </w:r>
      <w:r w:rsidR="00133FD4" w:rsidRPr="00F13051">
        <w:rPr>
          <w:lang w:val="fr-FR"/>
        </w:rPr>
        <w:t>’</w:t>
      </w:r>
      <w:r w:rsidRPr="00F13051">
        <w:rPr>
          <w:lang w:val="fr-FR"/>
        </w:rPr>
        <w:t>assurance de la qualité en interne. L</w:t>
      </w:r>
      <w:r w:rsidR="00133FD4" w:rsidRPr="00F13051">
        <w:rPr>
          <w:lang w:val="fr-FR"/>
        </w:rPr>
        <w:t>’</w:t>
      </w:r>
      <w:r w:rsidRPr="00F13051">
        <w:rPr>
          <w:lang w:val="fr-FR"/>
        </w:rPr>
        <w:t>assurance de la qualité en externe devrait être assurée au moyen d</w:t>
      </w:r>
      <w:r w:rsidR="00133FD4" w:rsidRPr="00F13051">
        <w:rPr>
          <w:lang w:val="fr-FR"/>
        </w:rPr>
        <w:t>’</w:t>
      </w:r>
      <w:r w:rsidRPr="00F13051">
        <w:rPr>
          <w:lang w:val="fr-FR"/>
        </w:rPr>
        <w:t xml:space="preserve">enquêtes internationales de comparaison des laboratoires. La coordination des études permettrait de </w:t>
      </w:r>
      <w:r w:rsidR="0032673B" w:rsidRPr="00F13051">
        <w:rPr>
          <w:lang w:val="fr-FR"/>
        </w:rPr>
        <w:t xml:space="preserve">faire en sorte que des </w:t>
      </w:r>
      <w:r w:rsidRPr="00F13051">
        <w:rPr>
          <w:lang w:val="fr-FR"/>
        </w:rPr>
        <w:t>mesures adaptées de contrôle de la qualité</w:t>
      </w:r>
      <w:r w:rsidR="0032673B" w:rsidRPr="00F13051">
        <w:rPr>
          <w:lang w:val="fr-FR"/>
        </w:rPr>
        <w:t xml:space="preserve"> soient en place</w:t>
      </w:r>
      <w:r w:rsidRPr="00F13051">
        <w:rPr>
          <w:lang w:val="fr-FR"/>
        </w:rPr>
        <w:t>.</w:t>
      </w:r>
    </w:p>
    <w:p w14:paraId="68AE781A" w14:textId="4C89A97C" w:rsidR="0015792A" w:rsidRPr="00F13051" w:rsidRDefault="004F110C" w:rsidP="00197072">
      <w:pPr>
        <w:pStyle w:val="Normalnumber"/>
        <w:rPr>
          <w:lang w:val="fr-FR"/>
        </w:rPr>
      </w:pPr>
      <w:r w:rsidRPr="00F13051">
        <w:rPr>
          <w:lang w:val="fr-FR"/>
        </w:rPr>
        <w:t>Le protocole de l</w:t>
      </w:r>
      <w:r w:rsidR="00133FD4" w:rsidRPr="00F13051">
        <w:rPr>
          <w:lang w:val="fr-FR"/>
        </w:rPr>
        <w:t>’</w:t>
      </w:r>
      <w:r w:rsidRPr="00F13051">
        <w:rPr>
          <w:lang w:val="fr-FR"/>
        </w:rPr>
        <w:t>OMS traite également des difficultés en matière de gestion, d</w:t>
      </w:r>
      <w:r w:rsidR="00133FD4" w:rsidRPr="00F13051">
        <w:rPr>
          <w:lang w:val="fr-FR"/>
        </w:rPr>
        <w:t>’</w:t>
      </w:r>
      <w:r w:rsidRPr="00F13051">
        <w:rPr>
          <w:lang w:val="fr-FR"/>
        </w:rPr>
        <w:t>analyse et d</w:t>
      </w:r>
      <w:r w:rsidR="00133FD4" w:rsidRPr="00F13051">
        <w:rPr>
          <w:lang w:val="fr-FR"/>
        </w:rPr>
        <w:t>’</w:t>
      </w:r>
      <w:r w:rsidRPr="00F13051">
        <w:rPr>
          <w:lang w:val="fr-FR"/>
        </w:rPr>
        <w:t>évaluation des données, y compris la question de savoir si ces dernières doivent être menées à l</w:t>
      </w:r>
      <w:r w:rsidR="00133FD4" w:rsidRPr="00F13051">
        <w:rPr>
          <w:lang w:val="fr-FR"/>
        </w:rPr>
        <w:t>’</w:t>
      </w:r>
      <w:r w:rsidRPr="00F13051">
        <w:rPr>
          <w:lang w:val="fr-FR"/>
        </w:rPr>
        <w:t xml:space="preserve">échelle nationale ou internationale. </w:t>
      </w:r>
      <w:r w:rsidR="0032673B" w:rsidRPr="00F13051">
        <w:rPr>
          <w:lang w:val="fr-FR"/>
        </w:rPr>
        <w:t>Il</w:t>
      </w:r>
      <w:r w:rsidRPr="00F13051">
        <w:rPr>
          <w:lang w:val="fr-FR"/>
        </w:rPr>
        <w:t xml:space="preserve"> recommande que les pays participants réalisent des analyses statistiques à l</w:t>
      </w:r>
      <w:r w:rsidR="00133FD4" w:rsidRPr="00F13051">
        <w:rPr>
          <w:lang w:val="fr-FR"/>
        </w:rPr>
        <w:t>’</w:t>
      </w:r>
      <w:r w:rsidRPr="00F13051">
        <w:rPr>
          <w:lang w:val="fr-FR"/>
        </w:rPr>
        <w:t>échelle nationale et communiquent des données anonymisées à une base de données centrale, en vue d</w:t>
      </w:r>
      <w:r w:rsidR="00133FD4" w:rsidRPr="00F13051">
        <w:rPr>
          <w:lang w:val="fr-FR"/>
        </w:rPr>
        <w:t>’</w:t>
      </w:r>
      <w:r w:rsidRPr="00F13051">
        <w:rPr>
          <w:lang w:val="fr-FR"/>
        </w:rPr>
        <w:t>une analyse statistique ultérieure</w:t>
      </w:r>
      <w:r w:rsidR="00C7075F" w:rsidRPr="00F13051">
        <w:rPr>
          <w:lang w:val="fr-FR"/>
        </w:rPr>
        <w:t xml:space="preserve"> au niveau</w:t>
      </w:r>
      <w:r w:rsidRPr="00F13051">
        <w:rPr>
          <w:lang w:val="fr-FR"/>
        </w:rPr>
        <w:t xml:space="preserve"> international</w:t>
      </w:r>
      <w:r w:rsidR="00C7075F" w:rsidRPr="00F13051">
        <w:rPr>
          <w:lang w:val="fr-FR"/>
        </w:rPr>
        <w:t>, dont le but est d’</w:t>
      </w:r>
      <w:r w:rsidRPr="00F13051">
        <w:rPr>
          <w:lang w:val="fr-FR"/>
        </w:rPr>
        <w:t xml:space="preserve">évaluer les liens entre les valeurs des biomarqueurs et les </w:t>
      </w:r>
      <w:r w:rsidR="00C7075F" w:rsidRPr="00F13051">
        <w:rPr>
          <w:lang w:val="fr-FR"/>
        </w:rPr>
        <w:t xml:space="preserve">facteurs prédictifs </w:t>
      </w:r>
      <w:r w:rsidRPr="00F13051">
        <w:rPr>
          <w:lang w:val="fr-FR"/>
        </w:rPr>
        <w:t>tels que l</w:t>
      </w:r>
      <w:r w:rsidR="00133FD4" w:rsidRPr="00F13051">
        <w:rPr>
          <w:lang w:val="fr-FR"/>
        </w:rPr>
        <w:t>’</w:t>
      </w:r>
      <w:r w:rsidRPr="00F13051">
        <w:rPr>
          <w:lang w:val="fr-FR"/>
        </w:rPr>
        <w:t>âge, le sexe et les habitudes de consommation d</w:t>
      </w:r>
      <w:r w:rsidR="0032673B" w:rsidRPr="00F13051">
        <w:rPr>
          <w:lang w:val="fr-FR"/>
        </w:rPr>
        <w:t>e</w:t>
      </w:r>
      <w:r w:rsidRPr="00F13051">
        <w:rPr>
          <w:lang w:val="fr-FR"/>
        </w:rPr>
        <w:t xml:space="preserve"> poisson</w:t>
      </w:r>
      <w:r w:rsidR="0032673B" w:rsidRPr="00F13051">
        <w:rPr>
          <w:lang w:val="fr-FR"/>
        </w:rPr>
        <w:t>s</w:t>
      </w:r>
      <w:r w:rsidRPr="00F13051">
        <w:rPr>
          <w:lang w:val="fr-FR"/>
        </w:rPr>
        <w:t xml:space="preserve"> (recueillis au moyen d</w:t>
      </w:r>
      <w:r w:rsidR="00133FD4" w:rsidRPr="00F13051">
        <w:rPr>
          <w:lang w:val="fr-FR"/>
        </w:rPr>
        <w:t>’</w:t>
      </w:r>
      <w:r w:rsidRPr="00F13051">
        <w:rPr>
          <w:lang w:val="fr-FR"/>
        </w:rPr>
        <w:t>un questionnaire) au sein d</w:t>
      </w:r>
      <w:r w:rsidR="00133FD4" w:rsidRPr="00F13051">
        <w:rPr>
          <w:lang w:val="fr-FR"/>
        </w:rPr>
        <w:t>’</w:t>
      </w:r>
      <w:r w:rsidRPr="00F13051">
        <w:rPr>
          <w:lang w:val="fr-FR"/>
        </w:rPr>
        <w:t>un ensemble de données commun. Le protocole de l</w:t>
      </w:r>
      <w:r w:rsidR="00133FD4" w:rsidRPr="00F13051">
        <w:rPr>
          <w:lang w:val="fr-FR"/>
        </w:rPr>
        <w:t>’</w:t>
      </w:r>
      <w:r w:rsidRPr="00F13051">
        <w:rPr>
          <w:lang w:val="fr-FR"/>
        </w:rPr>
        <w:t>OMS traite en outre des difficultés de communication des données et les évaluations de la santé humaine réalisées par l</w:t>
      </w:r>
      <w:r w:rsidR="00133FD4" w:rsidRPr="00F13051">
        <w:rPr>
          <w:lang w:val="fr-FR"/>
        </w:rPr>
        <w:t>’</w:t>
      </w:r>
      <w:r w:rsidRPr="00F13051">
        <w:rPr>
          <w:lang w:val="fr-FR"/>
        </w:rPr>
        <w:t>AMAP se penchent sur ces difficultés dans le cas spécifique des peuples autochtones</w:t>
      </w:r>
      <w:r w:rsidR="00F00C44" w:rsidRPr="00F13051">
        <w:rPr>
          <w:lang w:val="fr-FR"/>
        </w:rPr>
        <w:t xml:space="preserve"> d</w:t>
      </w:r>
      <w:r w:rsidR="0032673B" w:rsidRPr="00F13051">
        <w:rPr>
          <w:lang w:val="fr-FR"/>
        </w:rPr>
        <w:t>e</w:t>
      </w:r>
      <w:r w:rsidR="00F00C44" w:rsidRPr="00F13051">
        <w:rPr>
          <w:lang w:val="fr-FR"/>
        </w:rPr>
        <w:t xml:space="preserve"> la région de l’Arctique</w:t>
      </w:r>
      <w:r w:rsidRPr="00F13051">
        <w:rPr>
          <w:lang w:val="fr-FR"/>
        </w:rPr>
        <w:t xml:space="preserve">. Les difficultés de communication comprennent la communication des résultats obtenus </w:t>
      </w:r>
      <w:r w:rsidR="0032673B" w:rsidRPr="00F13051">
        <w:rPr>
          <w:lang w:val="fr-FR"/>
        </w:rPr>
        <w:t xml:space="preserve">dans </w:t>
      </w:r>
      <w:r w:rsidR="005947B9" w:rsidRPr="00F13051">
        <w:rPr>
          <w:lang w:val="fr-FR"/>
        </w:rPr>
        <w:t>un</w:t>
      </w:r>
      <w:r w:rsidRPr="00F13051">
        <w:rPr>
          <w:lang w:val="fr-FR"/>
        </w:rPr>
        <w:t xml:space="preserve"> pays aux individus participant à l</w:t>
      </w:r>
      <w:r w:rsidR="00133FD4" w:rsidRPr="00F13051">
        <w:rPr>
          <w:lang w:val="fr-FR"/>
        </w:rPr>
        <w:t>’</w:t>
      </w:r>
      <w:r w:rsidRPr="00F13051">
        <w:rPr>
          <w:lang w:val="fr-FR"/>
        </w:rPr>
        <w:t>étude et aux décideurs. Il est à noter que certains pays peuvent déjà être dotés de directives nationales pour la communication des résultats.</w:t>
      </w:r>
    </w:p>
    <w:p w14:paraId="6C076316" w14:textId="47D57CFD" w:rsidR="0015792A" w:rsidRPr="00F13051" w:rsidRDefault="004F110C" w:rsidP="00E1136D">
      <w:pPr>
        <w:pStyle w:val="Normalnumber"/>
        <w:rPr>
          <w:lang w:val="fr-FR"/>
        </w:rPr>
      </w:pPr>
      <w:r w:rsidRPr="00F13051">
        <w:rPr>
          <w:lang w:val="fr-FR"/>
        </w:rPr>
        <w:t>Le projet intitulé « Élabor</w:t>
      </w:r>
      <w:r w:rsidR="001A486B" w:rsidRPr="00F13051">
        <w:rPr>
          <w:lang w:val="fr-FR"/>
        </w:rPr>
        <w:t>er</w:t>
      </w:r>
      <w:r w:rsidRPr="00F13051">
        <w:rPr>
          <w:lang w:val="fr-FR"/>
        </w:rPr>
        <w:t xml:space="preserve"> un plan pour la surveillance mondiale de l</w:t>
      </w:r>
      <w:r w:rsidR="00133FD4" w:rsidRPr="00F13051">
        <w:rPr>
          <w:lang w:val="fr-FR"/>
        </w:rPr>
        <w:t>’</w:t>
      </w:r>
      <w:r w:rsidRPr="00F13051">
        <w:rPr>
          <w:lang w:val="fr-FR"/>
        </w:rPr>
        <w:t>exposition humaine au mercure et des concentrations de mercure dans l</w:t>
      </w:r>
      <w:r w:rsidR="00133FD4" w:rsidRPr="00F13051">
        <w:rPr>
          <w:lang w:val="fr-FR"/>
        </w:rPr>
        <w:t>’</w:t>
      </w:r>
      <w:r w:rsidRPr="00F13051">
        <w:rPr>
          <w:lang w:val="fr-FR"/>
        </w:rPr>
        <w:t>en</w:t>
      </w:r>
      <w:r w:rsidR="00E86C32" w:rsidRPr="00F13051">
        <w:rPr>
          <w:lang w:val="fr-FR"/>
        </w:rPr>
        <w:t>vironnement » (voir le document </w:t>
      </w:r>
      <w:r w:rsidRPr="00F13051">
        <w:rPr>
          <w:lang w:val="fr-FR"/>
        </w:rPr>
        <w:t xml:space="preserve">UNEP/MC/COP.3/INF/19) </w:t>
      </w:r>
      <w:r w:rsidR="0032673B" w:rsidRPr="00F13051">
        <w:rPr>
          <w:lang w:val="fr-FR"/>
        </w:rPr>
        <w:t xml:space="preserve">financé par le FEM </w:t>
      </w:r>
      <w:r w:rsidRPr="00F13051">
        <w:rPr>
          <w:lang w:val="fr-FR"/>
        </w:rPr>
        <w:t xml:space="preserve">a fait apparaître que </w:t>
      </w:r>
      <w:r w:rsidR="0032673B" w:rsidRPr="00F13051">
        <w:rPr>
          <w:lang w:val="fr-FR"/>
        </w:rPr>
        <w:t xml:space="preserve">dans les pays en développement, </w:t>
      </w:r>
      <w:r w:rsidRPr="00F13051">
        <w:rPr>
          <w:lang w:val="fr-FR"/>
        </w:rPr>
        <w:t xml:space="preserve">la production de données </w:t>
      </w:r>
      <w:r w:rsidR="0032673B" w:rsidRPr="00F13051">
        <w:rPr>
          <w:lang w:val="fr-FR"/>
        </w:rPr>
        <w:t xml:space="preserve">selon le </w:t>
      </w:r>
      <w:r w:rsidRPr="00F13051">
        <w:rPr>
          <w:lang w:val="fr-FR"/>
        </w:rPr>
        <w:t>protocole de l</w:t>
      </w:r>
      <w:r w:rsidR="00133FD4" w:rsidRPr="00F13051">
        <w:rPr>
          <w:lang w:val="fr-FR"/>
        </w:rPr>
        <w:t>’</w:t>
      </w:r>
      <w:r w:rsidRPr="00F13051">
        <w:rPr>
          <w:lang w:val="fr-FR"/>
        </w:rPr>
        <w:t xml:space="preserve">OMS est </w:t>
      </w:r>
      <w:r w:rsidR="0032673B" w:rsidRPr="00F13051">
        <w:rPr>
          <w:lang w:val="fr-FR"/>
        </w:rPr>
        <w:t>peu coûteuse</w:t>
      </w:r>
      <w:r w:rsidRPr="00F13051">
        <w:rPr>
          <w:lang w:val="fr-FR"/>
        </w:rPr>
        <w:t xml:space="preserve">, </w:t>
      </w:r>
      <w:r w:rsidR="003A6046" w:rsidRPr="00F13051">
        <w:rPr>
          <w:lang w:val="fr-FR"/>
        </w:rPr>
        <w:t>pratique</w:t>
      </w:r>
      <w:r w:rsidRPr="00F13051">
        <w:rPr>
          <w:lang w:val="fr-FR"/>
        </w:rPr>
        <w:t xml:space="preserve"> et faisable. Le projet a renforcé les capacités locales à mener des études pertinentes, lesquelles peuvent par conséquent être reproduites </w:t>
      </w:r>
      <w:r w:rsidR="0032673B" w:rsidRPr="00F13051">
        <w:rPr>
          <w:lang w:val="fr-FR"/>
        </w:rPr>
        <w:t>au fil du temps</w:t>
      </w:r>
      <w:r w:rsidRPr="00F13051">
        <w:rPr>
          <w:lang w:val="fr-FR"/>
        </w:rPr>
        <w:t xml:space="preserve"> et </w:t>
      </w:r>
      <w:r w:rsidR="0032673B" w:rsidRPr="00F13051">
        <w:rPr>
          <w:lang w:val="fr-FR"/>
        </w:rPr>
        <w:t>à</w:t>
      </w:r>
      <w:r w:rsidRPr="00F13051">
        <w:rPr>
          <w:lang w:val="fr-FR"/>
        </w:rPr>
        <w:t xml:space="preserve"> divers endroits en vue de combler les lacunes.</w:t>
      </w:r>
    </w:p>
    <w:p w14:paraId="4E903176" w14:textId="2B22AB03" w:rsidR="004F110C" w:rsidRPr="00F13051" w:rsidRDefault="00582208" w:rsidP="00E1136D">
      <w:pPr>
        <w:pStyle w:val="CH2"/>
        <w:rPr>
          <w:bCs/>
          <w:lang w:val="fr-FR"/>
        </w:rPr>
      </w:pPr>
      <w:r w:rsidRPr="00F13051">
        <w:rPr>
          <w:lang w:val="fr-FR"/>
        </w:rPr>
        <w:tab/>
      </w:r>
      <w:r w:rsidR="00032AF5" w:rsidRPr="00F13051">
        <w:rPr>
          <w:lang w:val="fr-FR"/>
        </w:rPr>
        <w:t>C.</w:t>
      </w:r>
      <w:r w:rsidR="00032AF5" w:rsidRPr="00F13051">
        <w:rPr>
          <w:lang w:val="fr-FR"/>
        </w:rPr>
        <w:tab/>
      </w:r>
      <w:r w:rsidR="00032AF5" w:rsidRPr="00F13051">
        <w:rPr>
          <w:bCs/>
          <w:lang w:val="fr-FR"/>
        </w:rPr>
        <w:t>Milieu biotique</w:t>
      </w:r>
    </w:p>
    <w:p w14:paraId="0CC64A2C" w14:textId="53FB158C" w:rsidR="004F110C" w:rsidRPr="00F13051" w:rsidRDefault="004F110C" w:rsidP="00E1136D">
      <w:pPr>
        <w:pStyle w:val="Normalnumber"/>
        <w:rPr>
          <w:lang w:val="fr-FR"/>
        </w:rPr>
      </w:pPr>
      <w:r w:rsidRPr="00F13051">
        <w:rPr>
          <w:lang w:val="fr-FR"/>
        </w:rPr>
        <w:t>Il a été admis qu</w:t>
      </w:r>
      <w:r w:rsidR="00133FD4" w:rsidRPr="00F13051">
        <w:rPr>
          <w:lang w:val="fr-FR"/>
        </w:rPr>
        <w:t>’</w:t>
      </w:r>
      <w:r w:rsidRPr="00F13051">
        <w:rPr>
          <w:lang w:val="fr-FR"/>
        </w:rPr>
        <w:t xml:space="preserve">il existe une grande quantité de données publiées sur les concentrations de mercure dans le biote, ainsi que des données non publiées collectées à des fins commerciales et gouvernementales. Cependant, on ne sait pas dans quelle mesure les données publiées et autres </w:t>
      </w:r>
      <w:r w:rsidR="00573157" w:rsidRPr="00F13051">
        <w:rPr>
          <w:lang w:val="fr-FR"/>
        </w:rPr>
        <w:t xml:space="preserve">données </w:t>
      </w:r>
      <w:r w:rsidRPr="00F13051">
        <w:rPr>
          <w:lang w:val="fr-FR"/>
        </w:rPr>
        <w:t xml:space="preserve">sont représentatives des informations de référence sur les </w:t>
      </w:r>
      <w:r w:rsidR="00A36D4A" w:rsidRPr="00F13051">
        <w:rPr>
          <w:lang w:val="fr-FR"/>
        </w:rPr>
        <w:t>concentrations de mercure</w:t>
      </w:r>
      <w:r w:rsidRPr="00F13051">
        <w:rPr>
          <w:lang w:val="fr-FR"/>
        </w:rPr>
        <w:t xml:space="preserve">, ni si les données existantes privilégient les zones </w:t>
      </w:r>
      <w:r w:rsidR="00CA5CBD" w:rsidRPr="00F13051">
        <w:rPr>
          <w:lang w:val="fr-FR"/>
        </w:rPr>
        <w:t>censées présenter</w:t>
      </w:r>
      <w:r w:rsidRPr="00F13051">
        <w:rPr>
          <w:lang w:val="fr-FR"/>
        </w:rPr>
        <w:t xml:space="preserve"> de</w:t>
      </w:r>
      <w:r w:rsidR="00C7075F" w:rsidRPr="00F13051">
        <w:rPr>
          <w:lang w:val="fr-FR"/>
        </w:rPr>
        <w:t xml:space="preserve">s </w:t>
      </w:r>
      <w:r w:rsidR="00A36D4A" w:rsidRPr="00F13051">
        <w:rPr>
          <w:lang w:val="fr-FR"/>
        </w:rPr>
        <w:t xml:space="preserve">concentrations </w:t>
      </w:r>
      <w:r w:rsidR="00C7075F" w:rsidRPr="00F13051">
        <w:rPr>
          <w:lang w:val="fr-FR"/>
        </w:rPr>
        <w:t xml:space="preserve">élevées </w:t>
      </w:r>
      <w:r w:rsidR="00A36D4A" w:rsidRPr="00F13051">
        <w:rPr>
          <w:lang w:val="fr-FR"/>
        </w:rPr>
        <w:t>de mercure</w:t>
      </w:r>
      <w:r w:rsidRPr="00F13051">
        <w:rPr>
          <w:lang w:val="fr-FR"/>
        </w:rPr>
        <w:t>. Comme indiqué plus haut, les grands ensembles de données sur les concentrations de mercure dans le biote provenant du nord des États-Unis d</w:t>
      </w:r>
      <w:r w:rsidR="00133FD4" w:rsidRPr="00F13051">
        <w:rPr>
          <w:lang w:val="fr-FR"/>
        </w:rPr>
        <w:t>’</w:t>
      </w:r>
      <w:r w:rsidRPr="00F13051">
        <w:rPr>
          <w:lang w:val="fr-FR"/>
        </w:rPr>
        <w:t xml:space="preserve">Amérique, du Canada et de la Scandinavie ont montré que les </w:t>
      </w:r>
      <w:r w:rsidR="00CA5CBD" w:rsidRPr="00F13051">
        <w:rPr>
          <w:lang w:val="fr-FR"/>
        </w:rPr>
        <w:t>taux</w:t>
      </w:r>
      <w:r w:rsidRPr="00F13051">
        <w:rPr>
          <w:lang w:val="fr-FR"/>
        </w:rPr>
        <w:t xml:space="preserve"> de mercure des poissons d</w:t>
      </w:r>
      <w:r w:rsidR="00133FD4" w:rsidRPr="00F13051">
        <w:rPr>
          <w:lang w:val="fr-FR"/>
        </w:rPr>
        <w:t>’</w:t>
      </w:r>
      <w:r w:rsidRPr="00F13051">
        <w:rPr>
          <w:lang w:val="fr-FR"/>
        </w:rPr>
        <w:t xml:space="preserve">eau douce provenant de lacs </w:t>
      </w:r>
      <w:r w:rsidR="00CA5CBD" w:rsidRPr="00F13051">
        <w:rPr>
          <w:lang w:val="fr-FR"/>
        </w:rPr>
        <w:t xml:space="preserve">situés </w:t>
      </w:r>
      <w:r w:rsidRPr="00F13051">
        <w:rPr>
          <w:lang w:val="fr-FR"/>
        </w:rPr>
        <w:t>à proximité de sources de mercure locales étaient conformes aux réglementations et aux règles de gestion. Il importe d</w:t>
      </w:r>
      <w:r w:rsidR="00133FD4" w:rsidRPr="00F13051">
        <w:rPr>
          <w:lang w:val="fr-FR"/>
        </w:rPr>
        <w:t>’</w:t>
      </w:r>
      <w:r w:rsidRPr="00F13051">
        <w:rPr>
          <w:lang w:val="fr-FR"/>
        </w:rPr>
        <w:t>évaluer plus avant les données existantes afin de rassembler l</w:t>
      </w:r>
      <w:r w:rsidR="00133FD4" w:rsidRPr="00F13051">
        <w:rPr>
          <w:lang w:val="fr-FR"/>
        </w:rPr>
        <w:t>’</w:t>
      </w:r>
      <w:r w:rsidRPr="00F13051">
        <w:rPr>
          <w:lang w:val="fr-FR"/>
        </w:rPr>
        <w:t>ensemble des données disponibles et représentatives à l</w:t>
      </w:r>
      <w:r w:rsidR="00133FD4" w:rsidRPr="00F13051">
        <w:rPr>
          <w:lang w:val="fr-FR"/>
        </w:rPr>
        <w:t>’</w:t>
      </w:r>
      <w:r w:rsidR="006C44BC" w:rsidRPr="00F13051">
        <w:rPr>
          <w:lang w:val="fr-FR"/>
        </w:rPr>
        <w:t>échelle</w:t>
      </w:r>
      <w:r w:rsidRPr="00F13051">
        <w:rPr>
          <w:lang w:val="fr-FR"/>
        </w:rPr>
        <w:t xml:space="preserve"> mondiale sur le mercure biotique, en vue de déterminer les données pertinentes, comparables et susceptibles d</w:t>
      </w:r>
      <w:r w:rsidR="00133FD4" w:rsidRPr="00F13051">
        <w:rPr>
          <w:lang w:val="fr-FR"/>
        </w:rPr>
        <w:t>’</w:t>
      </w:r>
      <w:r w:rsidRPr="00F13051">
        <w:rPr>
          <w:lang w:val="fr-FR"/>
        </w:rPr>
        <w:t xml:space="preserve">être harmonisées. Ce processus a été </w:t>
      </w:r>
      <w:r w:rsidR="00CA5CBD" w:rsidRPr="00F13051">
        <w:rPr>
          <w:lang w:val="fr-FR"/>
        </w:rPr>
        <w:t xml:space="preserve">amorcé </w:t>
      </w:r>
      <w:r w:rsidR="00573157" w:rsidRPr="00F13051">
        <w:rPr>
          <w:lang w:val="fr-FR"/>
        </w:rPr>
        <w:t>pour</w:t>
      </w:r>
      <w:r w:rsidRPr="00F13051">
        <w:rPr>
          <w:lang w:val="fr-FR"/>
        </w:rPr>
        <w:t xml:space="preserve"> l</w:t>
      </w:r>
      <w:r w:rsidR="00133FD4" w:rsidRPr="00F13051">
        <w:rPr>
          <w:lang w:val="fr-FR"/>
        </w:rPr>
        <w:t>’</w:t>
      </w:r>
      <w:r w:rsidRPr="00F13051">
        <w:rPr>
          <w:lang w:val="fr-FR"/>
        </w:rPr>
        <w:t>ensemble de données de la base de données Global Biotic Mercury Synthesis, qui permettra de déterminer plus précisément les lacunes géographiques et taxonomiques en matière de données.</w:t>
      </w:r>
    </w:p>
    <w:p w14:paraId="2E182658" w14:textId="111E5D50" w:rsidR="004F110C" w:rsidRPr="00F13051" w:rsidRDefault="004F110C" w:rsidP="00313C0D">
      <w:pPr>
        <w:pStyle w:val="Normalnumber"/>
        <w:keepNext/>
        <w:keepLines/>
        <w:rPr>
          <w:lang w:val="fr-FR"/>
        </w:rPr>
      </w:pPr>
      <w:r w:rsidRPr="00F13051">
        <w:rPr>
          <w:lang w:val="fr-FR"/>
        </w:rPr>
        <w:t>L</w:t>
      </w:r>
      <w:r w:rsidR="00133FD4" w:rsidRPr="00F13051">
        <w:rPr>
          <w:lang w:val="fr-FR"/>
        </w:rPr>
        <w:t>’</w:t>
      </w:r>
      <w:r w:rsidRPr="00F13051">
        <w:rPr>
          <w:lang w:val="fr-FR"/>
        </w:rPr>
        <w:t>AMAP constitue l</w:t>
      </w:r>
      <w:r w:rsidR="00133FD4" w:rsidRPr="00F13051">
        <w:rPr>
          <w:lang w:val="fr-FR"/>
        </w:rPr>
        <w:t>’</w:t>
      </w:r>
      <w:r w:rsidRPr="00F13051">
        <w:rPr>
          <w:lang w:val="fr-FR"/>
        </w:rPr>
        <w:t>un des meilleurs exemples de la façon de mener un programme à long terme de biosurveillance du mercure sur le terrain en faveur de la santé humaine et écologique</w:t>
      </w:r>
      <w:r w:rsidR="00434271" w:rsidRPr="00F13051">
        <w:rPr>
          <w:rStyle w:val="FootnoteReference"/>
          <w:u w:color="FF0000"/>
          <w:lang w:val="fr-FR"/>
        </w:rPr>
        <w:footnoteReference w:id="9"/>
      </w:r>
      <w:r w:rsidR="00E86C32" w:rsidRPr="00F13051">
        <w:rPr>
          <w:lang w:val="fr-FR"/>
        </w:rPr>
        <w:t>. Le </w:t>
      </w:r>
      <w:r w:rsidRPr="00F13051">
        <w:rPr>
          <w:lang w:val="fr-FR"/>
        </w:rPr>
        <w:t>Programme de surveillance de la contamination des aliments est doté de l</w:t>
      </w:r>
      <w:r w:rsidR="00133FD4" w:rsidRPr="00F13051">
        <w:rPr>
          <w:lang w:val="fr-FR"/>
        </w:rPr>
        <w:t>’</w:t>
      </w:r>
      <w:r w:rsidRPr="00F13051">
        <w:rPr>
          <w:lang w:val="fr-FR"/>
        </w:rPr>
        <w:t xml:space="preserve">un des meilleurs systèmes dans le monde pour collecter des données sur le mercure dans </w:t>
      </w:r>
      <w:r w:rsidR="003D521B" w:rsidRPr="00F13051">
        <w:rPr>
          <w:lang w:val="fr-FR"/>
        </w:rPr>
        <w:t>le poisson</w:t>
      </w:r>
      <w:r w:rsidRPr="00F13051">
        <w:rPr>
          <w:lang w:val="fr-FR"/>
        </w:rPr>
        <w:t>, par le biais de son réseau de centres collaborateurs et d</w:t>
      </w:r>
      <w:r w:rsidR="00133FD4" w:rsidRPr="00F13051">
        <w:rPr>
          <w:lang w:val="fr-FR"/>
        </w:rPr>
        <w:t>’</w:t>
      </w:r>
      <w:r w:rsidRPr="00F13051">
        <w:rPr>
          <w:lang w:val="fr-FR"/>
        </w:rPr>
        <w:t>institutions nationales reconnues.</w:t>
      </w:r>
    </w:p>
    <w:p w14:paraId="6F83C5D3" w14:textId="2F631933" w:rsidR="004F110C" w:rsidRPr="00F13051" w:rsidRDefault="00582208" w:rsidP="00E1136D">
      <w:pPr>
        <w:pStyle w:val="CH2"/>
        <w:rPr>
          <w:bCs/>
          <w:lang w:val="fr-FR"/>
        </w:rPr>
      </w:pPr>
      <w:r w:rsidRPr="00F13051">
        <w:rPr>
          <w:lang w:val="fr-FR"/>
        </w:rPr>
        <w:tab/>
      </w:r>
      <w:r w:rsidR="00032AF5" w:rsidRPr="00F13051">
        <w:rPr>
          <w:lang w:val="fr-FR"/>
        </w:rPr>
        <w:t>D.</w:t>
      </w:r>
      <w:r w:rsidR="00032AF5" w:rsidRPr="00F13051">
        <w:rPr>
          <w:lang w:val="fr-FR"/>
        </w:rPr>
        <w:tab/>
      </w:r>
      <w:r w:rsidR="00032AF5" w:rsidRPr="00F13051">
        <w:rPr>
          <w:bCs/>
          <w:lang w:val="fr-FR"/>
        </w:rPr>
        <w:t>Analyse des coûts</w:t>
      </w:r>
    </w:p>
    <w:p w14:paraId="2D4910E9" w14:textId="75DB0EA6" w:rsidR="004F110C" w:rsidRPr="00F13051" w:rsidRDefault="004F110C" w:rsidP="00E1136D">
      <w:pPr>
        <w:pStyle w:val="Normalnumber"/>
        <w:rPr>
          <w:lang w:val="fr-FR"/>
        </w:rPr>
      </w:pPr>
      <w:r w:rsidRPr="00F13051">
        <w:rPr>
          <w:lang w:val="fr-FR"/>
        </w:rPr>
        <w:t xml:space="preserve">Le document UNEP/MC/COP.3/INF/15 comprend un tableau résumant le coût, le </w:t>
      </w:r>
      <w:r w:rsidR="00CA5CBD" w:rsidRPr="00F13051">
        <w:rPr>
          <w:lang w:val="fr-FR"/>
        </w:rPr>
        <w:t>réal</w:t>
      </w:r>
      <w:r w:rsidRPr="00F13051">
        <w:rPr>
          <w:lang w:val="fr-FR"/>
        </w:rPr>
        <w:t>isme, la faisabilité, la durabilité, la comparabilité et la couverture des méthodes employées actuellement pour surveiller l</w:t>
      </w:r>
      <w:r w:rsidR="00133FD4" w:rsidRPr="00F13051">
        <w:rPr>
          <w:lang w:val="fr-FR"/>
        </w:rPr>
        <w:t>’</w:t>
      </w:r>
      <w:r w:rsidRPr="00F13051">
        <w:rPr>
          <w:lang w:val="fr-FR"/>
        </w:rPr>
        <w:t>air, les êtres humains, le milieu biotique et l</w:t>
      </w:r>
      <w:r w:rsidR="00133FD4" w:rsidRPr="00F13051">
        <w:rPr>
          <w:lang w:val="fr-FR"/>
        </w:rPr>
        <w:t>’</w:t>
      </w:r>
      <w:r w:rsidRPr="00F13051">
        <w:rPr>
          <w:lang w:val="fr-FR"/>
        </w:rPr>
        <w:t>eau.</w:t>
      </w:r>
    </w:p>
    <w:p w14:paraId="671A8BCA" w14:textId="31741E51" w:rsidR="004F110C" w:rsidRPr="00F13051" w:rsidRDefault="00F5720B" w:rsidP="00F5720B">
      <w:pPr>
        <w:pStyle w:val="CH1"/>
        <w:rPr>
          <w:lang w:val="fr-FR"/>
        </w:rPr>
      </w:pPr>
      <w:r w:rsidRPr="00F13051">
        <w:rPr>
          <w:bCs/>
          <w:lang w:val="fr-FR"/>
        </w:rPr>
        <w:tab/>
        <w:t>IV.</w:t>
      </w:r>
      <w:r w:rsidRPr="00F13051">
        <w:rPr>
          <w:bCs/>
          <w:lang w:val="fr-FR"/>
        </w:rPr>
        <w:tab/>
      </w:r>
      <w:r w:rsidR="00B82C2A" w:rsidRPr="00F13051">
        <w:rPr>
          <w:bCs/>
          <w:lang w:val="fr-FR"/>
        </w:rPr>
        <w:t>Capacités de modélisation disponibles pour évaluer les</w:t>
      </w:r>
      <w:r w:rsidR="00313C0D" w:rsidRPr="00F13051">
        <w:rPr>
          <w:bCs/>
          <w:lang w:val="fr-FR"/>
        </w:rPr>
        <w:t> </w:t>
      </w:r>
      <w:r w:rsidR="00B82C2A" w:rsidRPr="00F13051">
        <w:rPr>
          <w:bCs/>
          <w:lang w:val="fr-FR"/>
        </w:rPr>
        <w:t>changements intervenus dans les concentrations de mercure au</w:t>
      </w:r>
      <w:r w:rsidR="00313C0D" w:rsidRPr="00F13051">
        <w:rPr>
          <w:bCs/>
          <w:lang w:val="fr-FR"/>
        </w:rPr>
        <w:t> </w:t>
      </w:r>
      <w:r w:rsidR="00B82C2A" w:rsidRPr="00F13051">
        <w:rPr>
          <w:bCs/>
          <w:lang w:val="fr-FR"/>
        </w:rPr>
        <w:t>niveau mondial dans chaque milieu et d</w:t>
      </w:r>
      <w:r w:rsidR="00133FD4" w:rsidRPr="00F13051">
        <w:rPr>
          <w:bCs/>
          <w:lang w:val="fr-FR"/>
        </w:rPr>
        <w:t>’</w:t>
      </w:r>
      <w:r w:rsidR="00B82C2A" w:rsidRPr="00F13051">
        <w:rPr>
          <w:bCs/>
          <w:lang w:val="fr-FR"/>
        </w:rPr>
        <w:t>un milieu à l</w:t>
      </w:r>
      <w:r w:rsidR="00133FD4" w:rsidRPr="00F13051">
        <w:rPr>
          <w:bCs/>
          <w:lang w:val="fr-FR"/>
        </w:rPr>
        <w:t>’</w:t>
      </w:r>
      <w:r w:rsidR="00B82C2A" w:rsidRPr="00F13051">
        <w:rPr>
          <w:bCs/>
          <w:lang w:val="fr-FR"/>
        </w:rPr>
        <w:t>autre</w:t>
      </w:r>
      <w:bookmarkStart w:id="4" w:name="_Hlk15566111"/>
    </w:p>
    <w:p w14:paraId="0071B9BA" w14:textId="6A65F875" w:rsidR="004F110C" w:rsidRPr="00F13051" w:rsidRDefault="004F110C" w:rsidP="00E1136D">
      <w:pPr>
        <w:pStyle w:val="Normalnumber"/>
        <w:rPr>
          <w:lang w:val="fr-FR"/>
        </w:rPr>
      </w:pPr>
      <w:r w:rsidRPr="00F13051">
        <w:rPr>
          <w:lang w:val="fr-FR"/>
        </w:rPr>
        <w:t xml:space="preserve">Le tableau </w:t>
      </w:r>
      <w:r w:rsidR="00F00C44" w:rsidRPr="00F13051">
        <w:rPr>
          <w:lang w:val="fr-FR"/>
        </w:rPr>
        <w:t>ci-dessous</w:t>
      </w:r>
      <w:r w:rsidRPr="00F13051">
        <w:rPr>
          <w:lang w:val="fr-FR"/>
        </w:rPr>
        <w:t xml:space="preserve"> résume l</w:t>
      </w:r>
      <w:r w:rsidR="007F7997" w:rsidRPr="00F13051">
        <w:rPr>
          <w:lang w:val="fr-FR"/>
        </w:rPr>
        <w:t>’aptitude</w:t>
      </w:r>
      <w:r w:rsidRPr="00F13051">
        <w:rPr>
          <w:lang w:val="fr-FR"/>
        </w:rPr>
        <w:t xml:space="preserve"> des modèles à évaluer les changements intervenus dans les concentrations de mercure au niveau mondial dans chaque milieu et d</w:t>
      </w:r>
      <w:r w:rsidR="00133FD4" w:rsidRPr="00F13051">
        <w:rPr>
          <w:lang w:val="fr-FR"/>
        </w:rPr>
        <w:t>’</w:t>
      </w:r>
      <w:r w:rsidRPr="00F13051">
        <w:rPr>
          <w:lang w:val="fr-FR"/>
        </w:rPr>
        <w:t>un milieu à l</w:t>
      </w:r>
      <w:r w:rsidR="00133FD4" w:rsidRPr="00F13051">
        <w:rPr>
          <w:lang w:val="fr-FR"/>
        </w:rPr>
        <w:t>’</w:t>
      </w:r>
      <w:r w:rsidRPr="00F13051">
        <w:rPr>
          <w:lang w:val="fr-FR"/>
        </w:rPr>
        <w:t>autre. Les modèles pour différents milieux (air, eau, sols et biote) présentent des capacités différentes de simulation du déplacement du mercure dans ces milieux et se situent à divers stades de développement. Les modèles atmosphériques ont été évalués de manière approfondie et permettent l</w:t>
      </w:r>
      <w:r w:rsidR="00133FD4" w:rsidRPr="00F13051">
        <w:rPr>
          <w:lang w:val="fr-FR"/>
        </w:rPr>
        <w:t>’</w:t>
      </w:r>
      <w:r w:rsidRPr="00F13051">
        <w:rPr>
          <w:lang w:val="fr-FR"/>
        </w:rPr>
        <w:t>évaluation des gradients spatiaux en matière de concentrations et de dépôts de mercure atmosphérique, ainsi que des modifications temporelles, pourvu que des données géoréférencées de haute qualité sur les émissions soient disponibles. En revanche, les modèles pour d</w:t>
      </w:r>
      <w:r w:rsidR="00133FD4" w:rsidRPr="00F13051">
        <w:rPr>
          <w:lang w:val="fr-FR"/>
        </w:rPr>
        <w:t>’</w:t>
      </w:r>
      <w:r w:rsidRPr="00F13051">
        <w:rPr>
          <w:lang w:val="fr-FR"/>
        </w:rPr>
        <w:t>autres milieux, tels que les sols, sont encore principalement utilisés à des fins de recherche. On trouvera des explications s</w:t>
      </w:r>
      <w:r w:rsidR="00E86C32" w:rsidRPr="00F13051">
        <w:rPr>
          <w:lang w:val="fr-FR"/>
        </w:rPr>
        <w:t>upplémentaires dans le document </w:t>
      </w:r>
      <w:r w:rsidRPr="00F13051">
        <w:rPr>
          <w:lang w:val="fr-FR"/>
        </w:rPr>
        <w:t>UNEP/MC/COP.3/INF/15, y compris des références à des modèles existants et un échantillon géographique de calculs tirés de modèles existants.</w:t>
      </w:r>
      <w:bookmarkEnd w:id="4"/>
    </w:p>
    <w:p w14:paraId="25EEB2EB" w14:textId="5E953F6D" w:rsidR="004F110C" w:rsidRPr="00F13051" w:rsidRDefault="004F110C" w:rsidP="00E1136D">
      <w:pPr>
        <w:pStyle w:val="Normalnumber"/>
        <w:rPr>
          <w:lang w:val="fr-FR"/>
        </w:rPr>
      </w:pPr>
      <w:r w:rsidRPr="00F13051">
        <w:rPr>
          <w:lang w:val="fr-FR"/>
        </w:rPr>
        <w:t>Les cadres de modélisation intégrés peuvent donner à voir les itinéraires permettant aux rejets primaires de mercure dans l</w:t>
      </w:r>
      <w:r w:rsidR="00133FD4" w:rsidRPr="00F13051">
        <w:rPr>
          <w:lang w:val="fr-FR"/>
        </w:rPr>
        <w:t>’</w:t>
      </w:r>
      <w:r w:rsidRPr="00F13051">
        <w:rPr>
          <w:lang w:val="fr-FR"/>
        </w:rPr>
        <w:t>atmosphère, les sols et l</w:t>
      </w:r>
      <w:r w:rsidR="00133FD4" w:rsidRPr="00F13051">
        <w:rPr>
          <w:lang w:val="fr-FR"/>
        </w:rPr>
        <w:t>’</w:t>
      </w:r>
      <w:r w:rsidRPr="00F13051">
        <w:rPr>
          <w:lang w:val="fr-FR"/>
        </w:rPr>
        <w:t>eau d</w:t>
      </w:r>
      <w:r w:rsidR="00133FD4" w:rsidRPr="00F13051">
        <w:rPr>
          <w:lang w:val="fr-FR"/>
        </w:rPr>
        <w:t>’</w:t>
      </w:r>
      <w:r w:rsidRPr="00F13051">
        <w:rPr>
          <w:lang w:val="fr-FR"/>
        </w:rPr>
        <w:t>atteindre les poissons et les espèces sauvage sous forme de méthylmercure, ainsi que l</w:t>
      </w:r>
      <w:r w:rsidR="00133FD4" w:rsidRPr="00F13051">
        <w:rPr>
          <w:lang w:val="fr-FR"/>
        </w:rPr>
        <w:t>’</w:t>
      </w:r>
      <w:r w:rsidRPr="00F13051">
        <w:rPr>
          <w:lang w:val="fr-FR"/>
        </w:rPr>
        <w:t>exposition au mercure de certaines populations humaines consommatrices de poisson. Des cadres de modélisation intégrés sont en cours d</w:t>
      </w:r>
      <w:r w:rsidR="00133FD4" w:rsidRPr="00F13051">
        <w:rPr>
          <w:lang w:val="fr-FR"/>
        </w:rPr>
        <w:t>’</w:t>
      </w:r>
      <w:r w:rsidRPr="00F13051">
        <w:rPr>
          <w:lang w:val="fr-FR"/>
        </w:rPr>
        <w:t>élaboration et sont accessibles en tant que produits de recherche. Les modèles intégrés n</w:t>
      </w:r>
      <w:r w:rsidR="00133FD4" w:rsidRPr="00F13051">
        <w:rPr>
          <w:lang w:val="fr-FR"/>
        </w:rPr>
        <w:t>’</w:t>
      </w:r>
      <w:r w:rsidRPr="00F13051">
        <w:rPr>
          <w:lang w:val="fr-FR"/>
        </w:rPr>
        <w:t>ont jusqu</w:t>
      </w:r>
      <w:r w:rsidR="00133FD4" w:rsidRPr="00F13051">
        <w:rPr>
          <w:lang w:val="fr-FR"/>
        </w:rPr>
        <w:t>’</w:t>
      </w:r>
      <w:r w:rsidRPr="00F13051">
        <w:rPr>
          <w:lang w:val="fr-FR"/>
        </w:rPr>
        <w:t>ici pas été appliqués ou comparés dans le cadre des efforts d</w:t>
      </w:r>
      <w:r w:rsidR="00133FD4" w:rsidRPr="00F13051">
        <w:rPr>
          <w:lang w:val="fr-FR"/>
        </w:rPr>
        <w:t>’</w:t>
      </w:r>
      <w:r w:rsidRPr="00F13051">
        <w:rPr>
          <w:lang w:val="fr-FR"/>
        </w:rPr>
        <w:t>évaluation à l</w:t>
      </w:r>
      <w:r w:rsidR="00133FD4" w:rsidRPr="00F13051">
        <w:rPr>
          <w:lang w:val="fr-FR"/>
        </w:rPr>
        <w:t>’</w:t>
      </w:r>
      <w:r w:rsidRPr="00F13051">
        <w:rPr>
          <w:lang w:val="fr-FR"/>
        </w:rPr>
        <w:t xml:space="preserve">échelle mondiale. Quelques groupes de recherche ont publié des modèles </w:t>
      </w:r>
      <w:r w:rsidR="00960DF8" w:rsidRPr="00F13051">
        <w:rPr>
          <w:lang w:val="fr-FR"/>
        </w:rPr>
        <w:t xml:space="preserve">couplés </w:t>
      </w:r>
      <w:r w:rsidRPr="00F13051">
        <w:rPr>
          <w:lang w:val="fr-FR"/>
        </w:rPr>
        <w:t>atmosphère-océan et atmosphère-sols qui ont fait l</w:t>
      </w:r>
      <w:r w:rsidR="00133FD4" w:rsidRPr="00F13051">
        <w:rPr>
          <w:lang w:val="fr-FR"/>
        </w:rPr>
        <w:t>’</w:t>
      </w:r>
      <w:r w:rsidRPr="00F13051">
        <w:rPr>
          <w:lang w:val="fr-FR"/>
        </w:rPr>
        <w:t>objet d</w:t>
      </w:r>
      <w:r w:rsidR="00133FD4" w:rsidRPr="00F13051">
        <w:rPr>
          <w:lang w:val="fr-FR"/>
        </w:rPr>
        <w:t>’</w:t>
      </w:r>
      <w:r w:rsidRPr="00F13051">
        <w:rPr>
          <w:lang w:val="fr-FR"/>
        </w:rPr>
        <w:t>un examen par les pairs et l</w:t>
      </w:r>
      <w:r w:rsidR="00133FD4" w:rsidRPr="00F13051">
        <w:rPr>
          <w:lang w:val="fr-FR"/>
        </w:rPr>
        <w:t>’</w:t>
      </w:r>
      <w:r w:rsidRPr="00F13051">
        <w:rPr>
          <w:lang w:val="fr-FR"/>
        </w:rPr>
        <w:t>évaluation de modèles supplémentaires devrait donner lieu à des mises à jour, à temps pour lancer, d</w:t>
      </w:r>
      <w:r w:rsidR="00133FD4" w:rsidRPr="00F13051">
        <w:rPr>
          <w:lang w:val="fr-FR"/>
        </w:rPr>
        <w:t>’</w:t>
      </w:r>
      <w:r w:rsidRPr="00F13051">
        <w:rPr>
          <w:lang w:val="fr-FR"/>
        </w:rPr>
        <w:t>ici 2023, des analyses utiles à l</w:t>
      </w:r>
      <w:r w:rsidR="00133FD4" w:rsidRPr="00F13051">
        <w:rPr>
          <w:lang w:val="fr-FR"/>
        </w:rPr>
        <w:t>’</w:t>
      </w:r>
      <w:r w:rsidRPr="00F13051">
        <w:rPr>
          <w:lang w:val="fr-FR"/>
        </w:rPr>
        <w:t>élaboration de politiques. Des modèles relatifs à la bioaccumulation de méthylmercure dans les réseaux trophiques ont également été mis à disposition par certains groupes et peuvent servir à décrire les modes d</w:t>
      </w:r>
      <w:r w:rsidR="00133FD4" w:rsidRPr="00F13051">
        <w:rPr>
          <w:lang w:val="fr-FR"/>
        </w:rPr>
        <w:t>’</w:t>
      </w:r>
      <w:r w:rsidRPr="00F13051">
        <w:rPr>
          <w:lang w:val="fr-FR"/>
        </w:rPr>
        <w:t>accumulation à l</w:t>
      </w:r>
      <w:r w:rsidR="00133FD4" w:rsidRPr="00F13051">
        <w:rPr>
          <w:lang w:val="fr-FR"/>
        </w:rPr>
        <w:t>’</w:t>
      </w:r>
      <w:r w:rsidRPr="00F13051">
        <w:rPr>
          <w:lang w:val="fr-FR"/>
        </w:rPr>
        <w:t>échelle des écosystèmes (lacs, zones humides, estuaires, sites contaminés)</w:t>
      </w:r>
      <w:r w:rsidR="00673093" w:rsidRPr="00F13051">
        <w:rPr>
          <w:lang w:val="fr-FR"/>
        </w:rPr>
        <w:t xml:space="preserve"> et dans</w:t>
      </w:r>
      <w:r w:rsidRPr="00F13051">
        <w:rPr>
          <w:lang w:val="fr-FR"/>
        </w:rPr>
        <w:t xml:space="preserve"> les réseaux trophiques marins mondiaux. Le lien le plus difficile à établir dans les cadres de modélisation intégrés est celui entre l</w:t>
      </w:r>
      <w:r w:rsidR="00133FD4" w:rsidRPr="00F13051">
        <w:rPr>
          <w:lang w:val="fr-FR"/>
        </w:rPr>
        <w:t>’</w:t>
      </w:r>
      <w:r w:rsidRPr="00F13051">
        <w:rPr>
          <w:lang w:val="fr-FR"/>
        </w:rPr>
        <w:t>exposition humaine et les conséquences sanitaires, en raison de la diversité des préférences alimentaires</w:t>
      </w:r>
      <w:r w:rsidR="004504D3" w:rsidRPr="00F13051">
        <w:rPr>
          <w:lang w:val="fr-FR"/>
        </w:rPr>
        <w:t xml:space="preserve"> et</w:t>
      </w:r>
      <w:r w:rsidRPr="00F13051">
        <w:rPr>
          <w:lang w:val="fr-FR"/>
        </w:rPr>
        <w:t xml:space="preserve"> </w:t>
      </w:r>
      <w:r w:rsidR="004504D3" w:rsidRPr="00F13051">
        <w:rPr>
          <w:lang w:val="fr-FR"/>
        </w:rPr>
        <w:t>d</w:t>
      </w:r>
      <w:r w:rsidRPr="00F13051">
        <w:rPr>
          <w:lang w:val="fr-FR"/>
        </w:rPr>
        <w:t xml:space="preserve">es modes de consommation des aliments et la variabilité individuelle en matière de toxicocinétique </w:t>
      </w:r>
      <w:r w:rsidR="00673093" w:rsidRPr="00F13051">
        <w:rPr>
          <w:lang w:val="fr-FR"/>
        </w:rPr>
        <w:t xml:space="preserve">qui influe sur </w:t>
      </w:r>
      <w:r w:rsidRPr="00F13051">
        <w:rPr>
          <w:lang w:val="fr-FR"/>
        </w:rPr>
        <w:t>l</w:t>
      </w:r>
      <w:r w:rsidR="00133FD4" w:rsidRPr="00F13051">
        <w:rPr>
          <w:lang w:val="fr-FR"/>
        </w:rPr>
        <w:t>’</w:t>
      </w:r>
      <w:r w:rsidRPr="00F13051">
        <w:rPr>
          <w:lang w:val="fr-FR"/>
        </w:rPr>
        <w:t>absorption et l</w:t>
      </w:r>
      <w:r w:rsidR="00133FD4" w:rsidRPr="00F13051">
        <w:rPr>
          <w:lang w:val="fr-FR"/>
        </w:rPr>
        <w:t>’</w:t>
      </w:r>
      <w:r w:rsidRPr="00F13051">
        <w:rPr>
          <w:lang w:val="fr-FR"/>
        </w:rPr>
        <w:t xml:space="preserve">élimination du méthylmercure. </w:t>
      </w:r>
      <w:r w:rsidR="004504D3" w:rsidRPr="00F13051">
        <w:rPr>
          <w:lang w:val="fr-FR"/>
        </w:rPr>
        <w:t>C</w:t>
      </w:r>
      <w:r w:rsidRPr="00F13051">
        <w:rPr>
          <w:lang w:val="fr-FR"/>
        </w:rPr>
        <w:t xml:space="preserve">es </w:t>
      </w:r>
      <w:r w:rsidR="004504D3" w:rsidRPr="00F13051">
        <w:rPr>
          <w:lang w:val="fr-FR"/>
        </w:rPr>
        <w:t>éléments</w:t>
      </w:r>
      <w:r w:rsidRPr="00F13051">
        <w:rPr>
          <w:lang w:val="fr-FR"/>
        </w:rPr>
        <w:t xml:space="preserve"> des cadres de modélisation intégrés connaissent </w:t>
      </w:r>
      <w:r w:rsidR="004504D3" w:rsidRPr="00F13051">
        <w:rPr>
          <w:lang w:val="fr-FR"/>
        </w:rPr>
        <w:t xml:space="preserve">tous </w:t>
      </w:r>
      <w:r w:rsidRPr="00F13051">
        <w:rPr>
          <w:lang w:val="fr-FR"/>
        </w:rPr>
        <w:t>une évolution rapide au sein de la communauté scientifique.</w:t>
      </w:r>
    </w:p>
    <w:p w14:paraId="5152AA80" w14:textId="2C127D5B" w:rsidR="00A06A0E" w:rsidRPr="00F13051" w:rsidRDefault="00313C0D" w:rsidP="0086402F">
      <w:pPr>
        <w:pStyle w:val="Caption"/>
        <w:keepNext/>
        <w:tabs>
          <w:tab w:val="left" w:pos="1247"/>
        </w:tabs>
        <w:spacing w:after="0"/>
        <w:ind w:left="567" w:firstLine="709"/>
        <w:rPr>
          <w:b/>
          <w:i w:val="0"/>
          <w:iCs w:val="0"/>
          <w:color w:val="auto"/>
          <w:lang w:val="fr-FR"/>
        </w:rPr>
      </w:pPr>
      <w:r w:rsidRPr="00F13051">
        <w:rPr>
          <w:i w:val="0"/>
          <w:color w:val="auto"/>
          <w:lang w:val="fr-FR"/>
        </w:rPr>
        <w:t>Tableau</w:t>
      </w:r>
    </w:p>
    <w:p w14:paraId="6B63E0A1" w14:textId="77777777" w:rsidR="004F110C" w:rsidRPr="00F13051" w:rsidRDefault="004F110C" w:rsidP="0086402F">
      <w:pPr>
        <w:pStyle w:val="Caption"/>
        <w:keepNext/>
        <w:tabs>
          <w:tab w:val="left" w:pos="1247"/>
        </w:tabs>
        <w:spacing w:after="120"/>
        <w:ind w:left="567" w:firstLine="709"/>
        <w:rPr>
          <w:i w:val="0"/>
          <w:iCs w:val="0"/>
          <w:color w:val="auto"/>
          <w:lang w:val="fr-FR"/>
        </w:rPr>
      </w:pPr>
      <w:r w:rsidRPr="00F13051">
        <w:rPr>
          <w:b/>
          <w:bCs/>
          <w:i w:val="0"/>
          <w:color w:val="auto"/>
          <w:lang w:val="fr-FR"/>
        </w:rPr>
        <w:t>Résumé des capacités de modélisation disponibles pour chaque milieu</w:t>
      </w:r>
      <w:r w:rsidRPr="00F13051">
        <w:rPr>
          <w:i w:val="0"/>
          <w:color w:val="auto"/>
          <w:lang w:val="fr-FR"/>
        </w:rPr>
        <w:t xml:space="preserve"> </w:t>
      </w:r>
    </w:p>
    <w:tbl>
      <w:tblPr>
        <w:tblW w:w="9016" w:type="dxa"/>
        <w:jc w:val="right"/>
        <w:shd w:val="clear" w:color="auto" w:fill="CED7E7"/>
        <w:tblLayout w:type="fixed"/>
        <w:tblLook w:val="04A0" w:firstRow="1" w:lastRow="0" w:firstColumn="1" w:lastColumn="0" w:noHBand="0" w:noVBand="1"/>
      </w:tblPr>
      <w:tblGrid>
        <w:gridCol w:w="2557"/>
        <w:gridCol w:w="2884"/>
        <w:gridCol w:w="1605"/>
        <w:gridCol w:w="1970"/>
      </w:tblGrid>
      <w:tr w:rsidR="004F110C" w:rsidRPr="00F13051" w14:paraId="4A7E6232" w14:textId="77777777" w:rsidTr="005C768A">
        <w:trPr>
          <w:trHeight w:val="57"/>
          <w:tblHeader/>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71AD66D6" w14:textId="77777777" w:rsidR="004F110C" w:rsidRPr="00F13051" w:rsidRDefault="004F110C" w:rsidP="00673093">
            <w:pPr>
              <w:shd w:val="clear" w:color="auto" w:fill="FFFFFF"/>
              <w:spacing w:before="40" w:after="40"/>
              <w:ind w:right="-76"/>
              <w:rPr>
                <w:i/>
                <w:sz w:val="18"/>
                <w:szCs w:val="18"/>
                <w:lang w:val="fr-FR"/>
              </w:rPr>
            </w:pPr>
            <w:r w:rsidRPr="00F13051">
              <w:rPr>
                <w:i/>
                <w:iCs/>
                <w:sz w:val="18"/>
                <w:szCs w:val="18"/>
                <w:lang w:val="fr-FR"/>
              </w:rPr>
              <w:t>Milieu/disponibilité</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244F24BE" w14:textId="3905C990" w:rsidR="004F110C" w:rsidRPr="00F13051" w:rsidRDefault="004F110C" w:rsidP="00673093">
            <w:pPr>
              <w:shd w:val="clear" w:color="auto" w:fill="FFFFFF"/>
              <w:spacing w:before="40" w:after="40"/>
              <w:ind w:right="57"/>
              <w:rPr>
                <w:i/>
                <w:sz w:val="18"/>
                <w:szCs w:val="18"/>
                <w:lang w:val="fr-FR"/>
              </w:rPr>
            </w:pPr>
            <w:r w:rsidRPr="00F13051">
              <w:rPr>
                <w:i/>
                <w:iCs/>
                <w:sz w:val="18"/>
                <w:szCs w:val="18"/>
                <w:lang w:val="fr-FR"/>
              </w:rPr>
              <w:t>Indicateurs requis comme</w:t>
            </w:r>
            <w:r w:rsidR="00673093" w:rsidRPr="00F13051">
              <w:rPr>
                <w:i/>
                <w:iCs/>
                <w:sz w:val="18"/>
                <w:szCs w:val="18"/>
                <w:lang w:val="fr-FR"/>
              </w:rPr>
              <w:t xml:space="preserve"> </w:t>
            </w:r>
            <w:r w:rsidRPr="00F13051">
              <w:rPr>
                <w:i/>
                <w:iCs/>
                <w:sz w:val="18"/>
                <w:szCs w:val="18"/>
                <w:lang w:val="fr-FR"/>
              </w:rPr>
              <w:t>données d</w:t>
            </w:r>
            <w:r w:rsidR="00133FD4" w:rsidRPr="00F13051">
              <w:rPr>
                <w:i/>
                <w:iCs/>
                <w:sz w:val="18"/>
                <w:szCs w:val="18"/>
                <w:lang w:val="fr-FR"/>
              </w:rPr>
              <w:t>’</w:t>
            </w:r>
            <w:r w:rsidRPr="00F13051">
              <w:rPr>
                <w:i/>
                <w:iCs/>
                <w:sz w:val="18"/>
                <w:szCs w:val="18"/>
                <w:lang w:val="fr-FR"/>
              </w:rPr>
              <w:t>entrée</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0B415063" w14:textId="77777777" w:rsidR="004F110C" w:rsidRPr="00F13051" w:rsidRDefault="004F110C" w:rsidP="00673093">
            <w:pPr>
              <w:shd w:val="clear" w:color="auto" w:fill="FFFFFF"/>
              <w:tabs>
                <w:tab w:val="left" w:pos="1424"/>
              </w:tabs>
              <w:spacing w:before="40" w:after="40"/>
              <w:rPr>
                <w:i/>
                <w:sz w:val="18"/>
                <w:szCs w:val="18"/>
                <w:lang w:val="fr-FR"/>
              </w:rPr>
            </w:pPr>
            <w:r w:rsidRPr="00F13051">
              <w:rPr>
                <w:i/>
                <w:iCs/>
                <w:sz w:val="18"/>
                <w:szCs w:val="18"/>
                <w:lang w:val="fr-FR"/>
              </w:rPr>
              <w:t>Résultats</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63B5A4C1" w14:textId="2E126A16" w:rsidR="004F110C" w:rsidRPr="00F13051" w:rsidRDefault="004F110C" w:rsidP="005C768A">
            <w:pPr>
              <w:shd w:val="clear" w:color="auto" w:fill="FFFFFF"/>
              <w:spacing w:before="40" w:after="40"/>
              <w:rPr>
                <w:i/>
                <w:sz w:val="18"/>
                <w:szCs w:val="18"/>
                <w:lang w:val="fr-FR"/>
              </w:rPr>
            </w:pPr>
            <w:r w:rsidRPr="00F13051">
              <w:rPr>
                <w:i/>
                <w:iCs/>
                <w:sz w:val="18"/>
                <w:szCs w:val="18"/>
                <w:lang w:val="fr-FR"/>
              </w:rPr>
              <w:t>Lacunes à combler</w:t>
            </w:r>
          </w:p>
        </w:tc>
      </w:tr>
      <w:tr w:rsidR="004F110C" w:rsidRPr="00F13051" w14:paraId="7C24D7F2" w14:textId="77777777" w:rsidTr="005C768A">
        <w:trPr>
          <w:trHeight w:val="57"/>
          <w:jc w:val="right"/>
        </w:trPr>
        <w:tc>
          <w:tcPr>
            <w:tcW w:w="2557" w:type="dxa"/>
            <w:tcBorders>
              <w:top w:val="single" w:sz="12" w:space="0" w:color="auto"/>
              <w:bottom w:val="single" w:sz="4" w:space="0" w:color="auto"/>
            </w:tcBorders>
            <w:shd w:val="clear" w:color="auto" w:fill="auto"/>
            <w:tcMar>
              <w:top w:w="80" w:type="dxa"/>
              <w:left w:w="80" w:type="dxa"/>
              <w:bottom w:w="80" w:type="dxa"/>
              <w:right w:w="80" w:type="dxa"/>
            </w:tcMar>
          </w:tcPr>
          <w:p w14:paraId="6D89E916" w14:textId="0D1C1335" w:rsidR="004F110C" w:rsidRPr="00F13051" w:rsidRDefault="004F110C" w:rsidP="00084BCA">
            <w:pPr>
              <w:shd w:val="clear" w:color="auto" w:fill="FFFFFF"/>
              <w:spacing w:before="40" w:after="40"/>
              <w:ind w:left="343" w:right="349"/>
              <w:rPr>
                <w:rFonts w:eastAsia="Times New Roman"/>
                <w:b/>
                <w:sz w:val="18"/>
                <w:szCs w:val="18"/>
                <w:lang w:val="fr-FR"/>
              </w:rPr>
            </w:pPr>
            <w:r w:rsidRPr="00F13051">
              <w:rPr>
                <w:b/>
                <w:bCs/>
                <w:sz w:val="18"/>
                <w:szCs w:val="18"/>
                <w:lang w:val="fr-FR"/>
              </w:rPr>
              <w:t>Modélisation socioéconomique</w:t>
            </w:r>
            <w:r w:rsidR="00133FD4" w:rsidRPr="00F13051">
              <w:rPr>
                <w:b/>
                <w:bCs/>
                <w:sz w:val="18"/>
                <w:szCs w:val="18"/>
                <w:lang w:val="fr-FR"/>
              </w:rPr>
              <w:t> :</w:t>
            </w:r>
            <w:r w:rsidRPr="00F13051">
              <w:rPr>
                <w:b/>
                <w:bCs/>
                <w:sz w:val="18"/>
                <w:szCs w:val="18"/>
                <w:lang w:val="fr-FR"/>
              </w:rPr>
              <w:t xml:space="preserve"> disponibilité relative</w:t>
            </w:r>
          </w:p>
          <w:p w14:paraId="5EBFD16C" w14:textId="7B7876D2" w:rsidR="004F110C" w:rsidRPr="00F13051" w:rsidRDefault="004F110C" w:rsidP="00084BCA">
            <w:pPr>
              <w:shd w:val="clear" w:color="auto" w:fill="FFFFFF"/>
              <w:spacing w:before="40" w:after="40"/>
              <w:ind w:left="343" w:right="349"/>
              <w:rPr>
                <w:sz w:val="18"/>
                <w:szCs w:val="18"/>
                <w:lang w:val="fr-FR"/>
              </w:rPr>
            </w:pPr>
            <w:r w:rsidRPr="00F13051">
              <w:rPr>
                <w:sz w:val="18"/>
                <w:szCs w:val="18"/>
                <w:lang w:val="fr-FR"/>
              </w:rPr>
              <w:t>Modèles d</w:t>
            </w:r>
            <w:r w:rsidR="00133FD4" w:rsidRPr="00F13051">
              <w:rPr>
                <w:sz w:val="18"/>
                <w:szCs w:val="18"/>
                <w:lang w:val="fr-FR"/>
              </w:rPr>
              <w:t>’</w:t>
            </w:r>
            <w:r w:rsidRPr="00F13051">
              <w:rPr>
                <w:sz w:val="18"/>
                <w:szCs w:val="18"/>
                <w:lang w:val="fr-FR"/>
              </w:rPr>
              <w:t>émission mondiaux (prévisions jusqu</w:t>
            </w:r>
            <w:r w:rsidR="00133FD4" w:rsidRPr="00F13051">
              <w:rPr>
                <w:sz w:val="18"/>
                <w:szCs w:val="18"/>
                <w:lang w:val="fr-FR"/>
              </w:rPr>
              <w:t>’</w:t>
            </w:r>
            <w:r w:rsidR="00B46AB9" w:rsidRPr="00F13051">
              <w:rPr>
                <w:sz w:val="18"/>
                <w:szCs w:val="18"/>
                <w:lang w:val="fr-FR"/>
              </w:rPr>
              <w:t xml:space="preserve">en </w:t>
            </w:r>
            <w:r w:rsidRPr="00F13051">
              <w:rPr>
                <w:sz w:val="18"/>
                <w:szCs w:val="18"/>
                <w:lang w:val="fr-FR"/>
              </w:rPr>
              <w:t>2050)</w:t>
            </w:r>
          </w:p>
        </w:tc>
        <w:tc>
          <w:tcPr>
            <w:tcW w:w="2884" w:type="dxa"/>
            <w:tcBorders>
              <w:top w:val="single" w:sz="12" w:space="0" w:color="auto"/>
              <w:bottom w:val="single" w:sz="4" w:space="0" w:color="auto"/>
            </w:tcBorders>
            <w:shd w:val="clear" w:color="auto" w:fill="auto"/>
            <w:tcMar>
              <w:top w:w="80" w:type="dxa"/>
              <w:left w:w="80" w:type="dxa"/>
              <w:bottom w:w="80" w:type="dxa"/>
              <w:right w:w="80" w:type="dxa"/>
            </w:tcMar>
          </w:tcPr>
          <w:p w14:paraId="7FD213BE" w14:textId="375031A4" w:rsidR="004F110C" w:rsidRPr="00F13051" w:rsidRDefault="004F110C" w:rsidP="00084BCA">
            <w:pPr>
              <w:shd w:val="clear" w:color="auto" w:fill="FFFFFF"/>
              <w:spacing w:before="40" w:after="40"/>
              <w:ind w:left="57" w:right="349" w:hanging="5"/>
              <w:rPr>
                <w:rFonts w:eastAsia="Times New Roman"/>
                <w:sz w:val="18"/>
                <w:szCs w:val="18"/>
                <w:lang w:val="fr-FR"/>
              </w:rPr>
            </w:pPr>
            <w:r w:rsidRPr="00F13051">
              <w:rPr>
                <w:b/>
                <w:bCs/>
                <w:sz w:val="18"/>
                <w:szCs w:val="18"/>
                <w:lang w:val="fr-FR"/>
              </w:rPr>
              <w:t>Données d</w:t>
            </w:r>
            <w:r w:rsidR="00133FD4" w:rsidRPr="00F13051">
              <w:rPr>
                <w:b/>
                <w:bCs/>
                <w:sz w:val="18"/>
                <w:szCs w:val="18"/>
                <w:lang w:val="fr-FR"/>
              </w:rPr>
              <w:t>’</w:t>
            </w:r>
            <w:r w:rsidRPr="00F13051">
              <w:rPr>
                <w:b/>
                <w:bCs/>
                <w:sz w:val="18"/>
                <w:szCs w:val="18"/>
                <w:lang w:val="fr-FR"/>
              </w:rPr>
              <w:t>entrée</w:t>
            </w:r>
            <w:r w:rsidR="00133FD4" w:rsidRPr="00F13051">
              <w:rPr>
                <w:b/>
                <w:bCs/>
                <w:sz w:val="18"/>
                <w:szCs w:val="18"/>
                <w:lang w:val="fr-FR"/>
              </w:rPr>
              <w:t> :</w:t>
            </w:r>
            <w:r w:rsidRPr="00F13051">
              <w:rPr>
                <w:sz w:val="18"/>
                <w:szCs w:val="18"/>
                <w:lang w:val="fr-FR"/>
              </w:rPr>
              <w:t xml:space="preserve"> données sur l</w:t>
            </w:r>
            <w:r w:rsidR="00133FD4" w:rsidRPr="00F13051">
              <w:rPr>
                <w:sz w:val="18"/>
                <w:szCs w:val="18"/>
                <w:lang w:val="fr-FR"/>
              </w:rPr>
              <w:t>’</w:t>
            </w:r>
            <w:r w:rsidRPr="00F13051">
              <w:rPr>
                <w:sz w:val="18"/>
                <w:szCs w:val="18"/>
                <w:lang w:val="fr-FR"/>
              </w:rPr>
              <w:t>activité socioéconomique (production, population, produit intérieur brut), flux de matières et données politiques</w:t>
            </w:r>
          </w:p>
          <w:p w14:paraId="394C555D" w14:textId="439CD599" w:rsidR="004F110C" w:rsidRPr="00F13051" w:rsidRDefault="004F110C" w:rsidP="00084BCA">
            <w:pPr>
              <w:shd w:val="clear" w:color="auto" w:fill="FFFFFF"/>
              <w:spacing w:before="40" w:after="40"/>
              <w:ind w:left="57" w:right="349" w:firstLine="709"/>
              <w:rPr>
                <w:rFonts w:eastAsia="Times New Roman"/>
                <w:sz w:val="18"/>
                <w:szCs w:val="18"/>
                <w:lang w:val="fr-FR"/>
              </w:rPr>
            </w:pPr>
          </w:p>
          <w:p w14:paraId="72BB32AF" w14:textId="77777777" w:rsidR="00313C0D" w:rsidRPr="00F13051" w:rsidRDefault="00313C0D" w:rsidP="00084BCA">
            <w:pPr>
              <w:shd w:val="clear" w:color="auto" w:fill="FFFFFF"/>
              <w:spacing w:before="40" w:after="40"/>
              <w:ind w:left="57" w:right="349" w:firstLine="709"/>
              <w:rPr>
                <w:rFonts w:eastAsia="Times New Roman"/>
                <w:sz w:val="18"/>
                <w:szCs w:val="18"/>
                <w:lang w:val="fr-FR"/>
              </w:rPr>
            </w:pPr>
          </w:p>
          <w:p w14:paraId="407395A5" w14:textId="30717E52" w:rsidR="004F110C" w:rsidRPr="00F13051" w:rsidRDefault="004F110C" w:rsidP="00914F3F">
            <w:pPr>
              <w:shd w:val="clear" w:color="auto" w:fill="FFFFFF"/>
              <w:spacing w:before="40" w:after="40"/>
              <w:ind w:left="57" w:right="349" w:hanging="5"/>
              <w:rPr>
                <w:sz w:val="18"/>
                <w:szCs w:val="18"/>
                <w:lang w:val="fr-FR"/>
              </w:rPr>
            </w:pPr>
            <w:r w:rsidRPr="00F13051">
              <w:rPr>
                <w:b/>
                <w:bCs/>
                <w:sz w:val="18"/>
                <w:szCs w:val="18"/>
                <w:lang w:val="fr-FR"/>
              </w:rPr>
              <w:t>Évaluation</w:t>
            </w:r>
            <w:r w:rsidR="00133FD4" w:rsidRPr="00F13051">
              <w:rPr>
                <w:b/>
                <w:bCs/>
                <w:sz w:val="18"/>
                <w:szCs w:val="18"/>
                <w:lang w:val="fr-FR"/>
              </w:rPr>
              <w:t> :</w:t>
            </w:r>
            <w:r w:rsidRPr="00F13051">
              <w:rPr>
                <w:sz w:val="18"/>
                <w:szCs w:val="18"/>
                <w:lang w:val="fr-FR"/>
              </w:rPr>
              <w:t xml:space="preserve"> comparaison et résultats passés, flux de matières anthropique</w:t>
            </w:r>
            <w:r w:rsidR="00496A27" w:rsidRPr="00F13051">
              <w:rPr>
                <w:sz w:val="18"/>
                <w:szCs w:val="18"/>
                <w:lang w:val="fr-FR"/>
              </w:rPr>
              <w:t>s</w:t>
            </w:r>
          </w:p>
        </w:tc>
        <w:tc>
          <w:tcPr>
            <w:tcW w:w="1605" w:type="dxa"/>
            <w:tcBorders>
              <w:top w:val="single" w:sz="12" w:space="0" w:color="auto"/>
              <w:bottom w:val="single" w:sz="4" w:space="0" w:color="auto"/>
            </w:tcBorders>
            <w:shd w:val="clear" w:color="auto" w:fill="auto"/>
            <w:tcMar>
              <w:top w:w="80" w:type="dxa"/>
              <w:left w:w="80" w:type="dxa"/>
              <w:bottom w:w="80" w:type="dxa"/>
              <w:right w:w="80" w:type="dxa"/>
            </w:tcMar>
          </w:tcPr>
          <w:p w14:paraId="2D40B202" w14:textId="33359884" w:rsidR="004F110C" w:rsidRPr="00F13051" w:rsidRDefault="004F110C" w:rsidP="00084BCA">
            <w:pPr>
              <w:shd w:val="clear" w:color="auto" w:fill="FFFFFF"/>
              <w:tabs>
                <w:tab w:val="left" w:pos="1382"/>
              </w:tabs>
              <w:spacing w:before="40" w:after="40"/>
              <w:ind w:left="7" w:right="57"/>
              <w:rPr>
                <w:sz w:val="18"/>
                <w:szCs w:val="18"/>
                <w:lang w:val="fr-FR"/>
              </w:rPr>
            </w:pPr>
            <w:r w:rsidRPr="00F13051">
              <w:rPr>
                <w:sz w:val="18"/>
                <w:szCs w:val="18"/>
                <w:lang w:val="fr-FR"/>
              </w:rPr>
              <w:t>Demandes mondiales, scénarios d</w:t>
            </w:r>
            <w:r w:rsidR="00133FD4" w:rsidRPr="00F13051">
              <w:rPr>
                <w:sz w:val="18"/>
                <w:szCs w:val="18"/>
                <w:lang w:val="fr-FR"/>
              </w:rPr>
              <w:t>’</w:t>
            </w:r>
            <w:r w:rsidRPr="00F13051">
              <w:rPr>
                <w:sz w:val="18"/>
                <w:szCs w:val="18"/>
                <w:lang w:val="fr-FR"/>
              </w:rPr>
              <w:t>émissions et de rejets</w:t>
            </w:r>
          </w:p>
        </w:tc>
        <w:tc>
          <w:tcPr>
            <w:tcW w:w="1970" w:type="dxa"/>
            <w:tcBorders>
              <w:top w:val="single" w:sz="12" w:space="0" w:color="auto"/>
              <w:bottom w:val="single" w:sz="4" w:space="0" w:color="auto"/>
            </w:tcBorders>
            <w:shd w:val="clear" w:color="auto" w:fill="auto"/>
            <w:tcMar>
              <w:top w:w="80" w:type="dxa"/>
              <w:left w:w="80" w:type="dxa"/>
              <w:bottom w:w="80" w:type="dxa"/>
              <w:right w:w="80" w:type="dxa"/>
            </w:tcMar>
          </w:tcPr>
          <w:p w14:paraId="25F9D31D" w14:textId="60EAC1F2" w:rsidR="004F110C" w:rsidRPr="00F13051" w:rsidRDefault="004F110C" w:rsidP="005C768A">
            <w:pPr>
              <w:shd w:val="clear" w:color="auto" w:fill="FFFFFF"/>
              <w:spacing w:before="40" w:after="40"/>
              <w:ind w:firstLine="103"/>
              <w:rPr>
                <w:sz w:val="18"/>
                <w:szCs w:val="18"/>
                <w:lang w:val="fr-FR"/>
              </w:rPr>
            </w:pPr>
            <w:r w:rsidRPr="00F13051">
              <w:rPr>
                <w:sz w:val="18"/>
                <w:szCs w:val="18"/>
                <w:lang w:val="fr-FR"/>
              </w:rPr>
              <w:t>Affiner les facteurs d</w:t>
            </w:r>
            <w:r w:rsidR="00133FD4" w:rsidRPr="00F13051">
              <w:rPr>
                <w:sz w:val="18"/>
                <w:szCs w:val="18"/>
                <w:lang w:val="fr-FR"/>
              </w:rPr>
              <w:t>’</w:t>
            </w:r>
            <w:r w:rsidRPr="00F13051">
              <w:rPr>
                <w:sz w:val="18"/>
                <w:szCs w:val="18"/>
                <w:lang w:val="fr-FR"/>
              </w:rPr>
              <w:t>émission de mercure (par région, site, etc.), collecter des données sur le contenu en mercure des produits de base, examiner la cohérence entre les secteurs et les politiques anti-mercure (par exemple, dans le domaine de l</w:t>
            </w:r>
            <w:r w:rsidR="00133FD4" w:rsidRPr="00F13051">
              <w:rPr>
                <w:sz w:val="18"/>
                <w:szCs w:val="18"/>
                <w:lang w:val="fr-FR"/>
              </w:rPr>
              <w:t>’</w:t>
            </w:r>
            <w:r w:rsidRPr="00F13051">
              <w:rPr>
                <w:sz w:val="18"/>
                <w:szCs w:val="18"/>
                <w:lang w:val="fr-FR"/>
              </w:rPr>
              <w:t>énergie)</w:t>
            </w:r>
          </w:p>
        </w:tc>
      </w:tr>
      <w:tr w:rsidR="004F110C" w:rsidRPr="00F13051" w14:paraId="14ADCFD0" w14:textId="77777777" w:rsidTr="005C768A">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2C7D6C01" w14:textId="09F1F9BE" w:rsidR="004F110C" w:rsidRPr="00F13051" w:rsidRDefault="004F110C" w:rsidP="00914F3F">
            <w:pPr>
              <w:shd w:val="clear" w:color="auto" w:fill="FFFFFF"/>
              <w:spacing w:before="40" w:after="40"/>
              <w:ind w:left="343" w:right="349"/>
              <w:rPr>
                <w:b/>
                <w:sz w:val="18"/>
                <w:szCs w:val="18"/>
                <w:lang w:val="fr-FR"/>
              </w:rPr>
            </w:pPr>
            <w:r w:rsidRPr="00F13051">
              <w:rPr>
                <w:b/>
                <w:bCs/>
                <w:sz w:val="18"/>
                <w:szCs w:val="18"/>
                <w:lang w:val="fr-FR"/>
              </w:rPr>
              <w:t>Air</w:t>
            </w:r>
            <w:r w:rsidR="00133FD4" w:rsidRPr="00F13051">
              <w:rPr>
                <w:b/>
                <w:bCs/>
                <w:sz w:val="18"/>
                <w:szCs w:val="18"/>
                <w:lang w:val="fr-FR"/>
              </w:rPr>
              <w:t> :</w:t>
            </w:r>
            <w:r w:rsidRPr="00F13051">
              <w:rPr>
                <w:b/>
                <w:bCs/>
                <w:sz w:val="18"/>
                <w:szCs w:val="18"/>
                <w:lang w:val="fr-FR"/>
              </w:rPr>
              <w:t xml:space="preserve"> largement disponible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62A53D66" w14:textId="3281BD38" w:rsidR="004F110C" w:rsidRPr="00F13051" w:rsidRDefault="004F110C" w:rsidP="00914F3F">
            <w:pPr>
              <w:shd w:val="clear" w:color="auto" w:fill="FFFFFF"/>
              <w:spacing w:before="40" w:after="40"/>
              <w:ind w:left="57" w:right="349" w:hanging="5"/>
              <w:rPr>
                <w:rFonts w:eastAsia="Times New Roman"/>
                <w:sz w:val="18"/>
                <w:szCs w:val="18"/>
                <w:lang w:val="fr-FR"/>
              </w:rPr>
            </w:pPr>
            <w:r w:rsidRPr="00F13051">
              <w:rPr>
                <w:b/>
                <w:bCs/>
                <w:sz w:val="18"/>
                <w:szCs w:val="18"/>
                <w:lang w:val="fr-FR"/>
              </w:rPr>
              <w:t>Données d</w:t>
            </w:r>
            <w:r w:rsidR="00133FD4" w:rsidRPr="00F13051">
              <w:rPr>
                <w:b/>
                <w:bCs/>
                <w:sz w:val="18"/>
                <w:szCs w:val="18"/>
                <w:lang w:val="fr-FR"/>
              </w:rPr>
              <w:t>’</w:t>
            </w:r>
            <w:r w:rsidRPr="00F13051">
              <w:rPr>
                <w:b/>
                <w:bCs/>
                <w:sz w:val="18"/>
                <w:szCs w:val="18"/>
                <w:lang w:val="fr-FR"/>
              </w:rPr>
              <w:t>entrée</w:t>
            </w:r>
            <w:r w:rsidR="00133FD4" w:rsidRPr="00F13051">
              <w:rPr>
                <w:b/>
                <w:bCs/>
                <w:sz w:val="18"/>
                <w:szCs w:val="18"/>
                <w:lang w:val="fr-FR"/>
              </w:rPr>
              <w:t> :</w:t>
            </w:r>
            <w:r w:rsidRPr="00F13051">
              <w:rPr>
                <w:sz w:val="18"/>
                <w:szCs w:val="18"/>
                <w:lang w:val="fr-FR"/>
              </w:rPr>
              <w:t xml:space="preserve"> émissions mondiales</w:t>
            </w:r>
          </w:p>
          <w:p w14:paraId="7831667D" w14:textId="77777777" w:rsidR="004F110C" w:rsidRPr="00F13051" w:rsidRDefault="004F110C" w:rsidP="0055409D">
            <w:pPr>
              <w:shd w:val="clear" w:color="auto" w:fill="FFFFFF"/>
              <w:spacing w:before="40" w:after="40"/>
              <w:ind w:left="57" w:right="57" w:firstLine="709"/>
              <w:rPr>
                <w:rFonts w:eastAsia="Times New Roman"/>
                <w:sz w:val="18"/>
                <w:szCs w:val="18"/>
                <w:lang w:val="fr-FR"/>
              </w:rPr>
            </w:pPr>
          </w:p>
          <w:p w14:paraId="1A35D3F5" w14:textId="1954B823" w:rsidR="004F110C" w:rsidRPr="00F13051" w:rsidRDefault="004F110C" w:rsidP="00914F3F">
            <w:pPr>
              <w:shd w:val="clear" w:color="auto" w:fill="FFFFFF"/>
              <w:spacing w:before="40" w:after="40"/>
              <w:ind w:left="57" w:right="349" w:hanging="5"/>
              <w:rPr>
                <w:sz w:val="18"/>
                <w:szCs w:val="18"/>
                <w:lang w:val="fr-FR"/>
              </w:rPr>
            </w:pPr>
            <w:r w:rsidRPr="00F13051">
              <w:rPr>
                <w:b/>
                <w:bCs/>
                <w:sz w:val="18"/>
                <w:szCs w:val="18"/>
                <w:lang w:val="fr-FR"/>
              </w:rPr>
              <w:t>Évaluation</w:t>
            </w:r>
            <w:r w:rsidR="00133FD4" w:rsidRPr="00F13051">
              <w:rPr>
                <w:b/>
                <w:bCs/>
                <w:sz w:val="18"/>
                <w:szCs w:val="18"/>
                <w:lang w:val="fr-FR"/>
              </w:rPr>
              <w:t> :</w:t>
            </w:r>
            <w:r w:rsidRPr="00F13051">
              <w:rPr>
                <w:sz w:val="18"/>
                <w:szCs w:val="18"/>
                <w:lang w:val="fr-FR"/>
              </w:rPr>
              <w:t xml:space="preserve"> mesures atmosphériques</w:t>
            </w:r>
            <w:r w:rsidR="00133FD4" w:rsidRPr="00F13051">
              <w:rPr>
                <w:sz w:val="18"/>
                <w:szCs w:val="18"/>
                <w:lang w:val="fr-FR"/>
              </w:rPr>
              <w:t> ;</w:t>
            </w:r>
            <w:r w:rsidRPr="00F13051">
              <w:rPr>
                <w:sz w:val="18"/>
                <w:szCs w:val="18"/>
                <w:lang w:val="fr-FR"/>
              </w:rPr>
              <w:t xml:space="preserve"> données sur les dépôts humides et secs</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1C8D798B" w14:textId="6BF55068" w:rsidR="004F110C" w:rsidRPr="00F13051" w:rsidRDefault="004F110C" w:rsidP="005412F5">
            <w:pPr>
              <w:shd w:val="clear" w:color="auto" w:fill="FFFFFF"/>
              <w:tabs>
                <w:tab w:val="left" w:pos="1382"/>
              </w:tabs>
              <w:spacing w:before="40" w:after="40"/>
              <w:ind w:left="7" w:right="57"/>
              <w:rPr>
                <w:sz w:val="18"/>
                <w:szCs w:val="18"/>
                <w:lang w:val="fr-FR"/>
              </w:rPr>
            </w:pPr>
            <w:r w:rsidRPr="00F13051">
              <w:rPr>
                <w:sz w:val="18"/>
                <w:szCs w:val="18"/>
                <w:lang w:val="fr-FR"/>
              </w:rPr>
              <w:t>Concentrations atmosphériques</w:t>
            </w:r>
            <w:r w:rsidR="00133FD4" w:rsidRPr="00F13051">
              <w:rPr>
                <w:sz w:val="18"/>
                <w:szCs w:val="18"/>
                <w:lang w:val="fr-FR"/>
              </w:rPr>
              <w:t> ;</w:t>
            </w:r>
            <w:r w:rsidRPr="00F13051">
              <w:rPr>
                <w:sz w:val="18"/>
                <w:szCs w:val="18"/>
                <w:lang w:val="fr-FR"/>
              </w:rPr>
              <w:t xml:space="preserve"> dépôts</w:t>
            </w:r>
            <w:r w:rsidR="00133FD4" w:rsidRPr="00F13051">
              <w:rPr>
                <w:sz w:val="18"/>
                <w:szCs w:val="18"/>
                <w:lang w:val="fr-FR"/>
              </w:rPr>
              <w:t> ;</w:t>
            </w:r>
            <w:r w:rsidR="005412F5" w:rsidRPr="00F13051">
              <w:rPr>
                <w:sz w:val="18"/>
                <w:szCs w:val="18"/>
                <w:lang w:val="fr-FR"/>
              </w:rPr>
              <w:br/>
            </w:r>
            <w:r w:rsidRPr="00F13051">
              <w:rPr>
                <w:sz w:val="18"/>
                <w:szCs w:val="18"/>
                <w:lang w:val="fr-FR"/>
              </w:rPr>
              <w:t>modifications temporelles</w:t>
            </w:r>
            <w:r w:rsidR="00133FD4" w:rsidRPr="00F13051">
              <w:rPr>
                <w:sz w:val="18"/>
                <w:szCs w:val="18"/>
                <w:lang w:val="fr-FR"/>
              </w:rPr>
              <w:t> ;</w:t>
            </w:r>
            <w:r w:rsidR="005412F5" w:rsidRPr="00F13051">
              <w:rPr>
                <w:sz w:val="18"/>
                <w:szCs w:val="18"/>
                <w:lang w:val="fr-FR"/>
              </w:rPr>
              <w:br/>
            </w:r>
            <w:r w:rsidRPr="00F13051">
              <w:rPr>
                <w:sz w:val="18"/>
                <w:szCs w:val="18"/>
                <w:lang w:val="fr-FR"/>
              </w:rPr>
              <w:t>répartition selon les régions émettrices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7A7C7BFF" w14:textId="0C51A8A8" w:rsidR="004F110C" w:rsidRPr="00F13051" w:rsidRDefault="004F110C" w:rsidP="005C768A">
            <w:pPr>
              <w:shd w:val="clear" w:color="auto" w:fill="FFFFFF"/>
              <w:spacing w:before="40" w:after="40"/>
              <w:ind w:firstLine="103"/>
              <w:rPr>
                <w:sz w:val="18"/>
                <w:szCs w:val="18"/>
                <w:lang w:val="fr-FR"/>
              </w:rPr>
            </w:pPr>
            <w:r w:rsidRPr="00F13051">
              <w:rPr>
                <w:sz w:val="18"/>
                <w:szCs w:val="18"/>
                <w:lang w:val="fr-FR"/>
              </w:rPr>
              <w:t>Réaliser des inventaires d</w:t>
            </w:r>
            <w:r w:rsidR="00133FD4" w:rsidRPr="00F13051">
              <w:rPr>
                <w:sz w:val="18"/>
                <w:szCs w:val="18"/>
                <w:lang w:val="fr-FR"/>
              </w:rPr>
              <w:t>’</w:t>
            </w:r>
            <w:r w:rsidRPr="00F13051">
              <w:rPr>
                <w:sz w:val="18"/>
                <w:szCs w:val="18"/>
                <w:lang w:val="fr-FR"/>
              </w:rPr>
              <w:t>émission harmonisés</w:t>
            </w:r>
          </w:p>
        </w:tc>
      </w:tr>
      <w:tr w:rsidR="004F110C" w:rsidRPr="00F13051" w14:paraId="5F58E4C3" w14:textId="77777777" w:rsidTr="005C768A">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6B0A20DF" w14:textId="45710980" w:rsidR="004F110C" w:rsidRPr="00F13051" w:rsidRDefault="004F110C" w:rsidP="00E10E0C">
            <w:pPr>
              <w:shd w:val="clear" w:color="auto" w:fill="FFFFFF"/>
              <w:spacing w:before="40" w:after="40"/>
              <w:ind w:left="343" w:right="349"/>
              <w:rPr>
                <w:rFonts w:eastAsia="Times New Roman"/>
                <w:b/>
                <w:sz w:val="18"/>
                <w:szCs w:val="18"/>
                <w:lang w:val="fr-FR"/>
              </w:rPr>
            </w:pPr>
            <w:r w:rsidRPr="00F13051">
              <w:rPr>
                <w:b/>
                <w:bCs/>
                <w:sz w:val="18"/>
                <w:szCs w:val="18"/>
                <w:lang w:val="fr-FR"/>
              </w:rPr>
              <w:t>Eau</w:t>
            </w:r>
            <w:r w:rsidR="00133FD4" w:rsidRPr="00F13051">
              <w:rPr>
                <w:b/>
                <w:bCs/>
                <w:sz w:val="18"/>
                <w:szCs w:val="18"/>
                <w:lang w:val="fr-FR"/>
              </w:rPr>
              <w:t> :</w:t>
            </w:r>
            <w:r w:rsidRPr="00F13051">
              <w:rPr>
                <w:b/>
                <w:bCs/>
                <w:sz w:val="18"/>
                <w:szCs w:val="18"/>
                <w:lang w:val="fr-FR"/>
              </w:rPr>
              <w:t xml:space="preserve"> produit de</w:t>
            </w:r>
            <w:r w:rsidR="00313C0D" w:rsidRPr="00F13051">
              <w:rPr>
                <w:b/>
                <w:bCs/>
                <w:sz w:val="18"/>
                <w:szCs w:val="18"/>
                <w:lang w:val="fr-FR"/>
              </w:rPr>
              <w:t> </w:t>
            </w:r>
            <w:r w:rsidRPr="00F13051">
              <w:rPr>
                <w:b/>
                <w:bCs/>
                <w:sz w:val="18"/>
                <w:szCs w:val="18"/>
                <w:lang w:val="fr-FR"/>
              </w:rPr>
              <w:t>recherche – </w:t>
            </w:r>
            <w:r w:rsidR="00313C0D" w:rsidRPr="00F13051">
              <w:rPr>
                <w:b/>
                <w:bCs/>
                <w:sz w:val="18"/>
                <w:szCs w:val="18"/>
                <w:lang w:val="fr-FR"/>
              </w:rPr>
              <w:br/>
            </w:r>
            <w:r w:rsidRPr="00F13051">
              <w:rPr>
                <w:b/>
                <w:bCs/>
                <w:sz w:val="18"/>
                <w:szCs w:val="18"/>
                <w:lang w:val="fr-FR"/>
              </w:rPr>
              <w:t>disponibilité relative</w:t>
            </w:r>
          </w:p>
          <w:p w14:paraId="41F9FF14" w14:textId="421D4B83" w:rsidR="004F110C" w:rsidRPr="00F13051" w:rsidRDefault="004F110C" w:rsidP="00E10E0C">
            <w:pPr>
              <w:shd w:val="clear" w:color="auto" w:fill="FFFFFF"/>
              <w:spacing w:before="40" w:after="40"/>
              <w:ind w:left="343" w:right="349"/>
              <w:rPr>
                <w:rFonts w:eastAsia="Times New Roman"/>
                <w:sz w:val="18"/>
                <w:szCs w:val="18"/>
                <w:lang w:val="fr-FR"/>
              </w:rPr>
            </w:pPr>
            <w:r w:rsidRPr="00F13051">
              <w:rPr>
                <w:i/>
                <w:iCs/>
                <w:sz w:val="18"/>
                <w:szCs w:val="18"/>
                <w:lang w:val="fr-FR"/>
              </w:rPr>
              <w:t>Océans à l</w:t>
            </w:r>
            <w:r w:rsidR="00133FD4" w:rsidRPr="00F13051">
              <w:rPr>
                <w:i/>
                <w:iCs/>
                <w:sz w:val="18"/>
                <w:szCs w:val="18"/>
                <w:lang w:val="fr-FR"/>
              </w:rPr>
              <w:t>’</w:t>
            </w:r>
            <w:r w:rsidRPr="00F13051">
              <w:rPr>
                <w:i/>
                <w:iCs/>
                <w:sz w:val="18"/>
                <w:szCs w:val="18"/>
                <w:lang w:val="fr-FR"/>
              </w:rPr>
              <w:t>échelle mondiale</w:t>
            </w:r>
            <w:r w:rsidR="00133FD4" w:rsidRPr="00F13051">
              <w:rPr>
                <w:i/>
                <w:iCs/>
                <w:sz w:val="18"/>
                <w:szCs w:val="18"/>
                <w:lang w:val="fr-FR"/>
              </w:rPr>
              <w:t> :</w:t>
            </w:r>
            <w:r w:rsidR="005412F5" w:rsidRPr="00F13051">
              <w:rPr>
                <w:i/>
                <w:iCs/>
                <w:sz w:val="18"/>
                <w:szCs w:val="18"/>
                <w:lang w:val="fr-FR"/>
              </w:rPr>
              <w:t xml:space="preserve"> </w:t>
            </w:r>
            <w:r w:rsidR="003F6C41" w:rsidRPr="00F13051">
              <w:rPr>
                <w:sz w:val="18"/>
                <w:szCs w:val="18"/>
                <w:lang w:val="fr-FR"/>
              </w:rPr>
              <w:t>modèles océaniques mondiaux (MITgcm, NEMO)</w:t>
            </w:r>
          </w:p>
          <w:p w14:paraId="2EBB6E05"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677881CB" w14:textId="34C571B3" w:rsidR="004F110C" w:rsidRPr="00F13051" w:rsidRDefault="004F110C" w:rsidP="00E10E0C">
            <w:pPr>
              <w:shd w:val="clear" w:color="auto" w:fill="FFFFFF"/>
              <w:spacing w:before="40" w:after="40"/>
              <w:ind w:left="343" w:right="349"/>
              <w:rPr>
                <w:i/>
                <w:sz w:val="18"/>
                <w:szCs w:val="18"/>
                <w:lang w:val="fr-FR"/>
              </w:rPr>
            </w:pPr>
            <w:r w:rsidRPr="00F13051">
              <w:rPr>
                <w:i/>
                <w:iCs/>
                <w:sz w:val="18"/>
                <w:szCs w:val="18"/>
                <w:lang w:val="fr-FR"/>
              </w:rPr>
              <w:t>Estuaires (pour chaque site)</w:t>
            </w:r>
            <w:r w:rsidR="00133FD4" w:rsidRPr="00F13051">
              <w:rPr>
                <w:i/>
                <w:iCs/>
                <w:sz w:val="18"/>
                <w:szCs w:val="18"/>
                <w:lang w:val="fr-FR"/>
              </w:rPr>
              <w:t> ;</w:t>
            </w:r>
            <w:r w:rsidRPr="00F13051">
              <w:rPr>
                <w:sz w:val="18"/>
                <w:szCs w:val="18"/>
                <w:lang w:val="fr-FR"/>
              </w:rPr>
              <w:t xml:space="preserve"> </w:t>
            </w:r>
            <w:r w:rsidR="005412F5" w:rsidRPr="00F13051">
              <w:rPr>
                <w:i/>
                <w:iCs/>
                <w:sz w:val="18"/>
                <w:szCs w:val="18"/>
                <w:lang w:val="fr-FR"/>
              </w:rPr>
              <w:t>étendues d’eau douce et c</w:t>
            </w:r>
            <w:r w:rsidRPr="00F13051">
              <w:rPr>
                <w:i/>
                <w:iCs/>
                <w:sz w:val="18"/>
                <w:szCs w:val="18"/>
                <w:lang w:val="fr-FR"/>
              </w:rPr>
              <w:t>ours d</w:t>
            </w:r>
            <w:r w:rsidR="00133FD4" w:rsidRPr="00F13051">
              <w:rPr>
                <w:i/>
                <w:iCs/>
                <w:sz w:val="18"/>
                <w:szCs w:val="18"/>
                <w:lang w:val="fr-FR"/>
              </w:rPr>
              <w:t>’</w:t>
            </w:r>
            <w:r w:rsidRPr="00F13051">
              <w:rPr>
                <w:i/>
                <w:iCs/>
                <w:sz w:val="18"/>
                <w:szCs w:val="18"/>
                <w:lang w:val="fr-FR"/>
              </w:rPr>
              <w:t>eau (pour chaque site)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151829A2" w14:textId="76C4D7B7" w:rsidR="004F110C" w:rsidRPr="00F13051" w:rsidRDefault="004F110C" w:rsidP="00E10E0C">
            <w:pPr>
              <w:shd w:val="clear" w:color="auto" w:fill="FFFFFF"/>
              <w:spacing w:before="40" w:after="40"/>
              <w:ind w:left="57" w:right="349" w:hanging="5"/>
              <w:rPr>
                <w:rFonts w:eastAsia="Times New Roman"/>
                <w:sz w:val="18"/>
                <w:szCs w:val="18"/>
                <w:lang w:val="fr-FR"/>
              </w:rPr>
            </w:pPr>
            <w:r w:rsidRPr="00F13051">
              <w:rPr>
                <w:b/>
                <w:bCs/>
                <w:sz w:val="18"/>
                <w:szCs w:val="18"/>
                <w:lang w:val="fr-FR"/>
              </w:rPr>
              <w:t>Données d</w:t>
            </w:r>
            <w:r w:rsidR="00133FD4" w:rsidRPr="00F13051">
              <w:rPr>
                <w:b/>
                <w:bCs/>
                <w:sz w:val="18"/>
                <w:szCs w:val="18"/>
                <w:lang w:val="fr-FR"/>
              </w:rPr>
              <w:t>’</w:t>
            </w:r>
            <w:r w:rsidRPr="00F13051">
              <w:rPr>
                <w:b/>
                <w:bCs/>
                <w:sz w:val="18"/>
                <w:szCs w:val="18"/>
                <w:lang w:val="fr-FR"/>
              </w:rPr>
              <w:t>entrée</w:t>
            </w:r>
            <w:r w:rsidR="00133FD4" w:rsidRPr="00F13051">
              <w:rPr>
                <w:b/>
                <w:bCs/>
                <w:sz w:val="18"/>
                <w:szCs w:val="18"/>
                <w:lang w:val="fr-FR"/>
              </w:rPr>
              <w:t> :</w:t>
            </w:r>
            <w:r w:rsidRPr="00F13051">
              <w:rPr>
                <w:sz w:val="18"/>
                <w:szCs w:val="18"/>
                <w:lang w:val="fr-FR"/>
              </w:rPr>
              <w:t xml:space="preserve"> données atmosphériques mondiales sur le mercure (humide et sec)</w:t>
            </w:r>
            <w:r w:rsidR="005C768A" w:rsidRPr="00F13051">
              <w:rPr>
                <w:sz w:val="18"/>
                <w:szCs w:val="18"/>
                <w:lang w:val="fr-FR"/>
              </w:rPr>
              <w:t xml:space="preserve"> montrant la répartition dans l’espace</w:t>
            </w:r>
            <w:r w:rsidRPr="00F13051">
              <w:rPr>
                <w:sz w:val="18"/>
                <w:szCs w:val="18"/>
                <w:lang w:val="fr-FR"/>
              </w:rPr>
              <w:t xml:space="preserve"> – concentrations de mercure et </w:t>
            </w:r>
            <w:r w:rsidR="0009618C" w:rsidRPr="00F13051">
              <w:rPr>
                <w:sz w:val="18"/>
                <w:szCs w:val="18"/>
                <w:lang w:val="fr-FR"/>
              </w:rPr>
              <w:t xml:space="preserve">de </w:t>
            </w:r>
            <w:r w:rsidRPr="00F13051">
              <w:rPr>
                <w:sz w:val="18"/>
                <w:szCs w:val="18"/>
                <w:lang w:val="fr-FR"/>
              </w:rPr>
              <w:t xml:space="preserve">méthylmercure dans les </w:t>
            </w:r>
            <w:r w:rsidR="005C768A" w:rsidRPr="00F13051">
              <w:rPr>
                <w:sz w:val="18"/>
                <w:szCs w:val="18"/>
                <w:lang w:val="fr-FR"/>
              </w:rPr>
              <w:t xml:space="preserve">cours d’eau </w:t>
            </w:r>
            <w:r w:rsidRPr="00F13051">
              <w:rPr>
                <w:sz w:val="18"/>
                <w:szCs w:val="18"/>
                <w:lang w:val="fr-FR"/>
              </w:rPr>
              <w:t>(à l</w:t>
            </w:r>
            <w:r w:rsidR="00133FD4" w:rsidRPr="00F13051">
              <w:rPr>
                <w:sz w:val="18"/>
                <w:szCs w:val="18"/>
                <w:lang w:val="fr-FR"/>
              </w:rPr>
              <w:t>’</w:t>
            </w:r>
            <w:r w:rsidRPr="00F13051">
              <w:rPr>
                <w:sz w:val="18"/>
                <w:szCs w:val="18"/>
                <w:lang w:val="fr-FR"/>
              </w:rPr>
              <w:t>échelle mondiale)</w:t>
            </w:r>
          </w:p>
          <w:p w14:paraId="5B01DA02"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5A528B97" w14:textId="0D3C5E26" w:rsidR="004F110C" w:rsidRPr="00F13051" w:rsidRDefault="004F110C" w:rsidP="005412F5">
            <w:pPr>
              <w:shd w:val="clear" w:color="auto" w:fill="FFFFFF"/>
              <w:spacing w:before="40" w:after="40"/>
              <w:ind w:left="57" w:right="349" w:hanging="5"/>
              <w:rPr>
                <w:sz w:val="18"/>
                <w:szCs w:val="18"/>
                <w:lang w:val="fr-FR"/>
              </w:rPr>
            </w:pPr>
            <w:r w:rsidRPr="00F13051">
              <w:rPr>
                <w:b/>
                <w:bCs/>
                <w:sz w:val="18"/>
                <w:szCs w:val="18"/>
                <w:lang w:val="fr-FR"/>
              </w:rPr>
              <w:t>Évaluation</w:t>
            </w:r>
            <w:r w:rsidR="00133FD4" w:rsidRPr="00F13051">
              <w:rPr>
                <w:b/>
                <w:bCs/>
                <w:sz w:val="18"/>
                <w:szCs w:val="18"/>
                <w:lang w:val="fr-FR"/>
              </w:rPr>
              <w:t> :</w:t>
            </w:r>
            <w:r w:rsidRPr="00F13051">
              <w:rPr>
                <w:sz w:val="18"/>
                <w:szCs w:val="18"/>
                <w:lang w:val="fr-FR"/>
              </w:rPr>
              <w:t xml:space="preserve"> concentrations de mercure total et de méthylmercure mesurées dans l</w:t>
            </w:r>
            <w:r w:rsidR="00133FD4" w:rsidRPr="00F13051">
              <w:rPr>
                <w:sz w:val="18"/>
                <w:szCs w:val="18"/>
                <w:lang w:val="fr-FR"/>
              </w:rPr>
              <w:t>’</w:t>
            </w:r>
            <w:r w:rsidRPr="00F13051">
              <w:rPr>
                <w:sz w:val="18"/>
                <w:szCs w:val="18"/>
                <w:lang w:val="fr-FR"/>
              </w:rPr>
              <w:t>eau de mer, et concentrations de mercure élémentaire gazeux</w:t>
            </w:r>
            <w:r w:rsidR="00133FD4" w:rsidRPr="00F13051">
              <w:rPr>
                <w:sz w:val="18"/>
                <w:szCs w:val="18"/>
                <w:lang w:val="fr-FR"/>
              </w:rPr>
              <w:t> ;</w:t>
            </w:r>
            <w:r w:rsidR="005412F5" w:rsidRPr="00F13051">
              <w:rPr>
                <w:sz w:val="18"/>
                <w:szCs w:val="18"/>
                <w:lang w:val="fr-FR"/>
              </w:rPr>
              <w:t xml:space="preserve"> </w:t>
            </w:r>
            <w:r w:rsidRPr="00F13051">
              <w:rPr>
                <w:sz w:val="18"/>
                <w:szCs w:val="18"/>
                <w:lang w:val="fr-FR"/>
              </w:rPr>
              <w:t xml:space="preserve">ces données sont collectées par le biais de réseaux (GEOTRACES/CLIVAR).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2BC1F9FF" w14:textId="713874F1" w:rsidR="004F110C" w:rsidRPr="00F13051" w:rsidRDefault="004F110C"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Concentration en méthylmercure dans les océans à l</w:t>
            </w:r>
            <w:r w:rsidR="00133FD4" w:rsidRPr="00F13051">
              <w:rPr>
                <w:sz w:val="18"/>
                <w:szCs w:val="18"/>
                <w:lang w:val="fr-FR"/>
              </w:rPr>
              <w:t>’</w:t>
            </w:r>
            <w:r w:rsidRPr="00F13051">
              <w:rPr>
                <w:sz w:val="18"/>
                <w:szCs w:val="18"/>
                <w:lang w:val="fr-FR"/>
              </w:rPr>
              <w:t>échelle mondiale</w:t>
            </w:r>
          </w:p>
          <w:p w14:paraId="4BA072D1"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6561AB31" w14:textId="6CBFF622" w:rsidR="004F110C" w:rsidRPr="00F13051" w:rsidRDefault="00A36D4A"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Concentrations de mercure</w:t>
            </w:r>
            <w:r w:rsidR="004F110C" w:rsidRPr="00F13051">
              <w:rPr>
                <w:sz w:val="18"/>
                <w:szCs w:val="18"/>
                <w:lang w:val="fr-FR"/>
              </w:rPr>
              <w:t xml:space="preserve"> total dans l</w:t>
            </w:r>
            <w:r w:rsidR="00133FD4" w:rsidRPr="00F13051">
              <w:rPr>
                <w:sz w:val="18"/>
                <w:szCs w:val="18"/>
                <w:lang w:val="fr-FR"/>
              </w:rPr>
              <w:t>’</w:t>
            </w:r>
            <w:r w:rsidR="004F110C" w:rsidRPr="00F13051">
              <w:rPr>
                <w:sz w:val="18"/>
                <w:szCs w:val="18"/>
                <w:lang w:val="fr-FR"/>
              </w:rPr>
              <w:t>eau de mer à l</w:t>
            </w:r>
            <w:r w:rsidR="00133FD4" w:rsidRPr="00F13051">
              <w:rPr>
                <w:sz w:val="18"/>
                <w:szCs w:val="18"/>
                <w:lang w:val="fr-FR"/>
              </w:rPr>
              <w:t>’</w:t>
            </w:r>
            <w:r w:rsidR="004F110C" w:rsidRPr="00F13051">
              <w:rPr>
                <w:sz w:val="18"/>
                <w:szCs w:val="18"/>
                <w:lang w:val="fr-FR"/>
              </w:rPr>
              <w:t>échelle mondiale, en surface et en profondeur</w:t>
            </w:r>
          </w:p>
          <w:p w14:paraId="6EF16CE3"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3EEB247F" w14:textId="77777777" w:rsidR="004F110C" w:rsidRPr="00F13051" w:rsidRDefault="004F110C" w:rsidP="00914F3F">
            <w:pPr>
              <w:shd w:val="clear" w:color="auto" w:fill="FFFFFF"/>
              <w:tabs>
                <w:tab w:val="left" w:pos="1382"/>
              </w:tabs>
              <w:spacing w:before="40" w:after="40"/>
              <w:ind w:left="7" w:right="57"/>
              <w:rPr>
                <w:sz w:val="18"/>
                <w:szCs w:val="18"/>
                <w:lang w:val="fr-FR"/>
              </w:rPr>
            </w:pPr>
            <w:r w:rsidRPr="00F13051">
              <w:rPr>
                <w:sz w:val="18"/>
                <w:szCs w:val="18"/>
                <w:lang w:val="fr-FR"/>
              </w:rPr>
              <w:t>Modifications temporelles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5DE3E27E" w14:textId="45DFF43B" w:rsidR="004F110C" w:rsidRPr="00F13051" w:rsidRDefault="004F110C" w:rsidP="005C768A">
            <w:pPr>
              <w:shd w:val="clear" w:color="auto" w:fill="FFFFFF"/>
              <w:spacing w:before="40" w:after="40"/>
              <w:ind w:firstLine="103"/>
              <w:rPr>
                <w:rFonts w:eastAsia="Times New Roman"/>
                <w:sz w:val="18"/>
                <w:szCs w:val="18"/>
                <w:lang w:val="fr-FR"/>
              </w:rPr>
            </w:pPr>
            <w:r w:rsidRPr="00F13051">
              <w:rPr>
                <w:sz w:val="18"/>
                <w:szCs w:val="18"/>
                <w:lang w:val="fr-FR"/>
              </w:rPr>
              <w:t xml:space="preserve">Insuffisance relative des données sur les </w:t>
            </w:r>
            <w:r w:rsidR="00A36D4A" w:rsidRPr="00F13051">
              <w:rPr>
                <w:sz w:val="18"/>
                <w:szCs w:val="18"/>
                <w:lang w:val="fr-FR"/>
              </w:rPr>
              <w:t>concentrations de mercure</w:t>
            </w:r>
            <w:r w:rsidRPr="00F13051">
              <w:rPr>
                <w:sz w:val="18"/>
                <w:szCs w:val="18"/>
                <w:lang w:val="fr-FR"/>
              </w:rPr>
              <w:t xml:space="preserve"> par espèce marine</w:t>
            </w:r>
            <w:r w:rsidR="00133FD4" w:rsidRPr="00F13051">
              <w:rPr>
                <w:sz w:val="18"/>
                <w:szCs w:val="18"/>
                <w:lang w:val="fr-FR"/>
              </w:rPr>
              <w:t> ;</w:t>
            </w:r>
            <w:r w:rsidRPr="00F13051">
              <w:rPr>
                <w:sz w:val="18"/>
                <w:szCs w:val="18"/>
                <w:lang w:val="fr-FR"/>
              </w:rPr>
              <w:t xml:space="preserve"> en cours d</w:t>
            </w:r>
            <w:r w:rsidR="00133FD4" w:rsidRPr="00F13051">
              <w:rPr>
                <w:sz w:val="18"/>
                <w:szCs w:val="18"/>
                <w:lang w:val="fr-FR"/>
              </w:rPr>
              <w:t>’</w:t>
            </w:r>
            <w:r w:rsidRPr="00F13051">
              <w:rPr>
                <w:sz w:val="18"/>
                <w:szCs w:val="18"/>
                <w:lang w:val="fr-FR"/>
              </w:rPr>
              <w:t>amélioration</w:t>
            </w:r>
          </w:p>
          <w:p w14:paraId="0A74EB1F" w14:textId="77777777" w:rsidR="004F110C" w:rsidRPr="00F13051" w:rsidRDefault="004F110C" w:rsidP="005C768A">
            <w:pPr>
              <w:shd w:val="clear" w:color="auto" w:fill="FFFFFF"/>
              <w:spacing w:before="40" w:after="40"/>
              <w:ind w:firstLine="103"/>
              <w:rPr>
                <w:rFonts w:eastAsia="Times New Roman"/>
                <w:sz w:val="18"/>
                <w:szCs w:val="18"/>
                <w:lang w:val="fr-FR"/>
              </w:rPr>
            </w:pPr>
          </w:p>
          <w:p w14:paraId="426CB497" w14:textId="3A79D59D" w:rsidR="004F110C" w:rsidRPr="00F13051" w:rsidRDefault="004F110C" w:rsidP="005C768A">
            <w:pPr>
              <w:shd w:val="clear" w:color="auto" w:fill="FFFFFF"/>
              <w:spacing w:before="40" w:after="40"/>
              <w:ind w:firstLine="103"/>
              <w:rPr>
                <w:sz w:val="18"/>
                <w:szCs w:val="18"/>
                <w:lang w:val="fr-FR"/>
              </w:rPr>
            </w:pPr>
            <w:r w:rsidRPr="00F13051">
              <w:rPr>
                <w:sz w:val="18"/>
                <w:szCs w:val="18"/>
                <w:lang w:val="fr-FR"/>
              </w:rPr>
              <w:t xml:space="preserve">Manque important de données sur les concentrations de mercure et de méthylmercure dans les </w:t>
            </w:r>
            <w:r w:rsidR="005C768A" w:rsidRPr="00F13051">
              <w:rPr>
                <w:sz w:val="18"/>
                <w:szCs w:val="18"/>
                <w:lang w:val="fr-FR"/>
              </w:rPr>
              <w:t>cours d’eau</w:t>
            </w:r>
            <w:r w:rsidRPr="00F13051">
              <w:rPr>
                <w:sz w:val="18"/>
                <w:szCs w:val="18"/>
                <w:lang w:val="fr-FR"/>
              </w:rPr>
              <w:t xml:space="preserve"> à l</w:t>
            </w:r>
            <w:r w:rsidR="00133FD4" w:rsidRPr="00F13051">
              <w:rPr>
                <w:sz w:val="18"/>
                <w:szCs w:val="18"/>
                <w:lang w:val="fr-FR"/>
              </w:rPr>
              <w:t>’</w:t>
            </w:r>
            <w:r w:rsidRPr="00F13051">
              <w:rPr>
                <w:sz w:val="18"/>
                <w:szCs w:val="18"/>
                <w:lang w:val="fr-FR"/>
              </w:rPr>
              <w:t>échelle mondiale</w:t>
            </w:r>
          </w:p>
        </w:tc>
      </w:tr>
      <w:tr w:rsidR="004F110C" w:rsidRPr="00F13051" w14:paraId="105160E9" w14:textId="77777777" w:rsidTr="005C768A">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704CF9DC" w14:textId="3912EC6D" w:rsidR="004F110C" w:rsidRPr="00F13051" w:rsidRDefault="004F110C" w:rsidP="00E10E0C">
            <w:pPr>
              <w:shd w:val="clear" w:color="auto" w:fill="FFFFFF"/>
              <w:spacing w:before="40" w:after="40"/>
              <w:ind w:left="343" w:right="349"/>
              <w:rPr>
                <w:rFonts w:eastAsia="Times New Roman"/>
                <w:b/>
                <w:sz w:val="18"/>
                <w:szCs w:val="18"/>
                <w:lang w:val="fr-FR"/>
              </w:rPr>
            </w:pPr>
            <w:r w:rsidRPr="00F13051">
              <w:rPr>
                <w:b/>
                <w:bCs/>
                <w:sz w:val="18"/>
                <w:szCs w:val="18"/>
                <w:lang w:val="fr-FR"/>
              </w:rPr>
              <w:t>Sols</w:t>
            </w:r>
            <w:r w:rsidR="00F00C44" w:rsidRPr="00F13051">
              <w:rPr>
                <w:b/>
                <w:bCs/>
                <w:sz w:val="18"/>
                <w:szCs w:val="18"/>
                <w:lang w:val="fr-FR"/>
              </w:rPr>
              <w:t xml:space="preserve"> et </w:t>
            </w:r>
            <w:r w:rsidRPr="00F13051">
              <w:rPr>
                <w:b/>
                <w:bCs/>
                <w:sz w:val="18"/>
                <w:szCs w:val="18"/>
                <w:lang w:val="fr-FR"/>
              </w:rPr>
              <w:t>terres</w:t>
            </w:r>
            <w:r w:rsidR="00133FD4" w:rsidRPr="00F13051">
              <w:rPr>
                <w:b/>
                <w:bCs/>
                <w:sz w:val="18"/>
                <w:szCs w:val="18"/>
                <w:lang w:val="fr-FR"/>
              </w:rPr>
              <w:t> :</w:t>
            </w:r>
            <w:r w:rsidRPr="00F13051">
              <w:rPr>
                <w:b/>
                <w:bCs/>
                <w:sz w:val="18"/>
                <w:szCs w:val="18"/>
                <w:lang w:val="fr-FR"/>
              </w:rPr>
              <w:t xml:space="preserve"> produit de recherche – disponibilité relative</w:t>
            </w:r>
          </w:p>
          <w:p w14:paraId="10C005A7" w14:textId="45A7C9D9" w:rsidR="004F110C" w:rsidRPr="00F13051" w:rsidRDefault="004F110C" w:rsidP="00E10E0C">
            <w:pPr>
              <w:shd w:val="clear" w:color="auto" w:fill="FFFFFF"/>
              <w:spacing w:before="40" w:after="40"/>
              <w:ind w:left="343" w:right="349"/>
              <w:rPr>
                <w:rFonts w:eastAsia="Times New Roman"/>
                <w:sz w:val="18"/>
                <w:szCs w:val="18"/>
                <w:lang w:val="fr-FR"/>
              </w:rPr>
            </w:pPr>
            <w:r w:rsidRPr="00F13051">
              <w:rPr>
                <w:i/>
                <w:iCs/>
                <w:sz w:val="18"/>
                <w:szCs w:val="18"/>
                <w:lang w:val="fr-FR"/>
              </w:rPr>
              <w:t>Sols à l</w:t>
            </w:r>
            <w:r w:rsidR="00133FD4" w:rsidRPr="00F13051">
              <w:rPr>
                <w:i/>
                <w:iCs/>
                <w:sz w:val="18"/>
                <w:szCs w:val="18"/>
                <w:lang w:val="fr-FR"/>
              </w:rPr>
              <w:t>’</w:t>
            </w:r>
            <w:r w:rsidRPr="00F13051">
              <w:rPr>
                <w:i/>
                <w:iCs/>
                <w:sz w:val="18"/>
                <w:szCs w:val="18"/>
                <w:lang w:val="fr-FR"/>
              </w:rPr>
              <w:t>échelle mondiale</w:t>
            </w:r>
            <w:r w:rsidR="00133FD4" w:rsidRPr="00F13051">
              <w:rPr>
                <w:i/>
                <w:iCs/>
                <w:sz w:val="18"/>
                <w:szCs w:val="18"/>
                <w:lang w:val="fr-FR"/>
              </w:rPr>
              <w:t> :</w:t>
            </w:r>
            <w:r w:rsidR="005412F5" w:rsidRPr="00F13051">
              <w:rPr>
                <w:i/>
                <w:iCs/>
                <w:sz w:val="18"/>
                <w:szCs w:val="18"/>
                <w:lang w:val="fr-FR"/>
              </w:rPr>
              <w:t xml:space="preserve"> </w:t>
            </w:r>
            <w:r w:rsidR="003F6C41" w:rsidRPr="00F13051">
              <w:rPr>
                <w:sz w:val="18"/>
                <w:szCs w:val="18"/>
                <w:lang w:val="fr-FR"/>
              </w:rPr>
              <w:t>modèle terrestre mondial sur le mercure</w:t>
            </w:r>
          </w:p>
          <w:p w14:paraId="31A5A0A6"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3A10D6FF" w14:textId="75504BA7" w:rsidR="004F110C" w:rsidRPr="00F13051" w:rsidRDefault="004F110C" w:rsidP="00E10E0C">
            <w:pPr>
              <w:shd w:val="clear" w:color="auto" w:fill="FFFFFF"/>
              <w:spacing w:before="40" w:after="40"/>
              <w:ind w:left="343" w:right="349"/>
              <w:rPr>
                <w:sz w:val="18"/>
                <w:szCs w:val="18"/>
                <w:lang w:val="fr-FR"/>
              </w:rPr>
            </w:pPr>
            <w:r w:rsidRPr="00F13051">
              <w:rPr>
                <w:sz w:val="18"/>
                <w:szCs w:val="18"/>
                <w:lang w:val="fr-FR"/>
              </w:rPr>
              <w:t>Sites d</w:t>
            </w:r>
            <w:r w:rsidR="00133FD4" w:rsidRPr="00F13051">
              <w:rPr>
                <w:sz w:val="18"/>
                <w:szCs w:val="18"/>
                <w:lang w:val="fr-FR"/>
              </w:rPr>
              <w:t>’</w:t>
            </w:r>
            <w:r w:rsidRPr="00F13051">
              <w:rPr>
                <w:sz w:val="18"/>
                <w:szCs w:val="18"/>
                <w:lang w:val="fr-FR"/>
              </w:rPr>
              <w:t xml:space="preserve">extraction artisanale et à </w:t>
            </w:r>
            <w:r w:rsidR="00636DEA" w:rsidRPr="00F13051">
              <w:rPr>
                <w:sz w:val="18"/>
                <w:szCs w:val="18"/>
                <w:lang w:val="fr-FR"/>
              </w:rPr>
              <w:t>petite échelle d’or</w:t>
            </w:r>
            <w:r w:rsidRPr="00F13051">
              <w:rPr>
                <w:sz w:val="18"/>
                <w:szCs w:val="18"/>
                <w:lang w:val="fr-FR"/>
              </w:rPr>
              <w:t>/sites contaminés (non intégrés aux modèles mondiaux mais serait utile)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3314D48C" w14:textId="47E5C999" w:rsidR="004F110C" w:rsidRPr="00F13051" w:rsidRDefault="004F110C" w:rsidP="00E10E0C">
            <w:pPr>
              <w:shd w:val="clear" w:color="auto" w:fill="FFFFFF"/>
              <w:spacing w:before="40" w:after="40"/>
              <w:ind w:left="57" w:right="349" w:hanging="5"/>
              <w:rPr>
                <w:rFonts w:eastAsia="Times New Roman"/>
                <w:sz w:val="18"/>
                <w:szCs w:val="18"/>
                <w:lang w:val="fr-FR"/>
              </w:rPr>
            </w:pPr>
            <w:r w:rsidRPr="00F13051">
              <w:rPr>
                <w:b/>
                <w:sz w:val="18"/>
                <w:szCs w:val="18"/>
                <w:lang w:val="fr-FR"/>
              </w:rPr>
              <w:t>Données</w:t>
            </w:r>
            <w:r w:rsidRPr="00F13051">
              <w:rPr>
                <w:b/>
                <w:bCs/>
                <w:sz w:val="18"/>
                <w:szCs w:val="18"/>
                <w:lang w:val="fr-FR"/>
              </w:rPr>
              <w:t xml:space="preserve"> d</w:t>
            </w:r>
            <w:r w:rsidR="00133FD4" w:rsidRPr="00F13051">
              <w:rPr>
                <w:b/>
                <w:bCs/>
                <w:sz w:val="18"/>
                <w:szCs w:val="18"/>
                <w:lang w:val="fr-FR"/>
              </w:rPr>
              <w:t>’</w:t>
            </w:r>
            <w:r w:rsidRPr="00F13051">
              <w:rPr>
                <w:b/>
                <w:bCs/>
                <w:sz w:val="18"/>
                <w:szCs w:val="18"/>
                <w:lang w:val="fr-FR"/>
              </w:rPr>
              <w:t>entrée</w:t>
            </w:r>
            <w:r w:rsidR="00133FD4" w:rsidRPr="00F13051">
              <w:rPr>
                <w:b/>
                <w:bCs/>
                <w:sz w:val="18"/>
                <w:szCs w:val="18"/>
                <w:lang w:val="fr-FR"/>
              </w:rPr>
              <w:t> :</w:t>
            </w:r>
            <w:r w:rsidRPr="00F13051">
              <w:rPr>
                <w:sz w:val="18"/>
                <w:szCs w:val="18"/>
                <w:lang w:val="fr-FR"/>
              </w:rPr>
              <w:t xml:space="preserve"> dépôts atmosphériques (données d</w:t>
            </w:r>
            <w:r w:rsidR="00133FD4" w:rsidRPr="00F13051">
              <w:rPr>
                <w:sz w:val="18"/>
                <w:szCs w:val="18"/>
                <w:lang w:val="fr-FR"/>
              </w:rPr>
              <w:t>’</w:t>
            </w:r>
            <w:r w:rsidRPr="00F13051">
              <w:rPr>
                <w:sz w:val="18"/>
                <w:szCs w:val="18"/>
                <w:lang w:val="fr-FR"/>
              </w:rPr>
              <w:t>entrée)</w:t>
            </w:r>
          </w:p>
          <w:p w14:paraId="7608C83D" w14:textId="3FE28A0C" w:rsidR="0015792A" w:rsidRPr="00F13051" w:rsidRDefault="005C768A" w:rsidP="00E10E0C">
            <w:pPr>
              <w:shd w:val="clear" w:color="auto" w:fill="FFFFFF"/>
              <w:spacing w:before="40" w:after="40"/>
              <w:ind w:left="57" w:right="349" w:hanging="5"/>
              <w:rPr>
                <w:rFonts w:eastAsia="Times New Roman"/>
                <w:sz w:val="18"/>
                <w:szCs w:val="18"/>
                <w:lang w:val="fr-FR"/>
              </w:rPr>
            </w:pPr>
            <w:r w:rsidRPr="00F13051">
              <w:rPr>
                <w:sz w:val="18"/>
                <w:szCs w:val="18"/>
                <w:lang w:val="fr-FR"/>
              </w:rPr>
              <w:t>Rejets</w:t>
            </w:r>
            <w:r w:rsidR="004F110C" w:rsidRPr="00F13051">
              <w:rPr>
                <w:sz w:val="18"/>
                <w:szCs w:val="18"/>
                <w:lang w:val="fr-FR"/>
              </w:rPr>
              <w:t xml:space="preserve"> dans les sols et l</w:t>
            </w:r>
            <w:r w:rsidR="00133FD4" w:rsidRPr="00F13051">
              <w:rPr>
                <w:sz w:val="18"/>
                <w:szCs w:val="18"/>
                <w:lang w:val="fr-FR"/>
              </w:rPr>
              <w:t>’</w:t>
            </w:r>
            <w:r w:rsidR="004F110C" w:rsidRPr="00F13051">
              <w:rPr>
                <w:sz w:val="18"/>
                <w:szCs w:val="18"/>
                <w:lang w:val="fr-FR"/>
              </w:rPr>
              <w:t xml:space="preserve">eau (résolution spatiale </w:t>
            </w:r>
            <w:r w:rsidRPr="00F13051">
              <w:rPr>
                <w:sz w:val="18"/>
                <w:szCs w:val="18"/>
                <w:lang w:val="fr-FR"/>
              </w:rPr>
              <w:t xml:space="preserve">très </w:t>
            </w:r>
            <w:r w:rsidR="004F110C" w:rsidRPr="00F13051">
              <w:rPr>
                <w:sz w:val="18"/>
                <w:szCs w:val="18"/>
                <w:lang w:val="fr-FR"/>
              </w:rPr>
              <w:t>pr</w:t>
            </w:r>
            <w:r w:rsidRPr="00F13051">
              <w:rPr>
                <w:sz w:val="18"/>
                <w:szCs w:val="18"/>
                <w:lang w:val="fr-FR"/>
              </w:rPr>
              <w:t>oviso</w:t>
            </w:r>
            <w:r w:rsidR="004F110C" w:rsidRPr="00F13051">
              <w:rPr>
                <w:sz w:val="18"/>
                <w:szCs w:val="18"/>
                <w:lang w:val="fr-FR"/>
              </w:rPr>
              <w:t>ire et approximative)</w:t>
            </w:r>
          </w:p>
          <w:p w14:paraId="20E83DCF" w14:textId="43963F5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38373468" w14:textId="2B2D4D2B" w:rsidR="0015792A" w:rsidRPr="00F13051" w:rsidRDefault="004F110C" w:rsidP="00E10E0C">
            <w:pPr>
              <w:shd w:val="clear" w:color="auto" w:fill="FFFFFF"/>
              <w:spacing w:before="40" w:after="40"/>
              <w:ind w:left="57" w:right="349" w:hanging="5"/>
              <w:rPr>
                <w:rFonts w:eastAsia="Times New Roman"/>
                <w:sz w:val="18"/>
                <w:szCs w:val="18"/>
                <w:lang w:val="fr-FR"/>
              </w:rPr>
            </w:pPr>
            <w:r w:rsidRPr="00F13051">
              <w:rPr>
                <w:sz w:val="18"/>
                <w:szCs w:val="18"/>
                <w:lang w:val="fr-FR"/>
              </w:rPr>
              <w:t>Peu de données sur les ruissellements provenant des sites contaminés</w:t>
            </w:r>
          </w:p>
          <w:p w14:paraId="48881B30" w14:textId="3685706F" w:rsidR="004F110C" w:rsidRPr="00F13051" w:rsidRDefault="004F110C" w:rsidP="0086402F">
            <w:pPr>
              <w:shd w:val="clear" w:color="auto" w:fill="FFFFFF"/>
              <w:spacing w:before="40" w:after="40"/>
              <w:ind w:left="57" w:right="57" w:firstLine="709"/>
              <w:rPr>
                <w:rFonts w:eastAsia="Times New Roman"/>
                <w:sz w:val="18"/>
                <w:szCs w:val="18"/>
                <w:lang w:val="fr-FR"/>
              </w:rPr>
            </w:pPr>
          </w:p>
          <w:p w14:paraId="1B80CD94" w14:textId="03F63E8B" w:rsidR="0015792A" w:rsidRPr="00F13051" w:rsidRDefault="004F110C" w:rsidP="00E10E0C">
            <w:pPr>
              <w:shd w:val="clear" w:color="auto" w:fill="FFFFFF"/>
              <w:spacing w:before="40" w:after="40"/>
              <w:ind w:left="57" w:right="349" w:hanging="5"/>
              <w:rPr>
                <w:rFonts w:eastAsia="Times New Roman"/>
                <w:sz w:val="18"/>
                <w:szCs w:val="18"/>
                <w:lang w:val="fr-FR"/>
              </w:rPr>
            </w:pPr>
            <w:r w:rsidRPr="00F13051">
              <w:rPr>
                <w:sz w:val="18"/>
                <w:szCs w:val="18"/>
                <w:lang w:val="fr-FR"/>
              </w:rPr>
              <w:t>Données atmosphériques et données sur la couverture terrestre à l</w:t>
            </w:r>
            <w:r w:rsidR="00133FD4" w:rsidRPr="00F13051">
              <w:rPr>
                <w:sz w:val="18"/>
                <w:szCs w:val="18"/>
                <w:lang w:val="fr-FR"/>
              </w:rPr>
              <w:t>’</w:t>
            </w:r>
            <w:r w:rsidRPr="00F13051">
              <w:rPr>
                <w:sz w:val="18"/>
                <w:szCs w:val="18"/>
                <w:lang w:val="fr-FR"/>
              </w:rPr>
              <w:t>échelle mondiale</w:t>
            </w:r>
          </w:p>
          <w:p w14:paraId="7F911EAB" w14:textId="532A5EB9" w:rsidR="004F110C" w:rsidRPr="00F13051" w:rsidRDefault="004F110C" w:rsidP="0086402F">
            <w:pPr>
              <w:shd w:val="clear" w:color="auto" w:fill="FFFFFF"/>
              <w:spacing w:before="40" w:after="40"/>
              <w:ind w:left="57" w:right="57" w:firstLine="709"/>
              <w:rPr>
                <w:rFonts w:eastAsia="Times New Roman"/>
                <w:sz w:val="18"/>
                <w:szCs w:val="18"/>
                <w:lang w:val="fr-FR"/>
              </w:rPr>
            </w:pPr>
          </w:p>
          <w:p w14:paraId="7D527A2E" w14:textId="68765997" w:rsidR="004F110C" w:rsidRPr="00F13051" w:rsidRDefault="004F110C" w:rsidP="00E10E0C">
            <w:pPr>
              <w:shd w:val="clear" w:color="auto" w:fill="FFFFFF"/>
              <w:spacing w:before="40" w:after="40"/>
              <w:ind w:left="57" w:right="349" w:hanging="5"/>
              <w:rPr>
                <w:sz w:val="18"/>
                <w:szCs w:val="18"/>
                <w:lang w:val="fr-FR"/>
              </w:rPr>
            </w:pPr>
            <w:r w:rsidRPr="00F13051">
              <w:rPr>
                <w:b/>
                <w:bCs/>
                <w:sz w:val="18"/>
                <w:szCs w:val="18"/>
                <w:lang w:val="fr-FR"/>
              </w:rPr>
              <w:t>Évaluation</w:t>
            </w:r>
            <w:r w:rsidR="00133FD4" w:rsidRPr="00F13051">
              <w:rPr>
                <w:b/>
                <w:bCs/>
                <w:sz w:val="18"/>
                <w:szCs w:val="18"/>
                <w:lang w:val="fr-FR"/>
              </w:rPr>
              <w:t> :</w:t>
            </w:r>
            <w:r w:rsidRPr="00F13051">
              <w:rPr>
                <w:sz w:val="18"/>
                <w:szCs w:val="18"/>
                <w:lang w:val="fr-FR"/>
              </w:rPr>
              <w:t xml:space="preserve"> données sur les concentrations de mercure dans le sol (données de bonne qualité pour l</w:t>
            </w:r>
            <w:r w:rsidR="00133FD4" w:rsidRPr="00F13051">
              <w:rPr>
                <w:sz w:val="18"/>
                <w:szCs w:val="18"/>
                <w:lang w:val="fr-FR"/>
              </w:rPr>
              <w:t>’</w:t>
            </w:r>
            <w:r w:rsidRPr="00F13051">
              <w:rPr>
                <w:sz w:val="18"/>
                <w:szCs w:val="18"/>
                <w:lang w:val="fr-FR"/>
              </w:rPr>
              <w:t>Amérique du Nord et une partie de l</w:t>
            </w:r>
            <w:r w:rsidR="00133FD4" w:rsidRPr="00F13051">
              <w:rPr>
                <w:sz w:val="18"/>
                <w:szCs w:val="18"/>
                <w:lang w:val="fr-FR"/>
              </w:rPr>
              <w:t>’</w:t>
            </w:r>
            <w:r w:rsidRPr="00F13051">
              <w:rPr>
                <w:sz w:val="18"/>
                <w:szCs w:val="18"/>
                <w:lang w:val="fr-FR"/>
              </w:rPr>
              <w:t>Europe)</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602644D9" w14:textId="0C11946D" w:rsidR="004F110C" w:rsidRPr="00F13051" w:rsidRDefault="004F110C"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Données sur les concentrations de mercure dans le sol à l</w:t>
            </w:r>
            <w:r w:rsidR="00133FD4" w:rsidRPr="00F13051">
              <w:rPr>
                <w:sz w:val="18"/>
                <w:szCs w:val="18"/>
                <w:lang w:val="fr-FR"/>
              </w:rPr>
              <w:t>’</w:t>
            </w:r>
            <w:r w:rsidRPr="00F13051">
              <w:rPr>
                <w:sz w:val="18"/>
                <w:szCs w:val="18"/>
                <w:lang w:val="fr-FR"/>
              </w:rPr>
              <w:t>échelle mondiale</w:t>
            </w:r>
          </w:p>
          <w:p w14:paraId="372C28B3" w14:textId="77777777" w:rsidR="004F110C" w:rsidRPr="00F13051" w:rsidRDefault="004F110C" w:rsidP="0086402F">
            <w:pPr>
              <w:shd w:val="clear" w:color="auto" w:fill="FFFFFF"/>
              <w:spacing w:before="40" w:after="40"/>
              <w:ind w:left="57" w:right="57" w:firstLine="709"/>
              <w:rPr>
                <w:rFonts w:eastAsia="Times New Roman"/>
                <w:sz w:val="18"/>
                <w:szCs w:val="18"/>
                <w:lang w:val="fr-FR"/>
              </w:rPr>
            </w:pPr>
          </w:p>
          <w:p w14:paraId="3E85B89A" w14:textId="77E54CB1" w:rsidR="0015792A" w:rsidRPr="00F13051" w:rsidRDefault="004F110C"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 xml:space="preserve">Données sur les concentrations de mercure dans les </w:t>
            </w:r>
            <w:r w:rsidR="005C768A" w:rsidRPr="00F13051">
              <w:rPr>
                <w:sz w:val="18"/>
                <w:szCs w:val="18"/>
                <w:lang w:val="fr-FR"/>
              </w:rPr>
              <w:t xml:space="preserve">cours d’eau </w:t>
            </w:r>
            <w:r w:rsidRPr="00F13051">
              <w:rPr>
                <w:sz w:val="18"/>
                <w:szCs w:val="18"/>
                <w:lang w:val="fr-FR"/>
              </w:rPr>
              <w:t>à l</w:t>
            </w:r>
            <w:r w:rsidR="00133FD4" w:rsidRPr="00F13051">
              <w:rPr>
                <w:sz w:val="18"/>
                <w:szCs w:val="18"/>
                <w:lang w:val="fr-FR"/>
              </w:rPr>
              <w:t>’</w:t>
            </w:r>
            <w:r w:rsidRPr="00F13051">
              <w:rPr>
                <w:sz w:val="18"/>
                <w:szCs w:val="18"/>
                <w:lang w:val="fr-FR"/>
              </w:rPr>
              <w:t>échelle mondiale</w:t>
            </w:r>
          </w:p>
          <w:p w14:paraId="2069CDC7" w14:textId="0CD41065" w:rsidR="004F110C" w:rsidRPr="00F13051" w:rsidRDefault="004F110C" w:rsidP="0086402F">
            <w:pPr>
              <w:shd w:val="clear" w:color="auto" w:fill="FFFFFF"/>
              <w:spacing w:before="40" w:after="40"/>
              <w:ind w:left="57" w:right="57" w:firstLine="709"/>
              <w:rPr>
                <w:rFonts w:eastAsia="Times New Roman"/>
                <w:sz w:val="18"/>
                <w:szCs w:val="18"/>
                <w:lang w:val="fr-FR"/>
              </w:rPr>
            </w:pPr>
          </w:p>
          <w:p w14:paraId="16081493" w14:textId="7A134BC9" w:rsidR="004F110C" w:rsidRPr="00F13051" w:rsidRDefault="004F110C" w:rsidP="00914F3F">
            <w:pPr>
              <w:shd w:val="clear" w:color="auto" w:fill="FFFFFF"/>
              <w:tabs>
                <w:tab w:val="left" w:pos="1382"/>
              </w:tabs>
              <w:spacing w:before="40" w:after="40"/>
              <w:ind w:left="7" w:right="57"/>
              <w:rPr>
                <w:sz w:val="18"/>
                <w:szCs w:val="18"/>
                <w:lang w:val="fr-FR"/>
              </w:rPr>
            </w:pPr>
            <w:r w:rsidRPr="00F13051">
              <w:rPr>
                <w:sz w:val="18"/>
                <w:szCs w:val="18"/>
                <w:lang w:val="fr-FR"/>
              </w:rPr>
              <w:t>Zones les plus sensibles à l</w:t>
            </w:r>
            <w:r w:rsidR="00133FD4" w:rsidRPr="00F13051">
              <w:rPr>
                <w:sz w:val="18"/>
                <w:szCs w:val="18"/>
                <w:lang w:val="fr-FR"/>
              </w:rPr>
              <w:t>’</w:t>
            </w:r>
            <w:r w:rsidRPr="00F13051">
              <w:rPr>
                <w:sz w:val="18"/>
                <w:szCs w:val="18"/>
                <w:lang w:val="fr-FR"/>
              </w:rPr>
              <w:t>introduction de mercure, où cette substance est susceptible d</w:t>
            </w:r>
            <w:r w:rsidR="00133FD4" w:rsidRPr="00F13051">
              <w:rPr>
                <w:sz w:val="18"/>
                <w:szCs w:val="18"/>
                <w:lang w:val="fr-FR"/>
              </w:rPr>
              <w:t>’</w:t>
            </w:r>
            <w:r w:rsidRPr="00F13051">
              <w:rPr>
                <w:sz w:val="18"/>
                <w:szCs w:val="18"/>
                <w:lang w:val="fr-FR"/>
              </w:rPr>
              <w:t>avoir une incidence sur le biote et les populations humaines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4F0A179B" w14:textId="77777777" w:rsidR="004F110C" w:rsidRPr="00F13051" w:rsidRDefault="004F110C" w:rsidP="005C768A">
            <w:pPr>
              <w:shd w:val="clear" w:color="auto" w:fill="FFFFFF"/>
              <w:spacing w:before="40" w:after="40"/>
              <w:ind w:firstLine="103"/>
              <w:rPr>
                <w:sz w:val="18"/>
                <w:szCs w:val="18"/>
                <w:lang w:val="fr-FR"/>
              </w:rPr>
            </w:pPr>
            <w:r w:rsidRPr="00F13051">
              <w:rPr>
                <w:sz w:val="18"/>
                <w:szCs w:val="18"/>
                <w:lang w:val="fr-FR"/>
              </w:rPr>
              <w:t>Il reste encore à réaliser des simulations de la concentration de méthylmercure dans des environnements terrestres, autres que des évaluations de sites précis</w:t>
            </w:r>
          </w:p>
          <w:p w14:paraId="513864BB" w14:textId="77777777" w:rsidR="004F110C" w:rsidRPr="00F13051" w:rsidRDefault="004F110C" w:rsidP="005C768A">
            <w:pPr>
              <w:shd w:val="clear" w:color="auto" w:fill="FFFFFF"/>
              <w:spacing w:before="40" w:after="40"/>
              <w:ind w:firstLine="103"/>
              <w:rPr>
                <w:sz w:val="18"/>
                <w:szCs w:val="18"/>
                <w:lang w:val="fr-FR"/>
              </w:rPr>
            </w:pPr>
          </w:p>
          <w:p w14:paraId="7B7D4873" w14:textId="069DCCEA" w:rsidR="004F110C" w:rsidRPr="00F13051" w:rsidRDefault="004F110C" w:rsidP="005C768A">
            <w:pPr>
              <w:shd w:val="clear" w:color="auto" w:fill="FFFFFF"/>
              <w:spacing w:before="40" w:after="40"/>
              <w:ind w:firstLine="103"/>
              <w:rPr>
                <w:sz w:val="18"/>
                <w:szCs w:val="18"/>
                <w:lang w:val="fr-FR"/>
              </w:rPr>
            </w:pPr>
            <w:r w:rsidRPr="00F13051">
              <w:rPr>
                <w:sz w:val="18"/>
                <w:szCs w:val="18"/>
                <w:lang w:val="fr-FR"/>
              </w:rPr>
              <w:t xml:space="preserve">Il faut réaliser une analyse mondiale de validation sur le terrain des </w:t>
            </w:r>
            <w:r w:rsidR="009D10E4" w:rsidRPr="00F13051">
              <w:rPr>
                <w:sz w:val="18"/>
                <w:szCs w:val="18"/>
                <w:lang w:val="fr-FR"/>
              </w:rPr>
              <w:t>points chauds</w:t>
            </w:r>
            <w:r w:rsidRPr="00F13051">
              <w:rPr>
                <w:sz w:val="18"/>
                <w:szCs w:val="18"/>
                <w:lang w:val="fr-FR"/>
              </w:rPr>
              <w:t xml:space="preserve"> et collecter des données sur l</w:t>
            </w:r>
            <w:r w:rsidR="00133FD4" w:rsidRPr="00F13051">
              <w:rPr>
                <w:sz w:val="18"/>
                <w:szCs w:val="18"/>
                <w:lang w:val="fr-FR"/>
              </w:rPr>
              <w:t>’</w:t>
            </w:r>
            <w:r w:rsidRPr="00F13051">
              <w:rPr>
                <w:sz w:val="18"/>
                <w:szCs w:val="18"/>
                <w:lang w:val="fr-FR"/>
              </w:rPr>
              <w:t>emplacement des sites d</w:t>
            </w:r>
            <w:r w:rsidR="00133FD4" w:rsidRPr="00F13051">
              <w:rPr>
                <w:sz w:val="18"/>
                <w:szCs w:val="18"/>
                <w:lang w:val="fr-FR"/>
              </w:rPr>
              <w:t>’</w:t>
            </w:r>
            <w:r w:rsidRPr="00F13051">
              <w:rPr>
                <w:sz w:val="18"/>
                <w:szCs w:val="18"/>
                <w:lang w:val="fr-FR"/>
              </w:rPr>
              <w:t xml:space="preserve">extraction artisanale et à </w:t>
            </w:r>
            <w:r w:rsidR="00636DEA" w:rsidRPr="00F13051">
              <w:rPr>
                <w:sz w:val="18"/>
                <w:szCs w:val="18"/>
                <w:lang w:val="fr-FR"/>
              </w:rPr>
              <w:t>petite échelle d’or</w:t>
            </w:r>
            <w:r w:rsidR="00311C48" w:rsidRPr="00F13051">
              <w:rPr>
                <w:sz w:val="18"/>
                <w:szCs w:val="18"/>
                <w:lang w:val="fr-FR"/>
              </w:rPr>
              <w:t>, les sites d’émission</w:t>
            </w:r>
            <w:r w:rsidRPr="00F13051">
              <w:rPr>
                <w:sz w:val="18"/>
                <w:szCs w:val="18"/>
                <w:lang w:val="fr-FR"/>
              </w:rPr>
              <w:t xml:space="preserve"> et </w:t>
            </w:r>
            <w:r w:rsidR="00311C48" w:rsidRPr="00F13051">
              <w:rPr>
                <w:sz w:val="18"/>
                <w:szCs w:val="18"/>
                <w:lang w:val="fr-FR"/>
              </w:rPr>
              <w:t>l</w:t>
            </w:r>
            <w:r w:rsidRPr="00F13051">
              <w:rPr>
                <w:sz w:val="18"/>
                <w:szCs w:val="18"/>
                <w:lang w:val="fr-FR"/>
              </w:rPr>
              <w:t>es sites contaminés</w:t>
            </w:r>
          </w:p>
        </w:tc>
      </w:tr>
      <w:tr w:rsidR="004F110C" w:rsidRPr="00F13051" w14:paraId="3F3C583A" w14:textId="77777777" w:rsidTr="005C768A">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1CFF8B4F" w14:textId="799463B5" w:rsidR="004F110C" w:rsidRPr="00F13051" w:rsidRDefault="004F110C" w:rsidP="00E10E0C">
            <w:pPr>
              <w:shd w:val="clear" w:color="auto" w:fill="FFFFFF"/>
              <w:spacing w:before="40" w:after="40"/>
              <w:ind w:left="343" w:right="349"/>
              <w:rPr>
                <w:rFonts w:eastAsia="Times New Roman"/>
                <w:b/>
                <w:sz w:val="18"/>
                <w:szCs w:val="18"/>
                <w:lang w:val="fr-FR"/>
              </w:rPr>
            </w:pPr>
            <w:r w:rsidRPr="00F13051">
              <w:rPr>
                <w:b/>
                <w:bCs/>
                <w:sz w:val="18"/>
                <w:szCs w:val="18"/>
                <w:lang w:val="fr-FR"/>
              </w:rPr>
              <w:t>Biote</w:t>
            </w:r>
            <w:r w:rsidR="00133FD4" w:rsidRPr="00F13051">
              <w:rPr>
                <w:b/>
                <w:bCs/>
                <w:sz w:val="18"/>
                <w:szCs w:val="18"/>
                <w:lang w:val="fr-FR"/>
              </w:rPr>
              <w:t> :</w:t>
            </w:r>
            <w:r w:rsidRPr="00F13051">
              <w:rPr>
                <w:b/>
                <w:bCs/>
                <w:sz w:val="18"/>
                <w:szCs w:val="18"/>
                <w:lang w:val="fr-FR"/>
              </w:rPr>
              <w:t xml:space="preserve"> produit de recherche – disponibilité relative</w:t>
            </w:r>
          </w:p>
          <w:p w14:paraId="3F1542F9" w14:textId="4074EF9A" w:rsidR="004F110C" w:rsidRPr="00F13051" w:rsidRDefault="004F110C" w:rsidP="00E10E0C">
            <w:pPr>
              <w:shd w:val="clear" w:color="auto" w:fill="FFFFFF"/>
              <w:spacing w:before="40" w:after="40"/>
              <w:ind w:left="343" w:right="349"/>
              <w:rPr>
                <w:rFonts w:eastAsia="Times New Roman"/>
                <w:sz w:val="18"/>
                <w:szCs w:val="18"/>
                <w:lang w:val="fr-FR"/>
              </w:rPr>
            </w:pPr>
            <w:r w:rsidRPr="00F13051">
              <w:rPr>
                <w:sz w:val="18"/>
                <w:szCs w:val="18"/>
                <w:lang w:val="fr-FR"/>
              </w:rPr>
              <w:t>Modèle de bioaccumulation dans les réseaux trophiques pour les écosystèmes marins</w:t>
            </w:r>
            <w:r w:rsidR="005412F5" w:rsidRPr="00F13051">
              <w:rPr>
                <w:sz w:val="18"/>
                <w:szCs w:val="18"/>
                <w:lang w:val="fr-FR"/>
              </w:rPr>
              <w:t xml:space="preserve"> </w:t>
            </w:r>
            <w:r w:rsidRPr="00F13051">
              <w:rPr>
                <w:sz w:val="18"/>
                <w:szCs w:val="18"/>
                <w:lang w:val="fr-FR"/>
              </w:rPr>
              <w:t xml:space="preserve">(il existe des modèles mondiaux pour le plancton, ceux </w:t>
            </w:r>
            <w:r w:rsidR="003715F2" w:rsidRPr="00F13051">
              <w:rPr>
                <w:sz w:val="18"/>
                <w:szCs w:val="18"/>
                <w:lang w:val="fr-FR"/>
              </w:rPr>
              <w:t>pou</w:t>
            </w:r>
            <w:r w:rsidRPr="00F13051">
              <w:rPr>
                <w:sz w:val="18"/>
                <w:szCs w:val="18"/>
                <w:lang w:val="fr-FR"/>
              </w:rPr>
              <w:t>r le poisson sont en cours d</w:t>
            </w:r>
            <w:r w:rsidR="00133FD4" w:rsidRPr="00F13051">
              <w:rPr>
                <w:sz w:val="18"/>
                <w:szCs w:val="18"/>
                <w:lang w:val="fr-FR"/>
              </w:rPr>
              <w:t>’</w:t>
            </w:r>
            <w:r w:rsidRPr="00F13051">
              <w:rPr>
                <w:sz w:val="18"/>
                <w:szCs w:val="18"/>
                <w:lang w:val="fr-FR"/>
              </w:rPr>
              <w:t>élaboration)</w:t>
            </w:r>
          </w:p>
          <w:p w14:paraId="2DB70DE5"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629CCFF3" w14:textId="58ED838C"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2ADC7A03" w14:textId="1673260B" w:rsidR="00313C0D" w:rsidRPr="00F13051" w:rsidRDefault="00313C0D" w:rsidP="0086402F">
            <w:pPr>
              <w:keepNext/>
              <w:keepLines/>
              <w:shd w:val="clear" w:color="auto" w:fill="FFFFFF"/>
              <w:spacing w:before="40" w:after="40"/>
              <w:ind w:left="57" w:right="57" w:firstLine="709"/>
              <w:rPr>
                <w:rFonts w:eastAsia="Times New Roman"/>
                <w:sz w:val="18"/>
                <w:szCs w:val="18"/>
                <w:lang w:val="fr-FR"/>
              </w:rPr>
            </w:pPr>
          </w:p>
          <w:p w14:paraId="5A8738C7" w14:textId="6D10991C" w:rsidR="00313C0D" w:rsidRPr="00F13051" w:rsidRDefault="00313C0D" w:rsidP="0086402F">
            <w:pPr>
              <w:keepNext/>
              <w:keepLines/>
              <w:shd w:val="clear" w:color="auto" w:fill="FFFFFF"/>
              <w:spacing w:before="40" w:after="40"/>
              <w:ind w:left="57" w:right="57" w:firstLine="709"/>
              <w:rPr>
                <w:rFonts w:eastAsia="Times New Roman"/>
                <w:sz w:val="18"/>
                <w:szCs w:val="18"/>
                <w:lang w:val="fr-FR"/>
              </w:rPr>
            </w:pPr>
          </w:p>
          <w:p w14:paraId="30CEB492" w14:textId="67D5E860" w:rsidR="00313C0D" w:rsidRPr="00F13051" w:rsidRDefault="00313C0D" w:rsidP="0086402F">
            <w:pPr>
              <w:keepNext/>
              <w:keepLines/>
              <w:shd w:val="clear" w:color="auto" w:fill="FFFFFF"/>
              <w:spacing w:before="40" w:after="40"/>
              <w:ind w:left="57" w:right="57" w:firstLine="709"/>
              <w:rPr>
                <w:rFonts w:eastAsia="Times New Roman"/>
                <w:sz w:val="18"/>
                <w:szCs w:val="18"/>
                <w:lang w:val="fr-FR"/>
              </w:rPr>
            </w:pPr>
          </w:p>
          <w:p w14:paraId="14408E88" w14:textId="77777777" w:rsidR="00313C0D" w:rsidRPr="00F13051" w:rsidRDefault="00313C0D" w:rsidP="0086402F">
            <w:pPr>
              <w:keepNext/>
              <w:keepLines/>
              <w:shd w:val="clear" w:color="auto" w:fill="FFFFFF"/>
              <w:spacing w:before="40" w:after="40"/>
              <w:ind w:left="57" w:right="57" w:firstLine="709"/>
              <w:rPr>
                <w:rFonts w:eastAsia="Times New Roman"/>
                <w:sz w:val="18"/>
                <w:szCs w:val="18"/>
                <w:lang w:val="fr-FR"/>
              </w:rPr>
            </w:pPr>
          </w:p>
          <w:p w14:paraId="34E27B3D" w14:textId="667FDCCF" w:rsidR="004F110C" w:rsidRPr="00F13051" w:rsidRDefault="004F110C" w:rsidP="00E10E0C">
            <w:pPr>
              <w:shd w:val="clear" w:color="auto" w:fill="FFFFFF"/>
              <w:spacing w:before="40" w:after="40"/>
              <w:ind w:left="343" w:right="349"/>
              <w:rPr>
                <w:sz w:val="18"/>
                <w:szCs w:val="18"/>
                <w:lang w:val="fr-FR"/>
              </w:rPr>
            </w:pPr>
            <w:r w:rsidRPr="00F13051">
              <w:rPr>
                <w:sz w:val="18"/>
                <w:szCs w:val="18"/>
                <w:lang w:val="fr-FR"/>
              </w:rPr>
              <w:t>Modèle de réseau trophique pour les écosystèmes d</w:t>
            </w:r>
            <w:r w:rsidR="00133FD4" w:rsidRPr="00F13051">
              <w:rPr>
                <w:sz w:val="18"/>
                <w:szCs w:val="18"/>
                <w:lang w:val="fr-FR"/>
              </w:rPr>
              <w:t>’</w:t>
            </w:r>
            <w:r w:rsidRPr="00F13051">
              <w:rPr>
                <w:sz w:val="18"/>
                <w:szCs w:val="18"/>
                <w:lang w:val="fr-FR"/>
              </w:rPr>
              <w:t>eau douce (pour chaque site)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6F9EA474" w14:textId="1978F47A" w:rsidR="004F110C" w:rsidRPr="00F13051" w:rsidRDefault="004F110C" w:rsidP="00E10E0C">
            <w:pPr>
              <w:shd w:val="clear" w:color="auto" w:fill="FFFFFF"/>
              <w:spacing w:before="40" w:after="40"/>
              <w:ind w:left="57" w:right="349" w:hanging="5"/>
              <w:rPr>
                <w:sz w:val="18"/>
                <w:szCs w:val="18"/>
                <w:lang w:val="fr-FR"/>
              </w:rPr>
            </w:pPr>
            <w:r w:rsidRPr="00F13051">
              <w:rPr>
                <w:b/>
                <w:bCs/>
                <w:sz w:val="18"/>
                <w:szCs w:val="18"/>
                <w:lang w:val="fr-FR"/>
              </w:rPr>
              <w:t>Données d</w:t>
            </w:r>
            <w:r w:rsidR="00133FD4" w:rsidRPr="00F13051">
              <w:rPr>
                <w:b/>
                <w:bCs/>
                <w:sz w:val="18"/>
                <w:szCs w:val="18"/>
                <w:lang w:val="fr-FR"/>
              </w:rPr>
              <w:t>’</w:t>
            </w:r>
            <w:r w:rsidRPr="00F13051">
              <w:rPr>
                <w:b/>
                <w:bCs/>
                <w:sz w:val="18"/>
                <w:szCs w:val="18"/>
                <w:lang w:val="fr-FR"/>
              </w:rPr>
              <w:t>entrée</w:t>
            </w:r>
            <w:r w:rsidR="00133FD4" w:rsidRPr="00F13051">
              <w:rPr>
                <w:b/>
                <w:bCs/>
                <w:sz w:val="18"/>
                <w:szCs w:val="18"/>
                <w:lang w:val="fr-FR"/>
              </w:rPr>
              <w:t> :</w:t>
            </w:r>
            <w:r w:rsidRPr="00F13051">
              <w:rPr>
                <w:sz w:val="18"/>
                <w:szCs w:val="18"/>
                <w:lang w:val="fr-FR"/>
              </w:rPr>
              <w:t xml:space="preserve"> concentrations </w:t>
            </w:r>
            <w:r w:rsidR="00A36D4A" w:rsidRPr="00F13051">
              <w:rPr>
                <w:sz w:val="18"/>
                <w:szCs w:val="18"/>
                <w:lang w:val="fr-FR"/>
              </w:rPr>
              <w:t>de</w:t>
            </w:r>
            <w:r w:rsidRPr="00F13051">
              <w:rPr>
                <w:sz w:val="18"/>
                <w:szCs w:val="18"/>
                <w:lang w:val="fr-FR"/>
              </w:rPr>
              <w:t xml:space="preserve"> méthylmercure dans l</w:t>
            </w:r>
            <w:r w:rsidR="00133FD4" w:rsidRPr="00F13051">
              <w:rPr>
                <w:sz w:val="18"/>
                <w:szCs w:val="18"/>
                <w:lang w:val="fr-FR"/>
              </w:rPr>
              <w:t>’</w:t>
            </w:r>
            <w:r w:rsidRPr="00F13051">
              <w:rPr>
                <w:sz w:val="18"/>
                <w:szCs w:val="18"/>
                <w:lang w:val="fr-FR"/>
              </w:rPr>
              <w:t>eau de mer (modèle)</w:t>
            </w:r>
            <w:r w:rsidR="00133FD4" w:rsidRPr="00F13051">
              <w:rPr>
                <w:sz w:val="18"/>
                <w:szCs w:val="18"/>
                <w:lang w:val="fr-FR"/>
              </w:rPr>
              <w:t> ;</w:t>
            </w:r>
            <w:r w:rsidRPr="00F13051">
              <w:rPr>
                <w:sz w:val="18"/>
                <w:szCs w:val="18"/>
                <w:lang w:val="fr-FR"/>
              </w:rPr>
              <w:t xml:space="preserve"> </w:t>
            </w:r>
            <w:r w:rsidR="00171333" w:rsidRPr="00F13051">
              <w:rPr>
                <w:sz w:val="18"/>
                <w:szCs w:val="18"/>
                <w:lang w:val="fr-FR"/>
              </w:rPr>
              <w:t>p</w:t>
            </w:r>
            <w:r w:rsidRPr="00F13051">
              <w:rPr>
                <w:sz w:val="18"/>
                <w:szCs w:val="18"/>
                <w:lang w:val="fr-FR"/>
              </w:rPr>
              <w:t xml:space="preserve">roduction de biomasse </w:t>
            </w:r>
            <w:r w:rsidR="00171333" w:rsidRPr="00F13051">
              <w:rPr>
                <w:sz w:val="18"/>
                <w:szCs w:val="18"/>
                <w:lang w:val="fr-FR"/>
              </w:rPr>
              <w:t>par</w:t>
            </w:r>
            <w:r w:rsidRPr="00F13051">
              <w:rPr>
                <w:sz w:val="18"/>
                <w:szCs w:val="18"/>
                <w:lang w:val="fr-FR"/>
              </w:rPr>
              <w:t xml:space="preserve"> la pêche à partir de la production primaire à l</w:t>
            </w:r>
            <w:r w:rsidR="00133FD4" w:rsidRPr="00F13051">
              <w:rPr>
                <w:sz w:val="18"/>
                <w:szCs w:val="18"/>
                <w:lang w:val="fr-FR"/>
              </w:rPr>
              <w:t>’</w:t>
            </w:r>
            <w:r w:rsidRPr="00F13051">
              <w:rPr>
                <w:sz w:val="18"/>
                <w:szCs w:val="18"/>
                <w:lang w:val="fr-FR"/>
              </w:rPr>
              <w:t>échelle mondiale, interactions trophiques (disponibles en collaboration avec les projets du laboratoire de la dynamique des fluides géophysiques de la National Oceanic and Atmospheric Administration des États-Unis et du programme Nereus en partenariat avec l</w:t>
            </w:r>
            <w:r w:rsidR="00133FD4" w:rsidRPr="00F13051">
              <w:rPr>
                <w:sz w:val="18"/>
                <w:szCs w:val="18"/>
                <w:lang w:val="fr-FR"/>
              </w:rPr>
              <w:t>’</w:t>
            </w:r>
            <w:r w:rsidRPr="00F13051">
              <w:rPr>
                <w:sz w:val="18"/>
                <w:szCs w:val="18"/>
                <w:lang w:val="fr-FR"/>
              </w:rPr>
              <w:t>Université de la Colombie-Britannique)</w:t>
            </w:r>
          </w:p>
          <w:p w14:paraId="3417F96B" w14:textId="77777777" w:rsidR="00463E7D" w:rsidRPr="00F13051" w:rsidRDefault="00463E7D" w:rsidP="0086402F">
            <w:pPr>
              <w:keepNext/>
              <w:keepLines/>
              <w:shd w:val="clear" w:color="auto" w:fill="FFFFFF"/>
              <w:spacing w:before="40" w:after="40"/>
              <w:ind w:left="57" w:right="57" w:firstLine="709"/>
              <w:rPr>
                <w:rFonts w:eastAsia="Times New Roman"/>
                <w:sz w:val="18"/>
                <w:szCs w:val="18"/>
                <w:lang w:val="fr-FR"/>
              </w:rPr>
            </w:pPr>
          </w:p>
          <w:p w14:paraId="16C83A57" w14:textId="29647986" w:rsidR="004F110C" w:rsidRPr="00F13051" w:rsidRDefault="004F110C" w:rsidP="00E10E0C">
            <w:pPr>
              <w:shd w:val="clear" w:color="auto" w:fill="FFFFFF"/>
              <w:spacing w:before="40" w:after="40"/>
              <w:ind w:left="57" w:right="349" w:hanging="5"/>
              <w:rPr>
                <w:rFonts w:eastAsia="Times New Roman"/>
                <w:sz w:val="18"/>
                <w:szCs w:val="18"/>
                <w:lang w:val="fr-FR"/>
              </w:rPr>
            </w:pPr>
            <w:r w:rsidRPr="00F13051">
              <w:rPr>
                <w:b/>
                <w:bCs/>
                <w:sz w:val="18"/>
                <w:szCs w:val="18"/>
                <w:lang w:val="fr-FR"/>
              </w:rPr>
              <w:t>Évaluation</w:t>
            </w:r>
            <w:r w:rsidR="00133FD4" w:rsidRPr="00F13051">
              <w:rPr>
                <w:b/>
                <w:bCs/>
                <w:sz w:val="18"/>
                <w:szCs w:val="18"/>
                <w:lang w:val="fr-FR"/>
              </w:rPr>
              <w:t> :</w:t>
            </w:r>
            <w:r w:rsidRPr="00F13051">
              <w:rPr>
                <w:sz w:val="18"/>
                <w:szCs w:val="18"/>
                <w:lang w:val="fr-FR"/>
              </w:rPr>
              <w:t xml:space="preserve"> base de données sur le mercure biotique</w:t>
            </w:r>
          </w:p>
          <w:p w14:paraId="1A72E57D"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44DAA3A2" w14:textId="7DA4E5A7" w:rsidR="004F110C" w:rsidRPr="00F13051" w:rsidRDefault="004F110C" w:rsidP="00E10E0C">
            <w:pPr>
              <w:shd w:val="clear" w:color="auto" w:fill="FFFFFF"/>
              <w:spacing w:before="40" w:after="40"/>
              <w:ind w:left="57" w:right="349" w:hanging="5"/>
              <w:rPr>
                <w:sz w:val="18"/>
                <w:szCs w:val="18"/>
                <w:lang w:val="fr-FR"/>
              </w:rPr>
            </w:pPr>
            <w:r w:rsidRPr="00F13051">
              <w:rPr>
                <w:sz w:val="18"/>
                <w:szCs w:val="18"/>
                <w:lang w:val="fr-FR"/>
              </w:rPr>
              <w:t>Données trophiques de niveau</w:t>
            </w:r>
            <w:r w:rsidR="00313C0D" w:rsidRPr="00F13051">
              <w:rPr>
                <w:sz w:val="18"/>
                <w:szCs w:val="18"/>
                <w:lang w:val="fr-FR"/>
              </w:rPr>
              <w:t> </w:t>
            </w:r>
            <w:r w:rsidRPr="00F13051">
              <w:rPr>
                <w:sz w:val="18"/>
                <w:szCs w:val="18"/>
                <w:lang w:val="fr-FR"/>
              </w:rPr>
              <w:t>3 pour les tendances</w:t>
            </w:r>
            <w:r w:rsidR="00313C0D" w:rsidRPr="00F13051">
              <w:rPr>
                <w:sz w:val="18"/>
                <w:szCs w:val="18"/>
                <w:lang w:val="fr-FR"/>
              </w:rPr>
              <w:t xml:space="preserve"> temporelles, données de niveau </w:t>
            </w:r>
            <w:r w:rsidRPr="00F13051">
              <w:rPr>
                <w:sz w:val="18"/>
                <w:szCs w:val="18"/>
                <w:lang w:val="fr-FR"/>
              </w:rPr>
              <w:t>4 pour l</w:t>
            </w:r>
            <w:r w:rsidR="00133FD4" w:rsidRPr="00F13051">
              <w:rPr>
                <w:sz w:val="18"/>
                <w:szCs w:val="18"/>
                <w:lang w:val="fr-FR"/>
              </w:rPr>
              <w:t>’</w:t>
            </w:r>
            <w:r w:rsidRPr="00F13051">
              <w:rPr>
                <w:sz w:val="18"/>
                <w:szCs w:val="18"/>
                <w:lang w:val="fr-FR"/>
              </w:rPr>
              <w:t xml:space="preserve">analyse des gradients spatiaux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32BB3994" w14:textId="1D0ABE2A" w:rsidR="0015792A" w:rsidRPr="00F13051" w:rsidRDefault="004F110C"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Concentrations de méthylmercure dans le poisson consommé par les populations humaines</w:t>
            </w:r>
            <w:r w:rsidR="00133FD4" w:rsidRPr="00F13051">
              <w:rPr>
                <w:sz w:val="18"/>
                <w:szCs w:val="18"/>
                <w:lang w:val="fr-FR"/>
              </w:rPr>
              <w:t> ;</w:t>
            </w:r>
            <w:r w:rsidRPr="00F13051">
              <w:rPr>
                <w:sz w:val="18"/>
                <w:szCs w:val="18"/>
                <w:lang w:val="fr-FR"/>
              </w:rPr>
              <w:t xml:space="preserve"> origine marine du méthylmercure</w:t>
            </w:r>
          </w:p>
          <w:p w14:paraId="10A45BA4" w14:textId="1D612453"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4E6F3C79" w14:textId="7CC801C0" w:rsidR="004F110C" w:rsidRPr="00F13051" w:rsidRDefault="004F110C" w:rsidP="00914F3F">
            <w:pPr>
              <w:shd w:val="clear" w:color="auto" w:fill="FFFFFF"/>
              <w:tabs>
                <w:tab w:val="left" w:pos="1382"/>
              </w:tabs>
              <w:spacing w:before="40" w:after="40"/>
              <w:ind w:left="7" w:right="57"/>
              <w:rPr>
                <w:rFonts w:eastAsia="Times New Roman"/>
                <w:sz w:val="18"/>
                <w:szCs w:val="18"/>
                <w:lang w:val="fr-FR"/>
              </w:rPr>
            </w:pPr>
            <w:r w:rsidRPr="00F13051">
              <w:rPr>
                <w:sz w:val="18"/>
                <w:szCs w:val="18"/>
                <w:lang w:val="fr-FR"/>
              </w:rPr>
              <w:t xml:space="preserve">Répartition </w:t>
            </w:r>
            <w:r w:rsidR="00171333" w:rsidRPr="00F13051">
              <w:rPr>
                <w:sz w:val="18"/>
                <w:szCs w:val="18"/>
                <w:lang w:val="fr-FR"/>
              </w:rPr>
              <w:t xml:space="preserve">par région </w:t>
            </w:r>
            <w:r w:rsidRPr="00F13051">
              <w:rPr>
                <w:sz w:val="18"/>
                <w:szCs w:val="18"/>
                <w:lang w:val="fr-FR"/>
              </w:rPr>
              <w:t>des</w:t>
            </w:r>
            <w:r w:rsidR="005412F5" w:rsidRPr="00F13051">
              <w:rPr>
                <w:sz w:val="18"/>
                <w:szCs w:val="18"/>
                <w:lang w:val="fr-FR"/>
              </w:rPr>
              <w:t xml:space="preserve"> </w:t>
            </w:r>
            <w:r w:rsidRPr="00F13051">
              <w:rPr>
                <w:sz w:val="18"/>
                <w:szCs w:val="18"/>
                <w:lang w:val="fr-FR"/>
              </w:rPr>
              <w:t>sources d</w:t>
            </w:r>
            <w:r w:rsidR="005C768A" w:rsidRPr="00F13051">
              <w:rPr>
                <w:sz w:val="18"/>
                <w:szCs w:val="18"/>
                <w:lang w:val="fr-FR"/>
              </w:rPr>
              <w:t>u</w:t>
            </w:r>
            <w:r w:rsidRPr="00F13051">
              <w:rPr>
                <w:sz w:val="18"/>
                <w:szCs w:val="18"/>
                <w:lang w:val="fr-FR"/>
              </w:rPr>
              <w:t xml:space="preserve"> mercure </w:t>
            </w:r>
            <w:r w:rsidR="005C768A" w:rsidRPr="00F13051">
              <w:rPr>
                <w:sz w:val="18"/>
                <w:szCs w:val="18"/>
                <w:lang w:val="fr-FR"/>
              </w:rPr>
              <w:t xml:space="preserve">présent </w:t>
            </w:r>
            <w:r w:rsidRPr="00F13051">
              <w:rPr>
                <w:sz w:val="18"/>
                <w:szCs w:val="18"/>
                <w:lang w:val="fr-FR"/>
              </w:rPr>
              <w:t>dans les poissons (</w:t>
            </w:r>
            <w:r w:rsidR="006C44BC" w:rsidRPr="00F13051">
              <w:rPr>
                <w:sz w:val="18"/>
                <w:szCs w:val="18"/>
                <w:lang w:val="fr-FR"/>
              </w:rPr>
              <w:t>mammifères</w:t>
            </w:r>
            <w:r w:rsidRPr="00F13051">
              <w:rPr>
                <w:sz w:val="18"/>
                <w:szCs w:val="18"/>
                <w:lang w:val="fr-FR"/>
              </w:rPr>
              <w:t xml:space="preserve"> marins </w:t>
            </w:r>
            <w:r w:rsidR="006C44BC" w:rsidRPr="00F13051">
              <w:rPr>
                <w:sz w:val="18"/>
                <w:szCs w:val="18"/>
                <w:lang w:val="fr-FR"/>
              </w:rPr>
              <w:t>?)</w:t>
            </w:r>
            <w:r w:rsidR="00133FD4" w:rsidRPr="00F13051">
              <w:rPr>
                <w:sz w:val="18"/>
                <w:szCs w:val="18"/>
                <w:lang w:val="fr-FR"/>
              </w:rPr>
              <w:t> ;</w:t>
            </w:r>
          </w:p>
          <w:p w14:paraId="1C6FBF7B"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0A4080D5" w14:textId="77777777" w:rsidR="00313C0D" w:rsidRPr="00F13051" w:rsidRDefault="00313C0D" w:rsidP="00914F3F">
            <w:pPr>
              <w:shd w:val="clear" w:color="auto" w:fill="FFFFFF"/>
              <w:tabs>
                <w:tab w:val="left" w:pos="1382"/>
              </w:tabs>
              <w:spacing w:before="40" w:after="40"/>
              <w:ind w:left="7" w:right="57"/>
              <w:rPr>
                <w:sz w:val="18"/>
                <w:szCs w:val="18"/>
                <w:lang w:val="fr-FR"/>
              </w:rPr>
            </w:pPr>
          </w:p>
          <w:p w14:paraId="252CCAF0" w14:textId="77777777" w:rsidR="00313C0D" w:rsidRPr="00F13051" w:rsidRDefault="00313C0D" w:rsidP="00914F3F">
            <w:pPr>
              <w:shd w:val="clear" w:color="auto" w:fill="FFFFFF"/>
              <w:tabs>
                <w:tab w:val="left" w:pos="1382"/>
              </w:tabs>
              <w:spacing w:before="40" w:after="40"/>
              <w:ind w:left="7" w:right="57"/>
              <w:rPr>
                <w:sz w:val="18"/>
                <w:szCs w:val="18"/>
                <w:lang w:val="fr-FR"/>
              </w:rPr>
            </w:pPr>
          </w:p>
          <w:p w14:paraId="4252BE15" w14:textId="77777777" w:rsidR="00313C0D" w:rsidRPr="00F13051" w:rsidRDefault="00313C0D" w:rsidP="00914F3F">
            <w:pPr>
              <w:shd w:val="clear" w:color="auto" w:fill="FFFFFF"/>
              <w:tabs>
                <w:tab w:val="left" w:pos="1382"/>
              </w:tabs>
              <w:spacing w:before="40" w:after="40"/>
              <w:ind w:left="7" w:right="57"/>
              <w:rPr>
                <w:sz w:val="18"/>
                <w:szCs w:val="18"/>
                <w:lang w:val="fr-FR"/>
              </w:rPr>
            </w:pPr>
          </w:p>
          <w:p w14:paraId="17790924" w14:textId="77777777" w:rsidR="00313C0D" w:rsidRPr="00F13051" w:rsidRDefault="00313C0D" w:rsidP="00914F3F">
            <w:pPr>
              <w:shd w:val="clear" w:color="auto" w:fill="FFFFFF"/>
              <w:tabs>
                <w:tab w:val="left" w:pos="1382"/>
              </w:tabs>
              <w:spacing w:before="40" w:after="40"/>
              <w:ind w:left="7" w:right="57"/>
              <w:rPr>
                <w:sz w:val="18"/>
                <w:szCs w:val="18"/>
                <w:lang w:val="fr-FR"/>
              </w:rPr>
            </w:pPr>
          </w:p>
          <w:p w14:paraId="06119D24" w14:textId="6A5D46FB" w:rsidR="004F110C" w:rsidRPr="00F13051" w:rsidRDefault="004F110C" w:rsidP="00914F3F">
            <w:pPr>
              <w:shd w:val="clear" w:color="auto" w:fill="FFFFFF"/>
              <w:tabs>
                <w:tab w:val="left" w:pos="1382"/>
              </w:tabs>
              <w:spacing w:before="40" w:after="40"/>
              <w:ind w:left="7" w:right="57"/>
              <w:rPr>
                <w:sz w:val="18"/>
                <w:szCs w:val="18"/>
                <w:lang w:val="fr-FR"/>
              </w:rPr>
            </w:pPr>
            <w:r w:rsidRPr="00F13051">
              <w:rPr>
                <w:sz w:val="18"/>
                <w:szCs w:val="18"/>
                <w:lang w:val="fr-FR"/>
              </w:rPr>
              <w:t>Modifications dues aux émissions et au climat</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6CC61E2E" w14:textId="2B26C8BB" w:rsidR="004F110C" w:rsidRPr="00F13051" w:rsidRDefault="004F110C" w:rsidP="005C768A">
            <w:pPr>
              <w:keepNext/>
              <w:keepLines/>
              <w:shd w:val="clear" w:color="auto" w:fill="FFFFFF"/>
              <w:spacing w:before="40" w:after="40"/>
              <w:ind w:firstLine="766"/>
              <w:rPr>
                <w:rFonts w:eastAsia="Times New Roman"/>
                <w:sz w:val="18"/>
                <w:szCs w:val="18"/>
                <w:lang w:val="fr-FR"/>
              </w:rPr>
            </w:pPr>
            <w:r w:rsidRPr="00F13051">
              <w:rPr>
                <w:sz w:val="18"/>
                <w:szCs w:val="18"/>
                <w:lang w:val="fr-FR"/>
              </w:rPr>
              <w:t xml:space="preserve">Modèle mondial pour </w:t>
            </w:r>
            <w:r w:rsidR="00D64978" w:rsidRPr="00F13051">
              <w:rPr>
                <w:sz w:val="18"/>
                <w:szCs w:val="18"/>
                <w:lang w:val="fr-FR"/>
              </w:rPr>
              <w:t>le poisson</w:t>
            </w:r>
            <w:r w:rsidRPr="00F13051">
              <w:rPr>
                <w:sz w:val="18"/>
                <w:szCs w:val="18"/>
                <w:lang w:val="fr-FR"/>
              </w:rPr>
              <w:t xml:space="preserve"> en cours d</w:t>
            </w:r>
            <w:r w:rsidR="00133FD4" w:rsidRPr="00F13051">
              <w:rPr>
                <w:sz w:val="18"/>
                <w:szCs w:val="18"/>
                <w:lang w:val="fr-FR"/>
              </w:rPr>
              <w:t>’</w:t>
            </w:r>
            <w:r w:rsidRPr="00F13051">
              <w:rPr>
                <w:sz w:val="18"/>
                <w:szCs w:val="18"/>
                <w:lang w:val="fr-FR"/>
              </w:rPr>
              <w:t>élaboration</w:t>
            </w:r>
            <w:r w:rsidR="00133FD4" w:rsidRPr="00F13051">
              <w:rPr>
                <w:sz w:val="18"/>
                <w:szCs w:val="18"/>
                <w:lang w:val="fr-FR"/>
              </w:rPr>
              <w:t> ;</w:t>
            </w:r>
            <w:r w:rsidRPr="00F13051">
              <w:rPr>
                <w:sz w:val="18"/>
                <w:szCs w:val="18"/>
                <w:lang w:val="fr-FR"/>
              </w:rPr>
              <w:t xml:space="preserve"> ce modèle pourrait établir un lien avec les mammifères marins et les oiseaux</w:t>
            </w:r>
          </w:p>
          <w:p w14:paraId="0780BC15"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70BC1E5C"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7BE59A1E"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325663EA"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3743DAF4"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41339F67"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7477074F"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15605A30" w14:textId="77777777" w:rsidR="004F110C" w:rsidRPr="00F13051" w:rsidRDefault="004F110C" w:rsidP="005C768A">
            <w:pPr>
              <w:keepNext/>
              <w:keepLines/>
              <w:shd w:val="clear" w:color="auto" w:fill="FFFFFF"/>
              <w:spacing w:before="40" w:after="40"/>
              <w:ind w:firstLine="766"/>
              <w:rPr>
                <w:rFonts w:eastAsia="Times New Roman"/>
                <w:sz w:val="18"/>
                <w:szCs w:val="18"/>
                <w:lang w:val="fr-FR"/>
              </w:rPr>
            </w:pPr>
          </w:p>
          <w:p w14:paraId="2C7099E9" w14:textId="77777777" w:rsidR="00463E7D" w:rsidRPr="00F13051" w:rsidRDefault="00463E7D" w:rsidP="005C768A">
            <w:pPr>
              <w:keepNext/>
              <w:keepLines/>
              <w:shd w:val="clear" w:color="auto" w:fill="FFFFFF"/>
              <w:spacing w:before="40" w:after="40"/>
              <w:ind w:firstLine="766"/>
              <w:rPr>
                <w:rFonts w:eastAsia="Times New Roman"/>
                <w:sz w:val="18"/>
                <w:szCs w:val="18"/>
                <w:lang w:val="fr-FR"/>
              </w:rPr>
            </w:pPr>
          </w:p>
          <w:p w14:paraId="7979CB48" w14:textId="77777777" w:rsidR="00313C0D" w:rsidRPr="00F13051" w:rsidRDefault="00313C0D" w:rsidP="00313C0D">
            <w:pPr>
              <w:keepNext/>
              <w:keepLines/>
              <w:shd w:val="clear" w:color="auto" w:fill="FFFFFF"/>
              <w:spacing w:before="40" w:after="40"/>
              <w:rPr>
                <w:sz w:val="18"/>
                <w:szCs w:val="18"/>
                <w:lang w:val="fr-FR"/>
              </w:rPr>
            </w:pPr>
          </w:p>
          <w:p w14:paraId="3EC182C3" w14:textId="77777777" w:rsidR="00313C0D" w:rsidRPr="00F13051" w:rsidRDefault="00313C0D" w:rsidP="00313C0D">
            <w:pPr>
              <w:keepNext/>
              <w:keepLines/>
              <w:shd w:val="clear" w:color="auto" w:fill="FFFFFF"/>
              <w:spacing w:before="40" w:after="40"/>
              <w:rPr>
                <w:sz w:val="18"/>
                <w:szCs w:val="18"/>
                <w:lang w:val="fr-FR"/>
              </w:rPr>
            </w:pPr>
          </w:p>
          <w:p w14:paraId="7DE8E558" w14:textId="77777777" w:rsidR="00313C0D" w:rsidRPr="00F13051" w:rsidRDefault="00313C0D" w:rsidP="00313C0D">
            <w:pPr>
              <w:keepNext/>
              <w:keepLines/>
              <w:shd w:val="clear" w:color="auto" w:fill="FFFFFF"/>
              <w:spacing w:before="40" w:after="40"/>
              <w:rPr>
                <w:sz w:val="18"/>
                <w:szCs w:val="18"/>
                <w:lang w:val="fr-FR"/>
              </w:rPr>
            </w:pPr>
          </w:p>
          <w:p w14:paraId="76CD5B81" w14:textId="5CECA7A9" w:rsidR="004F110C" w:rsidRPr="00F13051" w:rsidRDefault="004F110C" w:rsidP="00313C0D">
            <w:pPr>
              <w:keepNext/>
              <w:keepLines/>
              <w:shd w:val="clear" w:color="auto" w:fill="FFFFFF"/>
              <w:spacing w:before="40" w:after="40"/>
              <w:rPr>
                <w:sz w:val="18"/>
                <w:szCs w:val="18"/>
                <w:lang w:val="fr-FR"/>
              </w:rPr>
            </w:pPr>
            <w:r w:rsidRPr="00F13051">
              <w:rPr>
                <w:sz w:val="18"/>
                <w:szCs w:val="18"/>
                <w:lang w:val="fr-FR"/>
              </w:rPr>
              <w:t>Collecter des données trophiques de niveau 4 en Asie et en Afrique</w:t>
            </w:r>
          </w:p>
        </w:tc>
      </w:tr>
      <w:tr w:rsidR="004F110C" w:rsidRPr="00F13051" w14:paraId="5910D453" w14:textId="77777777" w:rsidTr="005C768A">
        <w:trPr>
          <w:trHeight w:val="57"/>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0911865C" w14:textId="60E252A2" w:rsidR="004F110C" w:rsidRPr="00F13051" w:rsidRDefault="004F110C" w:rsidP="00E10E0C">
            <w:pPr>
              <w:shd w:val="clear" w:color="auto" w:fill="FFFFFF"/>
              <w:spacing w:before="40" w:after="40"/>
              <w:ind w:left="343" w:right="349"/>
              <w:rPr>
                <w:rFonts w:eastAsia="Times New Roman"/>
                <w:sz w:val="18"/>
                <w:szCs w:val="18"/>
                <w:lang w:val="fr-FR"/>
              </w:rPr>
            </w:pPr>
            <w:r w:rsidRPr="00F13051">
              <w:rPr>
                <w:b/>
                <w:bCs/>
                <w:sz w:val="18"/>
                <w:szCs w:val="18"/>
                <w:lang w:val="fr-FR"/>
              </w:rPr>
              <w:t>Humains</w:t>
            </w:r>
            <w:r w:rsidR="00133FD4" w:rsidRPr="00F13051">
              <w:rPr>
                <w:b/>
                <w:bCs/>
                <w:sz w:val="18"/>
                <w:szCs w:val="18"/>
                <w:lang w:val="fr-FR"/>
              </w:rPr>
              <w:t> :</w:t>
            </w:r>
            <w:r w:rsidRPr="00F13051">
              <w:rPr>
                <w:sz w:val="18"/>
                <w:szCs w:val="18"/>
                <w:lang w:val="fr-FR"/>
              </w:rPr>
              <w:t xml:space="preserve"> exposition des consommateurs de poissons marins (à l</w:t>
            </w:r>
            <w:r w:rsidR="00133FD4" w:rsidRPr="00F13051">
              <w:rPr>
                <w:sz w:val="18"/>
                <w:szCs w:val="18"/>
                <w:lang w:val="fr-FR"/>
              </w:rPr>
              <w:t>’</w:t>
            </w:r>
            <w:r w:rsidRPr="00F13051">
              <w:rPr>
                <w:sz w:val="18"/>
                <w:szCs w:val="18"/>
                <w:lang w:val="fr-FR"/>
              </w:rPr>
              <w:t>échelle mondiale)</w:t>
            </w:r>
          </w:p>
          <w:p w14:paraId="005C305F"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6BB861C9" w14:textId="2B929AAB" w:rsidR="004F110C" w:rsidRPr="00F13051" w:rsidRDefault="004F110C" w:rsidP="00E10E0C">
            <w:pPr>
              <w:shd w:val="clear" w:color="auto" w:fill="FFFFFF"/>
              <w:spacing w:before="40" w:after="40"/>
              <w:ind w:left="343" w:right="349"/>
              <w:rPr>
                <w:rFonts w:eastAsia="Times New Roman"/>
                <w:i/>
                <w:sz w:val="18"/>
                <w:szCs w:val="18"/>
                <w:lang w:val="fr-FR"/>
              </w:rPr>
            </w:pPr>
            <w:r w:rsidRPr="00F13051">
              <w:rPr>
                <w:i/>
                <w:iCs/>
                <w:sz w:val="18"/>
                <w:szCs w:val="18"/>
                <w:lang w:val="fr-FR"/>
              </w:rPr>
              <w:t>Modèle toxicocinétique établissant un lien entre l</w:t>
            </w:r>
            <w:r w:rsidR="00133FD4" w:rsidRPr="00F13051">
              <w:rPr>
                <w:i/>
                <w:iCs/>
                <w:sz w:val="18"/>
                <w:szCs w:val="18"/>
                <w:lang w:val="fr-FR"/>
              </w:rPr>
              <w:t>’</w:t>
            </w:r>
            <w:r w:rsidRPr="00F13051">
              <w:rPr>
                <w:i/>
                <w:iCs/>
                <w:sz w:val="18"/>
                <w:szCs w:val="18"/>
                <w:lang w:val="fr-FR"/>
              </w:rPr>
              <w:t xml:space="preserve">ingestion de méthylmercure et les </w:t>
            </w:r>
            <w:r w:rsidR="003600C7" w:rsidRPr="00F13051">
              <w:rPr>
                <w:i/>
                <w:iCs/>
                <w:sz w:val="18"/>
                <w:szCs w:val="18"/>
                <w:lang w:val="fr-FR"/>
              </w:rPr>
              <w:t xml:space="preserve">taux sanguins </w:t>
            </w:r>
            <w:r w:rsidRPr="00F13051">
              <w:rPr>
                <w:i/>
                <w:iCs/>
                <w:sz w:val="18"/>
                <w:szCs w:val="18"/>
                <w:lang w:val="fr-FR"/>
              </w:rPr>
              <w:t xml:space="preserve">et </w:t>
            </w:r>
            <w:r w:rsidR="003600C7" w:rsidRPr="00F13051">
              <w:rPr>
                <w:i/>
                <w:iCs/>
                <w:sz w:val="18"/>
                <w:szCs w:val="18"/>
                <w:lang w:val="fr-FR"/>
              </w:rPr>
              <w:t>capillaires et les résultats connexes</w:t>
            </w:r>
          </w:p>
          <w:p w14:paraId="1B8C3B7B" w14:textId="77777777" w:rsidR="004F110C" w:rsidRPr="00F13051" w:rsidRDefault="004F110C" w:rsidP="0086402F">
            <w:pPr>
              <w:keepNext/>
              <w:keepLines/>
              <w:shd w:val="clear" w:color="auto" w:fill="FFFFFF"/>
              <w:spacing w:before="40" w:after="40"/>
              <w:ind w:left="57" w:right="57" w:firstLine="709"/>
              <w:rPr>
                <w:rFonts w:eastAsia="Times New Roman"/>
                <w:i/>
                <w:iCs/>
                <w:sz w:val="18"/>
                <w:szCs w:val="18"/>
                <w:lang w:val="fr-FR"/>
              </w:rPr>
            </w:pPr>
          </w:p>
          <w:p w14:paraId="6DD2AF47"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469B2F94" w14:textId="1F23295B" w:rsidR="004F110C" w:rsidRPr="00F13051" w:rsidRDefault="004F110C" w:rsidP="00E10E0C">
            <w:pPr>
              <w:shd w:val="clear" w:color="auto" w:fill="FFFFFF"/>
              <w:spacing w:before="40" w:after="40"/>
              <w:ind w:left="343" w:right="349"/>
              <w:rPr>
                <w:rFonts w:eastAsia="Times New Roman"/>
                <w:sz w:val="18"/>
                <w:szCs w:val="18"/>
                <w:lang w:val="fr-FR"/>
              </w:rPr>
            </w:pPr>
            <w:r w:rsidRPr="00F13051">
              <w:rPr>
                <w:sz w:val="18"/>
                <w:szCs w:val="18"/>
                <w:lang w:val="fr-FR"/>
              </w:rPr>
              <w:t>Consommateurs de poissons d</w:t>
            </w:r>
            <w:r w:rsidR="00133FD4" w:rsidRPr="00F13051">
              <w:rPr>
                <w:sz w:val="18"/>
                <w:szCs w:val="18"/>
                <w:lang w:val="fr-FR"/>
              </w:rPr>
              <w:t>’</w:t>
            </w:r>
            <w:r w:rsidRPr="00F13051">
              <w:rPr>
                <w:sz w:val="18"/>
                <w:szCs w:val="18"/>
                <w:lang w:val="fr-FR"/>
              </w:rPr>
              <w:t>eau douce et de riz (données pour chaque site, si possible) – ces populations pourraient être les plus à risque</w:t>
            </w:r>
          </w:p>
          <w:p w14:paraId="4A7D131D"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3B530AEA" w14:textId="258B753F" w:rsidR="004F110C" w:rsidRPr="00F13051" w:rsidRDefault="004F110C" w:rsidP="00E10E0C">
            <w:pPr>
              <w:shd w:val="clear" w:color="auto" w:fill="FFFFFF"/>
              <w:spacing w:before="40" w:after="40"/>
              <w:ind w:left="343" w:right="349"/>
              <w:rPr>
                <w:sz w:val="18"/>
                <w:szCs w:val="18"/>
                <w:lang w:val="fr-FR"/>
              </w:rPr>
            </w:pPr>
            <w:r w:rsidRPr="00F13051">
              <w:rPr>
                <w:sz w:val="18"/>
                <w:szCs w:val="18"/>
                <w:lang w:val="fr-FR"/>
              </w:rPr>
              <w:t>Exposition par le biais de l</w:t>
            </w:r>
            <w:r w:rsidR="00133FD4" w:rsidRPr="00F13051">
              <w:rPr>
                <w:sz w:val="18"/>
                <w:szCs w:val="18"/>
                <w:lang w:val="fr-FR"/>
              </w:rPr>
              <w:t>’</w:t>
            </w:r>
            <w:r w:rsidRPr="00F13051">
              <w:rPr>
                <w:sz w:val="18"/>
                <w:szCs w:val="18"/>
                <w:lang w:val="fr-FR"/>
              </w:rPr>
              <w:t>occupation professionnelle sur les sites d</w:t>
            </w:r>
            <w:r w:rsidR="00133FD4" w:rsidRPr="00F13051">
              <w:rPr>
                <w:sz w:val="18"/>
                <w:szCs w:val="18"/>
                <w:lang w:val="fr-FR"/>
              </w:rPr>
              <w:t>’</w:t>
            </w:r>
            <w:r w:rsidRPr="00F13051">
              <w:rPr>
                <w:sz w:val="18"/>
                <w:szCs w:val="18"/>
                <w:lang w:val="fr-FR"/>
              </w:rPr>
              <w:t xml:space="preserve">extraction artisanale et à </w:t>
            </w:r>
            <w:r w:rsidR="00636DEA" w:rsidRPr="00F13051">
              <w:rPr>
                <w:sz w:val="18"/>
                <w:szCs w:val="18"/>
                <w:lang w:val="fr-FR"/>
              </w:rPr>
              <w:t>petite échelle d’or</w:t>
            </w:r>
            <w:r w:rsidRPr="00F13051">
              <w:rPr>
                <w:sz w:val="18"/>
                <w:szCs w:val="18"/>
                <w:lang w:val="fr-FR"/>
              </w:rPr>
              <w:t xml:space="preserve"> (pour chaque site)</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7BD68281" w14:textId="28F8B936" w:rsidR="004F110C" w:rsidRPr="00F13051" w:rsidRDefault="004F110C" w:rsidP="00E10E0C">
            <w:pPr>
              <w:shd w:val="clear" w:color="auto" w:fill="FFFFFF"/>
              <w:spacing w:before="40" w:after="40"/>
              <w:ind w:left="57" w:right="349" w:hanging="5"/>
              <w:rPr>
                <w:rFonts w:eastAsia="Times New Roman"/>
                <w:sz w:val="18"/>
                <w:szCs w:val="18"/>
                <w:lang w:val="fr-FR"/>
              </w:rPr>
            </w:pPr>
            <w:r w:rsidRPr="00F13051">
              <w:rPr>
                <w:b/>
                <w:sz w:val="18"/>
                <w:szCs w:val="18"/>
                <w:lang w:val="fr-FR"/>
              </w:rPr>
              <w:t>Données d</w:t>
            </w:r>
            <w:r w:rsidR="00133FD4" w:rsidRPr="00F13051">
              <w:rPr>
                <w:b/>
                <w:sz w:val="18"/>
                <w:szCs w:val="18"/>
                <w:lang w:val="fr-FR"/>
              </w:rPr>
              <w:t>’</w:t>
            </w:r>
            <w:r w:rsidRPr="00F13051">
              <w:rPr>
                <w:b/>
                <w:sz w:val="18"/>
                <w:szCs w:val="18"/>
                <w:lang w:val="fr-FR"/>
              </w:rPr>
              <w:t>entrée</w:t>
            </w:r>
            <w:r w:rsidR="00133FD4" w:rsidRPr="00F13051">
              <w:rPr>
                <w:b/>
                <w:sz w:val="18"/>
                <w:szCs w:val="18"/>
                <w:lang w:val="fr-FR"/>
              </w:rPr>
              <w:t> :</w:t>
            </w:r>
            <w:r w:rsidRPr="00F13051">
              <w:rPr>
                <w:sz w:val="18"/>
                <w:szCs w:val="18"/>
                <w:lang w:val="fr-FR"/>
              </w:rPr>
              <w:t xml:space="preserve"> Biomasse et concentrations de méthylmercure dans le poisson consommé par diverses catégories de la population (modèle)</w:t>
            </w:r>
            <w:r w:rsidR="00133FD4" w:rsidRPr="00F13051">
              <w:rPr>
                <w:sz w:val="18"/>
                <w:szCs w:val="18"/>
                <w:lang w:val="fr-FR"/>
              </w:rPr>
              <w:t> ;</w:t>
            </w:r>
            <w:r w:rsidRPr="00F13051">
              <w:rPr>
                <w:sz w:val="18"/>
                <w:szCs w:val="18"/>
                <w:lang w:val="fr-FR"/>
              </w:rPr>
              <w:t xml:space="preserve"> données sur le</w:t>
            </w:r>
            <w:r w:rsidR="005C768A" w:rsidRPr="00F13051">
              <w:rPr>
                <w:sz w:val="18"/>
                <w:szCs w:val="18"/>
                <w:lang w:val="fr-FR"/>
              </w:rPr>
              <w:t xml:space="preserve"> mercure ingéré via le</w:t>
            </w:r>
            <w:r w:rsidRPr="00F13051">
              <w:rPr>
                <w:sz w:val="18"/>
                <w:szCs w:val="18"/>
                <w:lang w:val="fr-FR"/>
              </w:rPr>
              <w:t>s aliments pour diverses populations humaines</w:t>
            </w:r>
          </w:p>
          <w:p w14:paraId="6F598459" w14:textId="77777777" w:rsidR="004F110C" w:rsidRPr="00F13051" w:rsidRDefault="004F110C" w:rsidP="0086402F">
            <w:pPr>
              <w:keepNext/>
              <w:keepLines/>
              <w:shd w:val="clear" w:color="auto" w:fill="FFFFFF"/>
              <w:spacing w:before="40" w:after="40"/>
              <w:ind w:left="57" w:right="57" w:firstLine="709"/>
              <w:rPr>
                <w:rFonts w:eastAsia="Times New Roman"/>
                <w:sz w:val="18"/>
                <w:szCs w:val="18"/>
                <w:lang w:val="fr-FR"/>
              </w:rPr>
            </w:pPr>
          </w:p>
          <w:p w14:paraId="58374357" w14:textId="77777777" w:rsidR="004F110C" w:rsidRPr="00F13051" w:rsidRDefault="004F110C" w:rsidP="00E10E0C">
            <w:pPr>
              <w:shd w:val="clear" w:color="auto" w:fill="FFFFFF"/>
              <w:spacing w:before="40" w:after="40"/>
              <w:ind w:left="57" w:right="349" w:hanging="5"/>
              <w:rPr>
                <w:sz w:val="18"/>
                <w:szCs w:val="18"/>
                <w:lang w:val="fr-FR"/>
              </w:rPr>
            </w:pPr>
            <w:r w:rsidRPr="00F13051">
              <w:rPr>
                <w:sz w:val="18"/>
                <w:szCs w:val="18"/>
                <w:lang w:val="fr-FR"/>
              </w:rPr>
              <w:t>Données nationales de biosurveillance (évaluation des modèles)</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5B1F47EE" w14:textId="13B07845" w:rsidR="004F110C" w:rsidRPr="00F13051" w:rsidRDefault="004F110C" w:rsidP="00914F3F">
            <w:pPr>
              <w:shd w:val="clear" w:color="auto" w:fill="FFFFFF"/>
              <w:tabs>
                <w:tab w:val="left" w:pos="1382"/>
              </w:tabs>
              <w:spacing w:before="40" w:after="40"/>
              <w:ind w:left="7" w:right="57"/>
              <w:rPr>
                <w:sz w:val="18"/>
                <w:szCs w:val="18"/>
                <w:lang w:val="fr-FR"/>
              </w:rPr>
            </w:pPr>
            <w:r w:rsidRPr="00F13051">
              <w:rPr>
                <w:sz w:val="18"/>
                <w:szCs w:val="18"/>
                <w:lang w:val="fr-FR"/>
              </w:rPr>
              <w:t>Objectif</w:t>
            </w:r>
            <w:r w:rsidR="00133FD4" w:rsidRPr="00F13051">
              <w:rPr>
                <w:sz w:val="18"/>
                <w:szCs w:val="18"/>
                <w:lang w:val="fr-FR"/>
              </w:rPr>
              <w:t> :</w:t>
            </w:r>
            <w:r w:rsidRPr="00F13051">
              <w:rPr>
                <w:sz w:val="18"/>
                <w:szCs w:val="18"/>
                <w:lang w:val="fr-FR"/>
              </w:rPr>
              <w:t xml:space="preserve"> répartition de la contribution des sources de mercure en fonction des populations humaines </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4E100EB3" w14:textId="2D7A6EEB" w:rsidR="004F110C" w:rsidRPr="00F13051" w:rsidRDefault="004F110C" w:rsidP="003600C7">
            <w:pPr>
              <w:keepNext/>
              <w:keepLines/>
              <w:shd w:val="clear" w:color="auto" w:fill="FFFFFF"/>
              <w:spacing w:before="40" w:after="40"/>
              <w:rPr>
                <w:sz w:val="18"/>
                <w:szCs w:val="18"/>
                <w:lang w:val="fr-FR"/>
              </w:rPr>
            </w:pPr>
            <w:r w:rsidRPr="00F13051">
              <w:rPr>
                <w:sz w:val="18"/>
                <w:szCs w:val="18"/>
                <w:lang w:val="fr-FR"/>
              </w:rPr>
              <w:t>Les mécanismes influant sur le lien entre l</w:t>
            </w:r>
            <w:r w:rsidR="00133FD4" w:rsidRPr="00F13051">
              <w:rPr>
                <w:sz w:val="18"/>
                <w:szCs w:val="18"/>
                <w:lang w:val="fr-FR"/>
              </w:rPr>
              <w:t>’</w:t>
            </w:r>
            <w:r w:rsidRPr="00F13051">
              <w:rPr>
                <w:sz w:val="18"/>
                <w:szCs w:val="18"/>
                <w:lang w:val="fr-FR"/>
              </w:rPr>
              <w:t xml:space="preserve">exposition externe au méthylmercure et les </w:t>
            </w:r>
            <w:r w:rsidR="003600C7" w:rsidRPr="00F13051">
              <w:rPr>
                <w:sz w:val="18"/>
                <w:szCs w:val="18"/>
                <w:lang w:val="fr-FR"/>
              </w:rPr>
              <w:t>taux sanguins</w:t>
            </w:r>
            <w:r w:rsidRPr="00F13051">
              <w:rPr>
                <w:sz w:val="18"/>
                <w:szCs w:val="18"/>
                <w:lang w:val="fr-FR"/>
              </w:rPr>
              <w:t xml:space="preserve"> et </w:t>
            </w:r>
            <w:r w:rsidR="003600C7" w:rsidRPr="00F13051">
              <w:rPr>
                <w:sz w:val="18"/>
                <w:szCs w:val="18"/>
                <w:lang w:val="fr-FR"/>
              </w:rPr>
              <w:t>les résulta</w:t>
            </w:r>
            <w:r w:rsidRPr="00F13051">
              <w:rPr>
                <w:sz w:val="18"/>
                <w:szCs w:val="18"/>
                <w:lang w:val="fr-FR"/>
              </w:rPr>
              <w:t xml:space="preserve">ts </w:t>
            </w:r>
            <w:r w:rsidR="003600C7" w:rsidRPr="00F13051">
              <w:rPr>
                <w:sz w:val="18"/>
                <w:szCs w:val="18"/>
                <w:lang w:val="fr-FR"/>
              </w:rPr>
              <w:t xml:space="preserve">connexes </w:t>
            </w:r>
            <w:r w:rsidRPr="00F13051">
              <w:rPr>
                <w:sz w:val="18"/>
                <w:szCs w:val="18"/>
                <w:lang w:val="fr-FR"/>
              </w:rPr>
              <w:t>pour diverses populations sont mal connus (évolution de la recherche)</w:t>
            </w:r>
          </w:p>
        </w:tc>
      </w:tr>
    </w:tbl>
    <w:p w14:paraId="67845FBB" w14:textId="6571CF39" w:rsidR="0015792A" w:rsidRPr="00F13051" w:rsidRDefault="00483EF1" w:rsidP="0086402F">
      <w:pPr>
        <w:pStyle w:val="NormalNonumber"/>
        <w:spacing w:before="40"/>
        <w:ind w:left="624" w:hanging="8"/>
        <w:rPr>
          <w:sz w:val="17"/>
          <w:szCs w:val="17"/>
          <w:lang w:val="fr-FR"/>
        </w:rPr>
      </w:pPr>
      <w:r w:rsidRPr="00F13051">
        <w:rPr>
          <w:i/>
          <w:iCs/>
          <w:sz w:val="17"/>
          <w:szCs w:val="17"/>
          <w:lang w:val="fr-FR"/>
        </w:rPr>
        <w:t>Abréviations</w:t>
      </w:r>
      <w:r w:rsidR="00133FD4" w:rsidRPr="00F13051">
        <w:rPr>
          <w:i/>
          <w:iCs/>
          <w:sz w:val="17"/>
          <w:szCs w:val="17"/>
          <w:lang w:val="fr-FR"/>
        </w:rPr>
        <w:t> :</w:t>
      </w:r>
      <w:r w:rsidR="00133FD4" w:rsidRPr="00F13051">
        <w:rPr>
          <w:sz w:val="17"/>
          <w:szCs w:val="17"/>
          <w:lang w:val="fr-FR"/>
        </w:rPr>
        <w:t xml:space="preserve"> </w:t>
      </w:r>
      <w:r w:rsidRPr="00F13051">
        <w:rPr>
          <w:sz w:val="17"/>
          <w:szCs w:val="17"/>
          <w:lang w:val="fr-FR"/>
        </w:rPr>
        <w:t>MITgcm = modèle de circulation générale du Massachusetts Institute of Technology</w:t>
      </w:r>
      <w:r w:rsidR="00133FD4" w:rsidRPr="00F13051">
        <w:rPr>
          <w:sz w:val="17"/>
          <w:szCs w:val="17"/>
          <w:lang w:val="fr-FR"/>
        </w:rPr>
        <w:t> ;</w:t>
      </w:r>
      <w:r w:rsidRPr="00F13051">
        <w:rPr>
          <w:sz w:val="17"/>
          <w:szCs w:val="17"/>
          <w:lang w:val="fr-FR"/>
        </w:rPr>
        <w:t xml:space="preserve"> NEMO = Nucleus for European Modelling of the Ocean (modèle européen de circulation générale océanique).</w:t>
      </w:r>
    </w:p>
    <w:p w14:paraId="5A27A09C" w14:textId="77777777" w:rsidR="00313C0D" w:rsidRPr="00F13051" w:rsidRDefault="00313C0D" w:rsidP="0086402F">
      <w:pPr>
        <w:pStyle w:val="NormalNonumber"/>
        <w:spacing w:before="40"/>
        <w:ind w:left="624" w:hanging="8"/>
        <w:rPr>
          <w:sz w:val="17"/>
          <w:szCs w:val="17"/>
          <w:lang w:val="fr-FR"/>
        </w:rPr>
      </w:pPr>
    </w:p>
    <w:p w14:paraId="3B93D3B4" w14:textId="52BE3F04" w:rsidR="004F110C" w:rsidRPr="00F13051" w:rsidRDefault="0086402F" w:rsidP="00F5720B">
      <w:pPr>
        <w:pStyle w:val="CH1"/>
        <w:rPr>
          <w:u w:color="FF0000"/>
          <w:lang w:val="fr-FR"/>
        </w:rPr>
      </w:pPr>
      <w:r w:rsidRPr="00F13051">
        <w:rPr>
          <w:bCs/>
          <w:lang w:val="fr-FR"/>
        </w:rPr>
        <w:tab/>
      </w:r>
      <w:r w:rsidR="00F5720B" w:rsidRPr="00F13051">
        <w:rPr>
          <w:bCs/>
          <w:lang w:val="fr-FR"/>
        </w:rPr>
        <w:t>V.</w:t>
      </w:r>
      <w:r w:rsidR="00F5720B" w:rsidRPr="00F13051">
        <w:rPr>
          <w:bCs/>
          <w:lang w:val="fr-FR"/>
        </w:rPr>
        <w:tab/>
      </w:r>
      <w:r w:rsidR="001E3AA1" w:rsidRPr="00F13051">
        <w:rPr>
          <w:bCs/>
          <w:lang w:val="fr-FR"/>
        </w:rPr>
        <w:t>Définir un niveau de référence des données de surveillance</w:t>
      </w:r>
    </w:p>
    <w:p w14:paraId="312D7955" w14:textId="2B37037D" w:rsidR="004F110C" w:rsidRPr="00F13051" w:rsidRDefault="004F110C" w:rsidP="00C13A85">
      <w:pPr>
        <w:pStyle w:val="Normalnumber"/>
        <w:rPr>
          <w:lang w:val="fr-FR"/>
        </w:rPr>
      </w:pPr>
      <w:r w:rsidRPr="00F13051">
        <w:rPr>
          <w:lang w:val="fr-FR"/>
        </w:rPr>
        <w:t>Dans l</w:t>
      </w:r>
      <w:r w:rsidR="00133FD4" w:rsidRPr="00F13051">
        <w:rPr>
          <w:lang w:val="fr-FR"/>
        </w:rPr>
        <w:t>’</w:t>
      </w:r>
      <w:r w:rsidRPr="00F13051">
        <w:rPr>
          <w:lang w:val="fr-FR"/>
        </w:rPr>
        <w:t>approche « avant-après », qui vise à comparer les concentrations de mercure avant et après la mise en œuvre de la Convention, il est possible d</w:t>
      </w:r>
      <w:r w:rsidR="00133FD4" w:rsidRPr="00F13051">
        <w:rPr>
          <w:lang w:val="fr-FR"/>
        </w:rPr>
        <w:t>’</w:t>
      </w:r>
      <w:r w:rsidRPr="00F13051">
        <w:rPr>
          <w:lang w:val="fr-FR"/>
        </w:rPr>
        <w:t>utiliser les données de surveillance proches du début et de la fin de la période d</w:t>
      </w:r>
      <w:r w:rsidR="00133FD4" w:rsidRPr="00F13051">
        <w:rPr>
          <w:lang w:val="fr-FR"/>
        </w:rPr>
        <w:t>’</w:t>
      </w:r>
      <w:r w:rsidRPr="00F13051">
        <w:rPr>
          <w:lang w:val="fr-FR"/>
        </w:rPr>
        <w:t xml:space="preserve">évaluation. </w:t>
      </w:r>
      <w:r w:rsidR="00F50A6B" w:rsidRPr="00F13051">
        <w:rPr>
          <w:lang w:val="fr-FR"/>
        </w:rPr>
        <w:t>Pour</w:t>
      </w:r>
      <w:r w:rsidRPr="00F13051">
        <w:rPr>
          <w:lang w:val="fr-FR"/>
        </w:rPr>
        <w:t xml:space="preserve"> la première évaluation de l</w:t>
      </w:r>
      <w:r w:rsidR="00133FD4" w:rsidRPr="00F13051">
        <w:rPr>
          <w:lang w:val="fr-FR"/>
        </w:rPr>
        <w:t>’</w:t>
      </w:r>
      <w:r w:rsidRPr="00F13051">
        <w:rPr>
          <w:lang w:val="fr-FR"/>
        </w:rPr>
        <w:t>efficacité, les données de surveillance précédant l</w:t>
      </w:r>
      <w:r w:rsidR="00133FD4" w:rsidRPr="00F13051">
        <w:rPr>
          <w:lang w:val="fr-FR"/>
        </w:rPr>
        <w:t>’</w:t>
      </w:r>
      <w:r w:rsidRPr="00F13051">
        <w:rPr>
          <w:lang w:val="fr-FR"/>
        </w:rPr>
        <w:t>entrée en vigueur de la Convention peuvent servir de niveau de référence. En ce qui concerne l</w:t>
      </w:r>
      <w:r w:rsidR="00133FD4" w:rsidRPr="00F13051">
        <w:rPr>
          <w:lang w:val="fr-FR"/>
        </w:rPr>
        <w:t>’</w:t>
      </w:r>
      <w:r w:rsidRPr="00F13051">
        <w:rPr>
          <w:lang w:val="fr-FR"/>
        </w:rPr>
        <w:t>air, il existe des données de surveillance historiques pour certaines parties de l</w:t>
      </w:r>
      <w:r w:rsidR="00133FD4" w:rsidRPr="00F13051">
        <w:rPr>
          <w:lang w:val="fr-FR"/>
        </w:rPr>
        <w:t>’</w:t>
      </w:r>
      <w:r w:rsidRPr="00F13051">
        <w:rPr>
          <w:lang w:val="fr-FR"/>
        </w:rPr>
        <w:t xml:space="preserve">hémisphère Nord. </w:t>
      </w:r>
      <w:r w:rsidR="00F50A6B" w:rsidRPr="00F13051">
        <w:rPr>
          <w:lang w:val="fr-FR"/>
        </w:rPr>
        <w:t>S’agissant</w:t>
      </w:r>
      <w:r w:rsidRPr="00F13051">
        <w:rPr>
          <w:lang w:val="fr-FR"/>
        </w:rPr>
        <w:t xml:space="preserve"> de la </w:t>
      </w:r>
      <w:r w:rsidR="00736632" w:rsidRPr="00F13051">
        <w:rPr>
          <w:lang w:val="fr-FR"/>
        </w:rPr>
        <w:t>population</w:t>
      </w:r>
      <w:r w:rsidRPr="00F13051">
        <w:rPr>
          <w:lang w:val="fr-FR"/>
        </w:rPr>
        <w:t xml:space="preserve"> humaine, les données tirées d</w:t>
      </w:r>
      <w:r w:rsidR="00133FD4" w:rsidRPr="00F13051">
        <w:rPr>
          <w:lang w:val="fr-FR"/>
        </w:rPr>
        <w:t>’</w:t>
      </w:r>
      <w:r w:rsidRPr="00F13051">
        <w:rPr>
          <w:lang w:val="fr-FR"/>
        </w:rPr>
        <w:t>un nombre limité de programmes de biosurveillance et d</w:t>
      </w:r>
      <w:r w:rsidR="00133FD4" w:rsidRPr="00F13051">
        <w:rPr>
          <w:lang w:val="fr-FR"/>
        </w:rPr>
        <w:t>’</w:t>
      </w:r>
      <w:r w:rsidRPr="00F13051">
        <w:rPr>
          <w:lang w:val="fr-FR"/>
        </w:rPr>
        <w:t>études longitudinales aux échelles régionales et nationales sont susceptibles d</w:t>
      </w:r>
      <w:r w:rsidR="00133FD4" w:rsidRPr="00F13051">
        <w:rPr>
          <w:lang w:val="fr-FR"/>
        </w:rPr>
        <w:t>’</w:t>
      </w:r>
      <w:r w:rsidRPr="00F13051">
        <w:rPr>
          <w:lang w:val="fr-FR"/>
        </w:rPr>
        <w:t xml:space="preserve">être utilisées. </w:t>
      </w:r>
      <w:r w:rsidR="00736632" w:rsidRPr="00F13051">
        <w:rPr>
          <w:lang w:val="fr-FR"/>
        </w:rPr>
        <w:t>Pour ce qui est du</w:t>
      </w:r>
      <w:r w:rsidRPr="00F13051">
        <w:rPr>
          <w:lang w:val="fr-FR"/>
        </w:rPr>
        <w:t xml:space="preserve"> milieu biotique, il existe des données historiques sur les concentrations de mercure dans les poissons d</w:t>
      </w:r>
      <w:r w:rsidR="00133FD4" w:rsidRPr="00F13051">
        <w:rPr>
          <w:lang w:val="fr-FR"/>
        </w:rPr>
        <w:t>’</w:t>
      </w:r>
      <w:r w:rsidRPr="00F13051">
        <w:rPr>
          <w:lang w:val="fr-FR"/>
        </w:rPr>
        <w:t>eau douce pour des zones géographiques limitées et des travaux sont en cours pour analyser les données disponibles sur les espèces de poissons marins.</w:t>
      </w:r>
    </w:p>
    <w:p w14:paraId="38947CA8" w14:textId="4D2DC03C" w:rsidR="004F110C" w:rsidRPr="00F13051" w:rsidRDefault="004F110C" w:rsidP="00353CC4">
      <w:pPr>
        <w:pStyle w:val="Normalnumber"/>
        <w:rPr>
          <w:lang w:val="fr-FR"/>
        </w:rPr>
      </w:pPr>
      <w:r w:rsidRPr="00F13051">
        <w:rPr>
          <w:lang w:val="fr-FR"/>
        </w:rPr>
        <w:t>Dans l</w:t>
      </w:r>
      <w:r w:rsidR="00133FD4" w:rsidRPr="00F13051">
        <w:rPr>
          <w:lang w:val="fr-FR"/>
        </w:rPr>
        <w:t>’</w:t>
      </w:r>
      <w:r w:rsidRPr="00F13051">
        <w:rPr>
          <w:lang w:val="fr-FR"/>
        </w:rPr>
        <w:t xml:space="preserve">approche « avec-sans », qui vise à évaluer la modification des concentrations de mercure imputable aux mesures prises pour mettre en œuvre la Convention, il faut estimer les concentrations de mercure relatives au scénario tendanciel au moyen du cadre de modélisation intégré </w:t>
      </w:r>
      <w:r w:rsidR="009617CB" w:rsidRPr="00F13051">
        <w:rPr>
          <w:lang w:val="fr-FR"/>
        </w:rPr>
        <w:t>décrit</w:t>
      </w:r>
      <w:r w:rsidRPr="00F13051">
        <w:rPr>
          <w:lang w:val="fr-FR"/>
        </w:rPr>
        <w:t xml:space="preserve"> plus haut.</w:t>
      </w:r>
    </w:p>
    <w:p w14:paraId="337F1D83" w14:textId="5F90EBD9" w:rsidR="004F110C" w:rsidRPr="00F13051" w:rsidRDefault="0086402F" w:rsidP="0086402F">
      <w:pPr>
        <w:pStyle w:val="CH1"/>
        <w:rPr>
          <w:u w:color="FF0000"/>
          <w:lang w:val="fr-FR"/>
        </w:rPr>
      </w:pPr>
      <w:r w:rsidRPr="00F13051">
        <w:rPr>
          <w:u w:color="FF0000"/>
          <w:lang w:val="fr-FR"/>
        </w:rPr>
        <w:tab/>
        <w:t>VI.</w:t>
      </w:r>
      <w:r w:rsidRPr="00F13051">
        <w:rPr>
          <w:u w:color="FF0000"/>
          <w:lang w:val="fr-FR"/>
        </w:rPr>
        <w:tab/>
      </w:r>
      <w:r w:rsidR="001E3AA1" w:rsidRPr="00F13051">
        <w:rPr>
          <w:u w:color="FF0000"/>
          <w:lang w:val="fr-FR"/>
        </w:rPr>
        <w:t>Activités de surveillance proposées à l</w:t>
      </w:r>
      <w:r w:rsidR="00133FD4" w:rsidRPr="00F13051">
        <w:rPr>
          <w:u w:color="FF0000"/>
          <w:lang w:val="fr-FR"/>
        </w:rPr>
        <w:t>’</w:t>
      </w:r>
      <w:r w:rsidR="001E3AA1" w:rsidRPr="00F13051">
        <w:rPr>
          <w:u w:color="FF0000"/>
          <w:lang w:val="fr-FR"/>
        </w:rPr>
        <w:t>appui de l</w:t>
      </w:r>
      <w:r w:rsidR="00133FD4" w:rsidRPr="00F13051">
        <w:rPr>
          <w:u w:color="FF0000"/>
          <w:lang w:val="fr-FR"/>
        </w:rPr>
        <w:t>’</w:t>
      </w:r>
      <w:r w:rsidR="001E3AA1" w:rsidRPr="00F13051">
        <w:rPr>
          <w:u w:color="FF0000"/>
          <w:lang w:val="fr-FR"/>
        </w:rPr>
        <w:t>évaluation de</w:t>
      </w:r>
      <w:r w:rsidR="009128DC" w:rsidRPr="00F13051">
        <w:rPr>
          <w:u w:color="FF0000"/>
          <w:lang w:val="fr-FR"/>
        </w:rPr>
        <w:t> </w:t>
      </w:r>
      <w:r w:rsidR="001E3AA1" w:rsidRPr="00F13051">
        <w:rPr>
          <w:bCs/>
          <w:lang w:val="fr-FR"/>
        </w:rPr>
        <w:t>l</w:t>
      </w:r>
      <w:r w:rsidR="00133FD4" w:rsidRPr="00F13051">
        <w:rPr>
          <w:bCs/>
          <w:lang w:val="fr-FR"/>
        </w:rPr>
        <w:t>’</w:t>
      </w:r>
      <w:r w:rsidR="001E3AA1" w:rsidRPr="00F13051">
        <w:rPr>
          <w:bCs/>
          <w:lang w:val="fr-FR"/>
        </w:rPr>
        <w:t>efficacité</w:t>
      </w:r>
    </w:p>
    <w:p w14:paraId="2E9BF452" w14:textId="35CC5AEB" w:rsidR="004F110C" w:rsidRPr="00F13051" w:rsidRDefault="004F110C" w:rsidP="003E0F2A">
      <w:pPr>
        <w:pStyle w:val="Normalnumber"/>
        <w:rPr>
          <w:lang w:val="fr-FR"/>
        </w:rPr>
      </w:pPr>
      <w:r w:rsidRPr="00F13051">
        <w:rPr>
          <w:lang w:val="fr-FR"/>
        </w:rPr>
        <w:t>L</w:t>
      </w:r>
      <w:r w:rsidR="00133FD4" w:rsidRPr="00F13051">
        <w:rPr>
          <w:lang w:val="fr-FR"/>
        </w:rPr>
        <w:t>’</w:t>
      </w:r>
      <w:r w:rsidRPr="00F13051">
        <w:rPr>
          <w:lang w:val="fr-FR"/>
        </w:rPr>
        <w:t>examen présenté dans les sections précédentes montre que, bien que l</w:t>
      </w:r>
      <w:r w:rsidR="00C9356C" w:rsidRPr="00F13051">
        <w:rPr>
          <w:lang w:val="fr-FR"/>
        </w:rPr>
        <w:t>’</w:t>
      </w:r>
      <w:r w:rsidRPr="00F13051">
        <w:rPr>
          <w:lang w:val="fr-FR"/>
        </w:rPr>
        <w:t>ensemble de données disponible</w:t>
      </w:r>
      <w:r w:rsidR="00C9356C" w:rsidRPr="00F13051">
        <w:rPr>
          <w:lang w:val="fr-FR"/>
        </w:rPr>
        <w:t xml:space="preserve"> sur le mercure soit un des plus vastes</w:t>
      </w:r>
      <w:r w:rsidRPr="00F13051">
        <w:rPr>
          <w:lang w:val="fr-FR"/>
        </w:rPr>
        <w:t xml:space="preserve"> parmi les contaminants environnementaux connus, </w:t>
      </w:r>
      <w:r w:rsidR="00C9356C" w:rsidRPr="00F13051">
        <w:rPr>
          <w:lang w:val="fr-FR"/>
        </w:rPr>
        <w:t xml:space="preserve">il continue à présenter </w:t>
      </w:r>
      <w:r w:rsidRPr="00F13051">
        <w:rPr>
          <w:lang w:val="fr-FR"/>
        </w:rPr>
        <w:t>des lacunes. Les Parties pourraient combler ces lacunes et parvenir à une densité de données représentative à l</w:t>
      </w:r>
      <w:r w:rsidR="00133FD4" w:rsidRPr="00F13051">
        <w:rPr>
          <w:lang w:val="fr-FR"/>
        </w:rPr>
        <w:t>’</w:t>
      </w:r>
      <w:r w:rsidRPr="00F13051">
        <w:rPr>
          <w:lang w:val="fr-FR"/>
        </w:rPr>
        <w:t>échelle mondiale en appuyant les activités scientifiques et en recourant à des outils existants.</w:t>
      </w:r>
    </w:p>
    <w:p w14:paraId="1C20EF93" w14:textId="6423A55B" w:rsidR="0015792A" w:rsidRPr="00F13051" w:rsidRDefault="00B76C69" w:rsidP="003E0F2A">
      <w:pPr>
        <w:pStyle w:val="Normalnumber"/>
        <w:rPr>
          <w:lang w:val="fr-FR"/>
        </w:rPr>
      </w:pPr>
      <w:r w:rsidRPr="00F13051">
        <w:rPr>
          <w:lang w:val="fr-FR"/>
        </w:rPr>
        <w:t xml:space="preserve">En supposant que les </w:t>
      </w:r>
      <w:r w:rsidR="00C9356C" w:rsidRPr="00F13051">
        <w:rPr>
          <w:lang w:val="fr-FR"/>
        </w:rPr>
        <w:t xml:space="preserve">actuelles </w:t>
      </w:r>
      <w:r w:rsidRPr="00F13051">
        <w:rPr>
          <w:lang w:val="fr-FR"/>
        </w:rPr>
        <w:t xml:space="preserve">activités de surveillance du mercure </w:t>
      </w:r>
      <w:r w:rsidR="00C9356C" w:rsidRPr="00F13051">
        <w:rPr>
          <w:lang w:val="fr-FR"/>
        </w:rPr>
        <w:t xml:space="preserve">se poursuivent </w:t>
      </w:r>
      <w:r w:rsidRPr="00F13051">
        <w:rPr>
          <w:lang w:val="fr-FR"/>
        </w:rPr>
        <w:t xml:space="preserve">de manière harmonisée et que des mesures visant à combler les lacunes pour certaines régions viennent les compléter, </w:t>
      </w:r>
      <w:r w:rsidR="00C9356C" w:rsidRPr="00F13051">
        <w:rPr>
          <w:lang w:val="fr-FR"/>
        </w:rPr>
        <w:t xml:space="preserve">il est possible de considérer </w:t>
      </w:r>
      <w:r w:rsidRPr="00F13051">
        <w:rPr>
          <w:lang w:val="fr-FR"/>
        </w:rPr>
        <w:t xml:space="preserve">les données </w:t>
      </w:r>
      <w:r w:rsidR="00C9356C" w:rsidRPr="00F13051">
        <w:rPr>
          <w:lang w:val="fr-FR"/>
        </w:rPr>
        <w:t>sur l</w:t>
      </w:r>
      <w:r w:rsidRPr="00F13051">
        <w:rPr>
          <w:lang w:val="fr-FR"/>
        </w:rPr>
        <w:t>es concentrations de mercure et de composés du mercure dans l</w:t>
      </w:r>
      <w:r w:rsidR="00133FD4" w:rsidRPr="00F13051">
        <w:rPr>
          <w:lang w:val="fr-FR"/>
        </w:rPr>
        <w:t>’</w:t>
      </w:r>
      <w:r w:rsidRPr="00F13051">
        <w:rPr>
          <w:lang w:val="fr-FR"/>
        </w:rPr>
        <w:t xml:space="preserve">air, </w:t>
      </w:r>
      <w:r w:rsidR="005412F5" w:rsidRPr="00F13051">
        <w:rPr>
          <w:lang w:val="fr-FR"/>
        </w:rPr>
        <w:t xml:space="preserve">chez </w:t>
      </w:r>
      <w:r w:rsidRPr="00F13051">
        <w:rPr>
          <w:lang w:val="fr-FR"/>
        </w:rPr>
        <w:t xml:space="preserve">les êtres humains et </w:t>
      </w:r>
      <w:r w:rsidR="005412F5" w:rsidRPr="00F13051">
        <w:rPr>
          <w:lang w:val="fr-FR"/>
        </w:rPr>
        <w:t xml:space="preserve">dans </w:t>
      </w:r>
      <w:r w:rsidRPr="00F13051">
        <w:rPr>
          <w:lang w:val="fr-FR"/>
        </w:rPr>
        <w:t xml:space="preserve">le milieu biotique comme disponibles ou </w:t>
      </w:r>
      <w:r w:rsidR="00C9356C" w:rsidRPr="00F13051">
        <w:rPr>
          <w:lang w:val="fr-FR"/>
        </w:rPr>
        <w:t xml:space="preserve">obtenables </w:t>
      </w:r>
      <w:r w:rsidRPr="00F13051">
        <w:rPr>
          <w:lang w:val="fr-FR"/>
        </w:rPr>
        <w:t xml:space="preserve">et </w:t>
      </w:r>
      <w:r w:rsidR="00C9356C" w:rsidRPr="00F13051">
        <w:rPr>
          <w:lang w:val="fr-FR"/>
        </w:rPr>
        <w:t xml:space="preserve">ces données </w:t>
      </w:r>
      <w:r w:rsidRPr="00F13051">
        <w:rPr>
          <w:lang w:val="fr-FR"/>
        </w:rPr>
        <w:t>seraient comparables à l</w:t>
      </w:r>
      <w:r w:rsidR="00133FD4" w:rsidRPr="00F13051">
        <w:rPr>
          <w:lang w:val="fr-FR"/>
        </w:rPr>
        <w:t>’</w:t>
      </w:r>
      <w:r w:rsidRPr="00F13051">
        <w:rPr>
          <w:lang w:val="fr-FR"/>
        </w:rPr>
        <w:t>échelle mondiale.</w:t>
      </w:r>
    </w:p>
    <w:p w14:paraId="74884EBF" w14:textId="244B0FE8" w:rsidR="004F110C" w:rsidRPr="00F13051" w:rsidRDefault="004F110C" w:rsidP="003E0F2A">
      <w:pPr>
        <w:pStyle w:val="Normalnumber"/>
        <w:rPr>
          <w:lang w:val="fr-FR"/>
        </w:rPr>
      </w:pPr>
      <w:r w:rsidRPr="00F13051">
        <w:rPr>
          <w:lang w:val="fr-FR"/>
        </w:rPr>
        <w:t xml:space="preserve">Les paragraphes ci-dessous </w:t>
      </w:r>
      <w:r w:rsidR="00010F4B" w:rsidRPr="00F13051">
        <w:rPr>
          <w:lang w:val="fr-FR"/>
        </w:rPr>
        <w:t>proposent</w:t>
      </w:r>
      <w:r w:rsidRPr="00F13051">
        <w:rPr>
          <w:lang w:val="fr-FR"/>
        </w:rPr>
        <w:t xml:space="preserve"> des activités de surveillance du mercure que les Partie</w:t>
      </w:r>
      <w:r w:rsidR="00010F4B" w:rsidRPr="00F13051">
        <w:rPr>
          <w:lang w:val="fr-FR"/>
        </w:rPr>
        <w:t>s</w:t>
      </w:r>
      <w:r w:rsidR="00C9356C" w:rsidRPr="00F13051">
        <w:rPr>
          <w:lang w:val="fr-FR"/>
        </w:rPr>
        <w:t xml:space="preserve"> peuvent entreprendre</w:t>
      </w:r>
      <w:r w:rsidRPr="00F13051">
        <w:rPr>
          <w:lang w:val="fr-FR"/>
        </w:rPr>
        <w:t>, en s</w:t>
      </w:r>
      <w:r w:rsidR="00133FD4" w:rsidRPr="00F13051">
        <w:rPr>
          <w:lang w:val="fr-FR"/>
        </w:rPr>
        <w:t>’</w:t>
      </w:r>
      <w:r w:rsidRPr="00F13051">
        <w:rPr>
          <w:lang w:val="fr-FR"/>
        </w:rPr>
        <w:t xml:space="preserve">appuyant sur les activités et les connaissances existantes en matière de surveillance, </w:t>
      </w:r>
      <w:r w:rsidR="00C9356C" w:rsidRPr="00F13051">
        <w:rPr>
          <w:lang w:val="fr-FR"/>
        </w:rPr>
        <w:t>en vue</w:t>
      </w:r>
      <w:r w:rsidRPr="00F13051">
        <w:rPr>
          <w:lang w:val="fr-FR"/>
        </w:rPr>
        <w:t xml:space="preserve"> de produire des données </w:t>
      </w:r>
      <w:r w:rsidR="00C9356C" w:rsidRPr="00F13051">
        <w:rPr>
          <w:lang w:val="fr-FR"/>
        </w:rPr>
        <w:t xml:space="preserve">pour </w:t>
      </w:r>
      <w:r w:rsidRPr="00F13051">
        <w:rPr>
          <w:lang w:val="fr-FR"/>
        </w:rPr>
        <w:t xml:space="preserve">un rapport périodique mondial </w:t>
      </w:r>
      <w:r w:rsidR="00C9356C" w:rsidRPr="00F13051">
        <w:rPr>
          <w:lang w:val="fr-FR"/>
        </w:rPr>
        <w:t xml:space="preserve">de </w:t>
      </w:r>
      <w:r w:rsidRPr="00F13051">
        <w:rPr>
          <w:lang w:val="fr-FR"/>
        </w:rPr>
        <w:t>surveillance du mercure.</w:t>
      </w:r>
    </w:p>
    <w:p w14:paraId="2C41E628" w14:textId="315E6184" w:rsidR="004F110C" w:rsidRPr="00F13051" w:rsidRDefault="005549C4" w:rsidP="003E0F2A">
      <w:pPr>
        <w:pStyle w:val="CH2"/>
        <w:rPr>
          <w:rFonts w:eastAsia="Cambria"/>
          <w:bCs/>
          <w:lang w:val="fr-FR"/>
        </w:rPr>
      </w:pPr>
      <w:r w:rsidRPr="00F13051">
        <w:rPr>
          <w:lang w:val="fr-FR"/>
        </w:rPr>
        <w:tab/>
      </w:r>
      <w:r w:rsidR="003E0F2A" w:rsidRPr="00F13051">
        <w:rPr>
          <w:lang w:val="fr-FR"/>
        </w:rPr>
        <w:t>A.</w:t>
      </w:r>
      <w:r w:rsidR="003E0F2A" w:rsidRPr="00F13051">
        <w:rPr>
          <w:lang w:val="fr-FR"/>
        </w:rPr>
        <w:tab/>
      </w:r>
      <w:r w:rsidR="003E0F2A" w:rsidRPr="00F13051">
        <w:rPr>
          <w:bCs/>
          <w:lang w:val="fr-FR"/>
        </w:rPr>
        <w:t>Air ambiant</w:t>
      </w:r>
    </w:p>
    <w:p w14:paraId="77274E3E" w14:textId="7BAE6CC9" w:rsidR="004F110C" w:rsidRPr="00F13051" w:rsidRDefault="004F110C" w:rsidP="009128DC">
      <w:pPr>
        <w:pStyle w:val="Normalnumber"/>
        <w:rPr>
          <w:lang w:val="fr-FR"/>
        </w:rPr>
      </w:pPr>
      <w:r w:rsidRPr="00F13051">
        <w:rPr>
          <w:lang w:val="fr-FR"/>
        </w:rPr>
        <w:t>S</w:t>
      </w:r>
      <w:r w:rsidR="00133FD4" w:rsidRPr="00F13051">
        <w:rPr>
          <w:lang w:val="fr-FR"/>
        </w:rPr>
        <w:t>’</w:t>
      </w:r>
      <w:r w:rsidRPr="00F13051">
        <w:rPr>
          <w:lang w:val="fr-FR"/>
        </w:rPr>
        <w:t>agissant de la surveillance de l</w:t>
      </w:r>
      <w:r w:rsidR="00133FD4" w:rsidRPr="00F13051">
        <w:rPr>
          <w:lang w:val="fr-FR"/>
        </w:rPr>
        <w:t>’</w:t>
      </w:r>
      <w:r w:rsidRPr="00F13051">
        <w:rPr>
          <w:lang w:val="fr-FR"/>
        </w:rPr>
        <w:t xml:space="preserve">air, les réseaux existants pourraient poursuivre leurs activités de surveillance, en recourant à </w:t>
      </w:r>
      <w:r w:rsidR="000E1992" w:rsidRPr="00F13051">
        <w:rPr>
          <w:lang w:val="fr-FR"/>
        </w:rPr>
        <w:t>des techniques de</w:t>
      </w:r>
      <w:r w:rsidRPr="00F13051">
        <w:rPr>
          <w:lang w:val="fr-FR"/>
        </w:rPr>
        <w:t xml:space="preserve"> surveillance active continue et </w:t>
      </w:r>
      <w:r w:rsidR="000E1992" w:rsidRPr="00F13051">
        <w:rPr>
          <w:lang w:val="fr-FR"/>
        </w:rPr>
        <w:t xml:space="preserve">d’échantillonnage </w:t>
      </w:r>
      <w:r w:rsidRPr="00F13051">
        <w:rPr>
          <w:lang w:val="fr-FR"/>
        </w:rPr>
        <w:t>manuel acti</w:t>
      </w:r>
      <w:r w:rsidR="000E1992" w:rsidRPr="00F13051">
        <w:rPr>
          <w:lang w:val="fr-FR"/>
        </w:rPr>
        <w:t>f</w:t>
      </w:r>
      <w:r w:rsidRPr="00F13051">
        <w:rPr>
          <w:lang w:val="fr-FR"/>
        </w:rPr>
        <w:t xml:space="preserve"> </w:t>
      </w:r>
      <w:r w:rsidR="000E1992" w:rsidRPr="00F13051">
        <w:rPr>
          <w:lang w:val="fr-FR"/>
        </w:rPr>
        <w:t>ou</w:t>
      </w:r>
      <w:r w:rsidRPr="00F13051">
        <w:rPr>
          <w:lang w:val="fr-FR"/>
        </w:rPr>
        <w:t xml:space="preserve"> passi</w:t>
      </w:r>
      <w:r w:rsidR="000E1992" w:rsidRPr="00F13051">
        <w:rPr>
          <w:lang w:val="fr-FR"/>
        </w:rPr>
        <w:t>f</w:t>
      </w:r>
      <w:r w:rsidRPr="00F13051">
        <w:rPr>
          <w:lang w:val="fr-FR"/>
        </w:rPr>
        <w:t xml:space="preserve"> de l</w:t>
      </w:r>
      <w:r w:rsidR="00133FD4" w:rsidRPr="00F13051">
        <w:rPr>
          <w:lang w:val="fr-FR"/>
        </w:rPr>
        <w:t>’</w:t>
      </w:r>
      <w:r w:rsidRPr="00F13051">
        <w:rPr>
          <w:lang w:val="fr-FR"/>
        </w:rPr>
        <w:t>air, afin de collecter des données sur les éléments suivants</w:t>
      </w:r>
      <w:r w:rsidR="00133FD4" w:rsidRPr="00F13051">
        <w:rPr>
          <w:lang w:val="fr-FR"/>
        </w:rPr>
        <w:t> :</w:t>
      </w:r>
    </w:p>
    <w:p w14:paraId="39F185D4" w14:textId="2B11B8F3" w:rsidR="00BC7851" w:rsidRPr="00F13051" w:rsidRDefault="00BC7851" w:rsidP="009128DC">
      <w:pPr>
        <w:pStyle w:val="ListParagraph"/>
        <w:numPr>
          <w:ilvl w:val="1"/>
          <w:numId w:val="4"/>
        </w:numPr>
        <w:spacing w:after="120"/>
        <w:rPr>
          <w:rFonts w:eastAsia="Times New Roman"/>
          <w:sz w:val="20"/>
          <w:szCs w:val="20"/>
          <w:bdr w:val="none" w:sz="0" w:space="0" w:color="auto"/>
          <w:lang w:val="fr-FR"/>
        </w:rPr>
      </w:pPr>
      <w:r w:rsidRPr="00F13051">
        <w:rPr>
          <w:sz w:val="20"/>
          <w:szCs w:val="20"/>
          <w:lang w:val="fr-FR"/>
        </w:rPr>
        <w:t xml:space="preserve">Les </w:t>
      </w:r>
      <w:r w:rsidR="00C9356C" w:rsidRPr="00F13051">
        <w:rPr>
          <w:sz w:val="20"/>
          <w:szCs w:val="20"/>
          <w:lang w:val="fr-FR"/>
        </w:rPr>
        <w:t>taux</w:t>
      </w:r>
      <w:r w:rsidR="00A36D4A" w:rsidRPr="00F13051">
        <w:rPr>
          <w:sz w:val="20"/>
          <w:szCs w:val="20"/>
          <w:lang w:val="fr-FR"/>
        </w:rPr>
        <w:t xml:space="preserve"> </w:t>
      </w:r>
      <w:r w:rsidR="000E1992" w:rsidRPr="00F13051">
        <w:rPr>
          <w:sz w:val="20"/>
          <w:szCs w:val="20"/>
          <w:lang w:val="fr-FR"/>
        </w:rPr>
        <w:t xml:space="preserve">atmosphériques </w:t>
      </w:r>
      <w:r w:rsidR="00A36D4A" w:rsidRPr="00F13051">
        <w:rPr>
          <w:sz w:val="20"/>
          <w:szCs w:val="20"/>
          <w:lang w:val="fr-FR"/>
        </w:rPr>
        <w:t>de mercure</w:t>
      </w:r>
      <w:r w:rsidRPr="00F13051">
        <w:rPr>
          <w:sz w:val="20"/>
          <w:szCs w:val="20"/>
          <w:lang w:val="fr-FR"/>
        </w:rPr>
        <w:t xml:space="preserve"> gazeux total ou </w:t>
      </w:r>
      <w:r w:rsidR="003D050E" w:rsidRPr="00F13051">
        <w:rPr>
          <w:sz w:val="20"/>
          <w:szCs w:val="20"/>
          <w:lang w:val="fr-FR"/>
        </w:rPr>
        <w:t>de</w:t>
      </w:r>
      <w:r w:rsidRPr="00F13051">
        <w:rPr>
          <w:sz w:val="20"/>
          <w:szCs w:val="20"/>
          <w:lang w:val="fr-FR"/>
        </w:rPr>
        <w:t xml:space="preserve"> mercure élémentaire gazeux sur les sites de référence et les sites touchés</w:t>
      </w:r>
      <w:r w:rsidR="00133FD4" w:rsidRPr="00F13051">
        <w:rPr>
          <w:sz w:val="20"/>
          <w:szCs w:val="20"/>
          <w:lang w:val="fr-FR"/>
        </w:rPr>
        <w:t> ;</w:t>
      </w:r>
    </w:p>
    <w:p w14:paraId="007D59DB" w14:textId="0218D6C8" w:rsidR="003A2D05" w:rsidRPr="00F13051" w:rsidRDefault="003A2D05" w:rsidP="009128DC">
      <w:pPr>
        <w:pStyle w:val="ListParagraph"/>
        <w:numPr>
          <w:ilvl w:val="1"/>
          <w:numId w:val="4"/>
        </w:numPr>
        <w:spacing w:after="120"/>
        <w:rPr>
          <w:rFonts w:eastAsia="Times New Roman"/>
          <w:sz w:val="20"/>
          <w:szCs w:val="20"/>
          <w:bdr w:val="none" w:sz="0" w:space="0" w:color="auto"/>
          <w:lang w:val="fr-FR"/>
        </w:rPr>
      </w:pPr>
      <w:r w:rsidRPr="00F13051">
        <w:rPr>
          <w:rFonts w:eastAsia="Times New Roman"/>
          <w:sz w:val="20"/>
          <w:szCs w:val="20"/>
          <w:bdr w:val="none" w:sz="0" w:space="0" w:color="auto"/>
          <w:lang w:val="fr-FR"/>
        </w:rPr>
        <w:t>Les dépôts humides.</w:t>
      </w:r>
    </w:p>
    <w:p w14:paraId="203C922B" w14:textId="3EB5F3F6" w:rsidR="004F110C" w:rsidRPr="00F13051" w:rsidRDefault="00444D8D" w:rsidP="009128DC">
      <w:pPr>
        <w:pStyle w:val="Normalnumber"/>
        <w:rPr>
          <w:rFonts w:eastAsia="Cambria"/>
          <w:lang w:val="fr-FR"/>
        </w:rPr>
      </w:pPr>
      <w:r w:rsidRPr="00F13051">
        <w:rPr>
          <w:lang w:val="fr-FR"/>
        </w:rPr>
        <w:t>Ces informations serviraient à évaluer le profil spatial et temporel des concentrations de mercure dans l</w:t>
      </w:r>
      <w:r w:rsidR="00133FD4" w:rsidRPr="00F13051">
        <w:rPr>
          <w:lang w:val="fr-FR"/>
        </w:rPr>
        <w:t>’</w:t>
      </w:r>
      <w:r w:rsidRPr="00F13051">
        <w:rPr>
          <w:lang w:val="fr-FR"/>
        </w:rPr>
        <w:t>air ambiant et les flux de dépôt</w:t>
      </w:r>
      <w:r w:rsidR="000E1992" w:rsidRPr="00F13051">
        <w:rPr>
          <w:lang w:val="fr-FR"/>
        </w:rPr>
        <w:t>s</w:t>
      </w:r>
      <w:r w:rsidRPr="00F13051">
        <w:rPr>
          <w:lang w:val="fr-FR"/>
        </w:rPr>
        <w:t xml:space="preserve"> </w:t>
      </w:r>
      <w:r w:rsidR="009C5891" w:rsidRPr="00F13051">
        <w:rPr>
          <w:lang w:val="fr-FR"/>
        </w:rPr>
        <w:t>dirigés vers l</w:t>
      </w:r>
      <w:r w:rsidRPr="00F13051">
        <w:rPr>
          <w:lang w:val="fr-FR"/>
        </w:rPr>
        <w:t>es écosystèm</w:t>
      </w:r>
      <w:r w:rsidR="00E86C32" w:rsidRPr="00F13051">
        <w:rPr>
          <w:lang w:val="fr-FR"/>
        </w:rPr>
        <w:t>es terrestres et aquatiques. Il </w:t>
      </w:r>
      <w:r w:rsidRPr="00F13051">
        <w:rPr>
          <w:lang w:val="fr-FR"/>
        </w:rPr>
        <w:t>est à noter que les directives générales en la matière conseillent de surveiller les flux de dépôt</w:t>
      </w:r>
      <w:r w:rsidR="000E1992" w:rsidRPr="00F13051">
        <w:rPr>
          <w:lang w:val="fr-FR"/>
        </w:rPr>
        <w:t>s</w:t>
      </w:r>
      <w:r w:rsidRPr="00F13051">
        <w:rPr>
          <w:lang w:val="fr-FR"/>
        </w:rPr>
        <w:t xml:space="preserve"> de mercure </w:t>
      </w:r>
      <w:r w:rsidR="000E1992" w:rsidRPr="00F13051">
        <w:rPr>
          <w:lang w:val="fr-FR"/>
        </w:rPr>
        <w:t xml:space="preserve">uniquement par </w:t>
      </w:r>
      <w:r w:rsidRPr="00F13051">
        <w:rPr>
          <w:lang w:val="fr-FR"/>
        </w:rPr>
        <w:t>échantillon</w:t>
      </w:r>
      <w:r w:rsidR="000E1992" w:rsidRPr="00F13051">
        <w:rPr>
          <w:lang w:val="fr-FR"/>
        </w:rPr>
        <w:t>nage</w:t>
      </w:r>
      <w:r w:rsidRPr="00F13051">
        <w:rPr>
          <w:lang w:val="fr-FR"/>
        </w:rPr>
        <w:t xml:space="preserve"> humide ou global.</w:t>
      </w:r>
    </w:p>
    <w:p w14:paraId="4EC03671" w14:textId="18506DA3" w:rsidR="004F110C" w:rsidRPr="00F13051" w:rsidRDefault="004F110C" w:rsidP="005C693B">
      <w:pPr>
        <w:pStyle w:val="Normalnumber"/>
        <w:rPr>
          <w:lang w:val="fr-FR"/>
        </w:rPr>
      </w:pPr>
      <w:r w:rsidRPr="00F13051">
        <w:rPr>
          <w:lang w:val="fr-FR"/>
        </w:rPr>
        <w:t xml:space="preserve">Afin de combler les lacunes en matière de données dans certaines régions, </w:t>
      </w:r>
      <w:r w:rsidR="009C5891" w:rsidRPr="00F13051">
        <w:rPr>
          <w:lang w:val="fr-FR"/>
        </w:rPr>
        <w:t>d</w:t>
      </w:r>
      <w:r w:rsidRPr="00F13051">
        <w:rPr>
          <w:lang w:val="fr-FR"/>
        </w:rPr>
        <w:t>es échantillons devraient être prélevés chaque mois (ou de manière plus espacée) pour déterminer les concentrations moyennes de référence de mercure gazeux total par région ou par site, notamment en Afrique, en Amérique latine et dans la Fédération de Russie.</w:t>
      </w:r>
    </w:p>
    <w:p w14:paraId="3EF56295" w14:textId="5E4BB4F2" w:rsidR="004F110C" w:rsidRPr="00F13051" w:rsidRDefault="005549C4" w:rsidP="009128DC">
      <w:pPr>
        <w:pStyle w:val="CH2"/>
        <w:rPr>
          <w:rFonts w:eastAsia="Cambria"/>
          <w:lang w:val="fr-FR"/>
        </w:rPr>
      </w:pPr>
      <w:r w:rsidRPr="00F13051">
        <w:rPr>
          <w:lang w:val="fr-FR"/>
        </w:rPr>
        <w:tab/>
      </w:r>
      <w:r w:rsidR="003E0F2A" w:rsidRPr="00F13051">
        <w:rPr>
          <w:lang w:val="fr-FR"/>
        </w:rPr>
        <w:t>B.</w:t>
      </w:r>
      <w:r w:rsidR="003E0F2A" w:rsidRPr="00F13051">
        <w:rPr>
          <w:lang w:val="fr-FR"/>
        </w:rPr>
        <w:tab/>
      </w:r>
      <w:r w:rsidR="003E0F2A" w:rsidRPr="00F13051">
        <w:rPr>
          <w:bCs/>
          <w:lang w:val="fr-FR"/>
        </w:rPr>
        <w:t>Exposition humaine</w:t>
      </w:r>
    </w:p>
    <w:p w14:paraId="66D3C1E6" w14:textId="1D2744D7" w:rsidR="004F110C" w:rsidRPr="00F13051" w:rsidRDefault="004F110C" w:rsidP="009128DC">
      <w:pPr>
        <w:pStyle w:val="Normalnumber"/>
        <w:keepNext/>
        <w:keepLines/>
        <w:rPr>
          <w:lang w:val="fr-FR"/>
        </w:rPr>
      </w:pPr>
      <w:r w:rsidRPr="00F13051">
        <w:rPr>
          <w:lang w:val="fr-FR"/>
        </w:rPr>
        <w:t>En ce qui concerne l</w:t>
      </w:r>
      <w:r w:rsidR="00133FD4" w:rsidRPr="00F13051">
        <w:rPr>
          <w:lang w:val="fr-FR"/>
        </w:rPr>
        <w:t>’</w:t>
      </w:r>
      <w:r w:rsidRPr="00F13051">
        <w:rPr>
          <w:lang w:val="fr-FR"/>
        </w:rPr>
        <w:t>exposition humaine, les biomarqueurs suivants sont recommandés pour évaluer l</w:t>
      </w:r>
      <w:r w:rsidR="00133FD4" w:rsidRPr="00F13051">
        <w:rPr>
          <w:lang w:val="fr-FR"/>
        </w:rPr>
        <w:t>’</w:t>
      </w:r>
      <w:r w:rsidRPr="00F13051">
        <w:rPr>
          <w:lang w:val="fr-FR"/>
        </w:rPr>
        <w:t>exposition prénatale dans la population générale</w:t>
      </w:r>
      <w:r w:rsidRPr="00F13051">
        <w:rPr>
          <w:vertAlign w:val="superscript"/>
          <w:lang w:val="fr-FR"/>
        </w:rPr>
        <w:footnoteReference w:id="10"/>
      </w:r>
      <w:r w:rsidR="00133FD4" w:rsidRPr="00F13051">
        <w:rPr>
          <w:lang w:val="fr-FR"/>
        </w:rPr>
        <w:t> :</w:t>
      </w:r>
    </w:p>
    <w:p w14:paraId="64C2713D" w14:textId="442793F3" w:rsidR="004F110C" w:rsidRPr="00F13051" w:rsidRDefault="000E1992" w:rsidP="009128DC">
      <w:pPr>
        <w:pStyle w:val="Normalnumber"/>
        <w:keepNext/>
        <w:keepLines/>
        <w:numPr>
          <w:ilvl w:val="1"/>
          <w:numId w:val="4"/>
        </w:numPr>
        <w:tabs>
          <w:tab w:val="clear" w:pos="1134"/>
        </w:tabs>
        <w:ind w:firstLine="624"/>
        <w:rPr>
          <w:lang w:val="fr-FR"/>
        </w:rPr>
      </w:pPr>
      <w:r w:rsidRPr="00F13051">
        <w:rPr>
          <w:lang w:val="fr-FR"/>
        </w:rPr>
        <w:t xml:space="preserve">Le mercure total présent dans les cheveux maternels (mesuré sur une mèche </w:t>
      </w:r>
      <w:r w:rsidR="009C5891" w:rsidRPr="00F13051">
        <w:rPr>
          <w:lang w:val="fr-FR"/>
        </w:rPr>
        <w:t>de 3 cm</w:t>
      </w:r>
      <w:r w:rsidR="004F110C" w:rsidRPr="00F13051">
        <w:rPr>
          <w:lang w:val="fr-FR"/>
        </w:rPr>
        <w:t xml:space="preserve">, afin de </w:t>
      </w:r>
      <w:r w:rsidRPr="00F13051">
        <w:rPr>
          <w:lang w:val="fr-FR"/>
        </w:rPr>
        <w:t>détermin</w:t>
      </w:r>
      <w:r w:rsidR="004F110C" w:rsidRPr="00F13051">
        <w:rPr>
          <w:lang w:val="fr-FR"/>
        </w:rPr>
        <w:t>er l</w:t>
      </w:r>
      <w:r w:rsidR="00133FD4" w:rsidRPr="00F13051">
        <w:rPr>
          <w:lang w:val="fr-FR"/>
        </w:rPr>
        <w:t>’</w:t>
      </w:r>
      <w:r w:rsidR="004F110C" w:rsidRPr="00F13051">
        <w:rPr>
          <w:lang w:val="fr-FR"/>
        </w:rPr>
        <w:t>exposition durant le troisième trimestre de la grossesse)</w:t>
      </w:r>
      <w:r w:rsidR="00133FD4" w:rsidRPr="00F13051">
        <w:rPr>
          <w:lang w:val="fr-FR"/>
        </w:rPr>
        <w:t> ;</w:t>
      </w:r>
    </w:p>
    <w:p w14:paraId="127F2574" w14:textId="04DDD8D7" w:rsidR="004F110C" w:rsidRPr="00F13051" w:rsidRDefault="000E1992" w:rsidP="003E0F2A">
      <w:pPr>
        <w:pStyle w:val="Normalnumber"/>
        <w:numPr>
          <w:ilvl w:val="1"/>
          <w:numId w:val="4"/>
        </w:numPr>
        <w:tabs>
          <w:tab w:val="clear" w:pos="1134"/>
        </w:tabs>
        <w:ind w:firstLine="624"/>
        <w:rPr>
          <w:lang w:val="fr-FR"/>
        </w:rPr>
      </w:pPr>
      <w:r w:rsidRPr="00F13051">
        <w:rPr>
          <w:lang w:val="fr-FR"/>
        </w:rPr>
        <w:t>Le mercure total présent dans le sang de cordon ombilical.</w:t>
      </w:r>
      <w:r w:rsidR="004F110C" w:rsidRPr="00F13051">
        <w:rPr>
          <w:lang w:val="fr-FR"/>
        </w:rPr>
        <w:t>, afin de déterminer l</w:t>
      </w:r>
      <w:r w:rsidR="00133FD4" w:rsidRPr="00F13051">
        <w:rPr>
          <w:lang w:val="fr-FR"/>
        </w:rPr>
        <w:t>’</w:t>
      </w:r>
      <w:r w:rsidR="004F110C" w:rsidRPr="00F13051">
        <w:rPr>
          <w:lang w:val="fr-FR"/>
        </w:rPr>
        <w:t>exposition récente au méthylmercure.</w:t>
      </w:r>
    </w:p>
    <w:p w14:paraId="0F93174B" w14:textId="0C3FD0F9" w:rsidR="0015792A" w:rsidRPr="00F13051" w:rsidRDefault="00444D8D" w:rsidP="003E0F2A">
      <w:pPr>
        <w:pStyle w:val="Normalnumber"/>
        <w:rPr>
          <w:lang w:val="fr-FR"/>
        </w:rPr>
      </w:pPr>
      <w:r w:rsidRPr="00F13051">
        <w:rPr>
          <w:lang w:val="fr-FR"/>
        </w:rPr>
        <w:t>Il est préférable d</w:t>
      </w:r>
      <w:r w:rsidR="00133FD4" w:rsidRPr="00F13051">
        <w:rPr>
          <w:lang w:val="fr-FR"/>
        </w:rPr>
        <w:t>’</w:t>
      </w:r>
      <w:r w:rsidRPr="00F13051">
        <w:rPr>
          <w:lang w:val="fr-FR"/>
        </w:rPr>
        <w:t>utiliser les cheveux maternel</w:t>
      </w:r>
      <w:r w:rsidR="000E1992" w:rsidRPr="00F13051">
        <w:rPr>
          <w:lang w:val="fr-FR"/>
        </w:rPr>
        <w:t>s</w:t>
      </w:r>
      <w:r w:rsidRPr="00F13051">
        <w:rPr>
          <w:lang w:val="fr-FR"/>
        </w:rPr>
        <w:t xml:space="preserve"> comme matrice biologique pour évaluer l</w:t>
      </w:r>
      <w:r w:rsidR="00133FD4" w:rsidRPr="00F13051">
        <w:rPr>
          <w:lang w:val="fr-FR"/>
        </w:rPr>
        <w:t>’</w:t>
      </w:r>
      <w:r w:rsidRPr="00F13051">
        <w:rPr>
          <w:lang w:val="fr-FR"/>
        </w:rPr>
        <w:t xml:space="preserve">exposition prénatale. </w:t>
      </w:r>
      <w:r w:rsidR="000E1992" w:rsidRPr="00F13051">
        <w:rPr>
          <w:lang w:val="fr-FR"/>
        </w:rPr>
        <w:t>Le sang de cordon ombilical peut constituer une matrice biologique de remplacement</w:t>
      </w:r>
      <w:r w:rsidRPr="00F13051">
        <w:rPr>
          <w:lang w:val="fr-FR"/>
        </w:rPr>
        <w:t>. Il est aisé, dans le cadre des études de biosurveillance humaine, de prélever des échantillons sur des êtres humains environ tous les cinq ans, en tenant compte de l</w:t>
      </w:r>
      <w:r w:rsidR="00133FD4" w:rsidRPr="00F13051">
        <w:rPr>
          <w:lang w:val="fr-FR"/>
        </w:rPr>
        <w:t>’</w:t>
      </w:r>
      <w:r w:rsidRPr="00F13051">
        <w:rPr>
          <w:lang w:val="fr-FR"/>
        </w:rPr>
        <w:t>objectif visant à déterminer les variations statistiquement significatives et de la durée de mise en œuvre de telles études (y compris l</w:t>
      </w:r>
      <w:r w:rsidR="00133FD4" w:rsidRPr="00F13051">
        <w:rPr>
          <w:lang w:val="fr-FR"/>
        </w:rPr>
        <w:t>’</w:t>
      </w:r>
      <w:r w:rsidRPr="00F13051">
        <w:rPr>
          <w:lang w:val="fr-FR"/>
        </w:rPr>
        <w:t>adaptation du protocole</w:t>
      </w:r>
      <w:r w:rsidR="00971AFA" w:rsidRPr="00F13051">
        <w:rPr>
          <w:lang w:val="fr-FR"/>
        </w:rPr>
        <w:t xml:space="preserve"> </w:t>
      </w:r>
      <w:r w:rsidR="005660E2" w:rsidRPr="00F13051">
        <w:rPr>
          <w:lang w:val="fr-FR"/>
        </w:rPr>
        <w:t xml:space="preserve">général </w:t>
      </w:r>
      <w:r w:rsidRPr="00F13051">
        <w:rPr>
          <w:lang w:val="fr-FR"/>
        </w:rPr>
        <w:t>au contexte local, l</w:t>
      </w:r>
      <w:r w:rsidR="00133FD4" w:rsidRPr="00F13051">
        <w:rPr>
          <w:lang w:val="fr-FR"/>
        </w:rPr>
        <w:t>’</w:t>
      </w:r>
      <w:r w:rsidRPr="00F13051">
        <w:rPr>
          <w:lang w:val="fr-FR"/>
        </w:rPr>
        <w:t>obtention de l</w:t>
      </w:r>
      <w:r w:rsidR="00133FD4" w:rsidRPr="00F13051">
        <w:rPr>
          <w:lang w:val="fr-FR"/>
        </w:rPr>
        <w:t>’</w:t>
      </w:r>
      <w:r w:rsidRPr="00F13051">
        <w:rPr>
          <w:lang w:val="fr-FR"/>
        </w:rPr>
        <w:t>accord des organes d</w:t>
      </w:r>
      <w:r w:rsidR="00133FD4" w:rsidRPr="00F13051">
        <w:rPr>
          <w:lang w:val="fr-FR"/>
        </w:rPr>
        <w:t>’</w:t>
      </w:r>
      <w:r w:rsidRPr="00F13051">
        <w:rPr>
          <w:lang w:val="fr-FR"/>
        </w:rPr>
        <w:t>éthique locaux, la formation du personnel, etc.). Les échantillons prélevés sur des êtres humains devraient s</w:t>
      </w:r>
      <w:r w:rsidR="00133FD4" w:rsidRPr="00F13051">
        <w:rPr>
          <w:lang w:val="fr-FR"/>
        </w:rPr>
        <w:t>’</w:t>
      </w:r>
      <w:r w:rsidRPr="00F13051">
        <w:rPr>
          <w:lang w:val="fr-FR"/>
        </w:rPr>
        <w:t>accompagner d</w:t>
      </w:r>
      <w:r w:rsidR="00133FD4" w:rsidRPr="00F13051">
        <w:rPr>
          <w:lang w:val="fr-FR"/>
        </w:rPr>
        <w:t>’</w:t>
      </w:r>
      <w:r w:rsidRPr="00F13051">
        <w:rPr>
          <w:lang w:val="fr-FR"/>
        </w:rPr>
        <w:t>informations sur diverses caractéristiques (âge, sexe, etc.) et d</w:t>
      </w:r>
      <w:r w:rsidR="00133FD4" w:rsidRPr="00F13051">
        <w:rPr>
          <w:lang w:val="fr-FR"/>
        </w:rPr>
        <w:t>’</w:t>
      </w:r>
      <w:r w:rsidRPr="00F13051">
        <w:rPr>
          <w:lang w:val="fr-FR"/>
        </w:rPr>
        <w:t>informations sociales et relatives aux habitudes de l</w:t>
      </w:r>
      <w:r w:rsidR="00133FD4" w:rsidRPr="00F13051">
        <w:rPr>
          <w:lang w:val="fr-FR"/>
        </w:rPr>
        <w:t>’</w:t>
      </w:r>
      <w:r w:rsidRPr="00F13051">
        <w:rPr>
          <w:lang w:val="fr-FR"/>
        </w:rPr>
        <w:t>individu (mode de consommation du poisson, situation économique, etc.).</w:t>
      </w:r>
    </w:p>
    <w:p w14:paraId="6ACB3347" w14:textId="52AE9B92" w:rsidR="004F110C" w:rsidRPr="00F13051" w:rsidRDefault="004F110C" w:rsidP="003E0F2A">
      <w:pPr>
        <w:pStyle w:val="Normalnumber"/>
        <w:rPr>
          <w:lang w:val="fr-FR"/>
        </w:rPr>
      </w:pPr>
      <w:r w:rsidRPr="00F13051">
        <w:rPr>
          <w:lang w:val="fr-FR"/>
        </w:rPr>
        <w:t>Il peut s</w:t>
      </w:r>
      <w:r w:rsidR="00133FD4" w:rsidRPr="00F13051">
        <w:rPr>
          <w:lang w:val="fr-FR"/>
        </w:rPr>
        <w:t>’</w:t>
      </w:r>
      <w:r w:rsidRPr="00F13051">
        <w:rPr>
          <w:lang w:val="fr-FR"/>
        </w:rPr>
        <w:t>avérer utile de coordonner le prélèvement des échantillons avec les activités d</w:t>
      </w:r>
      <w:r w:rsidR="00133FD4" w:rsidRPr="00F13051">
        <w:rPr>
          <w:lang w:val="fr-FR"/>
        </w:rPr>
        <w:t>’</w:t>
      </w:r>
      <w:r w:rsidRPr="00F13051">
        <w:rPr>
          <w:lang w:val="fr-FR"/>
        </w:rPr>
        <w:t>enquête menées au titre de la Convention de Stockholm sur les polluants organiques persistants, afin de promouvoir des synergies, y compris l</w:t>
      </w:r>
      <w:r w:rsidR="00133FD4" w:rsidRPr="00F13051">
        <w:rPr>
          <w:lang w:val="fr-FR"/>
        </w:rPr>
        <w:t>’</w:t>
      </w:r>
      <w:r w:rsidRPr="00F13051">
        <w:rPr>
          <w:lang w:val="fr-FR"/>
        </w:rPr>
        <w:t>obtention d</w:t>
      </w:r>
      <w:r w:rsidR="00133FD4" w:rsidRPr="00F13051">
        <w:rPr>
          <w:lang w:val="fr-FR"/>
        </w:rPr>
        <w:t>’</w:t>
      </w:r>
      <w:r w:rsidRPr="00F13051">
        <w:rPr>
          <w:lang w:val="fr-FR"/>
        </w:rPr>
        <w:t>un accord éthique unique.</w:t>
      </w:r>
    </w:p>
    <w:p w14:paraId="107B0A2E" w14:textId="2DFD85C6" w:rsidR="004F110C" w:rsidRPr="00F13051" w:rsidRDefault="004F110C" w:rsidP="003E0F2A">
      <w:pPr>
        <w:pStyle w:val="Normalnumber"/>
        <w:rPr>
          <w:lang w:val="fr-FR"/>
        </w:rPr>
      </w:pPr>
      <w:r w:rsidRPr="00F13051">
        <w:rPr>
          <w:iCs/>
          <w:lang w:val="fr-FR"/>
        </w:rPr>
        <w:t>L</w:t>
      </w:r>
      <w:r w:rsidR="00133FD4" w:rsidRPr="00F13051">
        <w:rPr>
          <w:iCs/>
          <w:lang w:val="fr-FR"/>
        </w:rPr>
        <w:t>’</w:t>
      </w:r>
      <w:r w:rsidRPr="00F13051">
        <w:rPr>
          <w:i/>
          <w:iCs/>
          <w:lang w:val="fr-FR"/>
        </w:rPr>
        <w:t>Évaluation mondiale du mercure de 2018</w:t>
      </w:r>
      <w:r w:rsidRPr="00F13051">
        <w:rPr>
          <w:lang w:val="fr-FR"/>
        </w:rPr>
        <w:t xml:space="preserve"> a recensé les données sur l</w:t>
      </w:r>
      <w:r w:rsidR="00133FD4" w:rsidRPr="00F13051">
        <w:rPr>
          <w:lang w:val="fr-FR"/>
        </w:rPr>
        <w:t>’</w:t>
      </w:r>
      <w:r w:rsidRPr="00F13051">
        <w:rPr>
          <w:lang w:val="fr-FR"/>
        </w:rPr>
        <w:t xml:space="preserve">exposition au mercure </w:t>
      </w:r>
      <w:r w:rsidR="008C0D4B" w:rsidRPr="00F13051">
        <w:rPr>
          <w:lang w:val="fr-FR"/>
        </w:rPr>
        <w:t xml:space="preserve">qu’il est actuellement possible d’obtenir </w:t>
      </w:r>
      <w:r w:rsidRPr="00F13051">
        <w:rPr>
          <w:lang w:val="fr-FR"/>
        </w:rPr>
        <w:t>des programmes nationaux de biosurveillance humaine, des études longitudinales de cohortes de naissance et des informations transversales sur des populations données, y compris les groupes très exposés. Les Parties et autres parties prenantes devraient poursuivre ces activités, afin de fournir des informations à long terme pour les futures évaluations de l</w:t>
      </w:r>
      <w:r w:rsidR="00133FD4" w:rsidRPr="00F13051">
        <w:rPr>
          <w:lang w:val="fr-FR"/>
        </w:rPr>
        <w:t>’</w:t>
      </w:r>
      <w:r w:rsidRPr="00F13051">
        <w:rPr>
          <w:lang w:val="fr-FR"/>
        </w:rPr>
        <w:t>efficacité.</w:t>
      </w:r>
    </w:p>
    <w:p w14:paraId="5B424307" w14:textId="5A4E3D56" w:rsidR="004F110C" w:rsidRPr="00F13051" w:rsidRDefault="005549C4" w:rsidP="00092C85">
      <w:pPr>
        <w:pStyle w:val="CH2"/>
        <w:spacing w:before="0"/>
        <w:rPr>
          <w:rFonts w:eastAsia="Cambria"/>
          <w:lang w:val="fr-FR"/>
        </w:rPr>
      </w:pPr>
      <w:r w:rsidRPr="00F13051">
        <w:rPr>
          <w:lang w:val="fr-FR"/>
        </w:rPr>
        <w:tab/>
      </w:r>
      <w:r w:rsidR="003E0F2A" w:rsidRPr="00F13051">
        <w:rPr>
          <w:lang w:val="fr-FR"/>
        </w:rPr>
        <w:t>C.</w:t>
      </w:r>
      <w:r w:rsidR="003E0F2A" w:rsidRPr="00F13051">
        <w:rPr>
          <w:lang w:val="fr-FR"/>
        </w:rPr>
        <w:tab/>
      </w:r>
      <w:r w:rsidR="003E0F2A" w:rsidRPr="00F13051">
        <w:rPr>
          <w:bCs/>
          <w:lang w:val="fr-FR"/>
        </w:rPr>
        <w:t>Milieu biotique</w:t>
      </w:r>
    </w:p>
    <w:p w14:paraId="181245DA" w14:textId="052E2A4C" w:rsidR="004F110C" w:rsidRPr="00F13051" w:rsidRDefault="004F110C" w:rsidP="003E0F2A">
      <w:pPr>
        <w:pStyle w:val="Normalnumber"/>
        <w:rPr>
          <w:lang w:val="fr-FR"/>
        </w:rPr>
      </w:pPr>
      <w:r w:rsidRPr="00F13051">
        <w:rPr>
          <w:lang w:val="fr-FR"/>
        </w:rPr>
        <w:t>Pour ce qui est de la surveillance du biote, un aspect important de la synthèse des efforts de surveillance pour rendre compte de l</w:t>
      </w:r>
      <w:r w:rsidR="00133FD4" w:rsidRPr="00F13051">
        <w:rPr>
          <w:lang w:val="fr-FR"/>
        </w:rPr>
        <w:t>’</w:t>
      </w:r>
      <w:r w:rsidRPr="00F13051">
        <w:rPr>
          <w:lang w:val="fr-FR"/>
        </w:rPr>
        <w:t>efficacité de la Convention serait de réduire l</w:t>
      </w:r>
      <w:r w:rsidR="00133FD4" w:rsidRPr="00F13051">
        <w:rPr>
          <w:lang w:val="fr-FR"/>
        </w:rPr>
        <w:t>’</w:t>
      </w:r>
      <w:r w:rsidRPr="00F13051">
        <w:rPr>
          <w:lang w:val="fr-FR"/>
        </w:rPr>
        <w:t>incidence des différence</w:t>
      </w:r>
      <w:r w:rsidR="008C0D4B" w:rsidRPr="00F13051">
        <w:rPr>
          <w:lang w:val="fr-FR"/>
        </w:rPr>
        <w:t>s</w:t>
      </w:r>
      <w:r w:rsidRPr="00F13051">
        <w:rPr>
          <w:lang w:val="fr-FR"/>
        </w:rPr>
        <w:t xml:space="preserve"> physiologiques entre espèces en déterminant les espèces et les types de tissu dont la surveillance serait utile. Il faudrait donner la priorité à l</w:t>
      </w:r>
      <w:r w:rsidR="00133FD4" w:rsidRPr="00F13051">
        <w:rPr>
          <w:lang w:val="fr-FR"/>
        </w:rPr>
        <w:t>’</w:t>
      </w:r>
      <w:r w:rsidRPr="00F13051">
        <w:rPr>
          <w:lang w:val="fr-FR"/>
        </w:rPr>
        <w:t>étude d</w:t>
      </w:r>
      <w:r w:rsidR="00133FD4" w:rsidRPr="00F13051">
        <w:rPr>
          <w:lang w:val="fr-FR"/>
        </w:rPr>
        <w:t>’</w:t>
      </w:r>
      <w:r w:rsidRPr="00F13051">
        <w:rPr>
          <w:lang w:val="fr-FR"/>
        </w:rPr>
        <w:t>espèces qui accumulent des quantités notables de mercure, font courir un risque potentiel à la santé humaine, sont largement réparties dans des zones géographiques donnée</w:t>
      </w:r>
      <w:bookmarkStart w:id="5" w:name="_GoBack"/>
      <w:bookmarkEnd w:id="5"/>
      <w:r w:rsidRPr="00F13051">
        <w:rPr>
          <w:lang w:val="fr-FR"/>
        </w:rPr>
        <w:t>s et sont présentes dans de nom</w:t>
      </w:r>
      <w:r w:rsidR="00707218" w:rsidRPr="00F13051">
        <w:rPr>
          <w:lang w:val="fr-FR"/>
        </w:rPr>
        <w:t>breuses études historiques. Par </w:t>
      </w:r>
      <w:r w:rsidRPr="00F13051">
        <w:rPr>
          <w:lang w:val="fr-FR"/>
        </w:rPr>
        <w:t xml:space="preserve">ailleurs, il </w:t>
      </w:r>
      <w:r w:rsidR="008C0D4B" w:rsidRPr="00F13051">
        <w:rPr>
          <w:lang w:val="fr-FR"/>
        </w:rPr>
        <w:t xml:space="preserve">est nécessaire de </w:t>
      </w:r>
      <w:r w:rsidRPr="00F13051">
        <w:rPr>
          <w:lang w:val="fr-FR"/>
        </w:rPr>
        <w:t>normaliser les concentrations de mercure dans le biote en fonction de la taille, de l</w:t>
      </w:r>
      <w:r w:rsidR="00133FD4" w:rsidRPr="00F13051">
        <w:rPr>
          <w:lang w:val="fr-FR"/>
        </w:rPr>
        <w:t>’</w:t>
      </w:r>
      <w:r w:rsidRPr="00F13051">
        <w:rPr>
          <w:lang w:val="fr-FR"/>
        </w:rPr>
        <w:t>âge et du sexe, ou tenir compte de ces éléments, et ces données devraient être prises en compte dans le processus de collecte de données. Le choix des espèces de poisson sur lesquelles prélever des échantillons d</w:t>
      </w:r>
      <w:r w:rsidR="008C0D4B" w:rsidRPr="00F13051">
        <w:rPr>
          <w:lang w:val="fr-FR"/>
        </w:rPr>
        <w:t>evra</w:t>
      </w:r>
      <w:r w:rsidRPr="00F13051">
        <w:rPr>
          <w:lang w:val="fr-FR"/>
        </w:rPr>
        <w:t xml:space="preserve">it se fonder sur le niveau trophique des espèces, le niveau 4, qui correspond aux carnivores se </w:t>
      </w:r>
      <w:r w:rsidR="006C44BC" w:rsidRPr="00F13051">
        <w:rPr>
          <w:lang w:val="fr-FR"/>
        </w:rPr>
        <w:t>nourrissant</w:t>
      </w:r>
      <w:r w:rsidRPr="00F13051">
        <w:rPr>
          <w:lang w:val="fr-FR"/>
        </w:rPr>
        <w:t xml:space="preserve"> d</w:t>
      </w:r>
      <w:r w:rsidR="00133FD4" w:rsidRPr="00F13051">
        <w:rPr>
          <w:lang w:val="fr-FR"/>
        </w:rPr>
        <w:t>’</w:t>
      </w:r>
      <w:r w:rsidRPr="00F13051">
        <w:rPr>
          <w:lang w:val="fr-FR"/>
        </w:rPr>
        <w:t>autres carnivores, étant le plus pertinent pour les décisions relatives aux évaluations de la santé humaine et écologique. Les données sur les espèces faisant l</w:t>
      </w:r>
      <w:r w:rsidR="00133FD4" w:rsidRPr="00F13051">
        <w:rPr>
          <w:lang w:val="fr-FR"/>
        </w:rPr>
        <w:t>’</w:t>
      </w:r>
      <w:r w:rsidRPr="00F13051">
        <w:rPr>
          <w:lang w:val="fr-FR"/>
        </w:rPr>
        <w:t>objet d</w:t>
      </w:r>
      <w:r w:rsidR="00133FD4" w:rsidRPr="00F13051">
        <w:rPr>
          <w:lang w:val="fr-FR"/>
        </w:rPr>
        <w:t>’</w:t>
      </w:r>
      <w:r w:rsidRPr="00F13051">
        <w:rPr>
          <w:lang w:val="fr-FR"/>
        </w:rPr>
        <w:t>une pêche commerciale sont utiles pour évaluer la santé de la population générale. D</w:t>
      </w:r>
      <w:r w:rsidR="00133FD4" w:rsidRPr="00F13051">
        <w:rPr>
          <w:lang w:val="fr-FR"/>
        </w:rPr>
        <w:t>’</w:t>
      </w:r>
      <w:r w:rsidRPr="00F13051">
        <w:rPr>
          <w:lang w:val="fr-FR"/>
        </w:rPr>
        <w:t>autres espèces peuvent s</w:t>
      </w:r>
      <w:r w:rsidR="00133FD4" w:rsidRPr="00F13051">
        <w:rPr>
          <w:lang w:val="fr-FR"/>
        </w:rPr>
        <w:t>’</w:t>
      </w:r>
      <w:r w:rsidRPr="00F13051">
        <w:rPr>
          <w:lang w:val="fr-FR"/>
        </w:rPr>
        <w:t>avérer importantes pour évaluer la santé des populations autochtones.</w:t>
      </w:r>
    </w:p>
    <w:p w14:paraId="676F7D83" w14:textId="0CC7114E" w:rsidR="0015792A" w:rsidRPr="00F13051" w:rsidRDefault="00DF2DC1" w:rsidP="003E0F2A">
      <w:pPr>
        <w:pStyle w:val="Normalnumber"/>
        <w:rPr>
          <w:lang w:val="fr-FR"/>
        </w:rPr>
      </w:pPr>
      <w:r w:rsidRPr="00F13051">
        <w:rPr>
          <w:lang w:val="fr-FR"/>
        </w:rPr>
        <w:t>Afin de rendre compte des principales différences entre les voies d</w:t>
      </w:r>
      <w:r w:rsidR="00133FD4" w:rsidRPr="00F13051">
        <w:rPr>
          <w:lang w:val="fr-FR"/>
        </w:rPr>
        <w:t>’</w:t>
      </w:r>
      <w:r w:rsidRPr="00F13051">
        <w:rPr>
          <w:lang w:val="fr-FR"/>
        </w:rPr>
        <w:t>exposition, il est proposé que la surveillance du biote soit divisée en deux grandes catégories</w:t>
      </w:r>
      <w:r w:rsidR="00133FD4" w:rsidRPr="00F13051">
        <w:rPr>
          <w:lang w:val="fr-FR"/>
        </w:rPr>
        <w:t> :</w:t>
      </w:r>
      <w:r w:rsidRPr="00F13051">
        <w:rPr>
          <w:lang w:val="fr-FR"/>
        </w:rPr>
        <w:t xml:space="preserve"> surveillance continentale et surveillance océanique. Le document UNEP/MC/COP.3/INF/15 contient une grande quantité d</w:t>
      </w:r>
      <w:r w:rsidR="00133FD4" w:rsidRPr="00F13051">
        <w:rPr>
          <w:lang w:val="fr-FR"/>
        </w:rPr>
        <w:t>’</w:t>
      </w:r>
      <w:r w:rsidRPr="00F13051">
        <w:rPr>
          <w:lang w:val="fr-FR"/>
        </w:rPr>
        <w:t xml:space="preserve">informations techniques pertinentes sur le sujet. La surveillance continentale du mercure biotique </w:t>
      </w:r>
      <w:r w:rsidR="008C0D4B" w:rsidRPr="00F13051">
        <w:rPr>
          <w:lang w:val="fr-FR"/>
        </w:rPr>
        <w:t>sert</w:t>
      </w:r>
      <w:r w:rsidRPr="00F13051">
        <w:rPr>
          <w:lang w:val="fr-FR"/>
        </w:rPr>
        <w:t xml:space="preserve"> à déterminer les zones écosystémiques sensibles, qui sont en mesure de méthyler le mercure et</w:t>
      </w:r>
      <w:r w:rsidR="002F79F6" w:rsidRPr="00F13051">
        <w:rPr>
          <w:lang w:val="fr-FR"/>
        </w:rPr>
        <w:t>, ainsi, de</w:t>
      </w:r>
      <w:r w:rsidRPr="00F13051">
        <w:rPr>
          <w:lang w:val="fr-FR"/>
        </w:rPr>
        <w:t xml:space="preserve"> le faire pénétrer dans le réseau trophique.</w:t>
      </w:r>
      <w:r w:rsidR="008C0D4B" w:rsidRPr="00F13051">
        <w:rPr>
          <w:rFonts w:eastAsia="Arial Unicode MS"/>
          <w:sz w:val="24"/>
          <w:szCs w:val="24"/>
          <w:bdr w:val="nil"/>
          <w:lang w:val="fr-FR"/>
        </w:rPr>
        <w:t xml:space="preserve"> </w:t>
      </w:r>
      <w:r w:rsidR="008C0D4B" w:rsidRPr="00F13051">
        <w:rPr>
          <w:lang w:val="fr-FR"/>
        </w:rPr>
        <w:t>La surveillance des zones océaniques sert à définir, en associant des matrices de portée mondiale relatives aux bassins océaniques et intéressant la consommation humaine, des gradients spatiaux (tendances) en matière de concentrations de mercure dans le milieu biotique.</w:t>
      </w:r>
    </w:p>
    <w:p w14:paraId="4BEF8F2A" w14:textId="0FFAE7B0" w:rsidR="00092C85" w:rsidRPr="00F13051" w:rsidRDefault="00092C85" w:rsidP="00092C85">
      <w:pPr>
        <w:pStyle w:val="Normalnumber"/>
        <w:numPr>
          <w:ilvl w:val="0"/>
          <w:numId w:val="0"/>
        </w:numPr>
        <w:ind w:left="1247"/>
        <w:jc w:val="center"/>
        <w:rPr>
          <w:lang w:val="fr-FR"/>
        </w:rPr>
      </w:pPr>
      <w:r w:rsidRPr="00F13051">
        <w:rPr>
          <w:lang w:val="fr-FR"/>
        </w:rPr>
        <w:t>____________________</w:t>
      </w:r>
    </w:p>
    <w:sectPr w:rsidR="00092C85" w:rsidRPr="00F13051" w:rsidSect="00353EC0">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9F37A" w14:textId="77777777" w:rsidR="002263BD" w:rsidRDefault="002263BD">
      <w:r>
        <w:separator/>
      </w:r>
    </w:p>
  </w:endnote>
  <w:endnote w:type="continuationSeparator" w:id="0">
    <w:p w14:paraId="1B0009DE" w14:textId="77777777" w:rsidR="002263BD" w:rsidRDefault="002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52CDF" w14:textId="77777777" w:rsidR="0032673B" w:rsidRDefault="0032673B">
    <w:pPr>
      <w:pStyle w:val="Footer"/>
    </w:pPr>
    <w:r>
      <w:rPr>
        <w:b/>
        <w:bCs/>
      </w:rPr>
      <w:fldChar w:fldCharType="begin"/>
    </w:r>
    <w:r>
      <w:rPr>
        <w:b/>
        <w:bCs/>
      </w:rPr>
      <w:instrText xml:space="preserve"> PAGE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9597E" w14:textId="77777777" w:rsidR="0032673B" w:rsidRDefault="0032673B">
    <w:pPr>
      <w:pStyle w:val="Footer"/>
      <w:jc w:val="right"/>
    </w:pPr>
    <w:r>
      <w:rPr>
        <w:b/>
        <w:bCs/>
      </w:rPr>
      <w:fldChar w:fldCharType="begin"/>
    </w:r>
    <w:r>
      <w:rPr>
        <w:b/>
        <w:bCs/>
      </w:rPr>
      <w:instrText xml:space="preserve"> PAGE </w:instrText>
    </w:r>
    <w:r>
      <w:rPr>
        <w:b/>
        <w:bCs/>
      </w:rPr>
      <w:fldChar w:fldCharType="separate"/>
    </w:r>
    <w:r>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D4115" w14:textId="4BC65E6A" w:rsidR="0032673B" w:rsidRPr="00A169B8" w:rsidRDefault="0032673B" w:rsidP="00A169B8">
    <w:pPr>
      <w:pStyle w:val="Footer-pool"/>
      <w:rPr>
        <w:b w:val="0"/>
      </w:rPr>
    </w:pPr>
    <w:r w:rsidRPr="00A169B8">
      <w:rPr>
        <w:b w:val="0"/>
      </w:rPr>
      <w:t>K190430</w:t>
    </w:r>
    <w:r>
      <w:rPr>
        <w:b w:val="0"/>
      </w:rPr>
      <w:t>5</w:t>
    </w:r>
    <w:r w:rsidRPr="00A169B8">
      <w:rPr>
        <w:b w:val="0"/>
      </w:rPr>
      <w:tab/>
    </w:r>
    <w:r>
      <w:rPr>
        <w:b w:val="0"/>
      </w:rPr>
      <w:t>2</w:t>
    </w:r>
    <w:r w:rsidR="00102B6E">
      <w:rPr>
        <w:b w:val="0"/>
      </w:rPr>
      <w:t>2</w:t>
    </w:r>
    <w:r>
      <w:rPr>
        <w:b w:val="0"/>
      </w:rPr>
      <w:t>11</w:t>
    </w:r>
    <w:r w:rsidRPr="00A169B8">
      <w:rPr>
        <w:b w:val="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A7F28" w14:textId="4536B32A" w:rsidR="0032673B" w:rsidRDefault="0032673B">
    <w:pPr>
      <w:pStyle w:val="Footer"/>
    </w:pPr>
    <w:r>
      <w:rPr>
        <w:rStyle w:val="PageNumber"/>
      </w:rPr>
      <w:fldChar w:fldCharType="begin"/>
    </w:r>
    <w:r>
      <w:rPr>
        <w:rStyle w:val="PageNumber"/>
      </w:rPr>
      <w:instrText xml:space="preserve"> PAGE </w:instrText>
    </w:r>
    <w:r>
      <w:rPr>
        <w:rStyle w:val="PageNumber"/>
      </w:rPr>
      <w:fldChar w:fldCharType="separate"/>
    </w:r>
    <w:r w:rsidR="000F051B">
      <w:rPr>
        <w:rStyle w:val="PageNumber"/>
        <w:noProof/>
      </w:rPr>
      <w:t>14</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AD18" w14:textId="3CD01197" w:rsidR="0032673B" w:rsidRPr="00A169B8" w:rsidRDefault="0032673B" w:rsidP="00A169B8">
    <w:pPr>
      <w:pStyle w:val="Footer-pool"/>
      <w:jc w:val="right"/>
    </w:pPr>
    <w:r w:rsidRPr="00A169B8">
      <w:rPr>
        <w:rStyle w:val="PageNumber"/>
        <w:b/>
      </w:rPr>
      <w:fldChar w:fldCharType="begin"/>
    </w:r>
    <w:r w:rsidRPr="00A169B8">
      <w:rPr>
        <w:rStyle w:val="PageNumber"/>
        <w:b/>
      </w:rPr>
      <w:instrText xml:space="preserve"> PAGE </w:instrText>
    </w:r>
    <w:r w:rsidRPr="00A169B8">
      <w:rPr>
        <w:rStyle w:val="PageNumber"/>
        <w:b/>
      </w:rPr>
      <w:fldChar w:fldCharType="separate"/>
    </w:r>
    <w:r w:rsidR="000F051B">
      <w:rPr>
        <w:rStyle w:val="PageNumber"/>
        <w:b/>
        <w:noProof/>
      </w:rPr>
      <w:t>13</w:t>
    </w:r>
    <w:r w:rsidRPr="00A169B8">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291921"/>
      <w:docPartObj>
        <w:docPartGallery w:val="Page Numbers (Bottom of Page)"/>
        <w:docPartUnique/>
      </w:docPartObj>
    </w:sdtPr>
    <w:sdtEndPr>
      <w:rPr>
        <w:noProof/>
      </w:rPr>
    </w:sdtEndPr>
    <w:sdtContent>
      <w:p w14:paraId="779A4A75" w14:textId="31057A89" w:rsidR="0032673B" w:rsidRDefault="0032673B" w:rsidP="00A169B8">
        <w:pPr>
          <w:pStyle w:val="Footer-pool"/>
        </w:pPr>
        <w:r>
          <w:fldChar w:fldCharType="begin"/>
        </w:r>
        <w:r>
          <w:instrText xml:space="preserve"> PAGE   \* MERGEFORMAT </w:instrText>
        </w:r>
        <w:r>
          <w:fldChar w:fldCharType="separate"/>
        </w:r>
        <w:r w:rsidR="000F051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4E228" w14:textId="77777777" w:rsidR="002263BD" w:rsidRPr="00DF2400" w:rsidRDefault="002263BD" w:rsidP="00DF240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DF2400">
        <w:rPr>
          <w:sz w:val="18"/>
          <w:szCs w:val="18"/>
        </w:rPr>
        <w:separator/>
      </w:r>
    </w:p>
  </w:footnote>
  <w:footnote w:type="continuationSeparator" w:id="0">
    <w:p w14:paraId="37E64A08" w14:textId="77777777" w:rsidR="002263BD" w:rsidRDefault="002263BD">
      <w:r>
        <w:continuationSeparator/>
      </w:r>
    </w:p>
  </w:footnote>
  <w:footnote w:id="1">
    <w:p w14:paraId="1C0461DD" w14:textId="77777777"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lang w:val="fr-FR"/>
        </w:rPr>
        <w:t>* UNEP/MC/COP.3/1.</w:t>
      </w:r>
    </w:p>
  </w:footnote>
  <w:footnote w:id="2">
    <w:p w14:paraId="6F2B0ED5" w14:textId="0F9EF26A" w:rsidR="0032673B" w:rsidRPr="00177911" w:rsidRDefault="0032673B">
      <w:pPr>
        <w:pStyle w:val="FootnoteText"/>
      </w:pPr>
      <w:r w:rsidRPr="00177911">
        <w:rPr>
          <w:rStyle w:val="FootnoteReference"/>
        </w:rPr>
        <w:footnoteRef/>
      </w:r>
      <w:r>
        <w:t xml:space="preserve"> Programme des Nations Unies pour l’environnement, 2018. </w:t>
      </w:r>
      <w:r>
        <w:rPr>
          <w:i/>
          <w:iCs/>
        </w:rPr>
        <w:t>Évaluation mondiale du mercure de 2018.</w:t>
      </w:r>
      <w:r>
        <w:t xml:space="preserve"> </w:t>
      </w:r>
      <w:hyperlink r:id="rId1" w:history="1">
        <w:r w:rsidRPr="007616DD">
          <w:rPr>
            <w:rStyle w:val="Hyperlink"/>
            <w:sz w:val="18"/>
          </w:rPr>
          <w:t>https://wedocs.unep.org/handle/20.500.11822/27579</w:t>
        </w:r>
      </w:hyperlink>
      <w:r>
        <w:t xml:space="preserve"> (en anglais uniquement).</w:t>
      </w:r>
    </w:p>
  </w:footnote>
  <w:footnote w:id="3">
    <w:p w14:paraId="61E50061" w14:textId="438E6611"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u w:color="FF0000"/>
          <w:vertAlign w:val="superscript"/>
          <w:lang w:val="fr-FR"/>
        </w:rPr>
        <w:footnoteRef/>
      </w:r>
      <w:r w:rsidRPr="001212CE">
        <w:rPr>
          <w:sz w:val="18"/>
          <w:szCs w:val="18"/>
          <w:lang w:val="fr-FR"/>
        </w:rPr>
        <w:t xml:space="preserve"> Des vues divergentes ont été exprimées durant le processus de formulation des observations, certaines Parties estimant qu’il faudrait faire preuve de souplesse dans le cadre de la surveillance, afin de maximiser les chances d’une bonne couverture géographique et de viser aussi bien les femmes que les hommes au sein de la population générale, y compris les fœtus.</w:t>
      </w:r>
    </w:p>
  </w:footnote>
  <w:footnote w:id="4">
    <w:p w14:paraId="294C84F2" w14:textId="0D8D5E39"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u w:color="FF0000"/>
          <w:vertAlign w:val="superscript"/>
          <w:lang w:val="fr-FR"/>
        </w:rPr>
        <w:footnoteRef/>
      </w:r>
      <w:r w:rsidRPr="001212CE">
        <w:rPr>
          <w:sz w:val="18"/>
          <w:szCs w:val="18"/>
          <w:lang w:val="fr-FR"/>
        </w:rPr>
        <w:t xml:space="preserve"> S’agissant de la note de bas de page précédente, certaines Parties ont proposé d’inclure l’examen de p</w:t>
      </w:r>
      <w:r>
        <w:rPr>
          <w:sz w:val="18"/>
          <w:szCs w:val="18"/>
          <w:lang w:val="fr-FR"/>
        </w:rPr>
        <w:t>ilosité</w:t>
      </w:r>
      <w:r w:rsidRPr="001212CE">
        <w:rPr>
          <w:sz w:val="18"/>
          <w:szCs w:val="18"/>
          <w:lang w:val="fr-FR"/>
        </w:rPr>
        <w:t xml:space="preserve">s et </w:t>
      </w:r>
      <w:r>
        <w:rPr>
          <w:sz w:val="18"/>
          <w:szCs w:val="18"/>
          <w:lang w:val="fr-FR"/>
        </w:rPr>
        <w:t>d</w:t>
      </w:r>
      <w:r w:rsidRPr="001212CE">
        <w:rPr>
          <w:sz w:val="18"/>
          <w:szCs w:val="18"/>
          <w:lang w:val="fr-FR"/>
        </w:rPr>
        <w:t xml:space="preserve">e sang </w:t>
      </w:r>
      <w:r>
        <w:rPr>
          <w:sz w:val="18"/>
          <w:szCs w:val="18"/>
          <w:lang w:val="fr-FR"/>
        </w:rPr>
        <w:t>autre</w:t>
      </w:r>
      <w:r w:rsidRPr="001212CE">
        <w:rPr>
          <w:sz w:val="18"/>
          <w:szCs w:val="18"/>
          <w:lang w:val="fr-FR"/>
        </w:rPr>
        <w:t>s</w:t>
      </w:r>
      <w:r>
        <w:rPr>
          <w:sz w:val="18"/>
          <w:szCs w:val="18"/>
          <w:lang w:val="fr-FR"/>
        </w:rPr>
        <w:t xml:space="preserve"> que</w:t>
      </w:r>
      <w:r w:rsidRPr="001212CE">
        <w:rPr>
          <w:sz w:val="18"/>
          <w:szCs w:val="18"/>
          <w:lang w:val="fr-FR"/>
        </w:rPr>
        <w:t>, respectivement</w:t>
      </w:r>
      <w:r>
        <w:rPr>
          <w:sz w:val="18"/>
          <w:szCs w:val="18"/>
          <w:lang w:val="fr-FR"/>
        </w:rPr>
        <w:t xml:space="preserve">, </w:t>
      </w:r>
      <w:r w:rsidRPr="001212CE">
        <w:rPr>
          <w:sz w:val="18"/>
          <w:szCs w:val="18"/>
          <w:lang w:val="fr-FR"/>
        </w:rPr>
        <w:t xml:space="preserve">les cheveux maternels et </w:t>
      </w:r>
      <w:r>
        <w:rPr>
          <w:sz w:val="18"/>
          <w:szCs w:val="18"/>
          <w:lang w:val="fr-FR"/>
        </w:rPr>
        <w:t>le</w:t>
      </w:r>
      <w:r w:rsidRPr="001212CE">
        <w:rPr>
          <w:sz w:val="18"/>
          <w:szCs w:val="18"/>
          <w:lang w:val="fr-FR"/>
        </w:rPr>
        <w:t xml:space="preserve"> sang </w:t>
      </w:r>
      <w:r>
        <w:rPr>
          <w:sz w:val="18"/>
          <w:szCs w:val="18"/>
          <w:lang w:val="fr-FR"/>
        </w:rPr>
        <w:t>d</w:t>
      </w:r>
      <w:r w:rsidRPr="001212CE">
        <w:rPr>
          <w:sz w:val="18"/>
          <w:szCs w:val="18"/>
          <w:lang w:val="fr-FR"/>
        </w:rPr>
        <w:t>e cordon ombilical.</w:t>
      </w:r>
    </w:p>
  </w:footnote>
  <w:footnote w:id="5">
    <w:p w14:paraId="77950D7B" w14:textId="6DBF3F2F" w:rsidR="0032673B" w:rsidRPr="00092C85"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1212CE">
        <w:rPr>
          <w:sz w:val="18"/>
          <w:szCs w:val="18"/>
          <w:vertAlign w:val="superscript"/>
          <w:lang w:val="fr-FR"/>
        </w:rPr>
        <w:footnoteRef/>
      </w:r>
      <w:r w:rsidRPr="00102B6E">
        <w:rPr>
          <w:sz w:val="18"/>
          <w:szCs w:val="18"/>
        </w:rPr>
        <w:t xml:space="preserve"> OMS, 2018. </w:t>
      </w:r>
      <w:r w:rsidRPr="0074019F">
        <w:rPr>
          <w:sz w:val="18"/>
          <w:szCs w:val="18"/>
          <w:lang w:val="en-US"/>
        </w:rPr>
        <w:t>« </w:t>
      </w:r>
      <w:r w:rsidRPr="0074019F">
        <w:rPr>
          <w:iCs/>
          <w:sz w:val="18"/>
          <w:szCs w:val="18"/>
          <w:lang w:val="en-US"/>
        </w:rPr>
        <w:t xml:space="preserve">Assessment of prenatal exposure to mercury: human biomonitoring survey. </w:t>
      </w:r>
      <w:r w:rsidRPr="00102B6E">
        <w:rPr>
          <w:iCs/>
          <w:sz w:val="18"/>
          <w:szCs w:val="18"/>
          <w:lang w:val="en-US"/>
        </w:rPr>
        <w:t>The first survey protocol »</w:t>
      </w:r>
      <w:r w:rsidRPr="00102B6E">
        <w:rPr>
          <w:i/>
          <w:iCs/>
          <w:sz w:val="18"/>
          <w:szCs w:val="18"/>
          <w:lang w:val="en-US"/>
        </w:rPr>
        <w:t>.</w:t>
      </w:r>
      <w:r w:rsidRPr="00102B6E">
        <w:rPr>
          <w:sz w:val="18"/>
          <w:szCs w:val="18"/>
          <w:lang w:val="en-US"/>
        </w:rPr>
        <w:t xml:space="preserve"> </w:t>
      </w:r>
      <w:hyperlink r:id="rId2" w:history="1">
        <w:r w:rsidRPr="00092C85">
          <w:rPr>
            <w:rStyle w:val="Hyperlink"/>
            <w:sz w:val="18"/>
            <w:szCs w:val="18"/>
            <w:lang w:val="en-US"/>
          </w:rPr>
          <w:t>http://www.euro.who.int/en/health-topics/environment-and-health/chemical-safety/publications/2018/assessment-of-prenatal-exposure-to-mercury-human-biomonitoring-survey-2018</w:t>
        </w:r>
      </w:hyperlink>
      <w:r w:rsidRPr="00092C85">
        <w:rPr>
          <w:sz w:val="18"/>
          <w:szCs w:val="18"/>
          <w:lang w:val="en-US"/>
        </w:rPr>
        <w:t xml:space="preserve"> (en</w:t>
      </w:r>
      <w:r w:rsidR="00F9738F" w:rsidRPr="00092C85">
        <w:rPr>
          <w:sz w:val="18"/>
          <w:szCs w:val="18"/>
          <w:lang w:val="en-US"/>
        </w:rPr>
        <w:t> </w:t>
      </w:r>
      <w:r w:rsidRPr="00092C85">
        <w:rPr>
          <w:sz w:val="18"/>
          <w:szCs w:val="18"/>
          <w:lang w:val="en-US"/>
        </w:rPr>
        <w:t>anglais uniquement).</w:t>
      </w:r>
    </w:p>
  </w:footnote>
  <w:footnote w:id="6">
    <w:p w14:paraId="2C331229" w14:textId="185AAA5D"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u w:color="FF0000"/>
          <w:vertAlign w:val="superscript"/>
          <w:lang w:val="fr-FR"/>
        </w:rPr>
        <w:footnoteRef/>
      </w:r>
      <w:r w:rsidRPr="001212CE">
        <w:rPr>
          <w:sz w:val="18"/>
          <w:szCs w:val="18"/>
          <w:lang w:val="fr-FR"/>
        </w:rPr>
        <w:t xml:space="preserve"> Des informations supplémentaires sont </w:t>
      </w:r>
      <w:r>
        <w:rPr>
          <w:sz w:val="18"/>
          <w:szCs w:val="18"/>
          <w:lang w:val="fr-FR"/>
        </w:rPr>
        <w:t>dispon</w:t>
      </w:r>
      <w:r w:rsidRPr="001212CE">
        <w:rPr>
          <w:sz w:val="18"/>
          <w:szCs w:val="18"/>
          <w:lang w:val="fr-FR"/>
        </w:rPr>
        <w:t xml:space="preserve">ibles à l’adresse </w:t>
      </w:r>
      <w:hyperlink r:id="rId3" w:history="1">
        <w:r w:rsidRPr="007616DD">
          <w:rPr>
            <w:rStyle w:val="Hyperlink"/>
            <w:sz w:val="18"/>
            <w:szCs w:val="18"/>
          </w:rPr>
          <w:t>http://www.briloon.org/uploads/BRI_Documents/Mercury_Center/Publications/For%20Web%20GBMS%20Booklet%202018%20.pdf</w:t>
        </w:r>
      </w:hyperlink>
      <w:r w:rsidRPr="001212CE">
        <w:rPr>
          <w:sz w:val="18"/>
          <w:szCs w:val="18"/>
          <w:lang w:val="fr-FR"/>
        </w:rPr>
        <w:t xml:space="preserve"> (en anglais uniquement).</w:t>
      </w:r>
    </w:p>
  </w:footnote>
  <w:footnote w:id="7">
    <w:p w14:paraId="3E4C66B7" w14:textId="16B9F855"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vertAlign w:val="superscript"/>
          <w:lang w:val="fr-FR"/>
        </w:rPr>
        <w:footnoteRef/>
      </w:r>
      <w:r w:rsidRPr="001212CE">
        <w:rPr>
          <w:sz w:val="18"/>
          <w:szCs w:val="18"/>
          <w:lang w:val="fr-FR"/>
        </w:rPr>
        <w:t xml:space="preserve"> Certaines Parties ont fait observer que les protocoles existants utilisés par d’autres programmes de biosurveillance humaine devraient également être reconnus.</w:t>
      </w:r>
    </w:p>
  </w:footnote>
  <w:footnote w:id="8">
    <w:p w14:paraId="140D60B0" w14:textId="723CA738"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vertAlign w:val="superscript"/>
          <w:lang w:val="fr-FR"/>
        </w:rPr>
        <w:footnoteRef/>
      </w:r>
      <w:r w:rsidRPr="001212CE">
        <w:rPr>
          <w:sz w:val="18"/>
          <w:szCs w:val="18"/>
          <w:lang w:val="fr-FR"/>
        </w:rPr>
        <w:t xml:space="preserve"> On trouvera une liste de la documentation de référence existante dans la partie</w:t>
      </w:r>
      <w:r w:rsidR="00313C0D">
        <w:rPr>
          <w:sz w:val="18"/>
          <w:szCs w:val="18"/>
          <w:lang w:val="fr-FR"/>
        </w:rPr>
        <w:t> </w:t>
      </w:r>
      <w:r w:rsidRPr="001212CE">
        <w:rPr>
          <w:sz w:val="18"/>
          <w:szCs w:val="18"/>
          <w:lang w:val="fr-FR"/>
        </w:rPr>
        <w:t>II du document UNEP/MC/COP.3/INF/15.</w:t>
      </w:r>
    </w:p>
  </w:footnote>
  <w:footnote w:id="9">
    <w:p w14:paraId="6042EA1F" w14:textId="36B842BD" w:rsidR="0032673B" w:rsidRPr="001212CE" w:rsidRDefault="0032673B">
      <w:pPr>
        <w:pStyle w:val="FootnoteText"/>
        <w:rPr>
          <w:szCs w:val="18"/>
        </w:rPr>
      </w:pPr>
      <w:r w:rsidRPr="001212CE">
        <w:rPr>
          <w:rStyle w:val="FootnoteReference"/>
          <w:szCs w:val="18"/>
        </w:rPr>
        <w:footnoteRef/>
      </w:r>
      <w:r w:rsidRPr="001212CE">
        <w:rPr>
          <w:szCs w:val="18"/>
        </w:rPr>
        <w:t xml:space="preserve"> AMAP, 2011. </w:t>
      </w:r>
      <w:r w:rsidRPr="001212CE">
        <w:rPr>
          <w:i/>
          <w:iCs/>
          <w:szCs w:val="18"/>
        </w:rPr>
        <w:t>Évaluation AMAP de 2011 : le mercure dans l’Arctique</w:t>
      </w:r>
      <w:r w:rsidRPr="001212CE">
        <w:rPr>
          <w:szCs w:val="18"/>
        </w:rPr>
        <w:t xml:space="preserve">. </w:t>
      </w:r>
      <w:hyperlink r:id="rId4" w:history="1">
        <w:r w:rsidRPr="007616DD">
          <w:rPr>
            <w:rStyle w:val="Hyperlink"/>
            <w:sz w:val="18"/>
            <w:szCs w:val="18"/>
          </w:rPr>
          <w:t>https://www.amap.no/documents/doc/amap-assessment-2011-mercury-in-the-arctic/90</w:t>
        </w:r>
      </w:hyperlink>
      <w:r w:rsidRPr="001212CE">
        <w:rPr>
          <w:szCs w:val="18"/>
        </w:rPr>
        <w:t xml:space="preserve"> (en anglais uniquement) ; et AMAP, 2015. </w:t>
      </w:r>
      <w:r w:rsidRPr="001212CE">
        <w:rPr>
          <w:i/>
          <w:iCs/>
          <w:szCs w:val="18"/>
        </w:rPr>
        <w:t>Évaluation AMAP de 2015 : la santé humaine dans l’Arctique</w:t>
      </w:r>
      <w:r w:rsidRPr="001212CE">
        <w:rPr>
          <w:szCs w:val="18"/>
        </w:rPr>
        <w:t xml:space="preserve">. </w:t>
      </w:r>
      <w:hyperlink r:id="rId5" w:history="1">
        <w:r w:rsidRPr="007616DD">
          <w:rPr>
            <w:rStyle w:val="Hyperlink"/>
            <w:sz w:val="18"/>
            <w:szCs w:val="18"/>
          </w:rPr>
          <w:t>https://www.amap.no/documents/doc/amap-assessment-2015-human-health-in-the-arctic/1346</w:t>
        </w:r>
      </w:hyperlink>
      <w:r w:rsidRPr="001212CE">
        <w:rPr>
          <w:szCs w:val="18"/>
        </w:rPr>
        <w:t xml:space="preserve"> (en anglais uniquement). </w:t>
      </w:r>
    </w:p>
  </w:footnote>
  <w:footnote w:id="10">
    <w:p w14:paraId="021C8B38" w14:textId="19E68A79" w:rsidR="0032673B" w:rsidRPr="00FE6659" w:rsidRDefault="0032673B"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fr-FR"/>
        </w:rPr>
      </w:pPr>
      <w:r w:rsidRPr="001212CE">
        <w:rPr>
          <w:sz w:val="18"/>
          <w:szCs w:val="18"/>
          <w:vertAlign w:val="superscript"/>
          <w:lang w:val="fr-FR"/>
        </w:rPr>
        <w:footnoteRef/>
      </w:r>
      <w:r w:rsidRPr="001212CE">
        <w:rPr>
          <w:sz w:val="18"/>
          <w:szCs w:val="18"/>
          <w:lang w:val="fr-FR"/>
        </w:rPr>
        <w:t xml:space="preserve"> Des vues divergentes ont été exprimées durant le processus de formulation des observations. Certaines Parties ont estimé qu’il faudrait faire preuve de souplesse dans le cadre de la surveillance, afin de maximiser les chances d’une bonne couverture géographique et de viser aussi bien les femmes que les hommes au sein de la population générale, y compris les fœtus. Les Parties ont proposé que les poils et le sang examinés ne se limitent pas, respectivement</w:t>
      </w:r>
      <w:r>
        <w:rPr>
          <w:sz w:val="18"/>
          <w:szCs w:val="18"/>
          <w:lang w:val="fr-FR"/>
        </w:rPr>
        <w:t>,</w:t>
      </w:r>
      <w:r w:rsidRPr="001212CE">
        <w:rPr>
          <w:sz w:val="18"/>
          <w:szCs w:val="18"/>
          <w:lang w:val="fr-FR"/>
        </w:rPr>
        <w:t xml:space="preserve"> aux cheveux maternels et au sang </w:t>
      </w:r>
      <w:r w:rsidR="008C0D4B">
        <w:rPr>
          <w:sz w:val="18"/>
          <w:szCs w:val="18"/>
          <w:lang w:val="fr-FR"/>
        </w:rPr>
        <w:t>d</w:t>
      </w:r>
      <w:r w:rsidRPr="001212CE">
        <w:rPr>
          <w:sz w:val="18"/>
          <w:szCs w:val="18"/>
          <w:lang w:val="fr-FR"/>
        </w:rPr>
        <w:t>e cordon ombilical.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00561" w14:textId="42FBD942" w:rsidR="0032673B" w:rsidRDefault="0032673B">
    <w:pPr>
      <w:pStyle w:val="Header"/>
    </w:pPr>
    <w: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23FBE" w14:textId="52CAA266" w:rsidR="0032673B" w:rsidRDefault="0032673B">
    <w:pPr>
      <w:pStyle w:val="Header"/>
      <w:jc w:val="right"/>
    </w:pPr>
    <w: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90981" w14:textId="43342853" w:rsidR="0032673B" w:rsidRDefault="0032673B" w:rsidP="00E9604D">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2B239" w14:textId="1D6B293B" w:rsidR="0032673B" w:rsidRPr="00CA5CA9" w:rsidRDefault="0032673B" w:rsidP="001224E5">
    <w:pPr>
      <w:pStyle w:val="Header-pool"/>
    </w:pPr>
    <w:r w:rsidRPr="00353EC0">
      <w:rPr>
        <w:bCs/>
      </w:rPr>
      <w:t>UNEP</w:t>
    </w:r>
    <w:r w:rsidRPr="00353EC0">
      <w:t>/MC/COP.3/</w:t>
    </w:r>
    <w:r>
      <w:t>14/Add.1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92CF" w14:textId="33198BDC" w:rsidR="0032673B" w:rsidRPr="00CA5CA9" w:rsidRDefault="0032673B" w:rsidP="00F7137B">
    <w:pPr>
      <w:pStyle w:val="Header"/>
      <w:jc w:val="right"/>
      <w:rPr>
        <w:szCs w:val="18"/>
      </w:rPr>
    </w:pPr>
    <w:r w:rsidRPr="00353EC0">
      <w:rPr>
        <w:bCs/>
        <w:szCs w:val="18"/>
      </w:rPr>
      <w:t>UNEP</w:t>
    </w:r>
    <w:r w:rsidRPr="00353EC0">
      <w:rPr>
        <w:szCs w:val="18"/>
      </w:rPr>
      <w:t>/MC/COP.3/</w:t>
    </w:r>
    <w:r>
      <w:rPr>
        <w:szCs w:val="18"/>
      </w:rPr>
      <w:t>14/Add.1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2D385" w14:textId="42C512B3" w:rsidR="0032673B" w:rsidRDefault="0032673B" w:rsidP="00A169B8">
    <w:pPr>
      <w:pStyle w:val="Header-pool"/>
    </w:pPr>
    <w:r w:rsidRPr="00A169B8">
      <w:rPr>
        <w:bCs/>
        <w:lang w:val="en-US"/>
      </w:rPr>
      <w:t>UNEP/</w:t>
    </w:r>
    <w:r w:rsidRPr="00A169B8">
      <w:rPr>
        <w:lang w:val="en-US"/>
      </w:rPr>
      <w:t>MC/COP.3/14/Add.1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3C29"/>
    <w:multiLevelType w:val="hybridMultilevel"/>
    <w:tmpl w:val="53B0E8A2"/>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216EEA"/>
    <w:multiLevelType w:val="hybridMultilevel"/>
    <w:tmpl w:val="AD46D4A2"/>
    <w:styleLink w:val="Importovanstyl1"/>
    <w:lvl w:ilvl="0" w:tplc="CB46F74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F2C0A2">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 w:ilvl="2" w:tplc="AF14353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1009F9A">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11C37A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 w:ilvl="5" w:tplc="967A674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82A5A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BAEBA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3AF62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4A026A"/>
    <w:multiLevelType w:val="hybridMultilevel"/>
    <w:tmpl w:val="B1D8337C"/>
    <w:lvl w:ilvl="0" w:tplc="040C0013">
      <w:start w:val="1"/>
      <w:numFmt w:val="upperRoman"/>
      <w:lvlText w:val="%1."/>
      <w:lvlJc w:val="right"/>
      <w:pPr>
        <w:ind w:left="1390" w:hanging="360"/>
      </w:pPr>
    </w:lvl>
    <w:lvl w:ilvl="1" w:tplc="6AD28674">
      <w:start w:val="1"/>
      <w:numFmt w:val="upperLetter"/>
      <w:lvlText w:val="%2."/>
      <w:lvlJc w:val="left"/>
      <w:pPr>
        <w:ind w:left="2995" w:hanging="1245"/>
      </w:pPr>
      <w:rPr>
        <w:rFonts w:hint="default"/>
      </w:rPr>
    </w:lvl>
    <w:lvl w:ilvl="2" w:tplc="040C001B" w:tentative="1">
      <w:start w:val="1"/>
      <w:numFmt w:val="lowerRoman"/>
      <w:lvlText w:val="%3."/>
      <w:lvlJc w:val="right"/>
      <w:pPr>
        <w:ind w:left="2830" w:hanging="180"/>
      </w:pPr>
    </w:lvl>
    <w:lvl w:ilvl="3" w:tplc="040C000F" w:tentative="1">
      <w:start w:val="1"/>
      <w:numFmt w:val="decimal"/>
      <w:lvlText w:val="%4."/>
      <w:lvlJc w:val="left"/>
      <w:pPr>
        <w:ind w:left="3550" w:hanging="360"/>
      </w:pPr>
    </w:lvl>
    <w:lvl w:ilvl="4" w:tplc="040C0019" w:tentative="1">
      <w:start w:val="1"/>
      <w:numFmt w:val="lowerLetter"/>
      <w:lvlText w:val="%5."/>
      <w:lvlJc w:val="left"/>
      <w:pPr>
        <w:ind w:left="4270" w:hanging="360"/>
      </w:pPr>
    </w:lvl>
    <w:lvl w:ilvl="5" w:tplc="040C001B" w:tentative="1">
      <w:start w:val="1"/>
      <w:numFmt w:val="lowerRoman"/>
      <w:lvlText w:val="%6."/>
      <w:lvlJc w:val="right"/>
      <w:pPr>
        <w:ind w:left="4990" w:hanging="180"/>
      </w:pPr>
    </w:lvl>
    <w:lvl w:ilvl="6" w:tplc="040C000F" w:tentative="1">
      <w:start w:val="1"/>
      <w:numFmt w:val="decimal"/>
      <w:lvlText w:val="%7."/>
      <w:lvlJc w:val="left"/>
      <w:pPr>
        <w:ind w:left="5710" w:hanging="360"/>
      </w:pPr>
    </w:lvl>
    <w:lvl w:ilvl="7" w:tplc="040C0019" w:tentative="1">
      <w:start w:val="1"/>
      <w:numFmt w:val="lowerLetter"/>
      <w:lvlText w:val="%8."/>
      <w:lvlJc w:val="left"/>
      <w:pPr>
        <w:ind w:left="6430" w:hanging="360"/>
      </w:pPr>
    </w:lvl>
    <w:lvl w:ilvl="8" w:tplc="040C001B" w:tentative="1">
      <w:start w:val="1"/>
      <w:numFmt w:val="lowerRoman"/>
      <w:lvlText w:val="%9."/>
      <w:lvlJc w:val="right"/>
      <w:pPr>
        <w:ind w:left="7150" w:hanging="180"/>
      </w:pPr>
    </w:lvl>
  </w:abstractNum>
  <w:abstractNum w:abstractNumId="3" w15:restartNumberingAfterBreak="0">
    <w:nsid w:val="12D246F4"/>
    <w:multiLevelType w:val="hybridMultilevel"/>
    <w:tmpl w:val="65BC5364"/>
    <w:numStyleLink w:val="Importovanstyl3"/>
  </w:abstractNum>
  <w:abstractNum w:abstractNumId="4" w15:restartNumberingAfterBreak="0">
    <w:nsid w:val="1B025908"/>
    <w:multiLevelType w:val="hybridMultilevel"/>
    <w:tmpl w:val="988A58FC"/>
    <w:numStyleLink w:val="Importovanstyl8"/>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F6D5B16"/>
    <w:multiLevelType w:val="hybridMultilevel"/>
    <w:tmpl w:val="DC7CF9F4"/>
    <w:numStyleLink w:val="Importovanstyl2"/>
  </w:abstractNum>
  <w:abstractNum w:abstractNumId="7" w15:restartNumberingAfterBreak="0">
    <w:nsid w:val="20BD2A46"/>
    <w:multiLevelType w:val="hybridMultilevel"/>
    <w:tmpl w:val="0B58AD5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332B32"/>
    <w:multiLevelType w:val="hybridMultilevel"/>
    <w:tmpl w:val="BBBCC818"/>
    <w:styleLink w:val="Importovanstyl6"/>
    <w:lvl w:ilvl="0" w:tplc="DC60DDB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C03532">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68AA9E0">
      <w:start w:val="1"/>
      <w:numFmt w:val="bullet"/>
      <w:lvlText w:val="▪"/>
      <w:lvlJc w:val="left"/>
      <w:pPr>
        <w:tabs>
          <w:tab w:val="left" w:pos="624"/>
          <w:tab w:val="left" w:pos="1247"/>
          <w:tab w:val="left" w:pos="1814"/>
          <w:tab w:val="left" w:pos="1872"/>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74F516">
      <w:start w:val="1"/>
      <w:numFmt w:val="bullet"/>
      <w:lvlText w:val="•"/>
      <w:lvlJc w:val="left"/>
      <w:pPr>
        <w:tabs>
          <w:tab w:val="left" w:pos="624"/>
          <w:tab w:val="left" w:pos="1247"/>
          <w:tab w:val="left" w:pos="1814"/>
          <w:tab w:val="left" w:pos="1872"/>
          <w:tab w:val="left" w:pos="2381"/>
          <w:tab w:val="left" w:pos="2496"/>
          <w:tab w:val="left" w:pos="2948"/>
          <w:tab w:val="left" w:pos="3515"/>
          <w:tab w:val="left" w:pos="3744"/>
          <w:tab w:val="left" w:pos="4082"/>
          <w:tab w:val="left" w:pos="4368"/>
          <w:tab w:val="left" w:pos="4992"/>
          <w:tab w:val="left" w:pos="5616"/>
          <w:tab w:val="left" w:pos="6240"/>
          <w:tab w:val="left" w:pos="6864"/>
          <w:tab w:val="left" w:pos="7488"/>
          <w:tab w:val="left" w:pos="8112"/>
          <w:tab w:val="left" w:pos="8520"/>
        </w:tabs>
        <w:ind w:left="312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F661EE4">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4082"/>
          <w:tab w:val="left" w:pos="4368"/>
          <w:tab w:val="left" w:pos="4992"/>
          <w:tab w:val="left" w:pos="5616"/>
          <w:tab w:val="left" w:pos="6240"/>
          <w:tab w:val="left" w:pos="6864"/>
          <w:tab w:val="left" w:pos="7488"/>
          <w:tab w:val="left" w:pos="8112"/>
          <w:tab w:val="left" w:pos="8520"/>
        </w:tabs>
        <w:ind w:left="3744" w:hanging="1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FC9D82">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6866A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02E9EE8">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8254F4">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C962E11"/>
    <w:multiLevelType w:val="hybridMultilevel"/>
    <w:tmpl w:val="7ACE99AA"/>
    <w:numStyleLink w:val="Importovanstyl4"/>
  </w:abstractNum>
  <w:abstractNum w:abstractNumId="10" w15:restartNumberingAfterBreak="0">
    <w:nsid w:val="2F300C10"/>
    <w:multiLevelType w:val="hybridMultilevel"/>
    <w:tmpl w:val="6616E19E"/>
    <w:lvl w:ilvl="0" w:tplc="F544E55A">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40C039A9"/>
    <w:multiLevelType w:val="hybridMultilevel"/>
    <w:tmpl w:val="988A58FC"/>
    <w:styleLink w:val="Importovanstyl8"/>
    <w:lvl w:ilvl="0" w:tplc="2ABCF044">
      <w:start w:val="1"/>
      <w:numFmt w:val="bullet"/>
      <w:lvlText w:val="▪"/>
      <w:lvlJc w:val="left"/>
      <w:pPr>
        <w:tabs>
          <w:tab w:val="num" w:pos="1814"/>
        </w:tabs>
        <w:ind w:left="19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F2ED58">
      <w:start w:val="1"/>
      <w:numFmt w:val="bullet"/>
      <w:lvlText w:val="o"/>
      <w:lvlJc w:val="left"/>
      <w:pPr>
        <w:tabs>
          <w:tab w:val="num" w:pos="2687"/>
        </w:tabs>
        <w:ind w:left="28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60F18">
      <w:start w:val="1"/>
      <w:numFmt w:val="bullet"/>
      <w:lvlText w:val="▪"/>
      <w:lvlJc w:val="left"/>
      <w:pPr>
        <w:tabs>
          <w:tab w:val="num" w:pos="3407"/>
        </w:tabs>
        <w:ind w:left="35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D4845E">
      <w:start w:val="1"/>
      <w:numFmt w:val="bullet"/>
      <w:lvlText w:val="•"/>
      <w:lvlJc w:val="left"/>
      <w:pPr>
        <w:tabs>
          <w:tab w:val="num" w:pos="4082"/>
        </w:tabs>
        <w:ind w:left="4235" w:hanging="4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E36ECA8">
      <w:start w:val="1"/>
      <w:numFmt w:val="bullet"/>
      <w:lvlText w:val="o"/>
      <w:lvlJc w:val="left"/>
      <w:pPr>
        <w:tabs>
          <w:tab w:val="num" w:pos="4847"/>
        </w:tabs>
        <w:ind w:left="500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48CA56">
      <w:start w:val="1"/>
      <w:numFmt w:val="bullet"/>
      <w:lvlText w:val="▪"/>
      <w:lvlJc w:val="left"/>
      <w:pPr>
        <w:tabs>
          <w:tab w:val="num" w:pos="5567"/>
        </w:tabs>
        <w:ind w:left="572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B2A5AA">
      <w:start w:val="1"/>
      <w:numFmt w:val="bullet"/>
      <w:lvlText w:val="•"/>
      <w:lvlJc w:val="left"/>
      <w:pPr>
        <w:tabs>
          <w:tab w:val="num" w:pos="6287"/>
        </w:tabs>
        <w:ind w:left="64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466836">
      <w:start w:val="1"/>
      <w:numFmt w:val="bullet"/>
      <w:lvlText w:val="o"/>
      <w:lvlJc w:val="left"/>
      <w:pPr>
        <w:tabs>
          <w:tab w:val="num" w:pos="7007"/>
        </w:tabs>
        <w:ind w:left="71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908AB62">
      <w:start w:val="1"/>
      <w:numFmt w:val="bullet"/>
      <w:lvlText w:val="▪"/>
      <w:lvlJc w:val="left"/>
      <w:pPr>
        <w:tabs>
          <w:tab w:val="num" w:pos="7727"/>
        </w:tabs>
        <w:ind w:left="788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0D57CB0"/>
    <w:multiLevelType w:val="hybridMultilevel"/>
    <w:tmpl w:val="AD46D4A2"/>
    <w:numStyleLink w:val="Importovanstyl1"/>
  </w:abstractNum>
  <w:abstractNum w:abstractNumId="14" w15:restartNumberingAfterBreak="0">
    <w:nsid w:val="41703155"/>
    <w:multiLevelType w:val="hybridMultilevel"/>
    <w:tmpl w:val="BE9867DC"/>
    <w:numStyleLink w:val="Importovanstyl9"/>
  </w:abstractNum>
  <w:abstractNum w:abstractNumId="15" w15:restartNumberingAfterBreak="0">
    <w:nsid w:val="45A217B9"/>
    <w:multiLevelType w:val="hybridMultilevel"/>
    <w:tmpl w:val="9ED27720"/>
    <w:lvl w:ilvl="0" w:tplc="A8EE1C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E96D17"/>
    <w:multiLevelType w:val="hybridMultilevel"/>
    <w:tmpl w:val="CCA46A30"/>
    <w:styleLink w:val="Importovanstyl7"/>
    <w:lvl w:ilvl="0" w:tplc="24BCAA26">
      <w:start w:val="1"/>
      <w:numFmt w:val="bullet"/>
      <w:lvlText w:val="▪"/>
      <w:lvlJc w:val="left"/>
      <w:pPr>
        <w:tabs>
          <w:tab w:val="num"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684420A">
      <w:start w:val="1"/>
      <w:numFmt w:val="bullet"/>
      <w:lvlText w:val="o"/>
      <w:lvlJc w:val="left"/>
      <w:pPr>
        <w:tabs>
          <w:tab w:val="left" w:pos="984"/>
          <w:tab w:val="left" w:pos="1247"/>
          <w:tab w:val="left" w:pos="1248"/>
          <w:tab w:val="left" w:pos="1511"/>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867D84">
      <w:start w:val="1"/>
      <w:numFmt w:val="bullet"/>
      <w:lvlText w:val="▪"/>
      <w:lvlJc w:val="left"/>
      <w:pPr>
        <w:tabs>
          <w:tab w:val="left" w:pos="984"/>
          <w:tab w:val="left" w:pos="1247"/>
          <w:tab w:val="left" w:pos="1248"/>
          <w:tab w:val="left" w:pos="1511"/>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2841CE">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D44CE18">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FA85C6">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7A1D7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F923676">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7A203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3FD473B"/>
    <w:multiLevelType w:val="hybridMultilevel"/>
    <w:tmpl w:val="DC7CF9F4"/>
    <w:styleLink w:val="Importovanstyl2"/>
    <w:lvl w:ilvl="0" w:tplc="876A874E">
      <w:start w:val="1"/>
      <w:numFmt w:val="bullet"/>
      <w:lvlText w:val="▪"/>
      <w:lvlJc w:val="left"/>
      <w:pPr>
        <w:tabs>
          <w:tab w:val="num"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4EEF7D4">
      <w:start w:val="1"/>
      <w:numFmt w:val="bullet"/>
      <w:lvlText w:val="o"/>
      <w:lvlJc w:val="left"/>
      <w:pPr>
        <w:tabs>
          <w:tab w:val="left" w:pos="1248"/>
          <w:tab w:val="left" w:pos="1814"/>
          <w:tab w:val="left" w:pos="1872"/>
          <w:tab w:val="num"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15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0619A6">
      <w:start w:val="1"/>
      <w:numFmt w:val="bullet"/>
      <w:lvlText w:val="▪"/>
      <w:lvlJc w:val="left"/>
      <w:pPr>
        <w:tabs>
          <w:tab w:val="left" w:pos="1248"/>
          <w:tab w:val="left" w:pos="1814"/>
          <w:tab w:val="left" w:pos="1872"/>
          <w:tab w:val="left" w:pos="1967"/>
          <w:tab w:val="left" w:pos="2381"/>
          <w:tab w:val="left" w:pos="2496"/>
          <w:tab w:val="num" w:pos="2880"/>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07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28A1A2">
      <w:start w:val="1"/>
      <w:numFmt w:val="bullet"/>
      <w:lvlText w:val="•"/>
      <w:lvlJc w:val="left"/>
      <w:pPr>
        <w:tabs>
          <w:tab w:val="left" w:pos="1248"/>
          <w:tab w:val="left" w:pos="1814"/>
          <w:tab w:val="left" w:pos="1872"/>
          <w:tab w:val="left" w:pos="1967"/>
          <w:tab w:val="left" w:pos="2381"/>
          <w:tab w:val="left" w:pos="2496"/>
          <w:tab w:val="left" w:pos="2948"/>
          <w:tab w:val="left" w:pos="3120"/>
          <w:tab w:val="num" w:pos="3515"/>
          <w:tab w:val="left" w:pos="3744"/>
          <w:tab w:val="left" w:pos="4082"/>
          <w:tab w:val="left" w:pos="4368"/>
          <w:tab w:val="left" w:pos="4992"/>
          <w:tab w:val="left" w:pos="5616"/>
          <w:tab w:val="left" w:pos="6240"/>
          <w:tab w:val="left" w:pos="6864"/>
          <w:tab w:val="left" w:pos="7488"/>
          <w:tab w:val="left" w:pos="8112"/>
          <w:tab w:val="left" w:pos="8520"/>
        </w:tabs>
        <w:ind w:left="3707" w:hanging="4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6C874AA">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num" w:pos="4082"/>
          <w:tab w:val="left" w:pos="4368"/>
          <w:tab w:val="left" w:pos="4992"/>
          <w:tab w:val="left" w:pos="5616"/>
          <w:tab w:val="left" w:pos="6240"/>
          <w:tab w:val="left" w:pos="6864"/>
          <w:tab w:val="left" w:pos="7488"/>
          <w:tab w:val="left" w:pos="8112"/>
          <w:tab w:val="left" w:pos="8520"/>
        </w:tabs>
        <w:ind w:left="427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B4808E">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num" w:pos="4802"/>
          <w:tab w:val="left" w:pos="4992"/>
          <w:tab w:val="left" w:pos="5616"/>
          <w:tab w:val="left" w:pos="6240"/>
          <w:tab w:val="left" w:pos="6864"/>
          <w:tab w:val="left" w:pos="7488"/>
          <w:tab w:val="left" w:pos="8112"/>
          <w:tab w:val="left" w:pos="8520"/>
        </w:tabs>
        <w:ind w:left="499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86A472">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num" w:pos="5616"/>
          <w:tab w:val="left" w:pos="6240"/>
          <w:tab w:val="left" w:pos="6864"/>
          <w:tab w:val="left" w:pos="7488"/>
          <w:tab w:val="left" w:pos="8112"/>
          <w:tab w:val="left" w:pos="8520"/>
        </w:tabs>
        <w:ind w:left="5808" w:hanging="4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0A52F6">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num" w:pos="6240"/>
          <w:tab w:val="left" w:pos="6864"/>
          <w:tab w:val="left" w:pos="7488"/>
          <w:tab w:val="left" w:pos="8112"/>
          <w:tab w:val="left" w:pos="8520"/>
        </w:tabs>
        <w:ind w:left="643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448776">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num" w:pos="7200"/>
          <w:tab w:val="left" w:pos="7488"/>
          <w:tab w:val="left" w:pos="8112"/>
          <w:tab w:val="left" w:pos="8520"/>
        </w:tabs>
        <w:ind w:left="73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58F0579"/>
    <w:multiLevelType w:val="hybridMultilevel"/>
    <w:tmpl w:val="017AF79E"/>
    <w:numStyleLink w:val="Importovanstyl5"/>
  </w:abstractNum>
  <w:abstractNum w:abstractNumId="20" w15:restartNumberingAfterBreak="0">
    <w:nsid w:val="56F248D4"/>
    <w:multiLevelType w:val="hybridMultilevel"/>
    <w:tmpl w:val="CCA46A30"/>
    <w:numStyleLink w:val="Importovanstyl7"/>
  </w:abstractNum>
  <w:abstractNum w:abstractNumId="21" w15:restartNumberingAfterBreak="0">
    <w:nsid w:val="63283F39"/>
    <w:multiLevelType w:val="hybridMultilevel"/>
    <w:tmpl w:val="65BC5364"/>
    <w:styleLink w:val="Importovanstyl3"/>
    <w:lvl w:ilvl="0" w:tplc="AB6AA24E">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2F4469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A64DC2">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62ACC0">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D36376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98F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0EF974">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1D4327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8F6D782">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4376DC5"/>
    <w:multiLevelType w:val="hybridMultilevel"/>
    <w:tmpl w:val="017AF79E"/>
    <w:styleLink w:val="Importovanstyl5"/>
    <w:lvl w:ilvl="0" w:tplc="2736BF52">
      <w:start w:val="1"/>
      <w:numFmt w:val="bullet"/>
      <w:lvlText w:val="▪"/>
      <w:lvlJc w:val="left"/>
      <w:pPr>
        <w:tabs>
          <w:tab w:val="left" w:pos="97"/>
          <w:tab w:val="left" w:pos="624"/>
          <w:tab w:val="num"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344" w:hanging="62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FCE797A">
      <w:start w:val="1"/>
      <w:numFmt w:val="bullet"/>
      <w:lvlText w:val="o"/>
      <w:lvlJc w:val="left"/>
      <w:pPr>
        <w:tabs>
          <w:tab w:val="left" w:pos="97"/>
          <w:tab w:val="left" w:pos="624"/>
          <w:tab w:val="left" w:pos="1247"/>
          <w:tab w:val="num"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911" w:hanging="47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928D14">
      <w:start w:val="1"/>
      <w:numFmt w:val="bullet"/>
      <w:lvlText w:val="▪"/>
      <w:lvlJc w:val="left"/>
      <w:pPr>
        <w:tabs>
          <w:tab w:val="left" w:pos="97"/>
          <w:tab w:val="left" w:pos="624"/>
          <w:tab w:val="left" w:pos="1247"/>
          <w:tab w:val="left" w:pos="1814"/>
          <w:tab w:val="num" w:pos="2381"/>
          <w:tab w:val="left" w:pos="2948"/>
          <w:tab w:val="left" w:pos="3515"/>
          <w:tab w:val="left" w:pos="4082"/>
          <w:tab w:val="left" w:pos="4368"/>
          <w:tab w:val="left" w:pos="4992"/>
          <w:tab w:val="left" w:pos="5616"/>
          <w:tab w:val="left" w:pos="6240"/>
          <w:tab w:val="left" w:pos="6864"/>
          <w:tab w:val="left" w:pos="7488"/>
          <w:tab w:val="left" w:pos="8112"/>
          <w:tab w:val="left" w:pos="8520"/>
        </w:tabs>
        <w:ind w:left="2478" w:hanging="31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458EFD2">
      <w:start w:val="1"/>
      <w:numFmt w:val="bullet"/>
      <w:lvlText w:val="•"/>
      <w:lvlJc w:val="left"/>
      <w:pPr>
        <w:tabs>
          <w:tab w:val="left" w:pos="97"/>
          <w:tab w:val="left" w:pos="624"/>
          <w:tab w:val="left" w:pos="1247"/>
          <w:tab w:val="left" w:pos="1814"/>
          <w:tab w:val="left" w:pos="2381"/>
          <w:tab w:val="left" w:pos="2948"/>
          <w:tab w:val="num" w:pos="3045"/>
          <w:tab w:val="left" w:pos="3515"/>
          <w:tab w:val="left" w:pos="4082"/>
          <w:tab w:val="left" w:pos="4368"/>
          <w:tab w:val="left" w:pos="4992"/>
          <w:tab w:val="left" w:pos="5616"/>
          <w:tab w:val="left" w:pos="6240"/>
          <w:tab w:val="left" w:pos="6864"/>
          <w:tab w:val="left" w:pos="7488"/>
          <w:tab w:val="left" w:pos="8112"/>
          <w:tab w:val="left" w:pos="8520"/>
        </w:tabs>
        <w:ind w:left="3142" w:hanging="26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FC6423E">
      <w:start w:val="1"/>
      <w:numFmt w:val="bullet"/>
      <w:lvlText w:val="o"/>
      <w:lvlJc w:val="left"/>
      <w:pPr>
        <w:tabs>
          <w:tab w:val="left" w:pos="97"/>
          <w:tab w:val="left" w:pos="624"/>
          <w:tab w:val="left" w:pos="1247"/>
          <w:tab w:val="left" w:pos="1814"/>
          <w:tab w:val="left" w:pos="2381"/>
          <w:tab w:val="left" w:pos="2948"/>
          <w:tab w:val="left" w:pos="3515"/>
          <w:tab w:val="num" w:pos="4082"/>
          <w:tab w:val="left" w:pos="4368"/>
          <w:tab w:val="left" w:pos="4992"/>
          <w:tab w:val="left" w:pos="5616"/>
          <w:tab w:val="left" w:pos="6240"/>
          <w:tab w:val="left" w:pos="6864"/>
          <w:tab w:val="left" w:pos="7488"/>
          <w:tab w:val="left" w:pos="8112"/>
          <w:tab w:val="left" w:pos="8520"/>
        </w:tabs>
        <w:ind w:left="4179" w:hanging="57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BD6E5E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num" w:pos="5001"/>
          <w:tab w:val="left" w:pos="5616"/>
          <w:tab w:val="left" w:pos="6240"/>
          <w:tab w:val="left" w:pos="6864"/>
          <w:tab w:val="left" w:pos="7488"/>
          <w:tab w:val="left" w:pos="8112"/>
          <w:tab w:val="left" w:pos="8520"/>
        </w:tabs>
        <w:ind w:left="5098" w:hanging="77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55ADDCC">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num" w:pos="5616"/>
          <w:tab w:val="left" w:pos="6240"/>
          <w:tab w:val="left" w:pos="6864"/>
          <w:tab w:val="left" w:pos="7488"/>
          <w:tab w:val="left" w:pos="8112"/>
          <w:tab w:val="left" w:pos="8520"/>
        </w:tabs>
        <w:ind w:left="5713" w:hanging="6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95AC702">
      <w:start w:val="1"/>
      <w:numFmt w:val="bullet"/>
      <w:lvlText w:val="o"/>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num" w:pos="6240"/>
          <w:tab w:val="left" w:pos="6864"/>
          <w:tab w:val="left" w:pos="7488"/>
          <w:tab w:val="left" w:pos="8112"/>
          <w:tab w:val="left" w:pos="8520"/>
        </w:tabs>
        <w:ind w:left="6337" w:hanging="57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F0817D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left" w:pos="6240"/>
          <w:tab w:val="num" w:pos="6864"/>
          <w:tab w:val="left" w:pos="7488"/>
          <w:tab w:val="left" w:pos="8112"/>
          <w:tab w:val="left" w:pos="8520"/>
        </w:tabs>
        <w:ind w:left="6961" w:hanging="48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666D344E"/>
    <w:multiLevelType w:val="hybridMultilevel"/>
    <w:tmpl w:val="BE9867DC"/>
    <w:styleLink w:val="Importovanstyl9"/>
    <w:lvl w:ilvl="0" w:tplc="FA565BB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8107A7A">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6E3FD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7AE4F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0D2AA1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EE53E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E8C2B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8CF8AE">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C0A466">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75E411B"/>
    <w:multiLevelType w:val="hybridMultilevel"/>
    <w:tmpl w:val="BBBCC818"/>
    <w:numStyleLink w:val="Importovanstyl6"/>
  </w:abstractNum>
  <w:abstractNum w:abstractNumId="25" w15:restartNumberingAfterBreak="0">
    <w:nsid w:val="727A7E9C"/>
    <w:multiLevelType w:val="hybridMultilevel"/>
    <w:tmpl w:val="D07A6E4C"/>
    <w:numStyleLink w:val="Normallist"/>
  </w:abstractNum>
  <w:abstractNum w:abstractNumId="26" w15:restartNumberingAfterBreak="0">
    <w:nsid w:val="73B83242"/>
    <w:multiLevelType w:val="hybridMultilevel"/>
    <w:tmpl w:val="7ACE99AA"/>
    <w:styleLink w:val="Importovanstyl4"/>
    <w:lvl w:ilvl="0" w:tplc="9F6433DA">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83CA22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54E344">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28EB06">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60CBDA">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22B5C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B4C21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E8456D6">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2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7"/>
  </w:num>
  <w:num w:numId="2">
    <w:abstractNumId w:val="5"/>
  </w:num>
  <w:num w:numId="3">
    <w:abstractNumId w:val="11"/>
  </w:num>
  <w:num w:numId="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15"/>
  </w:num>
  <w:num w:numId="6">
    <w:abstractNumId w:val="25"/>
  </w:num>
  <w:num w:numId="7">
    <w:abstractNumId w:val="1"/>
  </w:num>
  <w:num w:numId="8">
    <w:abstractNumId w:val="13"/>
  </w:num>
  <w:num w:numId="9">
    <w:abstractNumId w:val="18"/>
  </w:num>
  <w:num w:numId="10">
    <w:abstractNumId w:val="6"/>
  </w:num>
  <w:num w:numId="11">
    <w:abstractNumId w:val="13"/>
    <w:lvlOverride w:ilvl="0">
      <w:startOverride w:val="10"/>
    </w:lvlOverride>
  </w:num>
  <w:num w:numId="12">
    <w:abstractNumId w:val="21"/>
  </w:num>
  <w:num w:numId="13">
    <w:abstractNumId w:val="3"/>
  </w:num>
  <w:num w:numId="14">
    <w:abstractNumId w:val="13"/>
    <w:lvlOverride w:ilvl="0">
      <w:startOverride w:val="15"/>
    </w:lvlOverride>
  </w:num>
  <w:num w:numId="15">
    <w:abstractNumId w:val="26"/>
  </w:num>
  <w:num w:numId="16">
    <w:abstractNumId w:val="9"/>
  </w:num>
  <w:num w:numId="17">
    <w:abstractNumId w:val="13"/>
    <w:lvlOverride w:ilvl="0">
      <w:startOverride w:val="21"/>
    </w:lvlOverride>
  </w:num>
  <w:num w:numId="18">
    <w:abstractNumId w:val="22"/>
  </w:num>
  <w:num w:numId="19">
    <w:abstractNumId w:val="19"/>
  </w:num>
  <w:num w:numId="20">
    <w:abstractNumId w:val="13"/>
    <w:lvlOverride w:ilvl="0">
      <w:startOverride w:val="23"/>
      <w:lvl w:ilvl="0" w:tplc="CE12466A">
        <w:start w:val="23"/>
        <w:numFmt w:val="decimal"/>
        <w:lvlText w:val="%1."/>
        <w:lvlJc w:val="left"/>
        <w:pPr>
          <w:tabs>
            <w:tab w:val="left" w:pos="1248"/>
            <w:tab w:val="left" w:pos="1814"/>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AC6542">
        <w:start w:val="1"/>
        <w:numFmt w:val="lowerLetter"/>
        <w:suff w:val="nothing"/>
        <w:lvlText w:val="%2."/>
        <w:lvlJc w:val="left"/>
        <w:pPr>
          <w:tabs>
            <w:tab w:val="left" w:pos="1248"/>
            <w:tab w:val="left" w:pos="1814"/>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BA9DCC">
        <w:start w:val="1"/>
        <w:numFmt w:val="lowerRoman"/>
        <w:lvlText w:val="%3."/>
        <w:lvlJc w:val="left"/>
        <w:pPr>
          <w:tabs>
            <w:tab w:val="left" w:pos="1248"/>
            <w:tab w:val="left" w:pos="1814"/>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EE8EA2C">
        <w:start w:val="1"/>
        <w:numFmt w:val="lowerLetter"/>
        <w:lvlText w:val="(%4)"/>
        <w:lvlJc w:val="left"/>
        <w:pPr>
          <w:tabs>
            <w:tab w:val="left" w:pos="1248"/>
            <w:tab w:val="left" w:pos="1814"/>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A2EF62">
        <w:start w:val="1"/>
        <w:numFmt w:val="lowerLetter"/>
        <w:lvlText w:val="%5."/>
        <w:lvlJc w:val="left"/>
        <w:pPr>
          <w:tabs>
            <w:tab w:val="left" w:pos="1248"/>
            <w:tab w:val="left" w:pos="1814"/>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48DD98">
        <w:start w:val="1"/>
        <w:numFmt w:val="lowerRoman"/>
        <w:lvlText w:val="%6."/>
        <w:lvlJc w:val="left"/>
        <w:pPr>
          <w:tabs>
            <w:tab w:val="left" w:pos="1248"/>
            <w:tab w:val="left" w:pos="1814"/>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964380">
        <w:start w:val="1"/>
        <w:numFmt w:val="decimal"/>
        <w:lvlText w:val="%7."/>
        <w:lvlJc w:val="left"/>
        <w:pPr>
          <w:tabs>
            <w:tab w:val="left" w:pos="1248"/>
            <w:tab w:val="left" w:pos="1814"/>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9766942">
        <w:start w:val="1"/>
        <w:numFmt w:val="lowerLetter"/>
        <w:lvlText w:val="%8."/>
        <w:lvlJc w:val="left"/>
        <w:pPr>
          <w:tabs>
            <w:tab w:val="left" w:pos="1248"/>
            <w:tab w:val="left" w:pos="1814"/>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3A1562">
        <w:start w:val="1"/>
        <w:numFmt w:val="lowerRoman"/>
        <w:lvlText w:val="%9."/>
        <w:lvlJc w:val="left"/>
        <w:pPr>
          <w:tabs>
            <w:tab w:val="left" w:pos="1248"/>
            <w:tab w:val="left" w:pos="1814"/>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8"/>
  </w:num>
  <w:num w:numId="22">
    <w:abstractNumId w:val="24"/>
  </w:num>
  <w:num w:numId="23">
    <w:abstractNumId w:val="13"/>
    <w:lvlOverride w:ilvl="0">
      <w:startOverride w:val="26"/>
    </w:lvlOverride>
  </w:num>
  <w:num w:numId="24">
    <w:abstractNumId w:val="16"/>
  </w:num>
  <w:num w:numId="25">
    <w:abstractNumId w:val="20"/>
  </w:num>
  <w:num w:numId="26">
    <w:abstractNumId w:val="13"/>
    <w:lvlOverride w:ilvl="0">
      <w:startOverride w:val="33"/>
      <w:lvl w:ilvl="0" w:tplc="CE12466A">
        <w:start w:val="33"/>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AC6542">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BA9DC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EE8EA2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A2EF62">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48DD98">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9643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97669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3A156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13"/>
    <w:lvlOverride w:ilvl="0">
      <w:startOverride w:val="45"/>
      <w:lvl w:ilvl="0" w:tplc="CE12466A">
        <w:start w:val="45"/>
        <w:numFmt w:val="decimal"/>
        <w:lvlText w:val="%1."/>
        <w:lvlJc w:val="left"/>
        <w:pPr>
          <w:tabs>
            <w:tab w:val="left" w:pos="1247"/>
            <w:tab w:val="left" w:pos="1815"/>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AC6542">
        <w:start w:val="1"/>
        <w:numFmt w:val="lowerLetter"/>
        <w:suff w:val="nothing"/>
        <w:lvlText w:val="%2."/>
        <w:lvlJc w:val="left"/>
        <w:pPr>
          <w:tabs>
            <w:tab w:val="left" w:pos="1247"/>
            <w:tab w:val="left" w:pos="1815"/>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BA9DCC">
        <w:start w:val="1"/>
        <w:numFmt w:val="lowerRoman"/>
        <w:lvlText w:val="%3."/>
        <w:lvlJc w:val="left"/>
        <w:pPr>
          <w:tabs>
            <w:tab w:val="left" w:pos="1247"/>
            <w:tab w:val="left" w:pos="1815"/>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EE8EA2C">
        <w:start w:val="1"/>
        <w:numFmt w:val="lowerLetter"/>
        <w:lvlText w:val="(%4)"/>
        <w:lvlJc w:val="left"/>
        <w:pPr>
          <w:tabs>
            <w:tab w:val="left" w:pos="1247"/>
            <w:tab w:val="left" w:pos="1815"/>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A2EF62">
        <w:start w:val="1"/>
        <w:numFmt w:val="lowerLetter"/>
        <w:lvlText w:val="%5."/>
        <w:lvlJc w:val="left"/>
        <w:pPr>
          <w:tabs>
            <w:tab w:val="left" w:pos="1247"/>
            <w:tab w:val="left" w:pos="1815"/>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48DD98">
        <w:start w:val="1"/>
        <w:numFmt w:val="lowerRoman"/>
        <w:lvlText w:val="%6."/>
        <w:lvlJc w:val="left"/>
        <w:pPr>
          <w:tabs>
            <w:tab w:val="left" w:pos="1247"/>
            <w:tab w:val="left" w:pos="1815"/>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964380">
        <w:start w:val="1"/>
        <w:numFmt w:val="decimal"/>
        <w:lvlText w:val="%7."/>
        <w:lvlJc w:val="left"/>
        <w:pPr>
          <w:tabs>
            <w:tab w:val="left" w:pos="1247"/>
            <w:tab w:val="left" w:pos="1815"/>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9766942">
        <w:start w:val="1"/>
        <w:numFmt w:val="lowerLetter"/>
        <w:lvlText w:val="%8."/>
        <w:lvlJc w:val="left"/>
        <w:pPr>
          <w:tabs>
            <w:tab w:val="left" w:pos="1247"/>
            <w:tab w:val="left" w:pos="1815"/>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3A1562">
        <w:start w:val="1"/>
        <w:numFmt w:val="lowerRoman"/>
        <w:lvlText w:val="%9."/>
        <w:lvlJc w:val="left"/>
        <w:pPr>
          <w:tabs>
            <w:tab w:val="left" w:pos="1247"/>
            <w:tab w:val="left" w:pos="1815"/>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3"/>
    <w:lvlOverride w:ilvl="0">
      <w:lvl w:ilvl="0" w:tplc="CE12466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6AC6542">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BA9DC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E8EA2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A2EF62">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48DD98">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9643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97669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3A156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12"/>
  </w:num>
  <w:num w:numId="30">
    <w:abstractNumId w:val="4"/>
  </w:num>
  <w:num w:numId="31">
    <w:abstractNumId w:val="13"/>
    <w:lvlOverride w:ilvl="0">
      <w:startOverride w:val="52"/>
      <w:lvl w:ilvl="0" w:tplc="CE12466A">
        <w:start w:val="5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AC6542">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BA9DC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EE8EA2C">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A2EF62">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48DD98">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9643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97669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3A156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23"/>
  </w:num>
  <w:num w:numId="33">
    <w:abstractNumId w:val="14"/>
  </w:num>
  <w:num w:numId="34">
    <w:abstractNumId w:val="13"/>
    <w:lvlOverride w:ilvl="0">
      <w:startOverride w:val="54"/>
    </w:lvlOverride>
  </w:num>
  <w:num w:numId="35">
    <w:abstractNumId w:val="2"/>
  </w:num>
  <w:num w:numId="36">
    <w:abstractNumId w:val="10"/>
  </w:num>
  <w:num w:numId="37">
    <w:abstractNumId w:val="7"/>
  </w:num>
  <w:num w:numId="38">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s-ES_tradnl" w:vendorID="64" w:dllVersion="0" w:nlCheck="1" w:checkStyle="0"/>
  <w:activeWritingStyle w:appName="MSWord" w:lang="en-CA"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oNotTrackFormatting/>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0F4B"/>
    <w:rsid w:val="00011A16"/>
    <w:rsid w:val="000149E6"/>
    <w:rsid w:val="00015C0F"/>
    <w:rsid w:val="00023DA9"/>
    <w:rsid w:val="000247B0"/>
    <w:rsid w:val="00024DDD"/>
    <w:rsid w:val="00026997"/>
    <w:rsid w:val="00026A08"/>
    <w:rsid w:val="00032AF5"/>
    <w:rsid w:val="00032E4E"/>
    <w:rsid w:val="00033E0B"/>
    <w:rsid w:val="00035EDE"/>
    <w:rsid w:val="00037213"/>
    <w:rsid w:val="00045A6D"/>
    <w:rsid w:val="000509B4"/>
    <w:rsid w:val="000511F9"/>
    <w:rsid w:val="00056C7C"/>
    <w:rsid w:val="0006035B"/>
    <w:rsid w:val="0006096F"/>
    <w:rsid w:val="0006208B"/>
    <w:rsid w:val="0006398E"/>
    <w:rsid w:val="000649C5"/>
    <w:rsid w:val="000656E9"/>
    <w:rsid w:val="000703EC"/>
    <w:rsid w:val="00071886"/>
    <w:rsid w:val="000742BC"/>
    <w:rsid w:val="00076CC6"/>
    <w:rsid w:val="00082157"/>
    <w:rsid w:val="00082A0C"/>
    <w:rsid w:val="00083504"/>
    <w:rsid w:val="00084BCA"/>
    <w:rsid w:val="00092C85"/>
    <w:rsid w:val="0009618C"/>
    <w:rsid w:val="0009640C"/>
    <w:rsid w:val="00096E68"/>
    <w:rsid w:val="000A1C5F"/>
    <w:rsid w:val="000A7C0C"/>
    <w:rsid w:val="000B22A2"/>
    <w:rsid w:val="000B3412"/>
    <w:rsid w:val="000B541B"/>
    <w:rsid w:val="000B73F9"/>
    <w:rsid w:val="000C2A52"/>
    <w:rsid w:val="000C2A88"/>
    <w:rsid w:val="000D33C0"/>
    <w:rsid w:val="000D3E22"/>
    <w:rsid w:val="000D4CF6"/>
    <w:rsid w:val="000D6941"/>
    <w:rsid w:val="000E1992"/>
    <w:rsid w:val="000E1CBB"/>
    <w:rsid w:val="000F051B"/>
    <w:rsid w:val="000F2B83"/>
    <w:rsid w:val="000F35BF"/>
    <w:rsid w:val="000F4829"/>
    <w:rsid w:val="000F6B21"/>
    <w:rsid w:val="00102B6E"/>
    <w:rsid w:val="00102EFB"/>
    <w:rsid w:val="00115285"/>
    <w:rsid w:val="001202E3"/>
    <w:rsid w:val="001212CE"/>
    <w:rsid w:val="001224E5"/>
    <w:rsid w:val="00123699"/>
    <w:rsid w:val="001241FB"/>
    <w:rsid w:val="0013059D"/>
    <w:rsid w:val="00130AEA"/>
    <w:rsid w:val="00133141"/>
    <w:rsid w:val="00133FD4"/>
    <w:rsid w:val="00134E78"/>
    <w:rsid w:val="00136187"/>
    <w:rsid w:val="001362CE"/>
    <w:rsid w:val="00141592"/>
    <w:rsid w:val="0014179E"/>
    <w:rsid w:val="00141A55"/>
    <w:rsid w:val="0014293F"/>
    <w:rsid w:val="0014397D"/>
    <w:rsid w:val="001446A3"/>
    <w:rsid w:val="00152B6B"/>
    <w:rsid w:val="00152E29"/>
    <w:rsid w:val="00155395"/>
    <w:rsid w:val="00155A2F"/>
    <w:rsid w:val="00156B6B"/>
    <w:rsid w:val="0015792A"/>
    <w:rsid w:val="00160D74"/>
    <w:rsid w:val="001646EA"/>
    <w:rsid w:val="00165629"/>
    <w:rsid w:val="001675FE"/>
    <w:rsid w:val="00167D02"/>
    <w:rsid w:val="00171333"/>
    <w:rsid w:val="001759D8"/>
    <w:rsid w:val="00177911"/>
    <w:rsid w:val="00177D7F"/>
    <w:rsid w:val="00180C3F"/>
    <w:rsid w:val="00181EC8"/>
    <w:rsid w:val="00184349"/>
    <w:rsid w:val="00191AC0"/>
    <w:rsid w:val="00195F33"/>
    <w:rsid w:val="00197072"/>
    <w:rsid w:val="001A47E5"/>
    <w:rsid w:val="001A486B"/>
    <w:rsid w:val="001A5EFD"/>
    <w:rsid w:val="001B1617"/>
    <w:rsid w:val="001B504B"/>
    <w:rsid w:val="001B6F98"/>
    <w:rsid w:val="001C0178"/>
    <w:rsid w:val="001C191A"/>
    <w:rsid w:val="001D3874"/>
    <w:rsid w:val="001D74F3"/>
    <w:rsid w:val="001D7E75"/>
    <w:rsid w:val="001E0D73"/>
    <w:rsid w:val="001E3AA1"/>
    <w:rsid w:val="001E45BD"/>
    <w:rsid w:val="001E56D2"/>
    <w:rsid w:val="001E5A0D"/>
    <w:rsid w:val="001E7AC9"/>
    <w:rsid w:val="001E7D56"/>
    <w:rsid w:val="001F000E"/>
    <w:rsid w:val="001F3B72"/>
    <w:rsid w:val="001F4808"/>
    <w:rsid w:val="001F5186"/>
    <w:rsid w:val="001F75DE"/>
    <w:rsid w:val="002004D0"/>
    <w:rsid w:val="00200D58"/>
    <w:rsid w:val="002011C1"/>
    <w:rsid w:val="002013BE"/>
    <w:rsid w:val="00201EDC"/>
    <w:rsid w:val="002024B3"/>
    <w:rsid w:val="002063A4"/>
    <w:rsid w:val="00206569"/>
    <w:rsid w:val="00206FF9"/>
    <w:rsid w:val="0021145B"/>
    <w:rsid w:val="00220C23"/>
    <w:rsid w:val="002247F6"/>
    <w:rsid w:val="00225E21"/>
    <w:rsid w:val="00225E44"/>
    <w:rsid w:val="00226343"/>
    <w:rsid w:val="002263BD"/>
    <w:rsid w:val="00234E78"/>
    <w:rsid w:val="0024150E"/>
    <w:rsid w:val="00241E0C"/>
    <w:rsid w:val="00243D36"/>
    <w:rsid w:val="00246151"/>
    <w:rsid w:val="00247707"/>
    <w:rsid w:val="00252456"/>
    <w:rsid w:val="00255B78"/>
    <w:rsid w:val="002574CC"/>
    <w:rsid w:val="0026018E"/>
    <w:rsid w:val="00272234"/>
    <w:rsid w:val="00286740"/>
    <w:rsid w:val="00291EAE"/>
    <w:rsid w:val="002929D8"/>
    <w:rsid w:val="00293254"/>
    <w:rsid w:val="002A237D"/>
    <w:rsid w:val="002A4C53"/>
    <w:rsid w:val="002B0672"/>
    <w:rsid w:val="002B247F"/>
    <w:rsid w:val="002B2637"/>
    <w:rsid w:val="002B3112"/>
    <w:rsid w:val="002B50D4"/>
    <w:rsid w:val="002B58BF"/>
    <w:rsid w:val="002C145D"/>
    <w:rsid w:val="002C1B19"/>
    <w:rsid w:val="002C2C3E"/>
    <w:rsid w:val="002C533E"/>
    <w:rsid w:val="002D027F"/>
    <w:rsid w:val="002D3E15"/>
    <w:rsid w:val="002D708D"/>
    <w:rsid w:val="002D7A85"/>
    <w:rsid w:val="002D7B60"/>
    <w:rsid w:val="002F0D74"/>
    <w:rsid w:val="002F4761"/>
    <w:rsid w:val="002F5C79"/>
    <w:rsid w:val="002F68EE"/>
    <w:rsid w:val="002F79F6"/>
    <w:rsid w:val="003019E2"/>
    <w:rsid w:val="00310BEB"/>
    <w:rsid w:val="00311C48"/>
    <w:rsid w:val="00313C0D"/>
    <w:rsid w:val="0031413F"/>
    <w:rsid w:val="00314163"/>
    <w:rsid w:val="00314854"/>
    <w:rsid w:val="003148BB"/>
    <w:rsid w:val="003178FB"/>
    <w:rsid w:val="00317976"/>
    <w:rsid w:val="00320AA2"/>
    <w:rsid w:val="00320F2F"/>
    <w:rsid w:val="0032457E"/>
    <w:rsid w:val="00325D38"/>
    <w:rsid w:val="0032673B"/>
    <w:rsid w:val="00326EAD"/>
    <w:rsid w:val="0033491E"/>
    <w:rsid w:val="00343481"/>
    <w:rsid w:val="0034493A"/>
    <w:rsid w:val="0035113E"/>
    <w:rsid w:val="00351C84"/>
    <w:rsid w:val="0035277E"/>
    <w:rsid w:val="00353CC4"/>
    <w:rsid w:val="00353EC0"/>
    <w:rsid w:val="00355EA9"/>
    <w:rsid w:val="003578DE"/>
    <w:rsid w:val="003600C7"/>
    <w:rsid w:val="00361688"/>
    <w:rsid w:val="003715F2"/>
    <w:rsid w:val="00380921"/>
    <w:rsid w:val="0038455F"/>
    <w:rsid w:val="003877D5"/>
    <w:rsid w:val="003929B8"/>
    <w:rsid w:val="00393432"/>
    <w:rsid w:val="00396257"/>
    <w:rsid w:val="00397EB8"/>
    <w:rsid w:val="003A2C43"/>
    <w:rsid w:val="003A2D05"/>
    <w:rsid w:val="003A4FD0"/>
    <w:rsid w:val="003A6046"/>
    <w:rsid w:val="003A69D1"/>
    <w:rsid w:val="003A7705"/>
    <w:rsid w:val="003A77F1"/>
    <w:rsid w:val="003B1545"/>
    <w:rsid w:val="003B1FD7"/>
    <w:rsid w:val="003B7E84"/>
    <w:rsid w:val="003C3219"/>
    <w:rsid w:val="003C409D"/>
    <w:rsid w:val="003C444B"/>
    <w:rsid w:val="003C4544"/>
    <w:rsid w:val="003C50EC"/>
    <w:rsid w:val="003C5583"/>
    <w:rsid w:val="003C5BA6"/>
    <w:rsid w:val="003C74CF"/>
    <w:rsid w:val="003D050E"/>
    <w:rsid w:val="003D2785"/>
    <w:rsid w:val="003D3752"/>
    <w:rsid w:val="003D521B"/>
    <w:rsid w:val="003D77C1"/>
    <w:rsid w:val="003E0F2A"/>
    <w:rsid w:val="003E2F62"/>
    <w:rsid w:val="003E35DA"/>
    <w:rsid w:val="003E455D"/>
    <w:rsid w:val="003F0E85"/>
    <w:rsid w:val="003F50BA"/>
    <w:rsid w:val="003F6C41"/>
    <w:rsid w:val="00410C55"/>
    <w:rsid w:val="00414642"/>
    <w:rsid w:val="00416854"/>
    <w:rsid w:val="00417725"/>
    <w:rsid w:val="0042266F"/>
    <w:rsid w:val="004314AF"/>
    <w:rsid w:val="00432EB1"/>
    <w:rsid w:val="00434271"/>
    <w:rsid w:val="00434321"/>
    <w:rsid w:val="00437F26"/>
    <w:rsid w:val="00437FCE"/>
    <w:rsid w:val="00440B2D"/>
    <w:rsid w:val="00444097"/>
    <w:rsid w:val="00444D8D"/>
    <w:rsid w:val="00445487"/>
    <w:rsid w:val="00447E0D"/>
    <w:rsid w:val="004504D3"/>
    <w:rsid w:val="00453EA8"/>
    <w:rsid w:val="00454769"/>
    <w:rsid w:val="00463E7D"/>
    <w:rsid w:val="00466991"/>
    <w:rsid w:val="0047064C"/>
    <w:rsid w:val="004822B7"/>
    <w:rsid w:val="00483EF1"/>
    <w:rsid w:val="0049469E"/>
    <w:rsid w:val="00496A27"/>
    <w:rsid w:val="004A0AA1"/>
    <w:rsid w:val="004A2217"/>
    <w:rsid w:val="004A24F9"/>
    <w:rsid w:val="004A42E1"/>
    <w:rsid w:val="004A6FA3"/>
    <w:rsid w:val="004B162C"/>
    <w:rsid w:val="004B2ABE"/>
    <w:rsid w:val="004C3DBE"/>
    <w:rsid w:val="004C5C96"/>
    <w:rsid w:val="004C7E9C"/>
    <w:rsid w:val="004D06A4"/>
    <w:rsid w:val="004D3289"/>
    <w:rsid w:val="004D63BC"/>
    <w:rsid w:val="004E1179"/>
    <w:rsid w:val="004F07E1"/>
    <w:rsid w:val="004F095D"/>
    <w:rsid w:val="004F110C"/>
    <w:rsid w:val="004F1A81"/>
    <w:rsid w:val="004F53B0"/>
    <w:rsid w:val="004F5D88"/>
    <w:rsid w:val="00501354"/>
    <w:rsid w:val="005037EB"/>
    <w:rsid w:val="005050D2"/>
    <w:rsid w:val="005218D9"/>
    <w:rsid w:val="005255BD"/>
    <w:rsid w:val="00532433"/>
    <w:rsid w:val="005338EE"/>
    <w:rsid w:val="00536186"/>
    <w:rsid w:val="00537F24"/>
    <w:rsid w:val="005412F5"/>
    <w:rsid w:val="00544CBB"/>
    <w:rsid w:val="00545AD9"/>
    <w:rsid w:val="00545BE7"/>
    <w:rsid w:val="00551B65"/>
    <w:rsid w:val="0055409D"/>
    <w:rsid w:val="005540BC"/>
    <w:rsid w:val="005549C4"/>
    <w:rsid w:val="00556704"/>
    <w:rsid w:val="0056566B"/>
    <w:rsid w:val="005656D7"/>
    <w:rsid w:val="00566023"/>
    <w:rsid w:val="005660E2"/>
    <w:rsid w:val="00573157"/>
    <w:rsid w:val="0057315F"/>
    <w:rsid w:val="00576104"/>
    <w:rsid w:val="00582208"/>
    <w:rsid w:val="00585890"/>
    <w:rsid w:val="005858D4"/>
    <w:rsid w:val="00586418"/>
    <w:rsid w:val="005903FD"/>
    <w:rsid w:val="00592B21"/>
    <w:rsid w:val="005947B9"/>
    <w:rsid w:val="005A773A"/>
    <w:rsid w:val="005A7A57"/>
    <w:rsid w:val="005B08A1"/>
    <w:rsid w:val="005B2DF4"/>
    <w:rsid w:val="005B44BF"/>
    <w:rsid w:val="005C67C8"/>
    <w:rsid w:val="005C693B"/>
    <w:rsid w:val="005C768A"/>
    <w:rsid w:val="005D0249"/>
    <w:rsid w:val="005D18FA"/>
    <w:rsid w:val="005D4FD4"/>
    <w:rsid w:val="005D6E8C"/>
    <w:rsid w:val="005E25F2"/>
    <w:rsid w:val="005E3004"/>
    <w:rsid w:val="005F100C"/>
    <w:rsid w:val="005F5C7D"/>
    <w:rsid w:val="005F68DA"/>
    <w:rsid w:val="005F7419"/>
    <w:rsid w:val="00601BC9"/>
    <w:rsid w:val="00602576"/>
    <w:rsid w:val="00602796"/>
    <w:rsid w:val="0060773B"/>
    <w:rsid w:val="00612FF2"/>
    <w:rsid w:val="00613FD6"/>
    <w:rsid w:val="006157B5"/>
    <w:rsid w:val="00617224"/>
    <w:rsid w:val="00626FC6"/>
    <w:rsid w:val="006303B4"/>
    <w:rsid w:val="00630ADC"/>
    <w:rsid w:val="006326B4"/>
    <w:rsid w:val="00633D3D"/>
    <w:rsid w:val="00634E0D"/>
    <w:rsid w:val="00636DEA"/>
    <w:rsid w:val="00641703"/>
    <w:rsid w:val="00641DEF"/>
    <w:rsid w:val="006431A6"/>
    <w:rsid w:val="00643E3A"/>
    <w:rsid w:val="006459F6"/>
    <w:rsid w:val="00647827"/>
    <w:rsid w:val="00647BCF"/>
    <w:rsid w:val="006501AD"/>
    <w:rsid w:val="00651BFA"/>
    <w:rsid w:val="00654475"/>
    <w:rsid w:val="00656DF0"/>
    <w:rsid w:val="00663EA8"/>
    <w:rsid w:val="00665A4B"/>
    <w:rsid w:val="00667FC7"/>
    <w:rsid w:val="00670FAE"/>
    <w:rsid w:val="00673093"/>
    <w:rsid w:val="00685610"/>
    <w:rsid w:val="00692E2A"/>
    <w:rsid w:val="0069496A"/>
    <w:rsid w:val="00696C1C"/>
    <w:rsid w:val="006A3003"/>
    <w:rsid w:val="006A62EB"/>
    <w:rsid w:val="006A76F2"/>
    <w:rsid w:val="006B59DD"/>
    <w:rsid w:val="006B7D29"/>
    <w:rsid w:val="006C44BC"/>
    <w:rsid w:val="006D19D4"/>
    <w:rsid w:val="006D5644"/>
    <w:rsid w:val="006D7EFB"/>
    <w:rsid w:val="006E5977"/>
    <w:rsid w:val="006E6672"/>
    <w:rsid w:val="006E6722"/>
    <w:rsid w:val="006E773B"/>
    <w:rsid w:val="006F0221"/>
    <w:rsid w:val="006F54B4"/>
    <w:rsid w:val="006F7AFF"/>
    <w:rsid w:val="007027B9"/>
    <w:rsid w:val="00703C84"/>
    <w:rsid w:val="007066B5"/>
    <w:rsid w:val="00707218"/>
    <w:rsid w:val="007074B1"/>
    <w:rsid w:val="007145DA"/>
    <w:rsid w:val="00715E88"/>
    <w:rsid w:val="00716D8B"/>
    <w:rsid w:val="007178EE"/>
    <w:rsid w:val="00725790"/>
    <w:rsid w:val="007262B8"/>
    <w:rsid w:val="00731576"/>
    <w:rsid w:val="00734CAA"/>
    <w:rsid w:val="00735036"/>
    <w:rsid w:val="00736632"/>
    <w:rsid w:val="0074019F"/>
    <w:rsid w:val="00740EE2"/>
    <w:rsid w:val="00742680"/>
    <w:rsid w:val="0074541F"/>
    <w:rsid w:val="00753511"/>
    <w:rsid w:val="0075533C"/>
    <w:rsid w:val="00755A18"/>
    <w:rsid w:val="00757581"/>
    <w:rsid w:val="007602F5"/>
    <w:rsid w:val="00760D36"/>
    <w:rsid w:val="007611A0"/>
    <w:rsid w:val="00772574"/>
    <w:rsid w:val="00773E54"/>
    <w:rsid w:val="00786CE3"/>
    <w:rsid w:val="00787688"/>
    <w:rsid w:val="00792908"/>
    <w:rsid w:val="007935E6"/>
    <w:rsid w:val="00796D3F"/>
    <w:rsid w:val="007977F1"/>
    <w:rsid w:val="007A1683"/>
    <w:rsid w:val="007A541D"/>
    <w:rsid w:val="007A5C12"/>
    <w:rsid w:val="007A7CB0"/>
    <w:rsid w:val="007B68A3"/>
    <w:rsid w:val="007C2541"/>
    <w:rsid w:val="007C4333"/>
    <w:rsid w:val="007C5DF0"/>
    <w:rsid w:val="007D5085"/>
    <w:rsid w:val="007D66A8"/>
    <w:rsid w:val="007E003F"/>
    <w:rsid w:val="007F0CF8"/>
    <w:rsid w:val="007F5E1B"/>
    <w:rsid w:val="007F62CB"/>
    <w:rsid w:val="007F7997"/>
    <w:rsid w:val="00802A11"/>
    <w:rsid w:val="0080685D"/>
    <w:rsid w:val="00807EBB"/>
    <w:rsid w:val="00810371"/>
    <w:rsid w:val="008142EC"/>
    <w:rsid w:val="008164F2"/>
    <w:rsid w:val="0082086E"/>
    <w:rsid w:val="00821395"/>
    <w:rsid w:val="0082389F"/>
    <w:rsid w:val="00830793"/>
    <w:rsid w:val="00830E26"/>
    <w:rsid w:val="00834368"/>
    <w:rsid w:val="0083441A"/>
    <w:rsid w:val="00843576"/>
    <w:rsid w:val="00843B64"/>
    <w:rsid w:val="00845261"/>
    <w:rsid w:val="008473F4"/>
    <w:rsid w:val="008478E9"/>
    <w:rsid w:val="008478FC"/>
    <w:rsid w:val="00847AE1"/>
    <w:rsid w:val="00847F0A"/>
    <w:rsid w:val="008506DD"/>
    <w:rsid w:val="00851C51"/>
    <w:rsid w:val="008538F7"/>
    <w:rsid w:val="00862CEA"/>
    <w:rsid w:val="0086402F"/>
    <w:rsid w:val="008672C8"/>
    <w:rsid w:val="00867BFF"/>
    <w:rsid w:val="00871542"/>
    <w:rsid w:val="00872BF6"/>
    <w:rsid w:val="00876A80"/>
    <w:rsid w:val="0088480A"/>
    <w:rsid w:val="0088757A"/>
    <w:rsid w:val="00887C2E"/>
    <w:rsid w:val="0089431B"/>
    <w:rsid w:val="00895668"/>
    <w:rsid w:val="008957DD"/>
    <w:rsid w:val="00897D98"/>
    <w:rsid w:val="008A33BC"/>
    <w:rsid w:val="008A6DF2"/>
    <w:rsid w:val="008A7807"/>
    <w:rsid w:val="008B0060"/>
    <w:rsid w:val="008B4CC9"/>
    <w:rsid w:val="008B613C"/>
    <w:rsid w:val="008C0B15"/>
    <w:rsid w:val="008C0D4B"/>
    <w:rsid w:val="008C3964"/>
    <w:rsid w:val="008C7854"/>
    <w:rsid w:val="008D572A"/>
    <w:rsid w:val="008D75E4"/>
    <w:rsid w:val="008D7C99"/>
    <w:rsid w:val="008D7F63"/>
    <w:rsid w:val="008E0FCB"/>
    <w:rsid w:val="008E6F6A"/>
    <w:rsid w:val="008F0381"/>
    <w:rsid w:val="008F6DFE"/>
    <w:rsid w:val="0090529F"/>
    <w:rsid w:val="00905879"/>
    <w:rsid w:val="009128DC"/>
    <w:rsid w:val="00914F3F"/>
    <w:rsid w:val="00916EEE"/>
    <w:rsid w:val="0092178C"/>
    <w:rsid w:val="00930B88"/>
    <w:rsid w:val="00935376"/>
    <w:rsid w:val="009365FE"/>
    <w:rsid w:val="00940DCC"/>
    <w:rsid w:val="0094179A"/>
    <w:rsid w:val="0094459E"/>
    <w:rsid w:val="00944DBC"/>
    <w:rsid w:val="00945763"/>
    <w:rsid w:val="00950977"/>
    <w:rsid w:val="0095117B"/>
    <w:rsid w:val="00951A7B"/>
    <w:rsid w:val="00955512"/>
    <w:rsid w:val="009564A6"/>
    <w:rsid w:val="00957EF8"/>
    <w:rsid w:val="00960DF8"/>
    <w:rsid w:val="009617CB"/>
    <w:rsid w:val="00964655"/>
    <w:rsid w:val="009665DF"/>
    <w:rsid w:val="00966A53"/>
    <w:rsid w:val="00967621"/>
    <w:rsid w:val="00967E6A"/>
    <w:rsid w:val="00971AFA"/>
    <w:rsid w:val="00985E38"/>
    <w:rsid w:val="009907B9"/>
    <w:rsid w:val="00990918"/>
    <w:rsid w:val="00991BC0"/>
    <w:rsid w:val="00993593"/>
    <w:rsid w:val="009A3A83"/>
    <w:rsid w:val="009B4A0F"/>
    <w:rsid w:val="009C11D2"/>
    <w:rsid w:val="009C5891"/>
    <w:rsid w:val="009C6C70"/>
    <w:rsid w:val="009C7B0A"/>
    <w:rsid w:val="009D0B63"/>
    <w:rsid w:val="009D0F68"/>
    <w:rsid w:val="009D10E4"/>
    <w:rsid w:val="009D2567"/>
    <w:rsid w:val="009D5CB8"/>
    <w:rsid w:val="009E307E"/>
    <w:rsid w:val="009F0242"/>
    <w:rsid w:val="00A06A0E"/>
    <w:rsid w:val="00A07870"/>
    <w:rsid w:val="00A07C54"/>
    <w:rsid w:val="00A07F19"/>
    <w:rsid w:val="00A10ABB"/>
    <w:rsid w:val="00A113D4"/>
    <w:rsid w:val="00A1348D"/>
    <w:rsid w:val="00A13C99"/>
    <w:rsid w:val="00A169B8"/>
    <w:rsid w:val="00A20838"/>
    <w:rsid w:val="00A232EE"/>
    <w:rsid w:val="00A334A9"/>
    <w:rsid w:val="00A36D4A"/>
    <w:rsid w:val="00A4175F"/>
    <w:rsid w:val="00A44411"/>
    <w:rsid w:val="00A469FA"/>
    <w:rsid w:val="00A504F8"/>
    <w:rsid w:val="00A53662"/>
    <w:rsid w:val="00A55B01"/>
    <w:rsid w:val="00A56B5B"/>
    <w:rsid w:val="00A603FF"/>
    <w:rsid w:val="00A619B6"/>
    <w:rsid w:val="00A648CA"/>
    <w:rsid w:val="00A657DD"/>
    <w:rsid w:val="00A666A6"/>
    <w:rsid w:val="00A675FD"/>
    <w:rsid w:val="00A72437"/>
    <w:rsid w:val="00A8048B"/>
    <w:rsid w:val="00A80611"/>
    <w:rsid w:val="00A94314"/>
    <w:rsid w:val="00A97C7B"/>
    <w:rsid w:val="00AA5BF4"/>
    <w:rsid w:val="00AA5D0A"/>
    <w:rsid w:val="00AB3BDC"/>
    <w:rsid w:val="00AB5340"/>
    <w:rsid w:val="00AC0A89"/>
    <w:rsid w:val="00AC33FF"/>
    <w:rsid w:val="00AC5182"/>
    <w:rsid w:val="00AC7C96"/>
    <w:rsid w:val="00AD3593"/>
    <w:rsid w:val="00AD79BC"/>
    <w:rsid w:val="00AE0812"/>
    <w:rsid w:val="00AE237D"/>
    <w:rsid w:val="00AE502A"/>
    <w:rsid w:val="00AF0010"/>
    <w:rsid w:val="00AF1AA8"/>
    <w:rsid w:val="00AF2C1F"/>
    <w:rsid w:val="00AF7C07"/>
    <w:rsid w:val="00B06C64"/>
    <w:rsid w:val="00B06EE1"/>
    <w:rsid w:val="00B07D8E"/>
    <w:rsid w:val="00B11CAC"/>
    <w:rsid w:val="00B120C0"/>
    <w:rsid w:val="00B15A29"/>
    <w:rsid w:val="00B16B34"/>
    <w:rsid w:val="00B174E7"/>
    <w:rsid w:val="00B22C93"/>
    <w:rsid w:val="00B24C34"/>
    <w:rsid w:val="00B27589"/>
    <w:rsid w:val="00B3331E"/>
    <w:rsid w:val="00B35A51"/>
    <w:rsid w:val="00B36C3E"/>
    <w:rsid w:val="00B405B7"/>
    <w:rsid w:val="00B468C0"/>
    <w:rsid w:val="00B46AB9"/>
    <w:rsid w:val="00B52222"/>
    <w:rsid w:val="00B531DA"/>
    <w:rsid w:val="00B54895"/>
    <w:rsid w:val="00B54E28"/>
    <w:rsid w:val="00B54FE7"/>
    <w:rsid w:val="00B5567D"/>
    <w:rsid w:val="00B6443E"/>
    <w:rsid w:val="00B647C6"/>
    <w:rsid w:val="00B655F9"/>
    <w:rsid w:val="00B66901"/>
    <w:rsid w:val="00B66F60"/>
    <w:rsid w:val="00B71D26"/>
    <w:rsid w:val="00B71E6D"/>
    <w:rsid w:val="00B72070"/>
    <w:rsid w:val="00B76C69"/>
    <w:rsid w:val="00B779E1"/>
    <w:rsid w:val="00B81E3A"/>
    <w:rsid w:val="00B82C2A"/>
    <w:rsid w:val="00B8400F"/>
    <w:rsid w:val="00B85CFB"/>
    <w:rsid w:val="00B901ED"/>
    <w:rsid w:val="00B914E9"/>
    <w:rsid w:val="00B91EE1"/>
    <w:rsid w:val="00B93064"/>
    <w:rsid w:val="00B94602"/>
    <w:rsid w:val="00BA0090"/>
    <w:rsid w:val="00BA1A67"/>
    <w:rsid w:val="00BA4FD9"/>
    <w:rsid w:val="00BA6A80"/>
    <w:rsid w:val="00BB4589"/>
    <w:rsid w:val="00BB4ABB"/>
    <w:rsid w:val="00BC62BA"/>
    <w:rsid w:val="00BC7851"/>
    <w:rsid w:val="00BE5B5F"/>
    <w:rsid w:val="00BE7993"/>
    <w:rsid w:val="00BF3195"/>
    <w:rsid w:val="00BF5358"/>
    <w:rsid w:val="00C07F22"/>
    <w:rsid w:val="00C11971"/>
    <w:rsid w:val="00C13A85"/>
    <w:rsid w:val="00C179DE"/>
    <w:rsid w:val="00C20EBF"/>
    <w:rsid w:val="00C2213D"/>
    <w:rsid w:val="00C23123"/>
    <w:rsid w:val="00C261BF"/>
    <w:rsid w:val="00C26F55"/>
    <w:rsid w:val="00C30C63"/>
    <w:rsid w:val="00C30F09"/>
    <w:rsid w:val="00C30FF3"/>
    <w:rsid w:val="00C34D5C"/>
    <w:rsid w:val="00C36B8B"/>
    <w:rsid w:val="00C415C1"/>
    <w:rsid w:val="00C472C6"/>
    <w:rsid w:val="00C47DBF"/>
    <w:rsid w:val="00C51FAC"/>
    <w:rsid w:val="00C552FF"/>
    <w:rsid w:val="00C558DA"/>
    <w:rsid w:val="00C55AF3"/>
    <w:rsid w:val="00C5665B"/>
    <w:rsid w:val="00C7075F"/>
    <w:rsid w:val="00C75BD1"/>
    <w:rsid w:val="00C771A9"/>
    <w:rsid w:val="00C82943"/>
    <w:rsid w:val="00C84759"/>
    <w:rsid w:val="00C93096"/>
    <w:rsid w:val="00C9356C"/>
    <w:rsid w:val="00C94CD2"/>
    <w:rsid w:val="00CA5CA9"/>
    <w:rsid w:val="00CA5CBD"/>
    <w:rsid w:val="00CA6C7F"/>
    <w:rsid w:val="00CB007D"/>
    <w:rsid w:val="00CB60CA"/>
    <w:rsid w:val="00CC0FC7"/>
    <w:rsid w:val="00CC10A6"/>
    <w:rsid w:val="00CD5EB8"/>
    <w:rsid w:val="00CD7044"/>
    <w:rsid w:val="00CE08B9"/>
    <w:rsid w:val="00CE3515"/>
    <w:rsid w:val="00CE39D0"/>
    <w:rsid w:val="00CE524C"/>
    <w:rsid w:val="00CF141F"/>
    <w:rsid w:val="00CF4777"/>
    <w:rsid w:val="00CF65C8"/>
    <w:rsid w:val="00D013F5"/>
    <w:rsid w:val="00D05E3F"/>
    <w:rsid w:val="00D067BB"/>
    <w:rsid w:val="00D1352A"/>
    <w:rsid w:val="00D1638E"/>
    <w:rsid w:val="00D168F6"/>
    <w:rsid w:val="00D169AF"/>
    <w:rsid w:val="00D17CBA"/>
    <w:rsid w:val="00D200EF"/>
    <w:rsid w:val="00D25175"/>
    <w:rsid w:val="00D25249"/>
    <w:rsid w:val="00D26854"/>
    <w:rsid w:val="00D44172"/>
    <w:rsid w:val="00D47BE3"/>
    <w:rsid w:val="00D55040"/>
    <w:rsid w:val="00D63B8C"/>
    <w:rsid w:val="00D64978"/>
    <w:rsid w:val="00D739CC"/>
    <w:rsid w:val="00D73F36"/>
    <w:rsid w:val="00D806F9"/>
    <w:rsid w:val="00D8093D"/>
    <w:rsid w:val="00D8108C"/>
    <w:rsid w:val="00D842AE"/>
    <w:rsid w:val="00D9211C"/>
    <w:rsid w:val="00D92DE0"/>
    <w:rsid w:val="00D92FEF"/>
    <w:rsid w:val="00D931F9"/>
    <w:rsid w:val="00D93A0F"/>
    <w:rsid w:val="00D942D3"/>
    <w:rsid w:val="00DA1BCA"/>
    <w:rsid w:val="00DA3663"/>
    <w:rsid w:val="00DB762F"/>
    <w:rsid w:val="00DC0365"/>
    <w:rsid w:val="00DC22FA"/>
    <w:rsid w:val="00DC274A"/>
    <w:rsid w:val="00DC46FF"/>
    <w:rsid w:val="00DC5254"/>
    <w:rsid w:val="00DC569D"/>
    <w:rsid w:val="00DC5DF1"/>
    <w:rsid w:val="00DC6081"/>
    <w:rsid w:val="00DD1A4F"/>
    <w:rsid w:val="00DD3107"/>
    <w:rsid w:val="00DD3B96"/>
    <w:rsid w:val="00DD7C2C"/>
    <w:rsid w:val="00DE0A5C"/>
    <w:rsid w:val="00DE3BB2"/>
    <w:rsid w:val="00DE58A5"/>
    <w:rsid w:val="00DE5BDA"/>
    <w:rsid w:val="00DF20A0"/>
    <w:rsid w:val="00DF2400"/>
    <w:rsid w:val="00DF2DC1"/>
    <w:rsid w:val="00DF433C"/>
    <w:rsid w:val="00DF519F"/>
    <w:rsid w:val="00E0035A"/>
    <w:rsid w:val="00E01B31"/>
    <w:rsid w:val="00E01E99"/>
    <w:rsid w:val="00E021C7"/>
    <w:rsid w:val="00E06713"/>
    <w:rsid w:val="00E06797"/>
    <w:rsid w:val="00E0707C"/>
    <w:rsid w:val="00E10E0C"/>
    <w:rsid w:val="00E1136D"/>
    <w:rsid w:val="00E1265B"/>
    <w:rsid w:val="00E12E09"/>
    <w:rsid w:val="00E13B48"/>
    <w:rsid w:val="00E1404F"/>
    <w:rsid w:val="00E21A92"/>
    <w:rsid w:val="00E21C83"/>
    <w:rsid w:val="00E24ADA"/>
    <w:rsid w:val="00E26A0D"/>
    <w:rsid w:val="00E27B9C"/>
    <w:rsid w:val="00E32F59"/>
    <w:rsid w:val="00E41908"/>
    <w:rsid w:val="00E46D9A"/>
    <w:rsid w:val="00E565FF"/>
    <w:rsid w:val="00E65388"/>
    <w:rsid w:val="00E7741D"/>
    <w:rsid w:val="00E808CD"/>
    <w:rsid w:val="00E8348F"/>
    <w:rsid w:val="00E85B7D"/>
    <w:rsid w:val="00E86C32"/>
    <w:rsid w:val="00E9121B"/>
    <w:rsid w:val="00E9302E"/>
    <w:rsid w:val="00E94DFB"/>
    <w:rsid w:val="00E95B21"/>
    <w:rsid w:val="00E9604D"/>
    <w:rsid w:val="00E976AB"/>
    <w:rsid w:val="00EA0AE2"/>
    <w:rsid w:val="00EA39E5"/>
    <w:rsid w:val="00EA57A3"/>
    <w:rsid w:val="00EB05BB"/>
    <w:rsid w:val="00EC2813"/>
    <w:rsid w:val="00EC33CE"/>
    <w:rsid w:val="00EC5A46"/>
    <w:rsid w:val="00EC618F"/>
    <w:rsid w:val="00EC63E2"/>
    <w:rsid w:val="00ED0225"/>
    <w:rsid w:val="00ED0EB6"/>
    <w:rsid w:val="00ED366A"/>
    <w:rsid w:val="00ED67E8"/>
    <w:rsid w:val="00ED6BB7"/>
    <w:rsid w:val="00EE1B8E"/>
    <w:rsid w:val="00EE6662"/>
    <w:rsid w:val="00EF22B3"/>
    <w:rsid w:val="00EF5AFE"/>
    <w:rsid w:val="00F00C44"/>
    <w:rsid w:val="00F0205B"/>
    <w:rsid w:val="00F03B69"/>
    <w:rsid w:val="00F07A50"/>
    <w:rsid w:val="00F113DA"/>
    <w:rsid w:val="00F13051"/>
    <w:rsid w:val="00F219F7"/>
    <w:rsid w:val="00F266FC"/>
    <w:rsid w:val="00F3037A"/>
    <w:rsid w:val="00F31D39"/>
    <w:rsid w:val="00F3465A"/>
    <w:rsid w:val="00F37DC8"/>
    <w:rsid w:val="00F4177D"/>
    <w:rsid w:val="00F4344C"/>
    <w:rsid w:val="00F439B3"/>
    <w:rsid w:val="00F46A39"/>
    <w:rsid w:val="00F50A6B"/>
    <w:rsid w:val="00F53F1F"/>
    <w:rsid w:val="00F565F4"/>
    <w:rsid w:val="00F57099"/>
    <w:rsid w:val="00F5720B"/>
    <w:rsid w:val="00F61B5A"/>
    <w:rsid w:val="00F650C3"/>
    <w:rsid w:val="00F65D85"/>
    <w:rsid w:val="00F6700B"/>
    <w:rsid w:val="00F7137B"/>
    <w:rsid w:val="00F774EF"/>
    <w:rsid w:val="00F8091E"/>
    <w:rsid w:val="00F8615C"/>
    <w:rsid w:val="00F931FD"/>
    <w:rsid w:val="00F9664E"/>
    <w:rsid w:val="00F969E5"/>
    <w:rsid w:val="00F96F7E"/>
    <w:rsid w:val="00F9738F"/>
    <w:rsid w:val="00FA094A"/>
    <w:rsid w:val="00FA4972"/>
    <w:rsid w:val="00FA590A"/>
    <w:rsid w:val="00FA6BB0"/>
    <w:rsid w:val="00FA73E8"/>
    <w:rsid w:val="00FB2DBD"/>
    <w:rsid w:val="00FD0905"/>
    <w:rsid w:val="00FD48DF"/>
    <w:rsid w:val="00FD5860"/>
    <w:rsid w:val="00FE352D"/>
    <w:rsid w:val="00FE40EB"/>
    <w:rsid w:val="00FE4D02"/>
    <w:rsid w:val="00FE6659"/>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44737D"/>
  <w15:docId w15:val="{5F634194-2451-4757-927E-C58CE317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F110C"/>
    <w:pPr>
      <w:pBdr>
        <w:top w:val="nil"/>
        <w:left w:val="nil"/>
        <w:bottom w:val="nil"/>
        <w:right w:val="nil"/>
        <w:between w:val="nil"/>
        <w:bar w:val="nil"/>
      </w:pBdr>
    </w:pPr>
    <w:rPr>
      <w:rFonts w:eastAsia="Arial Unicode MS"/>
      <w:sz w:val="24"/>
      <w:szCs w:val="24"/>
      <w:bdr w:val="nil"/>
      <w:lang w:val="en-U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rPr>
  </w:style>
  <w:style w:type="paragraph" w:styleId="Heading6">
    <w:name w:val="heading 6"/>
    <w:basedOn w:val="Normal"/>
    <w:next w:val="Normal"/>
    <w:qFormat/>
    <w:rsid w:val="000D6941"/>
    <w:pPr>
      <w:keepNext/>
      <w:ind w:left="578"/>
      <w:outlineLvl w:val="5"/>
    </w:pPr>
    <w:rPr>
      <w:b/>
      <w:bCs/>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8A33BC"/>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rsid w:val="00D55040"/>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numbering" w:customStyle="1" w:styleId="Importovanstyl1">
    <w:name w:val="Importovaný styl 1"/>
    <w:rsid w:val="004F110C"/>
    <w:pPr>
      <w:numPr>
        <w:numId w:val="7"/>
      </w:numPr>
    </w:pPr>
  </w:style>
  <w:style w:type="numbering" w:customStyle="1" w:styleId="Importovanstyl2">
    <w:name w:val="Importovaný styl 2"/>
    <w:rsid w:val="004F110C"/>
    <w:pPr>
      <w:numPr>
        <w:numId w:val="9"/>
      </w:numPr>
    </w:pPr>
  </w:style>
  <w:style w:type="numbering" w:customStyle="1" w:styleId="Importovanstyl3">
    <w:name w:val="Importovaný styl 3"/>
    <w:rsid w:val="004F110C"/>
    <w:pPr>
      <w:numPr>
        <w:numId w:val="12"/>
      </w:numPr>
    </w:pPr>
  </w:style>
  <w:style w:type="numbering" w:customStyle="1" w:styleId="Importovanstyl4">
    <w:name w:val="Importovaný styl 4"/>
    <w:rsid w:val="004F110C"/>
    <w:pPr>
      <w:numPr>
        <w:numId w:val="15"/>
      </w:numPr>
    </w:pPr>
  </w:style>
  <w:style w:type="numbering" w:customStyle="1" w:styleId="Importovanstyl5">
    <w:name w:val="Importovaný styl 5"/>
    <w:rsid w:val="004F110C"/>
    <w:pPr>
      <w:numPr>
        <w:numId w:val="18"/>
      </w:numPr>
    </w:pPr>
  </w:style>
  <w:style w:type="numbering" w:customStyle="1" w:styleId="Importovanstyl6">
    <w:name w:val="Importovaný styl 6"/>
    <w:rsid w:val="004F110C"/>
    <w:pPr>
      <w:numPr>
        <w:numId w:val="21"/>
      </w:numPr>
    </w:pPr>
  </w:style>
  <w:style w:type="numbering" w:customStyle="1" w:styleId="Importovanstyl7">
    <w:name w:val="Importovaný styl 7"/>
    <w:rsid w:val="004F110C"/>
    <w:pPr>
      <w:numPr>
        <w:numId w:val="24"/>
      </w:numPr>
    </w:pPr>
  </w:style>
  <w:style w:type="numbering" w:customStyle="1" w:styleId="Importovanstyl8">
    <w:name w:val="Importovaný styl 8"/>
    <w:rsid w:val="004F110C"/>
    <w:pPr>
      <w:numPr>
        <w:numId w:val="29"/>
      </w:numPr>
    </w:pPr>
  </w:style>
  <w:style w:type="numbering" w:customStyle="1" w:styleId="Importovanstyl9">
    <w:name w:val="Importovaný styl 9"/>
    <w:rsid w:val="004F110C"/>
    <w:pPr>
      <w:numPr>
        <w:numId w:val="32"/>
      </w:numPr>
    </w:pPr>
  </w:style>
  <w:style w:type="paragraph" w:styleId="Caption">
    <w:name w:val="caption"/>
    <w:basedOn w:val="Normal"/>
    <w:next w:val="Normal"/>
    <w:unhideWhenUsed/>
    <w:qFormat/>
    <w:rsid w:val="00096E68"/>
    <w:pPr>
      <w:spacing w:after="200"/>
    </w:pPr>
    <w:rPr>
      <w:i/>
      <w:iCs/>
      <w:color w:val="1F497D" w:themeColor="text2"/>
      <w:sz w:val="18"/>
      <w:szCs w:val="18"/>
    </w:rPr>
  </w:style>
  <w:style w:type="character" w:styleId="FootnoteReference">
    <w:name w:val="footnote reference"/>
    <w:basedOn w:val="DefaultParagraphFont"/>
    <w:semiHidden/>
    <w:unhideWhenUsed/>
    <w:qFormat/>
    <w:rsid w:val="00434271"/>
    <w:rPr>
      <w:vertAlign w:val="superscript"/>
    </w:rPr>
  </w:style>
  <w:style w:type="character" w:customStyle="1" w:styleId="UnresolvedMention1">
    <w:name w:val="Unresolved Mention1"/>
    <w:basedOn w:val="DefaultParagraphFont"/>
    <w:uiPriority w:val="99"/>
    <w:semiHidden/>
    <w:unhideWhenUsed/>
    <w:rsid w:val="00437FCE"/>
    <w:rPr>
      <w:color w:val="605E5C"/>
      <w:shd w:val="clear" w:color="auto" w:fill="E1DFDD"/>
    </w:rPr>
  </w:style>
  <w:style w:type="character" w:customStyle="1" w:styleId="UnresolvedMention2">
    <w:name w:val="Unresolved Mention2"/>
    <w:basedOn w:val="DefaultParagraphFont"/>
    <w:uiPriority w:val="99"/>
    <w:semiHidden/>
    <w:unhideWhenUsed/>
    <w:rsid w:val="008068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www.briloon.org/uploads/BRI_Documents/Mercury_Center/Publications/For%20Web%20GBMS%20Booklet%202018%20.pdf" TargetMode="External"/><Relationship Id="rId2" Type="http://schemas.openxmlformats.org/officeDocument/2006/relationships/hyperlink" Target="http://www.euro.who.int/en/health-topics/environment-and-health/chemical-safety/publications/2018/assessment-of-prenatal-exposure-to-mercury-human-biomonitoring-survey-2018" TargetMode="External"/><Relationship Id="rId1" Type="http://schemas.openxmlformats.org/officeDocument/2006/relationships/hyperlink" Target="https://wedocs.unep.org/handle/20.500.11822/27579" TargetMode="External"/><Relationship Id="rId5" Type="http://schemas.openxmlformats.org/officeDocument/2006/relationships/hyperlink" Target="https://www.amap.no/documents/doc/amap-assessment-2015-human-health-in-the-arctic/1346" TargetMode="External"/><Relationship Id="rId4" Type="http://schemas.openxmlformats.org/officeDocument/2006/relationships/hyperlink" Target="https://www.amap.no/documents/doc/amap-assessment-2011-mercury-in-the-arctic/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1DE9-E6B8-4704-A72A-3F6285D0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7384</Words>
  <Characters>42095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Herimalala Raveloarinjato</cp:lastModifiedBy>
  <cp:revision>2</cp:revision>
  <cp:lastPrinted>2019-11-08T20:29:00Z</cp:lastPrinted>
  <dcterms:created xsi:type="dcterms:W3CDTF">2019-11-22T10:15:00Z</dcterms:created>
  <dcterms:modified xsi:type="dcterms:W3CDTF">2019-11-22T10:15:00Z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11/20/2019 11:39:18</vt:lpwstr>
  </property>
  <property fmtid="{D5CDD505-2E9C-101B-9397-08002B2CF9AE}" pid="5" name="OriginalDocID">
    <vt:lpwstr>12a10c1f-7f16-473e-adee-1ccbdfed9079</vt:lpwstr>
  </property>
</Properties>
</file>