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7"/>
        <w:gridCol w:w="4640"/>
        <w:gridCol w:w="3333"/>
      </w:tblGrid>
      <w:tr w:rsidR="00032E4E" w:rsidRPr="00C07F22" w14:paraId="4B9F0F9B" w14:textId="77777777" w:rsidTr="00CB007D">
        <w:trPr>
          <w:cantSplit/>
          <w:trHeight w:val="850"/>
          <w:jc w:val="right"/>
        </w:trPr>
        <w:tc>
          <w:tcPr>
            <w:tcW w:w="1550" w:type="dxa"/>
          </w:tcPr>
          <w:p w14:paraId="2A9B9F9D" w14:textId="5E7D4162" w:rsidR="00032E4E" w:rsidRPr="00C07F22" w:rsidRDefault="00032E4E" w:rsidP="00B8400F">
            <w:pPr>
              <w:pStyle w:val="Normal-pool"/>
              <w:rPr>
                <w:rFonts w:ascii="Arial" w:hAnsi="Arial" w:cs="Arial"/>
                <w:b/>
                <w:noProof/>
                <w:sz w:val="27"/>
                <w:szCs w:val="27"/>
              </w:rPr>
            </w:pPr>
            <w:r w:rsidRPr="00C07F22">
              <w:rPr>
                <w:rFonts w:ascii="Arial" w:hAnsi="Arial" w:cs="Arial"/>
                <w:b/>
                <w:noProof/>
                <w:sz w:val="27"/>
                <w:szCs w:val="27"/>
              </w:rPr>
              <w:t>UNITED</w:t>
            </w:r>
            <w:r w:rsidR="00F96F7E" w:rsidRPr="00C07F22">
              <w:rPr>
                <w:rFonts w:ascii="Arial" w:hAnsi="Arial" w:cs="Arial"/>
                <w:b/>
                <w:noProof/>
                <w:sz w:val="27"/>
                <w:szCs w:val="27"/>
              </w:rPr>
              <w:t xml:space="preserve"> </w:t>
            </w:r>
            <w:r w:rsidRPr="00C07F22">
              <w:rPr>
                <w:rFonts w:ascii="Arial" w:hAnsi="Arial" w:cs="Arial"/>
                <w:b/>
                <w:noProof/>
                <w:sz w:val="27"/>
                <w:szCs w:val="27"/>
              </w:rPr>
              <w:br/>
              <w:t>NATIONS</w:t>
            </w:r>
          </w:p>
        </w:tc>
        <w:tc>
          <w:tcPr>
            <w:tcW w:w="4751" w:type="dxa"/>
          </w:tcPr>
          <w:p w14:paraId="2F47229A" w14:textId="77777777" w:rsidR="00032E4E" w:rsidRPr="00C07F22" w:rsidRDefault="00032E4E" w:rsidP="00B8400F">
            <w:pPr>
              <w:pStyle w:val="Normal-pool"/>
              <w:jc w:val="right"/>
              <w:rPr>
                <w:rFonts w:ascii="Arial" w:hAnsi="Arial" w:cs="Arial"/>
                <w:b/>
              </w:rPr>
            </w:pPr>
          </w:p>
        </w:tc>
        <w:tc>
          <w:tcPr>
            <w:tcW w:w="3411" w:type="dxa"/>
          </w:tcPr>
          <w:p w14:paraId="57073C3F" w14:textId="77777777" w:rsidR="00032E4E" w:rsidRPr="00C07F22" w:rsidRDefault="00787688" w:rsidP="00B8400F">
            <w:pPr>
              <w:pStyle w:val="Normal-pool"/>
              <w:jc w:val="right"/>
              <w:rPr>
                <w:rFonts w:ascii="Arial" w:hAnsi="Arial" w:cs="Arial"/>
                <w:b/>
                <w:sz w:val="64"/>
                <w:szCs w:val="64"/>
              </w:rPr>
            </w:pPr>
            <w:r w:rsidRPr="00C07F22">
              <w:rPr>
                <w:rFonts w:ascii="Arial" w:hAnsi="Arial" w:cs="Arial"/>
                <w:b/>
                <w:sz w:val="64"/>
                <w:szCs w:val="64"/>
              </w:rPr>
              <w:t>MC</w:t>
            </w:r>
          </w:p>
        </w:tc>
      </w:tr>
      <w:tr w:rsidR="00032E4E" w:rsidRPr="00C07F22" w14:paraId="0DEAC680" w14:textId="77777777" w:rsidTr="00CB007D">
        <w:trPr>
          <w:cantSplit/>
          <w:trHeight w:val="281"/>
          <w:jc w:val="right"/>
        </w:trPr>
        <w:tc>
          <w:tcPr>
            <w:tcW w:w="1550" w:type="dxa"/>
            <w:tcBorders>
              <w:bottom w:val="single" w:sz="4" w:space="0" w:color="auto"/>
            </w:tcBorders>
          </w:tcPr>
          <w:p w14:paraId="30269B88" w14:textId="77777777" w:rsidR="00032E4E" w:rsidRPr="00C07F22" w:rsidRDefault="00032E4E" w:rsidP="00B8400F">
            <w:pPr>
              <w:pStyle w:val="Normal-pool"/>
              <w:rPr>
                <w:noProof/>
                <w:sz w:val="18"/>
                <w:szCs w:val="18"/>
              </w:rPr>
            </w:pPr>
          </w:p>
        </w:tc>
        <w:tc>
          <w:tcPr>
            <w:tcW w:w="4751" w:type="dxa"/>
            <w:tcBorders>
              <w:bottom w:val="single" w:sz="4" w:space="0" w:color="auto"/>
            </w:tcBorders>
          </w:tcPr>
          <w:p w14:paraId="54296B4D" w14:textId="77777777" w:rsidR="00032E4E" w:rsidRPr="00C07F22" w:rsidRDefault="00032E4E" w:rsidP="00B8400F">
            <w:pPr>
              <w:pStyle w:val="Normal-pool"/>
              <w:rPr>
                <w:rFonts w:ascii="Univers" w:hAnsi="Univers"/>
                <w:sz w:val="18"/>
                <w:szCs w:val="18"/>
              </w:rPr>
            </w:pPr>
          </w:p>
        </w:tc>
        <w:tc>
          <w:tcPr>
            <w:tcW w:w="3411" w:type="dxa"/>
            <w:tcBorders>
              <w:bottom w:val="single" w:sz="4" w:space="0" w:color="auto"/>
            </w:tcBorders>
          </w:tcPr>
          <w:p w14:paraId="540639F8" w14:textId="23571BD5" w:rsidR="00032E4E" w:rsidRPr="00C07F22" w:rsidRDefault="00032E4E" w:rsidP="00B8400F">
            <w:pPr>
              <w:pStyle w:val="Normal-pool"/>
              <w:rPr>
                <w:noProof/>
                <w:sz w:val="18"/>
                <w:szCs w:val="18"/>
              </w:rPr>
            </w:pPr>
            <w:r w:rsidRPr="00C07F22">
              <w:rPr>
                <w:b/>
                <w:bCs/>
                <w:sz w:val="28"/>
              </w:rPr>
              <w:t>UNEP</w:t>
            </w:r>
            <w:bookmarkStart w:id="0" w:name="OLE_LINK1"/>
            <w:bookmarkStart w:id="1" w:name="OLE_LINK2"/>
            <w:r w:rsidR="00787688" w:rsidRPr="00C07F22">
              <w:rPr>
                <w:bCs/>
              </w:rPr>
              <w:t>/</w:t>
            </w:r>
            <w:r w:rsidR="00787688" w:rsidRPr="00C07F22">
              <w:t>MC</w:t>
            </w:r>
            <w:r w:rsidRPr="00C07F22">
              <w:t>/</w:t>
            </w:r>
            <w:bookmarkEnd w:id="0"/>
            <w:bookmarkEnd w:id="1"/>
            <w:r w:rsidR="00787688" w:rsidRPr="00C07F22">
              <w:t>COP.</w:t>
            </w:r>
            <w:r w:rsidR="000A7C0C" w:rsidRPr="00C07F22">
              <w:t>3</w:t>
            </w:r>
            <w:r w:rsidRPr="00C07F22">
              <w:t>/</w:t>
            </w:r>
            <w:r w:rsidR="00BB4589" w:rsidRPr="00C07F22">
              <w:t>14/Add.1</w:t>
            </w:r>
          </w:p>
        </w:tc>
      </w:tr>
      <w:bookmarkStart w:id="2" w:name="_MON_1021710510"/>
      <w:bookmarkEnd w:id="2"/>
      <w:bookmarkStart w:id="3" w:name="_MON_1021710482"/>
      <w:bookmarkEnd w:id="3"/>
      <w:tr w:rsidR="00032E4E" w:rsidRPr="00C07F22"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C07F22" w:rsidRDefault="00032E4E" w:rsidP="00B8400F">
            <w:pPr>
              <w:pStyle w:val="Normal-pool"/>
              <w:rPr>
                <w:noProof/>
              </w:rPr>
            </w:pPr>
            <w:r w:rsidRPr="00C07F22">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5pt;height:61.55pt" o:ole="" fillcolor="window">
                  <v:imagedata r:id="rId8" o:title=""/>
                </v:shape>
                <o:OLEObject Type="Embed" ProgID="Word.Picture.8" ShapeID="_x0000_i1025" DrawAspect="Content" ObjectID="_1635841215" r:id="rId9"/>
              </w:object>
            </w:r>
            <w:r w:rsidR="00011A16" w:rsidRPr="00C07F22">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C07F22" w:rsidRDefault="00032E4E" w:rsidP="00B8400F">
            <w:pPr>
              <w:pStyle w:val="Normal-pool"/>
              <w:spacing w:before="1200"/>
              <w:rPr>
                <w:rFonts w:ascii="Arial" w:hAnsi="Arial" w:cs="Arial"/>
                <w:b/>
                <w:sz w:val="28"/>
              </w:rPr>
            </w:pPr>
            <w:r w:rsidRPr="00C07F22">
              <w:rPr>
                <w:rFonts w:ascii="Arial" w:hAnsi="Arial" w:cs="Arial"/>
                <w:b/>
                <w:sz w:val="32"/>
                <w:szCs w:val="32"/>
              </w:rPr>
              <w:t>United Nations</w:t>
            </w:r>
            <w:r w:rsidR="005B2DF4" w:rsidRPr="00C07F22">
              <w:rPr>
                <w:rFonts w:ascii="Arial" w:hAnsi="Arial" w:cs="Arial"/>
                <w:b/>
                <w:sz w:val="32"/>
                <w:szCs w:val="32"/>
              </w:rPr>
              <w:t xml:space="preserve"> </w:t>
            </w:r>
            <w:r w:rsidRPr="00C07F22">
              <w:rPr>
                <w:rFonts w:ascii="Arial" w:hAnsi="Arial" w:cs="Arial"/>
                <w:b/>
                <w:sz w:val="32"/>
                <w:szCs w:val="32"/>
              </w:rPr>
              <w:br w:type="textWrapping" w:clear="all"/>
              <w:t>Environment</w:t>
            </w:r>
            <w:r w:rsidR="005B2DF4" w:rsidRPr="00C07F22">
              <w:rPr>
                <w:rFonts w:ascii="Arial" w:hAnsi="Arial" w:cs="Arial"/>
                <w:b/>
                <w:sz w:val="32"/>
                <w:szCs w:val="32"/>
              </w:rPr>
              <w:t xml:space="preserve"> </w:t>
            </w:r>
            <w:r w:rsidRPr="00C07F22">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537D5033" w:rsidR="00032E4E" w:rsidRPr="00C07F22" w:rsidRDefault="00032E4E" w:rsidP="00B8400F">
            <w:pPr>
              <w:pStyle w:val="Normal-pool"/>
              <w:spacing w:before="120"/>
            </w:pPr>
            <w:r w:rsidRPr="00C07F22">
              <w:t>Distr.: General</w:t>
            </w:r>
            <w:r w:rsidR="005B2DF4" w:rsidRPr="00C07F22">
              <w:t xml:space="preserve"> </w:t>
            </w:r>
            <w:r w:rsidR="00F96F7E" w:rsidRPr="00C07F22">
              <w:br/>
            </w:r>
            <w:r w:rsidR="00A169B8" w:rsidRPr="00C07F22">
              <w:t>8</w:t>
            </w:r>
            <w:r w:rsidR="00BB4589" w:rsidRPr="00C07F22">
              <w:t xml:space="preserve"> October</w:t>
            </w:r>
            <w:r w:rsidR="00634E0D" w:rsidRPr="00C07F22">
              <w:t xml:space="preserve"> </w:t>
            </w:r>
            <w:r w:rsidR="0042266F" w:rsidRPr="00C07F22">
              <w:t>201</w:t>
            </w:r>
            <w:r w:rsidR="000A7C0C" w:rsidRPr="00C07F22">
              <w:t>9</w:t>
            </w:r>
          </w:p>
          <w:p w14:paraId="1A75CF9D" w14:textId="77777777" w:rsidR="00032E4E" w:rsidRPr="00C07F22" w:rsidRDefault="00032E4E" w:rsidP="00B8400F">
            <w:pPr>
              <w:pStyle w:val="Normal-pool"/>
              <w:spacing w:before="120"/>
            </w:pPr>
            <w:r w:rsidRPr="00C07F22">
              <w:t>Original: English</w:t>
            </w:r>
          </w:p>
        </w:tc>
      </w:tr>
    </w:tbl>
    <w:p w14:paraId="0A4BFFDA" w14:textId="30575E0E" w:rsidR="00E976AB" w:rsidRPr="00C07F22" w:rsidRDefault="00CB007D" w:rsidP="00E976AB">
      <w:pPr>
        <w:pStyle w:val="AATitle"/>
        <w:keepNext w:val="0"/>
        <w:keepLines w:val="0"/>
      </w:pPr>
      <w:r w:rsidRPr="00C07F22">
        <w:t>Conference of the Parties to the</w:t>
      </w:r>
      <w:r w:rsidR="005B2DF4" w:rsidRPr="00C07F22">
        <w:t xml:space="preserve"> </w:t>
      </w:r>
      <w:r w:rsidR="005B2DF4" w:rsidRPr="00C07F22">
        <w:br/>
      </w:r>
      <w:r w:rsidR="00787688" w:rsidRPr="00C07F22">
        <w:t>Minamata Convention on Mercury</w:t>
      </w:r>
    </w:p>
    <w:p w14:paraId="26A6CAA0" w14:textId="65393398" w:rsidR="00E976AB" w:rsidRPr="00C07F22" w:rsidRDefault="00F96F7E" w:rsidP="00E976AB">
      <w:pPr>
        <w:pStyle w:val="AATitle"/>
        <w:keepNext w:val="0"/>
        <w:keepLines w:val="0"/>
      </w:pPr>
      <w:r w:rsidRPr="00C07F22">
        <w:t>Third</w:t>
      </w:r>
      <w:r w:rsidR="00787688" w:rsidRPr="00C07F22">
        <w:t xml:space="preserve"> meeting</w:t>
      </w:r>
    </w:p>
    <w:p w14:paraId="67B82F12" w14:textId="15AA025C" w:rsidR="00787688" w:rsidRPr="00C07F22" w:rsidRDefault="00787688" w:rsidP="00434321">
      <w:pPr>
        <w:pStyle w:val="AATitle"/>
        <w:rPr>
          <w:b w:val="0"/>
        </w:rPr>
      </w:pPr>
      <w:r w:rsidRPr="00C07F22">
        <w:rPr>
          <w:b w:val="0"/>
        </w:rPr>
        <w:t>Geneva</w:t>
      </w:r>
      <w:r w:rsidR="00E976AB" w:rsidRPr="00C07F22">
        <w:rPr>
          <w:b w:val="0"/>
        </w:rPr>
        <w:t xml:space="preserve">, </w:t>
      </w:r>
      <w:r w:rsidR="000A7C0C" w:rsidRPr="00C07F22">
        <w:rPr>
          <w:b w:val="0"/>
        </w:rPr>
        <w:t>25</w:t>
      </w:r>
      <w:r w:rsidR="00325D38" w:rsidRPr="00C07F22">
        <w:rPr>
          <w:b w:val="0"/>
        </w:rPr>
        <w:t>–</w:t>
      </w:r>
      <w:r w:rsidR="000A7C0C" w:rsidRPr="00C07F22">
        <w:rPr>
          <w:b w:val="0"/>
        </w:rPr>
        <w:t>29</w:t>
      </w:r>
      <w:r w:rsidR="00325D38" w:rsidRPr="00C07F22">
        <w:rPr>
          <w:b w:val="0"/>
        </w:rPr>
        <w:t xml:space="preserve"> </w:t>
      </w:r>
      <w:r w:rsidR="00434321" w:rsidRPr="00C07F22">
        <w:rPr>
          <w:b w:val="0"/>
        </w:rPr>
        <w:t>November 201</w:t>
      </w:r>
      <w:r w:rsidR="000A7C0C" w:rsidRPr="00C07F22">
        <w:rPr>
          <w:b w:val="0"/>
        </w:rPr>
        <w:t>9</w:t>
      </w:r>
    </w:p>
    <w:p w14:paraId="1468996C" w14:textId="77777777" w:rsidR="004F110C" w:rsidRPr="00C07F22" w:rsidRDefault="004F110C" w:rsidP="004F110C">
      <w:pPr>
        <w:pStyle w:val="AATitle"/>
        <w:keepNext w:val="0"/>
        <w:keepLines w:val="0"/>
        <w:rPr>
          <w:b w:val="0"/>
          <w:bCs/>
        </w:rPr>
      </w:pPr>
      <w:r w:rsidRPr="00C07F22">
        <w:rPr>
          <w:b w:val="0"/>
        </w:rPr>
        <w:t>Item 5 (h) of the provisional agenda</w:t>
      </w:r>
      <w:r w:rsidRPr="00C07F22">
        <w:rPr>
          <w:b w:val="0"/>
        </w:rPr>
        <w:footnoteReference w:customMarkFollows="1" w:id="1"/>
        <w:t>*</w:t>
      </w:r>
    </w:p>
    <w:p w14:paraId="0BD277CA" w14:textId="4187120E" w:rsidR="004F110C" w:rsidRPr="00C07F22" w:rsidRDefault="004F110C" w:rsidP="00EE4085">
      <w:pPr>
        <w:pStyle w:val="AATitle2"/>
        <w:ind w:right="4670"/>
      </w:pPr>
      <w:r w:rsidRPr="00C07F22">
        <w:t>Matters for consideration or action by the</w:t>
      </w:r>
      <w:bookmarkStart w:id="4" w:name="_GoBack"/>
      <w:bookmarkEnd w:id="4"/>
      <w:r w:rsidRPr="00C07F22">
        <w:t xml:space="preserve"> </w:t>
      </w:r>
      <w:r w:rsidR="00EE4085">
        <w:br/>
      </w:r>
      <w:r w:rsidRPr="00C07F22">
        <w:t xml:space="preserve">Conference of the Parties: </w:t>
      </w:r>
      <w:r w:rsidR="00B54E28" w:rsidRPr="00C07F22">
        <w:t>e</w:t>
      </w:r>
      <w:r w:rsidRPr="00C07F22">
        <w:t xml:space="preserve">ffectiveness </w:t>
      </w:r>
      <w:r w:rsidR="00B54E28" w:rsidRPr="00C07F22">
        <w:t>e</w:t>
      </w:r>
      <w:r w:rsidRPr="00C07F22">
        <w:t>valuation</w:t>
      </w:r>
    </w:p>
    <w:p w14:paraId="3FCDCB23" w14:textId="32A9AA1F" w:rsidR="00045A6D" w:rsidRPr="00C07F22" w:rsidRDefault="004F110C" w:rsidP="004F110C">
      <w:pPr>
        <w:pStyle w:val="BBTitle"/>
      </w:pPr>
      <w:r w:rsidRPr="00C07F22">
        <w:t xml:space="preserve">Report of the ad hoc technical expert group for effectiveness evaluation: </w:t>
      </w:r>
      <w:r w:rsidR="00D17CBA" w:rsidRPr="00C07F22">
        <w:t>proposed framework for the effectiveness</w:t>
      </w:r>
      <w:r w:rsidR="00134E78">
        <w:t xml:space="preserve"> evaluation</w:t>
      </w:r>
      <w:r w:rsidR="00D17CBA" w:rsidRPr="00C07F22">
        <w:t xml:space="preserve"> of the Minamata Convention on Mercury</w:t>
      </w:r>
    </w:p>
    <w:p w14:paraId="037A3F0E" w14:textId="110067EF" w:rsidR="00D17CBA" w:rsidRPr="00C07F22" w:rsidRDefault="004F110C" w:rsidP="00D17CBA">
      <w:pPr>
        <w:pStyle w:val="CH2"/>
        <w:tabs>
          <w:tab w:val="clear" w:pos="851"/>
          <w:tab w:val="clear" w:pos="1247"/>
          <w:tab w:val="clear" w:pos="1814"/>
          <w:tab w:val="clear" w:pos="2381"/>
          <w:tab w:val="clear" w:pos="2948"/>
          <w:tab w:val="clear" w:pos="3515"/>
          <w:tab w:val="clear" w:pos="4082"/>
          <w:tab w:val="left" w:pos="624"/>
        </w:tabs>
      </w:pPr>
      <w:r w:rsidRPr="00C07F22">
        <w:tab/>
      </w:r>
      <w:r w:rsidRPr="00C07F22">
        <w:tab/>
        <w:t>Note by the secretariat</w:t>
      </w:r>
    </w:p>
    <w:p w14:paraId="12FC226B" w14:textId="5D692E01" w:rsidR="00D17CBA" w:rsidRPr="00C07F22" w:rsidRDefault="004F53B0" w:rsidP="00082157">
      <w:pPr>
        <w:pStyle w:val="CH2"/>
      </w:pPr>
      <w:r w:rsidRPr="00C07F22">
        <w:tab/>
      </w:r>
      <w:r w:rsidRPr="00C07F22">
        <w:tab/>
      </w:r>
      <w:r w:rsidR="00D17CBA" w:rsidRPr="00C07F22">
        <w:t>Addendum</w:t>
      </w:r>
    </w:p>
    <w:p w14:paraId="5DB31BA7" w14:textId="686BAD33" w:rsidR="004F110C" w:rsidRPr="00C07F22" w:rsidRDefault="004F110C" w:rsidP="00E1136D">
      <w:pPr>
        <w:pStyle w:val="NormalNonumber"/>
      </w:pPr>
      <w:r w:rsidRPr="00C07F22">
        <w:t>The annex to th</w:t>
      </w:r>
      <w:r w:rsidR="00D17CBA" w:rsidRPr="00C07F22">
        <w:t>e</w:t>
      </w:r>
      <w:r w:rsidRPr="00C07F22">
        <w:t xml:space="preserve"> </w:t>
      </w:r>
      <w:r w:rsidR="00D17CBA" w:rsidRPr="00C07F22">
        <w:t xml:space="preserve">present </w:t>
      </w:r>
      <w:r w:rsidRPr="00C07F22">
        <w:t xml:space="preserve">note sets out appendix </w:t>
      </w:r>
      <w:r w:rsidR="00545AD9" w:rsidRPr="00C07F22">
        <w:t xml:space="preserve">I </w:t>
      </w:r>
      <w:r w:rsidRPr="00C07F22">
        <w:t xml:space="preserve">to the report of the ad hoc technical expert group </w:t>
      </w:r>
      <w:r w:rsidR="00115285" w:rsidRPr="00C07F22">
        <w:t xml:space="preserve">for </w:t>
      </w:r>
      <w:r w:rsidRPr="00C07F22">
        <w:t xml:space="preserve">effectiveness evaluation contained in </w:t>
      </w:r>
      <w:r w:rsidR="00545AD9" w:rsidRPr="00C07F22">
        <w:t xml:space="preserve">document </w:t>
      </w:r>
      <w:r w:rsidRPr="00C07F22">
        <w:t xml:space="preserve">UNEP/MC/COP.3/14. </w:t>
      </w:r>
      <w:r w:rsidR="00545AD9" w:rsidRPr="00C07F22">
        <w:t>It should also be noted that</w:t>
      </w:r>
      <w:r w:rsidRPr="00C07F22">
        <w:t xml:space="preserve"> additional information </w:t>
      </w:r>
      <w:r w:rsidR="00545AD9" w:rsidRPr="00C07F22">
        <w:t xml:space="preserve">complementing the report of the ad hoc technical expert group can be found </w:t>
      </w:r>
      <w:r w:rsidRPr="00C07F22">
        <w:t xml:space="preserve">in </w:t>
      </w:r>
      <w:r w:rsidR="00545AD9" w:rsidRPr="00C07F22">
        <w:t xml:space="preserve">document </w:t>
      </w:r>
      <w:r w:rsidRPr="00C07F22">
        <w:t>UNEP/MC/COP.3</w:t>
      </w:r>
      <w:r w:rsidR="0007391D">
        <w:t>/</w:t>
      </w:r>
      <w:r w:rsidRPr="00C07F22">
        <w:t>INF/15.</w:t>
      </w:r>
    </w:p>
    <w:p w14:paraId="3B38B367" w14:textId="77777777" w:rsidR="004F110C" w:rsidRPr="00970F26" w:rsidRDefault="004F110C" w:rsidP="0087472C">
      <w:pPr>
        <w:pStyle w:val="Normal-pool"/>
        <w:rPr>
          <w:rFonts w:eastAsia="Cambria"/>
        </w:rPr>
      </w:pPr>
    </w:p>
    <w:p w14:paraId="0947592D" w14:textId="77777777" w:rsidR="004F110C" w:rsidRPr="00C07F22" w:rsidRDefault="004F110C" w:rsidP="004F110C">
      <w:pPr>
        <w:pStyle w:val="Normalnumber"/>
        <w:ind w:left="1277"/>
        <w:sectPr w:rsidR="004F110C" w:rsidRPr="00C07F22" w:rsidSect="004F110C">
          <w:headerReference w:type="even" r:id="rId11"/>
          <w:headerReference w:type="default" r:id="rId12"/>
          <w:footerReference w:type="even" r:id="rId13"/>
          <w:footerReference w:type="default" r:id="rId14"/>
          <w:headerReference w:type="first" r:id="rId15"/>
          <w:footerReference w:type="first" r:id="rId16"/>
          <w:type w:val="continuous"/>
          <w:pgSz w:w="11900" w:h="16840"/>
          <w:pgMar w:top="907" w:right="992" w:bottom="1418" w:left="1418" w:header="539" w:footer="975" w:gutter="0"/>
          <w:cols w:space="720"/>
          <w:titlePg/>
        </w:sectPr>
      </w:pPr>
    </w:p>
    <w:p w14:paraId="1134D643" w14:textId="77777777" w:rsidR="004F110C" w:rsidRPr="00C07F22" w:rsidRDefault="004F110C" w:rsidP="004F110C">
      <w:pPr>
        <w:pStyle w:val="ZZAnxheader"/>
      </w:pPr>
      <w:r w:rsidRPr="00C07F22">
        <w:lastRenderedPageBreak/>
        <w:t>Annex</w:t>
      </w:r>
    </w:p>
    <w:p w14:paraId="1654DDF0" w14:textId="0E092D9C" w:rsidR="00BE40F8" w:rsidRPr="009E7F55" w:rsidRDefault="00BE40F8" w:rsidP="009E7F55">
      <w:pPr>
        <w:pStyle w:val="ZZAnxtitle"/>
      </w:pPr>
      <w:r w:rsidRPr="009E7F55">
        <w:t xml:space="preserve">Report of the ad hoc technical expert group for effectiveness evaluation: proposed framework for the effectiveness evaluation of the </w:t>
      </w:r>
      <w:proofErr w:type="spellStart"/>
      <w:r w:rsidRPr="009E7F55">
        <w:t>Minamata</w:t>
      </w:r>
      <w:proofErr w:type="spellEnd"/>
      <w:r w:rsidRPr="009E7F55">
        <w:t xml:space="preserve"> Convention on Mercury </w:t>
      </w:r>
    </w:p>
    <w:p w14:paraId="02863C8C" w14:textId="547B395F" w:rsidR="003E2F62" w:rsidRPr="00C07F22" w:rsidRDefault="004F110C" w:rsidP="00847AE1">
      <w:pPr>
        <w:pStyle w:val="ZZAnxtitle"/>
      </w:pPr>
      <w:r w:rsidRPr="00C07F22">
        <w:t xml:space="preserve">Appendix </w:t>
      </w:r>
      <w:r w:rsidR="003E2F62" w:rsidRPr="00C07F22">
        <w:t>I</w:t>
      </w:r>
      <w:r w:rsidRPr="00C07F22">
        <w:t xml:space="preserve"> </w:t>
      </w:r>
    </w:p>
    <w:p w14:paraId="0224A506" w14:textId="72899D4C" w:rsidR="004F110C" w:rsidRPr="00C07F22" w:rsidRDefault="003E2F62" w:rsidP="00E1136D">
      <w:pPr>
        <w:pStyle w:val="CH2"/>
        <w:rPr>
          <w:rFonts w:eastAsia="Cambria" w:cs="Cambria"/>
        </w:rPr>
      </w:pPr>
      <w:r w:rsidRPr="00C07F22">
        <w:tab/>
      </w:r>
      <w:r w:rsidRPr="00C07F22">
        <w:tab/>
      </w:r>
      <w:r w:rsidR="004F110C" w:rsidRPr="00C07F22">
        <w:t>Technical information on monitoring</w:t>
      </w:r>
    </w:p>
    <w:p w14:paraId="49B6D3FA" w14:textId="24646ACA" w:rsidR="004F110C" w:rsidRPr="00C07F22" w:rsidRDefault="00343481" w:rsidP="00343481">
      <w:pPr>
        <w:pStyle w:val="CH1"/>
      </w:pPr>
      <w:r w:rsidRPr="00C07F22">
        <w:tab/>
      </w:r>
      <w:r w:rsidR="00F61B5A" w:rsidRPr="00C07F22">
        <w:t>I.</w:t>
      </w:r>
      <w:r w:rsidRPr="00C07F22">
        <w:tab/>
      </w:r>
      <w:r w:rsidR="004F110C" w:rsidRPr="00C07F22">
        <w:t>Introduction</w:t>
      </w:r>
    </w:p>
    <w:p w14:paraId="3949FAF8" w14:textId="4DCE1658" w:rsidR="004F110C" w:rsidRPr="00C07F22" w:rsidRDefault="004F110C" w:rsidP="0056566B">
      <w:pPr>
        <w:pStyle w:val="Normalnumber"/>
      </w:pPr>
      <w:r w:rsidRPr="00C07F22">
        <w:rPr>
          <w:u w:color="FF0000"/>
        </w:rPr>
        <w:t>Th</w:t>
      </w:r>
      <w:r w:rsidR="003E2F62" w:rsidRPr="00C07F22">
        <w:rPr>
          <w:u w:color="FF0000"/>
        </w:rPr>
        <w:t>e</w:t>
      </w:r>
      <w:r w:rsidRPr="00C07F22">
        <w:rPr>
          <w:u w:color="FF0000"/>
        </w:rPr>
        <w:t xml:space="preserve"> </w:t>
      </w:r>
      <w:r w:rsidR="003E2F62" w:rsidRPr="00C07F22">
        <w:rPr>
          <w:u w:color="FF0000"/>
        </w:rPr>
        <w:t xml:space="preserve">present </w:t>
      </w:r>
      <w:r w:rsidRPr="00C07F22">
        <w:rPr>
          <w:u w:color="FF0000"/>
        </w:rPr>
        <w:t xml:space="preserve">appendix summarizes the work </w:t>
      </w:r>
      <w:r w:rsidR="008F0381" w:rsidRPr="00C07F22">
        <w:rPr>
          <w:u w:color="FF0000"/>
        </w:rPr>
        <w:t xml:space="preserve">on global monitoring arrangements </w:t>
      </w:r>
      <w:r w:rsidRPr="00C07F22">
        <w:rPr>
          <w:u w:color="FF0000"/>
        </w:rPr>
        <w:t xml:space="preserve">done by the ad hoc </w:t>
      </w:r>
      <w:r w:rsidR="00545AD9" w:rsidRPr="00C07F22">
        <w:rPr>
          <w:u w:color="FF0000"/>
        </w:rPr>
        <w:t xml:space="preserve">technical expert </w:t>
      </w:r>
      <w:r w:rsidRPr="00C07F22">
        <w:rPr>
          <w:u w:color="FF0000"/>
        </w:rPr>
        <w:t xml:space="preserve">group </w:t>
      </w:r>
      <w:r w:rsidR="003E2F62" w:rsidRPr="00C07F22">
        <w:rPr>
          <w:u w:color="FF0000"/>
        </w:rPr>
        <w:t xml:space="preserve">for effectiveness evaluation </w:t>
      </w:r>
      <w:r w:rsidRPr="00C07F22">
        <w:rPr>
          <w:u w:color="FF0000"/>
        </w:rPr>
        <w:t>at two meetings</w:t>
      </w:r>
      <w:r w:rsidR="00545AD9" w:rsidRPr="00C07F22">
        <w:rPr>
          <w:u w:color="FF0000"/>
        </w:rPr>
        <w:t>,</w:t>
      </w:r>
      <w:r w:rsidRPr="00C07F22">
        <w:rPr>
          <w:u w:color="FF0000"/>
        </w:rPr>
        <w:t xml:space="preserve"> </w:t>
      </w:r>
      <w:r w:rsidR="003E2F62" w:rsidRPr="00C07F22">
        <w:rPr>
          <w:u w:color="FF0000"/>
        </w:rPr>
        <w:t xml:space="preserve">held </w:t>
      </w:r>
      <w:r w:rsidRPr="00C07F22">
        <w:rPr>
          <w:u w:color="FF0000"/>
        </w:rPr>
        <w:t xml:space="preserve">in March 2018 and April 2019, and through electronic communication. Section </w:t>
      </w:r>
      <w:r w:rsidR="00115285" w:rsidRPr="00C07F22">
        <w:rPr>
          <w:u w:color="FF0000"/>
        </w:rPr>
        <w:t>II</w:t>
      </w:r>
      <w:r w:rsidRPr="00C07F22">
        <w:rPr>
          <w:u w:color="FF0000"/>
        </w:rPr>
        <w:t xml:space="preserve"> </w:t>
      </w:r>
      <w:r w:rsidR="003E2F62" w:rsidRPr="00C07F22">
        <w:rPr>
          <w:u w:color="FF0000"/>
        </w:rPr>
        <w:t xml:space="preserve">begins </w:t>
      </w:r>
      <w:r w:rsidRPr="00C07F22">
        <w:rPr>
          <w:u w:color="FF0000"/>
        </w:rPr>
        <w:t xml:space="preserve">with the identification of </w:t>
      </w:r>
      <w:r w:rsidR="003E2F62" w:rsidRPr="00C07F22">
        <w:rPr>
          <w:u w:color="FF0000"/>
        </w:rPr>
        <w:t xml:space="preserve">the </w:t>
      </w:r>
      <w:r w:rsidRPr="00C07F22">
        <w:rPr>
          <w:u w:color="FF0000"/>
        </w:rPr>
        <w:t xml:space="preserve">categories of available comparable monitoring data </w:t>
      </w:r>
      <w:r w:rsidR="003E2F62" w:rsidRPr="00C07F22">
        <w:rPr>
          <w:u w:color="FF0000"/>
        </w:rPr>
        <w:t xml:space="preserve">that are </w:t>
      </w:r>
      <w:r w:rsidRPr="00C07F22">
        <w:rPr>
          <w:u w:color="FF0000"/>
        </w:rPr>
        <w:t xml:space="preserve">most effective in providing information on global trends, </w:t>
      </w:r>
      <w:r w:rsidR="008F0381" w:rsidRPr="00C07F22">
        <w:rPr>
          <w:u w:color="FF0000"/>
        </w:rPr>
        <w:t xml:space="preserve">the </w:t>
      </w:r>
      <w:r w:rsidRPr="00C07F22">
        <w:rPr>
          <w:u w:color="FF0000"/>
        </w:rPr>
        <w:t xml:space="preserve">monitoring data </w:t>
      </w:r>
      <w:r w:rsidR="00115285" w:rsidRPr="00C07F22">
        <w:rPr>
          <w:u w:color="FF0000"/>
        </w:rPr>
        <w:t xml:space="preserve">for mercury levels </w:t>
      </w:r>
      <w:r w:rsidRPr="00C07F22">
        <w:rPr>
          <w:u w:color="FF0000"/>
        </w:rPr>
        <w:t xml:space="preserve">in the environment, biotic media and vulnerable populations that could be used to assess the impact </w:t>
      </w:r>
      <w:r w:rsidR="003E2F62" w:rsidRPr="00C07F22">
        <w:rPr>
          <w:u w:color="FF0000"/>
        </w:rPr>
        <w:t>of the Minamata Convention on Mercury with respect to</w:t>
      </w:r>
      <w:r w:rsidRPr="00C07F22">
        <w:rPr>
          <w:u w:color="FF0000"/>
        </w:rPr>
        <w:t xml:space="preserve"> </w:t>
      </w:r>
      <w:r w:rsidR="00115285" w:rsidRPr="00C07F22">
        <w:rPr>
          <w:u w:color="FF0000"/>
        </w:rPr>
        <w:t xml:space="preserve">mercury </w:t>
      </w:r>
      <w:r w:rsidRPr="00C07F22">
        <w:rPr>
          <w:u w:color="FF0000"/>
        </w:rPr>
        <w:t xml:space="preserve">levels and trends, and the potential and limitations of the data identified. Section </w:t>
      </w:r>
      <w:r w:rsidR="00115285" w:rsidRPr="00C07F22">
        <w:rPr>
          <w:u w:color="FF0000"/>
        </w:rPr>
        <w:t>III</w:t>
      </w:r>
      <w:r w:rsidRPr="00C07F22">
        <w:rPr>
          <w:u w:color="FF0000"/>
        </w:rPr>
        <w:t xml:space="preserve"> further assesses the extent to which the information reviewed meets the needs </w:t>
      </w:r>
      <w:r w:rsidR="008F0381" w:rsidRPr="00C07F22">
        <w:rPr>
          <w:u w:color="FF0000"/>
        </w:rPr>
        <w:t xml:space="preserve">of </w:t>
      </w:r>
      <w:r w:rsidRPr="00C07F22">
        <w:rPr>
          <w:u w:color="FF0000"/>
        </w:rPr>
        <w:t xml:space="preserve">effectiveness evaluation, identifies major gaps, outlines options </w:t>
      </w:r>
      <w:r w:rsidR="00115285" w:rsidRPr="00C07F22">
        <w:rPr>
          <w:u w:color="FF0000"/>
        </w:rPr>
        <w:t xml:space="preserve">for </w:t>
      </w:r>
      <w:r w:rsidRPr="00C07F22">
        <w:rPr>
          <w:u w:color="FF0000"/>
        </w:rPr>
        <w:t>enhanc</w:t>
      </w:r>
      <w:r w:rsidR="00115285" w:rsidRPr="00C07F22">
        <w:rPr>
          <w:u w:color="FF0000"/>
        </w:rPr>
        <w:t>ing</w:t>
      </w:r>
      <w:r w:rsidRPr="00C07F22">
        <w:rPr>
          <w:u w:color="FF0000"/>
        </w:rPr>
        <w:t xml:space="preserve"> the comparability and completeness of the information, and compares th</w:t>
      </w:r>
      <w:r w:rsidR="008F0381" w:rsidRPr="00C07F22">
        <w:rPr>
          <w:u w:color="FF0000"/>
        </w:rPr>
        <w:t>o</w:t>
      </w:r>
      <w:r w:rsidRPr="00C07F22">
        <w:rPr>
          <w:u w:color="FF0000"/>
        </w:rPr>
        <w:t xml:space="preserve">se options </w:t>
      </w:r>
      <w:r w:rsidR="00115285" w:rsidRPr="00C07F22">
        <w:rPr>
          <w:u w:color="FF0000"/>
        </w:rPr>
        <w:t xml:space="preserve">on the basis of </w:t>
      </w:r>
      <w:r w:rsidRPr="00C07F22">
        <w:rPr>
          <w:u w:color="FF0000"/>
        </w:rPr>
        <w:t>their cost-effectiveness, practicality, feasibility</w:t>
      </w:r>
      <w:r w:rsidR="008F0381" w:rsidRPr="00C07F22">
        <w:rPr>
          <w:u w:color="FF0000"/>
        </w:rPr>
        <w:t>,</w:t>
      </w:r>
      <w:r w:rsidRPr="00C07F22">
        <w:rPr>
          <w:u w:color="FF0000"/>
        </w:rPr>
        <w:t xml:space="preserve"> sustainability, global coverage and regional capabilities</w:t>
      </w:r>
      <w:r w:rsidR="00115285" w:rsidRPr="00C07F22">
        <w:rPr>
          <w:u w:color="FF0000"/>
        </w:rPr>
        <w:t>,</w:t>
      </w:r>
      <w:r w:rsidRPr="00C07F22">
        <w:rPr>
          <w:u w:color="FF0000"/>
        </w:rPr>
        <w:t xml:space="preserve"> to identify opportunities for future enhancements to monitoring. Section </w:t>
      </w:r>
      <w:r w:rsidR="00115285" w:rsidRPr="00C07F22">
        <w:rPr>
          <w:u w:color="FF0000"/>
        </w:rPr>
        <w:t>IV</w:t>
      </w:r>
      <w:r w:rsidRPr="00C07F22">
        <w:rPr>
          <w:u w:color="FF0000"/>
        </w:rPr>
        <w:t xml:space="preserve"> identifies available modelling capabilities </w:t>
      </w:r>
      <w:r w:rsidR="008F0381" w:rsidRPr="00C07F22">
        <w:rPr>
          <w:u w:color="FF0000"/>
        </w:rPr>
        <w:t xml:space="preserve">for </w:t>
      </w:r>
      <w:r w:rsidRPr="00C07F22">
        <w:rPr>
          <w:u w:color="FF0000"/>
        </w:rPr>
        <w:t>assess</w:t>
      </w:r>
      <w:r w:rsidR="008F0381" w:rsidRPr="00C07F22">
        <w:rPr>
          <w:u w:color="FF0000"/>
        </w:rPr>
        <w:t>ing</w:t>
      </w:r>
      <w:r w:rsidRPr="00C07F22">
        <w:rPr>
          <w:u w:color="FF0000"/>
        </w:rPr>
        <w:t xml:space="preserve"> changes in global mercury levels within and across different media</w:t>
      </w:r>
      <w:r w:rsidR="00115285" w:rsidRPr="00C07F22">
        <w:rPr>
          <w:u w:color="FF0000"/>
        </w:rPr>
        <w:t>, and</w:t>
      </w:r>
      <w:r w:rsidRPr="00C07F22">
        <w:rPr>
          <w:u w:color="FF0000"/>
        </w:rPr>
        <w:t xml:space="preserve"> </w:t>
      </w:r>
      <w:r w:rsidR="00115285" w:rsidRPr="00C07F22">
        <w:rPr>
          <w:u w:color="FF0000"/>
        </w:rPr>
        <w:t>s</w:t>
      </w:r>
      <w:r w:rsidRPr="00C07F22">
        <w:rPr>
          <w:u w:color="FF0000"/>
        </w:rPr>
        <w:t xml:space="preserve">ection </w:t>
      </w:r>
      <w:r w:rsidR="00115285" w:rsidRPr="00C07F22">
        <w:rPr>
          <w:u w:color="FF0000"/>
        </w:rPr>
        <w:t>V</w:t>
      </w:r>
      <w:r w:rsidRPr="00C07F22">
        <w:rPr>
          <w:u w:color="FF0000"/>
        </w:rPr>
        <w:t xml:space="preserve"> examines options for establishing a baseline for monitoring data</w:t>
      </w:r>
      <w:r w:rsidR="008F0381" w:rsidRPr="00C07F22">
        <w:rPr>
          <w:u w:color="FF0000"/>
        </w:rPr>
        <w:t xml:space="preserve"> and identifies sources of data that could be used for that purpose</w:t>
      </w:r>
      <w:r w:rsidRPr="00C07F22">
        <w:rPr>
          <w:u w:color="FF0000"/>
        </w:rPr>
        <w:t xml:space="preserve">. Building on these considerations, </w:t>
      </w:r>
      <w:r w:rsidR="00115285" w:rsidRPr="00C07F22">
        <w:rPr>
          <w:u w:color="FF0000"/>
        </w:rPr>
        <w:t>s</w:t>
      </w:r>
      <w:r w:rsidRPr="00C07F22">
        <w:rPr>
          <w:u w:color="FF0000"/>
        </w:rPr>
        <w:t xml:space="preserve">ection </w:t>
      </w:r>
      <w:r w:rsidR="008F0381" w:rsidRPr="00C07F22">
        <w:rPr>
          <w:u w:color="FF0000"/>
        </w:rPr>
        <w:t>VI</w:t>
      </w:r>
      <w:r w:rsidRPr="00C07F22">
        <w:rPr>
          <w:u w:color="FF0000"/>
        </w:rPr>
        <w:t xml:space="preserve"> proposes arrangements for obtaining monitoring data for effectiveness evaluation. </w:t>
      </w:r>
    </w:p>
    <w:p w14:paraId="662DBC4E" w14:textId="0229E771" w:rsidR="004F110C" w:rsidRPr="00C07F22" w:rsidRDefault="004F110C" w:rsidP="00343481">
      <w:pPr>
        <w:pStyle w:val="Normalnumber"/>
      </w:pPr>
      <w:r w:rsidRPr="00C07F22">
        <w:rPr>
          <w:u w:color="FF0000"/>
        </w:rPr>
        <w:t xml:space="preserve">A large amount of other relevant technical information on monitoring </w:t>
      </w:r>
      <w:r w:rsidR="00E01E99" w:rsidRPr="00C07F22">
        <w:rPr>
          <w:u w:color="FF0000"/>
        </w:rPr>
        <w:t xml:space="preserve">that </w:t>
      </w:r>
      <w:r w:rsidRPr="00C07F22">
        <w:rPr>
          <w:u w:color="FF0000"/>
        </w:rPr>
        <w:t>complement</w:t>
      </w:r>
      <w:r w:rsidR="00E01E99" w:rsidRPr="00C07F22">
        <w:rPr>
          <w:u w:color="FF0000"/>
        </w:rPr>
        <w:t>s</w:t>
      </w:r>
      <w:r w:rsidRPr="00C07F22">
        <w:rPr>
          <w:u w:color="FF0000"/>
        </w:rPr>
        <w:t xml:space="preserve"> the proposal in </w:t>
      </w:r>
      <w:r w:rsidR="00E01E99" w:rsidRPr="00C07F22">
        <w:rPr>
          <w:u w:color="FF0000"/>
        </w:rPr>
        <w:t>the present appendix</w:t>
      </w:r>
      <w:r w:rsidR="00115285" w:rsidRPr="00C07F22">
        <w:rPr>
          <w:u w:color="FF0000"/>
        </w:rPr>
        <w:t>,</w:t>
      </w:r>
      <w:r w:rsidRPr="00C07F22">
        <w:rPr>
          <w:u w:color="FF0000"/>
        </w:rPr>
        <w:t xml:space="preserve"> including an overview of available monitoring information, is available in document UNEP/MC/COP.3/INF/15.</w:t>
      </w:r>
    </w:p>
    <w:p w14:paraId="5D0281EB" w14:textId="1CA0830A" w:rsidR="004F110C" w:rsidRPr="00C07F22" w:rsidRDefault="00343481" w:rsidP="00343481">
      <w:pPr>
        <w:pStyle w:val="CH1"/>
      </w:pPr>
      <w:r w:rsidRPr="00C07F22">
        <w:rPr>
          <w:u w:color="FF0000"/>
        </w:rPr>
        <w:tab/>
      </w:r>
      <w:r w:rsidR="00F61B5A" w:rsidRPr="00C07F22">
        <w:rPr>
          <w:u w:color="FF0000"/>
        </w:rPr>
        <w:t>II</w:t>
      </w:r>
      <w:r w:rsidR="004F110C" w:rsidRPr="00C07F22">
        <w:rPr>
          <w:u w:color="FF0000"/>
        </w:rPr>
        <w:t>.</w:t>
      </w:r>
      <w:r w:rsidRPr="00C07F22">
        <w:rPr>
          <w:u w:color="FF0000"/>
        </w:rPr>
        <w:tab/>
      </w:r>
      <w:r w:rsidR="004F110C" w:rsidRPr="00C07F22">
        <w:rPr>
          <w:u w:color="FF0000"/>
        </w:rPr>
        <w:t>Identification of monitoring information</w:t>
      </w:r>
      <w:r w:rsidR="00E01E99" w:rsidRPr="00C07F22">
        <w:rPr>
          <w:u w:color="FF0000"/>
        </w:rPr>
        <w:t xml:space="preserve"> and </w:t>
      </w:r>
      <w:r w:rsidR="004F110C" w:rsidRPr="00C07F22">
        <w:rPr>
          <w:u w:color="FF0000"/>
        </w:rPr>
        <w:t>data</w:t>
      </w:r>
    </w:p>
    <w:p w14:paraId="443EFBEC" w14:textId="54CFD7D2" w:rsidR="004F110C" w:rsidRPr="00C07F22" w:rsidRDefault="00343481" w:rsidP="00343481">
      <w:pPr>
        <w:pStyle w:val="CH2"/>
      </w:pPr>
      <w:r w:rsidRPr="00C07F22">
        <w:tab/>
      </w:r>
      <w:r w:rsidR="00B93064" w:rsidRPr="00C07F22">
        <w:t>A.</w:t>
      </w:r>
      <w:r w:rsidRPr="00C07F22">
        <w:tab/>
      </w:r>
      <w:r w:rsidR="004F110C" w:rsidRPr="00C07F22">
        <w:t xml:space="preserve">How monitoring activities </w:t>
      </w:r>
      <w:r w:rsidR="00115285" w:rsidRPr="00C07F22">
        <w:t xml:space="preserve">can </w:t>
      </w:r>
      <w:r w:rsidR="004F110C" w:rsidRPr="00C07F22">
        <w:t>contribute to the development of the effectiveness evaluation framework</w:t>
      </w:r>
    </w:p>
    <w:p w14:paraId="3F53679F" w14:textId="2F5336C9" w:rsidR="004F110C" w:rsidRPr="00C07F22" w:rsidRDefault="004F110C" w:rsidP="00343481">
      <w:pPr>
        <w:pStyle w:val="Normalnumber"/>
      </w:pPr>
      <w:r w:rsidRPr="00C07F22">
        <w:rPr>
          <w:u w:color="FF0000"/>
        </w:rPr>
        <w:t xml:space="preserve">In considering monitoring information and data, the ad hoc group considered </w:t>
      </w:r>
      <w:r w:rsidR="00CE39D0" w:rsidRPr="00C07F22">
        <w:rPr>
          <w:u w:color="FF0000"/>
        </w:rPr>
        <w:t xml:space="preserve">the </w:t>
      </w:r>
      <w:r w:rsidRPr="00C07F22">
        <w:rPr>
          <w:u w:color="FF0000"/>
        </w:rPr>
        <w:t xml:space="preserve">matrices </w:t>
      </w:r>
      <w:r w:rsidR="00CE39D0" w:rsidRPr="00C07F22">
        <w:rPr>
          <w:u w:color="FF0000"/>
        </w:rPr>
        <w:t xml:space="preserve">mentioned </w:t>
      </w:r>
      <w:r w:rsidRPr="00C07F22">
        <w:rPr>
          <w:u w:color="FF0000"/>
        </w:rPr>
        <w:t>in</w:t>
      </w:r>
      <w:r w:rsidR="00CD030D">
        <w:rPr>
          <w:u w:color="FF0000"/>
        </w:rPr>
        <w:t xml:space="preserve"> decision</w:t>
      </w:r>
      <w:r w:rsidRPr="00C07F22">
        <w:rPr>
          <w:u w:color="FF0000"/>
        </w:rPr>
        <w:t xml:space="preserve"> MC-2/</w:t>
      </w:r>
      <w:r w:rsidR="00115285" w:rsidRPr="00C07F22">
        <w:rPr>
          <w:u w:color="FF0000"/>
        </w:rPr>
        <w:t>10</w:t>
      </w:r>
      <w:r w:rsidR="006C429A">
        <w:rPr>
          <w:u w:color="FF0000"/>
        </w:rPr>
        <w:t xml:space="preserve"> on effectiveness evaluation</w:t>
      </w:r>
      <w:r w:rsidRPr="00C07F22">
        <w:rPr>
          <w:u w:color="FF0000"/>
        </w:rPr>
        <w:t xml:space="preserve">: air, </w:t>
      </w:r>
      <w:r w:rsidR="00115285" w:rsidRPr="00C07F22">
        <w:rPr>
          <w:u w:color="FF0000"/>
        </w:rPr>
        <w:t xml:space="preserve">water, biota and </w:t>
      </w:r>
      <w:r w:rsidRPr="00C07F22">
        <w:rPr>
          <w:u w:color="FF0000"/>
        </w:rPr>
        <w:t>humans.</w:t>
      </w:r>
      <w:r w:rsidR="00DE0A5C" w:rsidRPr="00C07F22">
        <w:rPr>
          <w:u w:color="FF0000"/>
        </w:rPr>
        <w:t xml:space="preserve"> </w:t>
      </w:r>
      <w:r w:rsidRPr="00C07F22">
        <w:rPr>
          <w:u w:color="FF0000"/>
        </w:rPr>
        <w:t xml:space="preserve">The group concluded that data on levels of mercury and mercury compounds in air, humans and biotic media </w:t>
      </w:r>
      <w:r w:rsidR="00115285" w:rsidRPr="00C07F22">
        <w:rPr>
          <w:u w:color="FF0000"/>
        </w:rPr>
        <w:t>we</w:t>
      </w:r>
      <w:r w:rsidRPr="00C07F22">
        <w:rPr>
          <w:u w:color="FF0000"/>
        </w:rPr>
        <w:t>re available or obtain</w:t>
      </w:r>
      <w:r w:rsidR="00CE39D0" w:rsidRPr="00C07F22">
        <w:rPr>
          <w:u w:color="FF0000"/>
        </w:rPr>
        <w:t>able</w:t>
      </w:r>
      <w:r w:rsidRPr="00C07F22">
        <w:rPr>
          <w:u w:color="FF0000"/>
        </w:rPr>
        <w:t xml:space="preserve"> and would be comparable on a global basis. Some experts were of the opinion that data </w:t>
      </w:r>
      <w:r w:rsidR="00CE39D0" w:rsidRPr="00C07F22">
        <w:rPr>
          <w:u w:color="FF0000"/>
        </w:rPr>
        <w:t>for</w:t>
      </w:r>
      <w:r w:rsidRPr="00C07F22">
        <w:rPr>
          <w:u w:color="FF0000"/>
        </w:rPr>
        <w:t xml:space="preserve"> water are </w:t>
      </w:r>
      <w:r w:rsidR="00CE39D0" w:rsidRPr="00C07F22">
        <w:rPr>
          <w:u w:color="FF0000"/>
        </w:rPr>
        <w:t xml:space="preserve">also to some degree </w:t>
      </w:r>
      <w:r w:rsidRPr="00C07F22">
        <w:rPr>
          <w:u w:color="FF0000"/>
        </w:rPr>
        <w:t xml:space="preserve">available on a global basis. The availability and comparability of </w:t>
      </w:r>
      <w:r w:rsidR="00CE39D0" w:rsidRPr="00C07F22">
        <w:rPr>
          <w:u w:color="FF0000"/>
        </w:rPr>
        <w:t xml:space="preserve">the </w:t>
      </w:r>
      <w:r w:rsidRPr="00C07F22">
        <w:rPr>
          <w:u w:color="FF0000"/>
        </w:rPr>
        <w:t xml:space="preserve">monitoring data for each matrix are discussed </w:t>
      </w:r>
      <w:r w:rsidR="000A1C5F" w:rsidRPr="00C07F22">
        <w:rPr>
          <w:u w:color="FF0000"/>
        </w:rPr>
        <w:t xml:space="preserve">in the subsections </w:t>
      </w:r>
      <w:r w:rsidRPr="00C07F22">
        <w:rPr>
          <w:u w:color="FF0000"/>
        </w:rPr>
        <w:t>below.</w:t>
      </w:r>
    </w:p>
    <w:p w14:paraId="7DBB2543" w14:textId="7AFD7CC3" w:rsidR="004F110C" w:rsidRPr="00C07F22" w:rsidRDefault="004F110C" w:rsidP="00343481">
      <w:pPr>
        <w:pStyle w:val="Normalnumber"/>
      </w:pPr>
      <w:r w:rsidRPr="00C07F22">
        <w:rPr>
          <w:u w:color="FF0000"/>
        </w:rPr>
        <w:t xml:space="preserve">Mercury levels in the atmosphere are directly linked to emissions from the anthropogenic sources identified </w:t>
      </w:r>
      <w:r w:rsidR="00CE39D0" w:rsidRPr="00C07F22">
        <w:rPr>
          <w:u w:color="FF0000"/>
        </w:rPr>
        <w:t xml:space="preserve">in </w:t>
      </w:r>
      <w:r w:rsidRPr="00C07F22">
        <w:rPr>
          <w:u w:color="FF0000"/>
        </w:rPr>
        <w:t xml:space="preserve">the Convention. </w:t>
      </w:r>
      <w:r w:rsidR="00CE39D0" w:rsidRPr="00C07F22">
        <w:rPr>
          <w:u w:color="FF0000"/>
        </w:rPr>
        <w:t>A</w:t>
      </w:r>
      <w:r w:rsidRPr="00C07F22">
        <w:rPr>
          <w:u w:color="FF0000"/>
        </w:rPr>
        <w:t xml:space="preserve">tmospheric monitoring activities contribute to the effectiveness </w:t>
      </w:r>
      <w:r w:rsidR="00602576">
        <w:rPr>
          <w:u w:color="FF0000"/>
        </w:rPr>
        <w:t xml:space="preserve">evaluation </w:t>
      </w:r>
      <w:r w:rsidRPr="00C07F22">
        <w:rPr>
          <w:u w:color="FF0000"/>
        </w:rPr>
        <w:t xml:space="preserve">of the Convention by </w:t>
      </w:r>
      <w:r w:rsidR="00CE39D0" w:rsidRPr="00C07F22">
        <w:rPr>
          <w:u w:color="FF0000"/>
        </w:rPr>
        <w:t xml:space="preserve">indicating </w:t>
      </w:r>
      <w:r w:rsidRPr="00C07F22">
        <w:rPr>
          <w:u w:color="FF0000"/>
        </w:rPr>
        <w:t xml:space="preserve">whether levels of mercury in the atmosphere </w:t>
      </w:r>
      <w:r w:rsidR="00115285" w:rsidRPr="00C07F22">
        <w:rPr>
          <w:u w:color="FF0000"/>
        </w:rPr>
        <w:t xml:space="preserve">are increasing or decreasing </w:t>
      </w:r>
      <w:r w:rsidR="00E01E99" w:rsidRPr="00C07F22">
        <w:rPr>
          <w:u w:color="FF0000"/>
        </w:rPr>
        <w:t>owing to</w:t>
      </w:r>
      <w:r w:rsidRPr="00C07F22">
        <w:rPr>
          <w:u w:color="FF0000"/>
        </w:rPr>
        <w:t xml:space="preserve"> changes in </w:t>
      </w:r>
      <w:r w:rsidR="00CE39D0" w:rsidRPr="00C07F22">
        <w:rPr>
          <w:u w:color="FF0000"/>
        </w:rPr>
        <w:t xml:space="preserve">mercury </w:t>
      </w:r>
      <w:r w:rsidRPr="00C07F22">
        <w:rPr>
          <w:u w:color="FF0000"/>
        </w:rPr>
        <w:t>emissions</w:t>
      </w:r>
      <w:r w:rsidR="00E01E99" w:rsidRPr="00C07F22">
        <w:rPr>
          <w:u w:color="FF0000"/>
        </w:rPr>
        <w:t>,</w:t>
      </w:r>
      <w:r w:rsidRPr="00C07F22">
        <w:rPr>
          <w:u w:color="FF0000"/>
        </w:rPr>
        <w:t xml:space="preserve"> </w:t>
      </w:r>
      <w:r w:rsidR="00F46A39">
        <w:rPr>
          <w:u w:color="FF0000"/>
        </w:rPr>
        <w:t xml:space="preserve">to </w:t>
      </w:r>
      <w:r w:rsidRPr="00C07F22">
        <w:rPr>
          <w:u w:color="FF0000"/>
        </w:rPr>
        <w:t>enabl</w:t>
      </w:r>
      <w:r w:rsidR="00F46A39">
        <w:rPr>
          <w:u w:color="FF0000"/>
        </w:rPr>
        <w:t>e</w:t>
      </w:r>
      <w:r w:rsidRPr="00C07F22">
        <w:rPr>
          <w:u w:color="FF0000"/>
        </w:rPr>
        <w:t xml:space="preserve"> model</w:t>
      </w:r>
      <w:r w:rsidR="00F46A39">
        <w:rPr>
          <w:u w:color="FF0000"/>
        </w:rPr>
        <w:t>s</w:t>
      </w:r>
      <w:r w:rsidRPr="00C07F22">
        <w:rPr>
          <w:u w:color="FF0000"/>
        </w:rPr>
        <w:t xml:space="preserve"> to define source-receptor relationships. </w:t>
      </w:r>
      <w:r w:rsidR="00CE39D0" w:rsidRPr="00C07F22">
        <w:rPr>
          <w:u w:color="FF0000"/>
        </w:rPr>
        <w:t xml:space="preserve">Atmospheric monitoring </w:t>
      </w:r>
      <w:r w:rsidRPr="00C07F22">
        <w:rPr>
          <w:u w:color="FF0000"/>
        </w:rPr>
        <w:t xml:space="preserve">data </w:t>
      </w:r>
      <w:r w:rsidR="00CE39D0" w:rsidRPr="00C07F22">
        <w:rPr>
          <w:u w:color="FF0000"/>
        </w:rPr>
        <w:t>also</w:t>
      </w:r>
      <w:r w:rsidRPr="00C07F22">
        <w:rPr>
          <w:u w:color="FF0000"/>
        </w:rPr>
        <w:t xml:space="preserve"> contribute to the predictive capabilities of regional and global models of mercury</w:t>
      </w:r>
      <w:r w:rsidR="00115285" w:rsidRPr="00C07F22">
        <w:rPr>
          <w:u w:color="FF0000"/>
        </w:rPr>
        <w:t>’s</w:t>
      </w:r>
      <w:r w:rsidRPr="00C07F22">
        <w:rPr>
          <w:u w:color="FF0000"/>
        </w:rPr>
        <w:t xml:space="preserve"> impact</w:t>
      </w:r>
      <w:r w:rsidR="00115285" w:rsidRPr="00C07F22">
        <w:rPr>
          <w:u w:color="FF0000"/>
        </w:rPr>
        <w:t xml:space="preserve"> on</w:t>
      </w:r>
      <w:r w:rsidRPr="00C07F22">
        <w:rPr>
          <w:u w:color="FF0000"/>
        </w:rPr>
        <w:t xml:space="preserve"> the environment, which </w:t>
      </w:r>
      <w:r w:rsidR="00CE39D0" w:rsidRPr="00C07F22">
        <w:rPr>
          <w:u w:color="FF0000"/>
        </w:rPr>
        <w:t>can</w:t>
      </w:r>
      <w:r w:rsidR="00115285" w:rsidRPr="00C07F22">
        <w:rPr>
          <w:u w:color="FF0000"/>
        </w:rPr>
        <w:t xml:space="preserve"> </w:t>
      </w:r>
      <w:r w:rsidRPr="00C07F22">
        <w:rPr>
          <w:u w:color="FF0000"/>
        </w:rPr>
        <w:t>also be affected by other atmospheric chemistry issues.</w:t>
      </w:r>
    </w:p>
    <w:p w14:paraId="0F9167C4" w14:textId="3178008C" w:rsidR="004F110C" w:rsidRPr="00C07F22" w:rsidRDefault="00985E38" w:rsidP="0056566B">
      <w:pPr>
        <w:pStyle w:val="Normalnumber"/>
      </w:pPr>
      <w:r w:rsidRPr="00C07F22">
        <w:rPr>
          <w:u w:color="FF0000"/>
        </w:rPr>
        <w:t>In terms of its contribution to effectiveness evaluation, h</w:t>
      </w:r>
      <w:r w:rsidR="004F110C" w:rsidRPr="00C07F22">
        <w:rPr>
          <w:u w:color="FF0000"/>
        </w:rPr>
        <w:t>uman biomonitoring has the advantage</w:t>
      </w:r>
      <w:r w:rsidRPr="00C07F22">
        <w:rPr>
          <w:u w:color="FF0000"/>
        </w:rPr>
        <w:t xml:space="preserve"> of</w:t>
      </w:r>
      <w:r w:rsidR="004F110C" w:rsidRPr="00C07F22">
        <w:rPr>
          <w:u w:color="FF0000"/>
        </w:rPr>
        <w:t xml:space="preserve"> provid</w:t>
      </w:r>
      <w:r w:rsidRPr="00C07F22">
        <w:rPr>
          <w:u w:color="FF0000"/>
        </w:rPr>
        <w:t>ing</w:t>
      </w:r>
      <w:r w:rsidR="004F110C" w:rsidRPr="00C07F22">
        <w:rPr>
          <w:u w:color="FF0000"/>
        </w:rPr>
        <w:t xml:space="preserve"> information on exposure to mercury from all types of sources</w:t>
      </w:r>
      <w:r w:rsidRPr="00C07F22">
        <w:rPr>
          <w:u w:color="FF0000"/>
        </w:rPr>
        <w:t>,</w:t>
      </w:r>
      <w:r w:rsidR="004F110C" w:rsidRPr="00C07F22">
        <w:rPr>
          <w:u w:color="FF0000"/>
        </w:rPr>
        <w:t xml:space="preserve"> integrat</w:t>
      </w:r>
      <w:r w:rsidRPr="00C07F22">
        <w:rPr>
          <w:u w:color="FF0000"/>
        </w:rPr>
        <w:t>ing</w:t>
      </w:r>
      <w:r w:rsidR="004F110C" w:rsidRPr="00C07F22">
        <w:rPr>
          <w:u w:color="FF0000"/>
        </w:rPr>
        <w:t xml:space="preserve"> the results of the different types of risk</w:t>
      </w:r>
      <w:r w:rsidR="00E01E99" w:rsidRPr="00C07F22">
        <w:rPr>
          <w:u w:color="FF0000"/>
        </w:rPr>
        <w:t>-</w:t>
      </w:r>
      <w:r w:rsidR="004F110C" w:rsidRPr="00C07F22">
        <w:rPr>
          <w:u w:color="FF0000"/>
        </w:rPr>
        <w:t>reduction measures and provid</w:t>
      </w:r>
      <w:r w:rsidRPr="00C07F22">
        <w:rPr>
          <w:u w:color="FF0000"/>
        </w:rPr>
        <w:t>ing</w:t>
      </w:r>
      <w:r w:rsidR="004F110C" w:rsidRPr="00C07F22">
        <w:rPr>
          <w:u w:color="FF0000"/>
        </w:rPr>
        <w:t xml:space="preserve"> information on geographical distribution</w:t>
      </w:r>
      <w:r w:rsidRPr="00C07F22">
        <w:rPr>
          <w:u w:color="FF0000"/>
        </w:rPr>
        <w:t>,</w:t>
      </w:r>
      <w:r w:rsidR="004F110C" w:rsidRPr="00C07F22">
        <w:rPr>
          <w:u w:color="FF0000"/>
        </w:rPr>
        <w:t xml:space="preserve"> </w:t>
      </w:r>
      <w:r w:rsidR="00E01E99" w:rsidRPr="00C07F22">
        <w:rPr>
          <w:u w:color="FF0000"/>
        </w:rPr>
        <w:t xml:space="preserve">thereby </w:t>
      </w:r>
      <w:r w:rsidR="004F110C" w:rsidRPr="00C07F22">
        <w:rPr>
          <w:u w:color="FF0000"/>
        </w:rPr>
        <w:t xml:space="preserve">enabling </w:t>
      </w:r>
      <w:r w:rsidRPr="00C07F22">
        <w:rPr>
          <w:u w:color="FF0000"/>
        </w:rPr>
        <w:t xml:space="preserve">the </w:t>
      </w:r>
      <w:r w:rsidR="004F110C" w:rsidRPr="00C07F22">
        <w:rPr>
          <w:u w:color="FF0000"/>
        </w:rPr>
        <w:t xml:space="preserve">identification of areas and population groups </w:t>
      </w:r>
      <w:r w:rsidR="00E01E99" w:rsidRPr="00C07F22">
        <w:rPr>
          <w:u w:color="FF0000"/>
        </w:rPr>
        <w:t xml:space="preserve">that </w:t>
      </w:r>
      <w:r w:rsidR="004F110C" w:rsidRPr="00C07F22">
        <w:rPr>
          <w:u w:color="FF0000"/>
        </w:rPr>
        <w:t>requir</w:t>
      </w:r>
      <w:r w:rsidR="00E01E99" w:rsidRPr="00C07F22">
        <w:rPr>
          <w:u w:color="FF0000"/>
        </w:rPr>
        <w:t>e</w:t>
      </w:r>
      <w:r w:rsidR="004F110C" w:rsidRPr="00C07F22">
        <w:rPr>
          <w:u w:color="FF0000"/>
        </w:rPr>
        <w:t xml:space="preserve"> urgent support in terms of risk</w:t>
      </w:r>
      <w:r w:rsidR="00E01E99" w:rsidRPr="00C07F22">
        <w:rPr>
          <w:u w:color="FF0000"/>
        </w:rPr>
        <w:t>-</w:t>
      </w:r>
      <w:r w:rsidR="004F110C" w:rsidRPr="00C07F22">
        <w:rPr>
          <w:u w:color="FF0000"/>
        </w:rPr>
        <w:t>reduction measures.</w:t>
      </w:r>
      <w:r w:rsidRPr="00C07F22">
        <w:rPr>
          <w:u w:color="FF0000"/>
        </w:rPr>
        <w:t xml:space="preserve"> </w:t>
      </w:r>
    </w:p>
    <w:p w14:paraId="58467762" w14:textId="7639B102" w:rsidR="004F110C" w:rsidRPr="00C07F22" w:rsidRDefault="004F110C" w:rsidP="0056566B">
      <w:pPr>
        <w:pStyle w:val="Normalnumber"/>
      </w:pPr>
      <w:r w:rsidRPr="00C07F22">
        <w:rPr>
          <w:u w:color="FF0000"/>
        </w:rPr>
        <w:lastRenderedPageBreak/>
        <w:t>Biota monitoring</w:t>
      </w:r>
      <w:r w:rsidR="00985E38" w:rsidRPr="00C07F22">
        <w:rPr>
          <w:u w:color="FF0000"/>
        </w:rPr>
        <w:t xml:space="preserve">, </w:t>
      </w:r>
      <w:r w:rsidR="000A1C5F" w:rsidRPr="00C07F22">
        <w:rPr>
          <w:u w:color="FF0000"/>
        </w:rPr>
        <w:t>for its part</w:t>
      </w:r>
      <w:r w:rsidR="00985E38" w:rsidRPr="00C07F22">
        <w:rPr>
          <w:u w:color="FF0000"/>
        </w:rPr>
        <w:t>,</w:t>
      </w:r>
      <w:r w:rsidRPr="00C07F22">
        <w:rPr>
          <w:u w:color="FF0000"/>
        </w:rPr>
        <w:t xml:space="preserve"> has </w:t>
      </w:r>
      <w:r w:rsidR="00985E38" w:rsidRPr="00C07F22">
        <w:rPr>
          <w:u w:color="FF0000"/>
        </w:rPr>
        <w:t xml:space="preserve">the </w:t>
      </w:r>
      <w:r w:rsidRPr="00C07F22">
        <w:rPr>
          <w:u w:color="FF0000"/>
        </w:rPr>
        <w:t xml:space="preserve">advantage </w:t>
      </w:r>
      <w:r w:rsidR="00985E38" w:rsidRPr="00C07F22">
        <w:rPr>
          <w:u w:color="FF0000"/>
        </w:rPr>
        <w:t>of</w:t>
      </w:r>
      <w:r w:rsidRPr="00C07F22">
        <w:rPr>
          <w:u w:color="FF0000"/>
        </w:rPr>
        <w:t xml:space="preserve"> tracking changes </w:t>
      </w:r>
      <w:r w:rsidR="00985E38" w:rsidRPr="00C07F22">
        <w:rPr>
          <w:u w:color="FF0000"/>
        </w:rPr>
        <w:t>in</w:t>
      </w:r>
      <w:r w:rsidRPr="00C07F22">
        <w:rPr>
          <w:u w:color="FF0000"/>
        </w:rPr>
        <w:t xml:space="preserve"> environmental mercury levels at </w:t>
      </w:r>
      <w:r w:rsidR="00985E38" w:rsidRPr="00C07F22">
        <w:rPr>
          <w:u w:color="FF0000"/>
        </w:rPr>
        <w:t xml:space="preserve">the </w:t>
      </w:r>
      <w:r w:rsidRPr="00C07F22">
        <w:rPr>
          <w:u w:color="FF0000"/>
        </w:rPr>
        <w:t xml:space="preserve">regional and global levels that indicate </w:t>
      </w:r>
      <w:r w:rsidR="00985E38" w:rsidRPr="00C07F22">
        <w:rPr>
          <w:u w:color="FF0000"/>
        </w:rPr>
        <w:t xml:space="preserve">the </w:t>
      </w:r>
      <w:r w:rsidRPr="00C07F22">
        <w:rPr>
          <w:u w:color="FF0000"/>
        </w:rPr>
        <w:t>ecological effects of</w:t>
      </w:r>
      <w:r w:rsidR="00F0205B" w:rsidRPr="00C07F22">
        <w:rPr>
          <w:u w:color="FF0000"/>
        </w:rPr>
        <w:t>,</w:t>
      </w:r>
      <w:r w:rsidRPr="00C07F22">
        <w:rPr>
          <w:u w:color="FF0000"/>
        </w:rPr>
        <w:t xml:space="preserve"> and human dietary exposure to</w:t>
      </w:r>
      <w:r w:rsidR="00F0205B" w:rsidRPr="00C07F22">
        <w:rPr>
          <w:u w:color="FF0000"/>
        </w:rPr>
        <w:t>,</w:t>
      </w:r>
      <w:r w:rsidRPr="00C07F22">
        <w:rPr>
          <w:u w:color="FF0000"/>
        </w:rPr>
        <w:t xml:space="preserve"> mercury.</w:t>
      </w:r>
    </w:p>
    <w:p w14:paraId="225ED8C0" w14:textId="4F16AC4C" w:rsidR="004F110C" w:rsidRPr="00C07F22" w:rsidRDefault="00343481" w:rsidP="00E9604D">
      <w:pPr>
        <w:pStyle w:val="CH2"/>
      </w:pPr>
      <w:r w:rsidRPr="00C07F22">
        <w:tab/>
      </w:r>
      <w:r w:rsidR="00B93064" w:rsidRPr="00C07F22">
        <w:t>B.</w:t>
      </w:r>
      <w:r w:rsidRPr="00C07F22">
        <w:tab/>
      </w:r>
      <w:r w:rsidR="004F110C" w:rsidRPr="00C07F22">
        <w:t xml:space="preserve">Ambient air </w:t>
      </w:r>
    </w:p>
    <w:p w14:paraId="2BADF1AD" w14:textId="6D543FE2" w:rsidR="004F110C" w:rsidRPr="00C07F22" w:rsidRDefault="004F110C" w:rsidP="00E9604D">
      <w:pPr>
        <w:pStyle w:val="Normalnumber"/>
        <w:keepNext/>
        <w:keepLines/>
      </w:pPr>
      <w:r w:rsidRPr="00C07F22">
        <w:rPr>
          <w:u w:color="FF0000"/>
        </w:rPr>
        <w:t xml:space="preserve">Mercury levels in ambient air </w:t>
      </w:r>
      <w:r w:rsidRPr="001F331A">
        <w:rPr>
          <w:u w:color="FF0000"/>
        </w:rPr>
        <w:t>have been measured</w:t>
      </w:r>
      <w:r w:rsidRPr="00C07F22">
        <w:rPr>
          <w:u w:color="FF0000"/>
        </w:rPr>
        <w:t xml:space="preserve"> in some locations for a very long period</w:t>
      </w:r>
      <w:r w:rsidR="004D63BC" w:rsidRPr="00C07F22">
        <w:rPr>
          <w:u w:color="FF0000"/>
        </w:rPr>
        <w:t>, and</w:t>
      </w:r>
      <w:r w:rsidR="00DE0A5C" w:rsidRPr="00C07F22">
        <w:rPr>
          <w:u w:color="FF0000"/>
        </w:rPr>
        <w:t xml:space="preserve"> </w:t>
      </w:r>
      <w:r w:rsidR="004D63BC" w:rsidRPr="00C07F22">
        <w:rPr>
          <w:u w:color="FF0000"/>
        </w:rPr>
        <w:t>t</w:t>
      </w:r>
      <w:r w:rsidRPr="00C07F22">
        <w:rPr>
          <w:u w:color="FF0000"/>
        </w:rPr>
        <w:t xml:space="preserve">he </w:t>
      </w:r>
      <w:r w:rsidR="004D63BC" w:rsidRPr="00C07F22">
        <w:rPr>
          <w:u w:color="FF0000"/>
        </w:rPr>
        <w:t xml:space="preserve">resulting </w:t>
      </w:r>
      <w:r w:rsidRPr="00C07F22">
        <w:rPr>
          <w:u w:color="FF0000"/>
        </w:rPr>
        <w:t xml:space="preserve">data have contributed to the discussion on the global nature of the mercury issue. The current available data </w:t>
      </w:r>
      <w:r w:rsidR="005858D4" w:rsidRPr="00C07F22">
        <w:rPr>
          <w:u w:color="FF0000"/>
        </w:rPr>
        <w:t>are</w:t>
      </w:r>
      <w:r w:rsidRPr="00C07F22">
        <w:rPr>
          <w:u w:color="FF0000"/>
        </w:rPr>
        <w:t xml:space="preserve"> collected by various national and global network owners using different sampling methods. It was recognized that none of the currently available data had global coverage, but that there are potential</w:t>
      </w:r>
      <w:r w:rsidR="00585890" w:rsidRPr="00C07F22">
        <w:rPr>
          <w:u w:color="FF0000"/>
        </w:rPr>
        <w:t>ly</w:t>
      </w:r>
      <w:r w:rsidRPr="00C07F22">
        <w:rPr>
          <w:u w:color="FF0000"/>
        </w:rPr>
        <w:t xml:space="preserve"> suitable methods </w:t>
      </w:r>
      <w:r w:rsidR="004D63BC" w:rsidRPr="00C07F22">
        <w:rPr>
          <w:u w:color="FF0000"/>
        </w:rPr>
        <w:t>for obtaining</w:t>
      </w:r>
      <w:r w:rsidRPr="00C07F22">
        <w:rPr>
          <w:u w:color="FF0000"/>
        </w:rPr>
        <w:t xml:space="preserve"> such global data (as identified in </w:t>
      </w:r>
      <w:r w:rsidRPr="00C07F22">
        <w:rPr>
          <w:i/>
          <w:iCs/>
          <w:u w:color="FF0000"/>
        </w:rPr>
        <w:t>Global Mercury Assessment 2018</w:t>
      </w:r>
      <w:r w:rsidRPr="00C07F22">
        <w:rPr>
          <w:u w:color="FF0000"/>
        </w:rPr>
        <w:t>).</w:t>
      </w:r>
      <w:r w:rsidR="005858D4" w:rsidRPr="00C07F22">
        <w:rPr>
          <w:rStyle w:val="FootnoteReference"/>
          <w:u w:color="FF0000"/>
        </w:rPr>
        <w:footnoteReference w:id="2"/>
      </w:r>
      <w:r w:rsidRPr="00C07F22">
        <w:rPr>
          <w:u w:color="FF0000"/>
        </w:rPr>
        <w:t xml:space="preserve"> </w:t>
      </w:r>
      <w:r w:rsidR="00566023" w:rsidRPr="00C07F22">
        <w:rPr>
          <w:u w:color="FF0000"/>
        </w:rPr>
        <w:t>An o</w:t>
      </w:r>
      <w:r w:rsidRPr="00C07F22">
        <w:rPr>
          <w:u w:color="FF0000"/>
        </w:rPr>
        <w:t xml:space="preserve">verview of </w:t>
      </w:r>
      <w:r w:rsidR="004D63BC" w:rsidRPr="00C07F22">
        <w:rPr>
          <w:u w:color="FF0000"/>
        </w:rPr>
        <w:t xml:space="preserve">the </w:t>
      </w:r>
      <w:r w:rsidRPr="00C07F22">
        <w:rPr>
          <w:u w:color="FF0000"/>
        </w:rPr>
        <w:t>existing networks is available in the resource document UNEP/MC/COP.3/INF/15.</w:t>
      </w:r>
    </w:p>
    <w:p w14:paraId="4B1D4EF7" w14:textId="713FA8A1" w:rsidR="004F110C" w:rsidRPr="00C07F22" w:rsidRDefault="004D63BC" w:rsidP="00343481">
      <w:pPr>
        <w:pStyle w:val="Normalnumber"/>
      </w:pPr>
      <w:r w:rsidRPr="00C07F22">
        <w:rPr>
          <w:u w:color="FF0000"/>
        </w:rPr>
        <w:t xml:space="preserve">There are </w:t>
      </w:r>
      <w:r w:rsidR="00585890" w:rsidRPr="00C07F22">
        <w:rPr>
          <w:u w:color="FF0000"/>
        </w:rPr>
        <w:t>various</w:t>
      </w:r>
      <w:r w:rsidRPr="00C07F22">
        <w:rPr>
          <w:u w:color="FF0000"/>
        </w:rPr>
        <w:t xml:space="preserve"> ways to measure atmospheric mercury</w:t>
      </w:r>
      <w:r w:rsidR="00585890" w:rsidRPr="00C07F22">
        <w:rPr>
          <w:u w:color="FF0000"/>
        </w:rPr>
        <w:t>;</w:t>
      </w:r>
      <w:r w:rsidRPr="00C07F22">
        <w:rPr>
          <w:u w:color="FF0000"/>
        </w:rPr>
        <w:t xml:space="preserve"> those considered </w:t>
      </w:r>
      <w:r w:rsidR="00585890" w:rsidRPr="00C07F22">
        <w:rPr>
          <w:u w:color="FF0000"/>
        </w:rPr>
        <w:t xml:space="preserve">potentially </w:t>
      </w:r>
      <w:r w:rsidRPr="00C07F22">
        <w:rPr>
          <w:u w:color="FF0000"/>
        </w:rPr>
        <w:t>suitable for obtaining globally comparable data were identified and reviewed. Such methods measure</w:t>
      </w:r>
      <w:r w:rsidR="004F110C" w:rsidRPr="00C07F22">
        <w:rPr>
          <w:u w:color="FF0000"/>
        </w:rPr>
        <w:t>:</w:t>
      </w:r>
    </w:p>
    <w:p w14:paraId="3E6B40C2" w14:textId="033A0959" w:rsidR="004F110C" w:rsidRPr="00C07F22" w:rsidRDefault="004F110C" w:rsidP="00E1136D">
      <w:pPr>
        <w:pStyle w:val="Normalnumber"/>
        <w:numPr>
          <w:ilvl w:val="1"/>
          <w:numId w:val="4"/>
        </w:numPr>
        <w:tabs>
          <w:tab w:val="clear" w:pos="1134"/>
        </w:tabs>
        <w:ind w:firstLine="624"/>
      </w:pPr>
      <w:r w:rsidRPr="00C07F22">
        <w:t xml:space="preserve">Total </w:t>
      </w:r>
      <w:r w:rsidR="004D63BC" w:rsidRPr="00C07F22">
        <w:t>g</w:t>
      </w:r>
      <w:r w:rsidRPr="00C07F22">
        <w:t xml:space="preserve">aseous </w:t>
      </w:r>
      <w:r w:rsidR="004D63BC" w:rsidRPr="00C07F22">
        <w:t>m</w:t>
      </w:r>
      <w:r w:rsidRPr="00C07F22">
        <w:t xml:space="preserve">ercury (TGM) or </w:t>
      </w:r>
      <w:r w:rsidR="004D63BC" w:rsidRPr="00C07F22">
        <w:t>g</w:t>
      </w:r>
      <w:r w:rsidRPr="00C07F22">
        <w:t xml:space="preserve">aseous </w:t>
      </w:r>
      <w:r w:rsidR="004D63BC" w:rsidRPr="00C07F22">
        <w:t>e</w:t>
      </w:r>
      <w:r w:rsidRPr="00C07F22">
        <w:t xml:space="preserve">lemental </w:t>
      </w:r>
      <w:r w:rsidR="004D63BC" w:rsidRPr="00C07F22">
        <w:t>m</w:t>
      </w:r>
      <w:r w:rsidRPr="00C07F22">
        <w:t xml:space="preserve">ercury (GEM) concentrations in air at background </w:t>
      </w:r>
      <w:r w:rsidRPr="002D2810">
        <w:t>and impacted sites</w:t>
      </w:r>
      <w:r w:rsidRPr="00C07F22">
        <w:t>;</w:t>
      </w:r>
    </w:p>
    <w:p w14:paraId="33A022F3" w14:textId="77777777" w:rsidR="004F110C" w:rsidRPr="00C07F22" w:rsidRDefault="004F110C" w:rsidP="00E1136D">
      <w:pPr>
        <w:pStyle w:val="Normalnumber"/>
        <w:numPr>
          <w:ilvl w:val="1"/>
          <w:numId w:val="4"/>
        </w:numPr>
        <w:tabs>
          <w:tab w:val="clear" w:pos="1134"/>
        </w:tabs>
        <w:ind w:firstLine="624"/>
      </w:pPr>
      <w:r w:rsidRPr="00C07F22">
        <w:t>Wet deposition.</w:t>
      </w:r>
    </w:p>
    <w:p w14:paraId="2169A144" w14:textId="340044D0" w:rsidR="004F110C" w:rsidRPr="00C07F22" w:rsidRDefault="004F110C" w:rsidP="004D63BC">
      <w:pPr>
        <w:pStyle w:val="Normalnumber"/>
        <w:rPr>
          <w:u w:color="FF0000"/>
        </w:rPr>
      </w:pPr>
      <w:r w:rsidRPr="00C07F22">
        <w:rPr>
          <w:u w:color="FF0000"/>
        </w:rPr>
        <w:t xml:space="preserve">TGM/GEM can be measured </w:t>
      </w:r>
      <w:r w:rsidR="004D63BC" w:rsidRPr="00C07F22">
        <w:rPr>
          <w:u w:color="FF0000"/>
        </w:rPr>
        <w:t xml:space="preserve">using </w:t>
      </w:r>
      <w:r w:rsidRPr="00C07F22">
        <w:rPr>
          <w:u w:color="FF0000"/>
        </w:rPr>
        <w:t>active continuous monitoring</w:t>
      </w:r>
      <w:r w:rsidR="00585890" w:rsidRPr="00C07F22">
        <w:rPr>
          <w:u w:color="FF0000"/>
        </w:rPr>
        <w:t xml:space="preserve"> and</w:t>
      </w:r>
      <w:r w:rsidRPr="00C07F22">
        <w:rPr>
          <w:u w:color="FF0000"/>
        </w:rPr>
        <w:t xml:space="preserve"> manual active and passive air sampling techniques. Active continuous </w:t>
      </w:r>
      <w:r w:rsidR="004D63BC" w:rsidRPr="00C07F22">
        <w:rPr>
          <w:u w:color="FF0000"/>
        </w:rPr>
        <w:t xml:space="preserve">monitoring </w:t>
      </w:r>
      <w:r w:rsidR="00585890" w:rsidRPr="00C07F22">
        <w:rPr>
          <w:u w:color="FF0000"/>
        </w:rPr>
        <w:t>is</w:t>
      </w:r>
      <w:r w:rsidRPr="00C07F22">
        <w:rPr>
          <w:u w:color="FF0000"/>
        </w:rPr>
        <w:t xml:space="preserve"> use</w:t>
      </w:r>
      <w:r w:rsidR="00585890" w:rsidRPr="00C07F22">
        <w:rPr>
          <w:u w:color="FF0000"/>
        </w:rPr>
        <w:t>d</w:t>
      </w:r>
      <w:r w:rsidRPr="00C07F22">
        <w:rPr>
          <w:u w:color="FF0000"/>
        </w:rPr>
        <w:t xml:space="preserve"> at several sites of existing regional and global monitoring networks </w:t>
      </w:r>
      <w:r w:rsidR="00585890" w:rsidRPr="00C07F22">
        <w:rPr>
          <w:u w:color="FF0000"/>
        </w:rPr>
        <w:t xml:space="preserve">to </w:t>
      </w:r>
      <w:r w:rsidR="005858D4" w:rsidRPr="00C07F22">
        <w:rPr>
          <w:u w:color="FF0000"/>
        </w:rPr>
        <w:t>determine</w:t>
      </w:r>
      <w:r w:rsidRPr="00C07F22">
        <w:rPr>
          <w:u w:color="FF0000"/>
        </w:rPr>
        <w:t xml:space="preserve"> continuous TGM/GEM concentrations, whereas manual active and passive sampling </w:t>
      </w:r>
      <w:r w:rsidR="00585890" w:rsidRPr="00C07F22">
        <w:rPr>
          <w:u w:color="FF0000"/>
        </w:rPr>
        <w:t xml:space="preserve">is </w:t>
      </w:r>
      <w:r w:rsidRPr="00C07F22">
        <w:rPr>
          <w:u w:color="FF0000"/>
        </w:rPr>
        <w:t>used in locations where no monitoring infrastructure is available</w:t>
      </w:r>
      <w:r w:rsidR="00432EB1" w:rsidRPr="00C07F22">
        <w:rPr>
          <w:u w:color="FF0000"/>
        </w:rPr>
        <w:t>,</w:t>
      </w:r>
      <w:r w:rsidRPr="00C07F22">
        <w:rPr>
          <w:u w:color="FF0000"/>
        </w:rPr>
        <w:t xml:space="preserve"> and provide</w:t>
      </w:r>
      <w:r w:rsidR="00585890" w:rsidRPr="00C07F22">
        <w:rPr>
          <w:u w:color="FF0000"/>
        </w:rPr>
        <w:t>s</w:t>
      </w:r>
      <w:r w:rsidRPr="00C07F22">
        <w:rPr>
          <w:u w:color="FF0000"/>
        </w:rPr>
        <w:t xml:space="preserve"> average TGM concentrations as </w:t>
      </w:r>
      <w:r w:rsidR="004D63BC" w:rsidRPr="00C07F22">
        <w:rPr>
          <w:u w:color="FF0000"/>
        </w:rPr>
        <w:t xml:space="preserve">a </w:t>
      </w:r>
      <w:r w:rsidRPr="00C07F22">
        <w:rPr>
          <w:u w:color="FF0000"/>
        </w:rPr>
        <w:t xml:space="preserve">monthly (or lower frequency) average. </w:t>
      </w:r>
    </w:p>
    <w:p w14:paraId="6C5C7123" w14:textId="2C1BE49B" w:rsidR="004F110C" w:rsidRPr="00C07F22" w:rsidRDefault="004F110C" w:rsidP="00E1136D">
      <w:pPr>
        <w:pStyle w:val="Normalnumber"/>
      </w:pPr>
      <w:r w:rsidRPr="00C07F22">
        <w:rPr>
          <w:u w:color="FF0000"/>
        </w:rPr>
        <w:t xml:space="preserve">The atmospheric </w:t>
      </w:r>
      <w:r w:rsidRPr="002C4920">
        <w:rPr>
          <w:u w:color="FF0000"/>
        </w:rPr>
        <w:t>deposition flux of mercury</w:t>
      </w:r>
      <w:r w:rsidRPr="00C07F22">
        <w:rPr>
          <w:u w:color="FF0000"/>
        </w:rPr>
        <w:t xml:space="preserve"> is considered</w:t>
      </w:r>
      <w:r w:rsidR="007D5085" w:rsidRPr="00C07F22">
        <w:rPr>
          <w:u w:color="FF0000"/>
        </w:rPr>
        <w:t xml:space="preserve"> as</w:t>
      </w:r>
      <w:r w:rsidRPr="00C07F22">
        <w:rPr>
          <w:u w:color="FF0000"/>
        </w:rPr>
        <w:t xml:space="preserve"> the combination of wet and dry deposition of mercury to the surface. </w:t>
      </w:r>
      <w:r w:rsidR="007D5085" w:rsidRPr="00C07F22">
        <w:rPr>
          <w:u w:color="FF0000"/>
        </w:rPr>
        <w:t>W</w:t>
      </w:r>
      <w:r w:rsidRPr="00C07F22" w:rsidDel="00432EB1">
        <w:rPr>
          <w:u w:color="FF0000"/>
        </w:rPr>
        <w:t xml:space="preserve">et deposition </w:t>
      </w:r>
      <w:r w:rsidR="007D5085" w:rsidRPr="00C07F22">
        <w:rPr>
          <w:u w:color="FF0000"/>
        </w:rPr>
        <w:t xml:space="preserve">is measured </w:t>
      </w:r>
      <w:r w:rsidRPr="00C07F22" w:rsidDel="00432EB1">
        <w:rPr>
          <w:u w:color="FF0000"/>
        </w:rPr>
        <w:t>through the collection of rain samples</w:t>
      </w:r>
      <w:r w:rsidR="007D5085" w:rsidRPr="00C07F22">
        <w:rPr>
          <w:u w:color="FF0000"/>
        </w:rPr>
        <w:t>, and d</w:t>
      </w:r>
      <w:r w:rsidRPr="00C07F22">
        <w:rPr>
          <w:u w:color="FF0000"/>
        </w:rPr>
        <w:t xml:space="preserve">ry deposition is either mathematically inferred or measured through tree debris. Several existing long-term networks collect wet deposition samples but, </w:t>
      </w:r>
      <w:r w:rsidR="005858D4" w:rsidRPr="00C07F22">
        <w:rPr>
          <w:u w:color="FF0000"/>
        </w:rPr>
        <w:t>owing</w:t>
      </w:r>
      <w:r w:rsidRPr="00C07F22">
        <w:rPr>
          <w:u w:color="FF0000"/>
        </w:rPr>
        <w:t xml:space="preserve"> to a lack of comparable standard procedures, dry deposition is not always measured. </w:t>
      </w:r>
      <w:r w:rsidRPr="00C07F22" w:rsidDel="00432EB1">
        <w:rPr>
          <w:u w:color="FF0000"/>
        </w:rPr>
        <w:t xml:space="preserve">The amount of total mercury measured in atmospheric deposition samples is used as basis </w:t>
      </w:r>
      <w:r w:rsidR="007D5085" w:rsidRPr="00C07F22">
        <w:rPr>
          <w:u w:color="FF0000"/>
        </w:rPr>
        <w:t>for</w:t>
      </w:r>
      <w:r w:rsidRPr="00C07F22" w:rsidDel="00432EB1">
        <w:rPr>
          <w:u w:color="FF0000"/>
        </w:rPr>
        <w:t xml:space="preserve"> calculat</w:t>
      </w:r>
      <w:r w:rsidR="007D5085" w:rsidRPr="00C07F22">
        <w:rPr>
          <w:u w:color="FF0000"/>
        </w:rPr>
        <w:t>ing</w:t>
      </w:r>
      <w:r w:rsidRPr="00C07F22" w:rsidDel="00432EB1">
        <w:rPr>
          <w:u w:color="FF0000"/>
        </w:rPr>
        <w:t xml:space="preserve"> the total atmospheric deposition flux associated </w:t>
      </w:r>
      <w:r w:rsidR="00807EBB" w:rsidRPr="00C07F22">
        <w:rPr>
          <w:u w:color="FF0000"/>
        </w:rPr>
        <w:t>with</w:t>
      </w:r>
      <w:r w:rsidRPr="00C07F22" w:rsidDel="00432EB1">
        <w:rPr>
          <w:u w:color="FF0000"/>
        </w:rPr>
        <w:t xml:space="preserve"> a precipitation (rain or snow) event.</w:t>
      </w:r>
    </w:p>
    <w:p w14:paraId="316D37D6" w14:textId="777DAE0D" w:rsidR="004F110C" w:rsidRPr="00C07F22" w:rsidRDefault="004F110C" w:rsidP="00E1136D">
      <w:pPr>
        <w:pStyle w:val="Normalnumber"/>
      </w:pPr>
      <w:r w:rsidRPr="00C07F22">
        <w:rPr>
          <w:u w:color="FF0000"/>
        </w:rPr>
        <w:t>Validated atmospheric mercury models are needed to assess source-receptor relationships and evaluate the relative importance of each anthropogenic emission source in the global mass balance of mercury with changing mercury emission regime</w:t>
      </w:r>
      <w:r w:rsidR="00432EB1" w:rsidRPr="00C07F22">
        <w:rPr>
          <w:u w:color="FF0000"/>
        </w:rPr>
        <w:t>s</w:t>
      </w:r>
      <w:r w:rsidRPr="00C07F22">
        <w:rPr>
          <w:u w:color="FF0000"/>
        </w:rPr>
        <w:t>, meteorological conditions and climate forcing.</w:t>
      </w:r>
      <w:r w:rsidR="00DE0A5C" w:rsidRPr="00C07F22">
        <w:rPr>
          <w:u w:color="FF0000"/>
        </w:rPr>
        <w:t xml:space="preserve"> </w:t>
      </w:r>
      <w:r w:rsidRPr="00C07F22">
        <w:rPr>
          <w:u w:color="FF0000"/>
        </w:rPr>
        <w:t xml:space="preserve">Good global coverage of monitoring data </w:t>
      </w:r>
      <w:r w:rsidR="00432EB1" w:rsidRPr="00C07F22">
        <w:rPr>
          <w:u w:color="FF0000"/>
        </w:rPr>
        <w:t>for</w:t>
      </w:r>
      <w:r w:rsidRPr="00C07F22">
        <w:rPr>
          <w:u w:color="FF0000"/>
        </w:rPr>
        <w:t xml:space="preserve"> mercury in ambient air and deposition samples </w:t>
      </w:r>
      <w:r w:rsidR="00432EB1" w:rsidRPr="00C07F22">
        <w:rPr>
          <w:u w:color="FF0000"/>
        </w:rPr>
        <w:t xml:space="preserve">is </w:t>
      </w:r>
      <w:r w:rsidRPr="00C07F22">
        <w:rPr>
          <w:u w:color="FF0000"/>
        </w:rPr>
        <w:t xml:space="preserve">also of fundamental importance </w:t>
      </w:r>
      <w:r w:rsidR="00432EB1" w:rsidRPr="00C07F22">
        <w:rPr>
          <w:u w:color="FF0000"/>
        </w:rPr>
        <w:t xml:space="preserve">for </w:t>
      </w:r>
      <w:r w:rsidRPr="00C07F22">
        <w:rPr>
          <w:u w:color="FF0000"/>
        </w:rPr>
        <w:t>validat</w:t>
      </w:r>
      <w:r w:rsidR="00432EB1" w:rsidRPr="00C07F22">
        <w:rPr>
          <w:u w:color="FF0000"/>
        </w:rPr>
        <w:t>ing</w:t>
      </w:r>
      <w:r w:rsidRPr="00C07F22">
        <w:rPr>
          <w:u w:color="FF0000"/>
        </w:rPr>
        <w:t xml:space="preserve"> th</w:t>
      </w:r>
      <w:r w:rsidR="00807EBB" w:rsidRPr="00C07F22">
        <w:rPr>
          <w:u w:color="FF0000"/>
        </w:rPr>
        <w:t>o</w:t>
      </w:r>
      <w:r w:rsidRPr="00C07F22">
        <w:rPr>
          <w:u w:color="FF0000"/>
        </w:rPr>
        <w:t xml:space="preserve">se atmospheric models. Further details are provided in </w:t>
      </w:r>
      <w:r w:rsidR="00432EB1" w:rsidRPr="00C07F22">
        <w:rPr>
          <w:u w:color="FF0000"/>
        </w:rPr>
        <w:t xml:space="preserve">document </w:t>
      </w:r>
      <w:r w:rsidRPr="00C07F22">
        <w:rPr>
          <w:u w:color="FF0000"/>
        </w:rPr>
        <w:t>UNEP/MC/COP.3/INF/15.</w:t>
      </w:r>
    </w:p>
    <w:p w14:paraId="4603EAC7" w14:textId="181F3299" w:rsidR="004F110C" w:rsidRPr="00C07F22" w:rsidRDefault="00343481" w:rsidP="00E1136D">
      <w:pPr>
        <w:pStyle w:val="CH2"/>
      </w:pPr>
      <w:r w:rsidRPr="00C07F22">
        <w:tab/>
      </w:r>
      <w:r w:rsidR="00B93064" w:rsidRPr="00C07F22">
        <w:t>C.</w:t>
      </w:r>
      <w:r w:rsidRPr="00C07F22">
        <w:tab/>
      </w:r>
      <w:r w:rsidR="004F110C" w:rsidRPr="00C07F22">
        <w:t xml:space="preserve">Human exposure </w:t>
      </w:r>
    </w:p>
    <w:p w14:paraId="1F52AC90" w14:textId="2E543CF3" w:rsidR="004F110C" w:rsidRPr="00C07F22" w:rsidRDefault="004F110C" w:rsidP="00E1136D">
      <w:pPr>
        <w:pStyle w:val="Normalnumber"/>
      </w:pPr>
      <w:r w:rsidRPr="00C07F22">
        <w:rPr>
          <w:u w:color="FF0000"/>
        </w:rPr>
        <w:t>All people are exposed to mercury</w:t>
      </w:r>
      <w:r w:rsidR="00F46A39">
        <w:rPr>
          <w:u w:color="FF0000"/>
        </w:rPr>
        <w:t xml:space="preserve"> to some extent</w:t>
      </w:r>
      <w:r w:rsidRPr="00C07F22">
        <w:rPr>
          <w:u w:color="FF0000"/>
        </w:rPr>
        <w:t>.</w:t>
      </w:r>
      <w:r w:rsidR="00DE0A5C" w:rsidRPr="00C07F22">
        <w:rPr>
          <w:u w:color="FF0000"/>
        </w:rPr>
        <w:t xml:space="preserve"> </w:t>
      </w:r>
      <w:r w:rsidR="00ED0EB6" w:rsidRPr="00C07F22">
        <w:rPr>
          <w:u w:color="FF0000"/>
        </w:rPr>
        <w:t>In</w:t>
      </w:r>
      <w:r w:rsidRPr="00C07F22">
        <w:rPr>
          <w:u w:color="FF0000"/>
        </w:rPr>
        <w:t xml:space="preserve"> many communities worldwide, dietary consumption of fish, shellfish, marine mammals and other foods is arguably the most important source of methylmercury exposure. Exposure to elemental and inorganic mercury mainly occur</w:t>
      </w:r>
      <w:r w:rsidR="00ED0EB6" w:rsidRPr="00C07F22">
        <w:rPr>
          <w:u w:color="FF0000"/>
        </w:rPr>
        <w:t>s</w:t>
      </w:r>
      <w:r w:rsidRPr="00C07F22">
        <w:rPr>
          <w:u w:color="FF0000"/>
        </w:rPr>
        <w:t xml:space="preserve"> in occupational settings (including artisanal and small-scale gold mining) or via contact with products containing mercury.</w:t>
      </w:r>
      <w:r w:rsidR="00DE0A5C" w:rsidRPr="00C07F22">
        <w:rPr>
          <w:u w:color="FF0000"/>
        </w:rPr>
        <w:t xml:space="preserve"> </w:t>
      </w:r>
      <w:r w:rsidRPr="00C07F22">
        <w:rPr>
          <w:u w:color="FF0000"/>
        </w:rPr>
        <w:t>There remains high concern for vulnerable groups</w:t>
      </w:r>
      <w:r w:rsidR="00432EB1" w:rsidRPr="00C07F22">
        <w:rPr>
          <w:u w:color="FF0000"/>
        </w:rPr>
        <w:t>,</w:t>
      </w:r>
      <w:r w:rsidRPr="00C07F22">
        <w:rPr>
          <w:u w:color="FF0000"/>
        </w:rPr>
        <w:t xml:space="preserve"> including various indigenous populations with high dietary or occupational exposure to mercury.</w:t>
      </w:r>
    </w:p>
    <w:p w14:paraId="41B2C2BD" w14:textId="2417B312" w:rsidR="004F110C" w:rsidRPr="00C07F22" w:rsidRDefault="004F110C" w:rsidP="00E1136D">
      <w:pPr>
        <w:pStyle w:val="Normalnumber"/>
      </w:pPr>
      <w:r w:rsidRPr="00C07F22">
        <w:rPr>
          <w:u w:color="FF0000"/>
        </w:rPr>
        <w:t>Human biomonitoring to assess general population exposure to mercury (i.e.</w:t>
      </w:r>
      <w:r w:rsidR="00432EB1" w:rsidRPr="00C07F22">
        <w:rPr>
          <w:u w:color="FF0000"/>
        </w:rPr>
        <w:t>,</w:t>
      </w:r>
      <w:r w:rsidRPr="00C07F22">
        <w:rPr>
          <w:u w:color="FF0000"/>
        </w:rPr>
        <w:t xml:space="preserve"> background level rather than “hot spot”) provides information on global trends. In the general population, assessment of prenatal exposure is recommended</w:t>
      </w:r>
      <w:r w:rsidR="00432EB1" w:rsidRPr="00C07F22">
        <w:rPr>
          <w:u w:color="FF0000"/>
        </w:rPr>
        <w:t>,</w:t>
      </w:r>
      <w:r w:rsidRPr="00C07F22">
        <w:rPr>
          <w:u w:color="FF0000"/>
        </w:rPr>
        <w:t xml:space="preserve"> because the f</w:t>
      </w:r>
      <w:r w:rsidR="00432EB1" w:rsidRPr="00C07F22">
        <w:rPr>
          <w:u w:color="FF0000"/>
        </w:rPr>
        <w:t>o</w:t>
      </w:r>
      <w:r w:rsidRPr="00C07F22">
        <w:rPr>
          <w:u w:color="FF0000"/>
        </w:rPr>
        <w:t>etus is the most vulnerable to methylmercury exposure</w:t>
      </w:r>
      <w:r w:rsidR="00432EB1" w:rsidRPr="00C07F22">
        <w:rPr>
          <w:u w:color="FF0000"/>
        </w:rPr>
        <w:t>.</w:t>
      </w:r>
      <w:r w:rsidRPr="00C07F22">
        <w:rPr>
          <w:u w:color="FF0000"/>
          <w:vertAlign w:val="superscript"/>
        </w:rPr>
        <w:footnoteReference w:id="3"/>
      </w:r>
      <w:r w:rsidR="00DE0A5C" w:rsidRPr="00C07F22">
        <w:rPr>
          <w:u w:color="FF0000"/>
        </w:rPr>
        <w:t xml:space="preserve"> </w:t>
      </w:r>
    </w:p>
    <w:p w14:paraId="01E5AFDF" w14:textId="3C3D8E82" w:rsidR="004F110C" w:rsidRPr="00C07F22" w:rsidRDefault="004F110C" w:rsidP="00970F26">
      <w:pPr>
        <w:pStyle w:val="Normalnumber"/>
        <w:keepNext/>
        <w:keepLines/>
      </w:pPr>
      <w:r w:rsidRPr="00C07F22">
        <w:rPr>
          <w:u w:color="FF0000"/>
        </w:rPr>
        <w:lastRenderedPageBreak/>
        <w:t>There are two main biomarkers</w:t>
      </w:r>
      <w:r w:rsidR="00432EB1" w:rsidRPr="00C07F22">
        <w:rPr>
          <w:u w:color="FF0000"/>
        </w:rPr>
        <w:t>:</w:t>
      </w:r>
      <w:r w:rsidRPr="00C07F22">
        <w:rPr>
          <w:u w:color="FF0000"/>
          <w:vertAlign w:val="superscript"/>
        </w:rPr>
        <w:footnoteReference w:id="4"/>
      </w:r>
    </w:p>
    <w:p w14:paraId="63989E01" w14:textId="7279FE23" w:rsidR="004F110C" w:rsidRPr="00C07F22" w:rsidRDefault="004F110C" w:rsidP="00970F26">
      <w:pPr>
        <w:pStyle w:val="Normalnumber"/>
        <w:keepNext/>
        <w:keepLines/>
        <w:numPr>
          <w:ilvl w:val="1"/>
          <w:numId w:val="4"/>
        </w:numPr>
        <w:tabs>
          <w:tab w:val="clear" w:pos="1134"/>
        </w:tabs>
        <w:ind w:firstLine="624"/>
      </w:pPr>
      <w:r w:rsidRPr="00C07F22">
        <w:t xml:space="preserve">Total mercury in maternal scalp hair (3 cm hair strand from the scalp, to measure exposure during the </w:t>
      </w:r>
      <w:r w:rsidR="00432EB1" w:rsidRPr="00C07F22">
        <w:t>thi</w:t>
      </w:r>
      <w:r w:rsidRPr="00C07F22">
        <w:t>rd trimester)</w:t>
      </w:r>
      <w:r w:rsidR="00807EBB" w:rsidRPr="00C07F22">
        <w:t>;</w:t>
      </w:r>
    </w:p>
    <w:p w14:paraId="70F27BB5" w14:textId="77777777" w:rsidR="004F110C" w:rsidRPr="00C07F22" w:rsidRDefault="004F110C" w:rsidP="00E1136D">
      <w:pPr>
        <w:pStyle w:val="Normalnumber"/>
        <w:numPr>
          <w:ilvl w:val="1"/>
          <w:numId w:val="4"/>
        </w:numPr>
        <w:tabs>
          <w:tab w:val="clear" w:pos="1134"/>
        </w:tabs>
        <w:ind w:firstLine="624"/>
      </w:pPr>
      <w:r w:rsidRPr="00C07F22">
        <w:t>Total mercury in cord blood.</w:t>
      </w:r>
    </w:p>
    <w:p w14:paraId="2180BC73" w14:textId="17E1CAF1" w:rsidR="004F110C" w:rsidRPr="00C07F22" w:rsidRDefault="004F110C" w:rsidP="00E1136D">
      <w:pPr>
        <w:pStyle w:val="Normalnumber"/>
      </w:pPr>
      <w:r w:rsidRPr="00C07F22">
        <w:t xml:space="preserve">Scalp hair is </w:t>
      </w:r>
      <w:r w:rsidR="00432EB1" w:rsidRPr="00C07F22">
        <w:t>the</w:t>
      </w:r>
      <w:r w:rsidRPr="00C07F22">
        <w:t xml:space="preserve"> preferable biological matrix</w:t>
      </w:r>
      <w:r w:rsidR="00807EBB" w:rsidRPr="00C07F22">
        <w:t>, as</w:t>
      </w:r>
      <w:r w:rsidR="00DE0A5C" w:rsidRPr="00C07F22">
        <w:t xml:space="preserve"> </w:t>
      </w:r>
      <w:r w:rsidR="00807EBB" w:rsidRPr="00C07F22">
        <w:t>i</w:t>
      </w:r>
      <w:r w:rsidRPr="00C07F22">
        <w:t>t is easily available</w:t>
      </w:r>
      <w:r w:rsidR="00432EB1" w:rsidRPr="00C07F22">
        <w:t xml:space="preserve"> using</w:t>
      </w:r>
      <w:r w:rsidRPr="00C07F22">
        <w:t xml:space="preserve"> a non-invasive method and there are no </w:t>
      </w:r>
      <w:r w:rsidRPr="00C07F22">
        <w:rPr>
          <w:u w:color="FF0000"/>
        </w:rPr>
        <w:t xml:space="preserve">specific requirements for transportation </w:t>
      </w:r>
      <w:r w:rsidR="002024B3" w:rsidRPr="00C07F22">
        <w:rPr>
          <w:u w:color="FF0000"/>
        </w:rPr>
        <w:t xml:space="preserve">or </w:t>
      </w:r>
      <w:r w:rsidRPr="00C07F22">
        <w:rPr>
          <w:u w:color="FF0000"/>
        </w:rPr>
        <w:t>storage.</w:t>
      </w:r>
    </w:p>
    <w:p w14:paraId="62CA5E9E" w14:textId="275AE87D" w:rsidR="004F110C" w:rsidRPr="00C07F22" w:rsidRDefault="004F110C" w:rsidP="00E1136D">
      <w:pPr>
        <w:pStyle w:val="Normalnumber"/>
      </w:pPr>
      <w:r w:rsidRPr="00C07F22">
        <w:rPr>
          <w:u w:color="FF0000"/>
        </w:rPr>
        <w:t>Cord blood can be</w:t>
      </w:r>
      <w:r w:rsidR="00096D63">
        <w:rPr>
          <w:u w:color="FF0000"/>
        </w:rPr>
        <w:t xml:space="preserve"> an</w:t>
      </w:r>
      <w:r w:rsidRPr="00C07F22">
        <w:rPr>
          <w:u w:color="FF0000"/>
        </w:rPr>
        <w:t xml:space="preserve"> alternative matrix to hair. Inclusion of cord blood in a survey provides several additional advantages</w:t>
      </w:r>
      <w:r w:rsidR="002024B3" w:rsidRPr="00C07F22">
        <w:rPr>
          <w:u w:color="FF0000"/>
        </w:rPr>
        <w:t>,</w:t>
      </w:r>
      <w:r w:rsidRPr="00C07F22">
        <w:rPr>
          <w:u w:color="FF0000"/>
        </w:rPr>
        <w:t xml:space="preserve"> such as </w:t>
      </w:r>
      <w:r w:rsidR="00ED0EB6" w:rsidRPr="00C07F22">
        <w:rPr>
          <w:u w:color="FF0000"/>
        </w:rPr>
        <w:t xml:space="preserve">providing a more reliable measure of </w:t>
      </w:r>
      <w:r w:rsidRPr="00C07F22">
        <w:rPr>
          <w:u w:color="FF0000"/>
        </w:rPr>
        <w:t xml:space="preserve"> pre-natal exposure to mercury </w:t>
      </w:r>
      <w:r w:rsidR="00E021C7">
        <w:rPr>
          <w:u w:color="FF0000"/>
        </w:rPr>
        <w:t>and of the exposure of the mother to mercury, while</w:t>
      </w:r>
      <w:r w:rsidRPr="00C07F22">
        <w:rPr>
          <w:u w:color="FF0000"/>
        </w:rPr>
        <w:t xml:space="preserve"> exclu</w:t>
      </w:r>
      <w:r w:rsidR="00ED0EB6" w:rsidRPr="00C07F22">
        <w:rPr>
          <w:u w:color="FF0000"/>
        </w:rPr>
        <w:t>ding</w:t>
      </w:r>
      <w:r w:rsidR="002024B3" w:rsidRPr="00C07F22">
        <w:rPr>
          <w:u w:color="FF0000"/>
        </w:rPr>
        <w:t xml:space="preserve"> the</w:t>
      </w:r>
      <w:r w:rsidRPr="00C07F22">
        <w:rPr>
          <w:u w:color="FF0000"/>
        </w:rPr>
        <w:t xml:space="preserve"> influence of external factors (e.g.</w:t>
      </w:r>
      <w:r w:rsidR="002024B3" w:rsidRPr="00C07F22">
        <w:rPr>
          <w:u w:color="FF0000"/>
        </w:rPr>
        <w:t>,</w:t>
      </w:r>
      <w:r w:rsidRPr="00C07F22">
        <w:rPr>
          <w:u w:color="FF0000"/>
        </w:rPr>
        <w:t xml:space="preserve"> external contamination of hair by mercury, permanent hair treatment </w:t>
      </w:r>
      <w:r w:rsidR="00F9664E" w:rsidRPr="00C07F22">
        <w:rPr>
          <w:u w:color="FF0000"/>
        </w:rPr>
        <w:t xml:space="preserve">that </w:t>
      </w:r>
      <w:r w:rsidRPr="00C07F22">
        <w:rPr>
          <w:u w:color="FF0000"/>
        </w:rPr>
        <w:t>decreas</w:t>
      </w:r>
      <w:r w:rsidR="00F9664E" w:rsidRPr="00C07F22">
        <w:rPr>
          <w:u w:color="FF0000"/>
        </w:rPr>
        <w:t>es</w:t>
      </w:r>
      <w:r w:rsidRPr="00C07F22">
        <w:rPr>
          <w:u w:color="FF0000"/>
        </w:rPr>
        <w:t xml:space="preserve"> mercury in hair)</w:t>
      </w:r>
      <w:r w:rsidR="002024B3" w:rsidRPr="00C07F22">
        <w:rPr>
          <w:u w:color="FF0000"/>
        </w:rPr>
        <w:t>,</w:t>
      </w:r>
      <w:r w:rsidR="00DE0A5C" w:rsidRPr="00C07F22">
        <w:rPr>
          <w:u w:color="FF0000"/>
        </w:rPr>
        <w:t xml:space="preserve"> </w:t>
      </w:r>
      <w:r w:rsidR="002024B3" w:rsidRPr="00C07F22">
        <w:rPr>
          <w:u w:color="FF0000"/>
        </w:rPr>
        <w:t>and provi</w:t>
      </w:r>
      <w:r w:rsidR="00ED0EB6" w:rsidRPr="00C07F22">
        <w:rPr>
          <w:u w:color="FF0000"/>
        </w:rPr>
        <w:t>ding</w:t>
      </w:r>
      <w:r w:rsidR="002024B3" w:rsidRPr="00C07F22">
        <w:rPr>
          <w:u w:color="FF0000"/>
        </w:rPr>
        <w:t xml:space="preserve"> </w:t>
      </w:r>
      <w:r w:rsidRPr="00C07F22">
        <w:rPr>
          <w:u w:color="FF0000"/>
        </w:rPr>
        <w:t xml:space="preserve">an alternative biological matrix to hair in locations where hair sampling is difficult </w:t>
      </w:r>
      <w:r w:rsidR="00ED0EB6" w:rsidRPr="00C07F22">
        <w:rPr>
          <w:u w:color="FF0000"/>
        </w:rPr>
        <w:t>owing</w:t>
      </w:r>
      <w:r w:rsidRPr="00C07F22">
        <w:rPr>
          <w:u w:color="FF0000"/>
        </w:rPr>
        <w:t xml:space="preserve"> to cultural, ethical</w:t>
      </w:r>
      <w:r w:rsidR="00E021C7">
        <w:rPr>
          <w:u w:color="FF0000"/>
        </w:rPr>
        <w:t xml:space="preserve"> and </w:t>
      </w:r>
      <w:r w:rsidRPr="00C07F22">
        <w:rPr>
          <w:u w:color="FF0000"/>
        </w:rPr>
        <w:t xml:space="preserve">religious specificities. </w:t>
      </w:r>
    </w:p>
    <w:p w14:paraId="089CC13F" w14:textId="67380D52" w:rsidR="004F110C" w:rsidRPr="00C07F22" w:rsidRDefault="004F110C" w:rsidP="00E1136D">
      <w:pPr>
        <w:pStyle w:val="Normalnumber"/>
      </w:pPr>
      <w:r w:rsidRPr="00C07F22">
        <w:rPr>
          <w:u w:color="FF0000"/>
        </w:rPr>
        <w:t xml:space="preserve">There are reliable, although variable, coefficients allowing </w:t>
      </w:r>
      <w:r w:rsidR="00725790" w:rsidRPr="00C07F22">
        <w:rPr>
          <w:u w:color="FF0000"/>
        </w:rPr>
        <w:t xml:space="preserve">for </w:t>
      </w:r>
      <w:r w:rsidRPr="00C07F22">
        <w:rPr>
          <w:u w:color="FF0000"/>
        </w:rPr>
        <w:t>comparability of results from mercury measurements in hair</w:t>
      </w:r>
      <w:r w:rsidR="00725790" w:rsidRPr="00C07F22">
        <w:rPr>
          <w:u w:color="FF0000"/>
        </w:rPr>
        <w:t>,</w:t>
      </w:r>
      <w:r w:rsidRPr="00C07F22">
        <w:rPr>
          <w:u w:color="FF0000"/>
        </w:rPr>
        <w:t xml:space="preserve"> blood</w:t>
      </w:r>
      <w:r w:rsidR="00725790" w:rsidRPr="00C07F22">
        <w:rPr>
          <w:u w:color="FF0000"/>
        </w:rPr>
        <w:t xml:space="preserve"> and </w:t>
      </w:r>
      <w:r w:rsidRPr="00C07F22">
        <w:rPr>
          <w:u w:color="FF0000"/>
        </w:rPr>
        <w:t xml:space="preserve">cord blood. </w:t>
      </w:r>
    </w:p>
    <w:p w14:paraId="00AE4C4E" w14:textId="4F7E0DDD" w:rsidR="004F110C" w:rsidRPr="00C07F22" w:rsidRDefault="004F110C" w:rsidP="00E1136D">
      <w:pPr>
        <w:pStyle w:val="Normalnumber"/>
      </w:pPr>
      <w:r w:rsidRPr="00C07F22">
        <w:rPr>
          <w:u w:color="FF0000"/>
        </w:rPr>
        <w:t xml:space="preserve">Assessment of total mercury is sufficient </w:t>
      </w:r>
      <w:r w:rsidR="002024B3" w:rsidRPr="00C07F22">
        <w:rPr>
          <w:u w:color="FF0000"/>
        </w:rPr>
        <w:t xml:space="preserve">to </w:t>
      </w:r>
      <w:r w:rsidRPr="00C07F22">
        <w:rPr>
          <w:u w:color="FF0000"/>
        </w:rPr>
        <w:t>characteriz</w:t>
      </w:r>
      <w:r w:rsidR="002024B3" w:rsidRPr="00C07F22">
        <w:rPr>
          <w:u w:color="FF0000"/>
        </w:rPr>
        <w:t>e</w:t>
      </w:r>
      <w:r w:rsidRPr="00C07F22">
        <w:rPr>
          <w:u w:color="FF0000"/>
        </w:rPr>
        <w:t xml:space="preserve"> exposure, unless external exposure of scalp hair needs to be evaluated.</w:t>
      </w:r>
    </w:p>
    <w:p w14:paraId="39B20B93" w14:textId="64B4D74C" w:rsidR="004F110C" w:rsidRPr="00C07F22" w:rsidRDefault="004F110C" w:rsidP="00E1136D">
      <w:pPr>
        <w:pStyle w:val="Normalnumber"/>
      </w:pPr>
      <w:r w:rsidRPr="00C07F22">
        <w:rPr>
          <w:u w:color="FF0000"/>
        </w:rPr>
        <w:t xml:space="preserve">In addition to general </w:t>
      </w:r>
      <w:r w:rsidRPr="007A1D5C">
        <w:rPr>
          <w:u w:color="FF0000"/>
        </w:rPr>
        <w:t>population exposure</w:t>
      </w:r>
      <w:r w:rsidRPr="00C07F22">
        <w:rPr>
          <w:u w:color="FF0000"/>
        </w:rPr>
        <w:t>, parties may conduct biomonitoring in other vulnerable populations</w:t>
      </w:r>
      <w:r w:rsidR="002024B3" w:rsidRPr="00C07F22">
        <w:rPr>
          <w:u w:color="FF0000"/>
        </w:rPr>
        <w:t>,</w:t>
      </w:r>
      <w:r w:rsidRPr="00C07F22">
        <w:rPr>
          <w:u w:color="FF0000"/>
        </w:rPr>
        <w:t xml:space="preserve"> including the occupationally exposed</w:t>
      </w:r>
      <w:r w:rsidR="002024B3" w:rsidRPr="00C07F22">
        <w:rPr>
          <w:u w:color="FF0000"/>
        </w:rPr>
        <w:t>,</w:t>
      </w:r>
      <w:r w:rsidRPr="00C07F22">
        <w:rPr>
          <w:u w:color="FF0000"/>
        </w:rPr>
        <w:t xml:space="preserve"> and in hot spot areas.</w:t>
      </w:r>
      <w:r w:rsidR="00DE0A5C" w:rsidRPr="00C07F22">
        <w:rPr>
          <w:u w:color="FF0000"/>
        </w:rPr>
        <w:t xml:space="preserve"> </w:t>
      </w:r>
      <w:r w:rsidRPr="00C07F22">
        <w:rPr>
          <w:u w:color="FF0000"/>
        </w:rPr>
        <w:t xml:space="preserve">These data </w:t>
      </w:r>
      <w:r w:rsidR="002024B3" w:rsidRPr="00C07F22">
        <w:rPr>
          <w:u w:color="FF0000"/>
        </w:rPr>
        <w:t xml:space="preserve">can </w:t>
      </w:r>
      <w:r w:rsidRPr="00C07F22">
        <w:rPr>
          <w:u w:color="FF0000"/>
        </w:rPr>
        <w:t xml:space="preserve">provide additional information </w:t>
      </w:r>
      <w:r w:rsidR="00725790" w:rsidRPr="00C07F22">
        <w:rPr>
          <w:u w:color="FF0000"/>
        </w:rPr>
        <w:t>that would be useful in</w:t>
      </w:r>
      <w:r w:rsidRPr="00C07F22">
        <w:rPr>
          <w:u w:color="FF0000"/>
        </w:rPr>
        <w:t xml:space="preserve"> effectiveness evaluation </w:t>
      </w:r>
      <w:r w:rsidR="002024B3" w:rsidRPr="00C07F22">
        <w:rPr>
          <w:u w:color="FF0000"/>
        </w:rPr>
        <w:t xml:space="preserve">(e.g., </w:t>
      </w:r>
      <w:r w:rsidRPr="00C07F22">
        <w:rPr>
          <w:u w:color="FF0000"/>
        </w:rPr>
        <w:t>when repeated over time in the same populations</w:t>
      </w:r>
      <w:r w:rsidR="002024B3" w:rsidRPr="00C07F22">
        <w:rPr>
          <w:u w:color="FF0000"/>
        </w:rPr>
        <w:t>)</w:t>
      </w:r>
      <w:r w:rsidRPr="00C07F22">
        <w:rPr>
          <w:u w:color="FF0000"/>
        </w:rPr>
        <w:t xml:space="preserve">. </w:t>
      </w:r>
    </w:p>
    <w:p w14:paraId="7E72EBEE" w14:textId="6C52E45E" w:rsidR="004F110C" w:rsidRPr="00C07F22" w:rsidRDefault="004F110C" w:rsidP="00E1136D">
      <w:pPr>
        <w:pStyle w:val="Normalnumber"/>
      </w:pPr>
      <w:r w:rsidRPr="00C07F22">
        <w:rPr>
          <w:i/>
          <w:iCs/>
          <w:u w:color="FF0000"/>
        </w:rPr>
        <w:t>Global Mercury Assessment 2018</w:t>
      </w:r>
      <w:r w:rsidRPr="00C07F22">
        <w:rPr>
          <w:u w:color="FF0000"/>
        </w:rPr>
        <w:t xml:space="preserve"> identified currently available mercury exposure </w:t>
      </w:r>
      <w:r w:rsidR="00F9664E" w:rsidRPr="00C07F22">
        <w:rPr>
          <w:u w:color="FF0000"/>
        </w:rPr>
        <w:t xml:space="preserve">data </w:t>
      </w:r>
      <w:r w:rsidRPr="00C07F22">
        <w:rPr>
          <w:u w:color="FF0000"/>
        </w:rPr>
        <w:t>in regional and national human biomonitoring programmes, longitudinal birth cohort studies and cross</w:t>
      </w:r>
      <w:r w:rsidR="00184B80">
        <w:rPr>
          <w:u w:color="FF0000"/>
        </w:rPr>
        <w:noBreakHyphen/>
      </w:r>
      <w:r w:rsidRPr="00C07F22">
        <w:rPr>
          <w:u w:color="FF0000"/>
        </w:rPr>
        <w:t xml:space="preserve">sectional information </w:t>
      </w:r>
      <w:r w:rsidR="008478E9" w:rsidRPr="00C07F22">
        <w:rPr>
          <w:u w:color="FF0000"/>
        </w:rPr>
        <w:t>for</w:t>
      </w:r>
      <w:r w:rsidRPr="00C07F22">
        <w:rPr>
          <w:u w:color="FF0000"/>
        </w:rPr>
        <w:t xml:space="preserve"> specific populations</w:t>
      </w:r>
      <w:r w:rsidR="002024B3" w:rsidRPr="00C07F22">
        <w:rPr>
          <w:u w:color="FF0000"/>
        </w:rPr>
        <w:t>,</w:t>
      </w:r>
      <w:r w:rsidRPr="00C07F22">
        <w:rPr>
          <w:u w:color="FF0000"/>
        </w:rPr>
        <w:t xml:space="preserve"> including high</w:t>
      </w:r>
      <w:r w:rsidR="00E1226B">
        <w:rPr>
          <w:u w:color="FF0000"/>
        </w:rPr>
        <w:t>-</w:t>
      </w:r>
      <w:r w:rsidRPr="00C07F22">
        <w:rPr>
          <w:u w:color="FF0000"/>
        </w:rPr>
        <w:t>exposure groups.</w:t>
      </w:r>
      <w:r w:rsidR="0056566B" w:rsidRPr="00C07F22">
        <w:rPr>
          <w:u w:color="FF0000"/>
        </w:rPr>
        <w:t xml:space="preserve"> The assessment revealed the following:</w:t>
      </w:r>
    </w:p>
    <w:p w14:paraId="19D1F37D" w14:textId="5E23CD38" w:rsidR="004F110C" w:rsidRPr="00C07F22" w:rsidRDefault="008478E9" w:rsidP="00E1136D">
      <w:pPr>
        <w:pStyle w:val="Normalnumber"/>
        <w:numPr>
          <w:ilvl w:val="1"/>
          <w:numId w:val="4"/>
        </w:numPr>
        <w:tabs>
          <w:tab w:val="clear" w:pos="1134"/>
        </w:tabs>
        <w:ind w:firstLine="624"/>
      </w:pPr>
      <w:r w:rsidRPr="00C07F22">
        <w:t>S</w:t>
      </w:r>
      <w:r w:rsidR="0056566B" w:rsidRPr="00C07F22">
        <w:t>ome of the information available from</w:t>
      </w:r>
      <w:r w:rsidR="004F110C" w:rsidRPr="00C07F22">
        <w:t xml:space="preserve"> regional and national human biomonitoring programmes may be comparable (depending on the ability to disaggregate data by sex and age within the programme). Such </w:t>
      </w:r>
      <w:r w:rsidR="0056566B" w:rsidRPr="00C07F22">
        <w:t xml:space="preserve">programmes </w:t>
      </w:r>
      <w:r w:rsidR="004F110C" w:rsidRPr="00C07F22">
        <w:t xml:space="preserve">are only available in a very small number of countries, primarily in the northern hemisphere. </w:t>
      </w:r>
      <w:r w:rsidR="0056566B" w:rsidRPr="00C07F22">
        <w:t>They</w:t>
      </w:r>
      <w:r w:rsidR="004F110C" w:rsidRPr="00C07F22">
        <w:t xml:space="preserve"> are expensive and therefore not feasible for the sole purpose of monitoring global mercury exposure.</w:t>
      </w:r>
    </w:p>
    <w:p w14:paraId="2676B6C9" w14:textId="735AB281" w:rsidR="004F110C" w:rsidRPr="00C07F22" w:rsidRDefault="004F110C" w:rsidP="00E1136D">
      <w:pPr>
        <w:pStyle w:val="Normalnumber"/>
        <w:numPr>
          <w:ilvl w:val="1"/>
          <w:numId w:val="4"/>
        </w:numPr>
        <w:tabs>
          <w:tab w:val="clear" w:pos="1134"/>
        </w:tabs>
        <w:ind w:firstLine="624"/>
      </w:pPr>
      <w:r w:rsidRPr="00C07F22">
        <w:t>Comparable</w:t>
      </w:r>
      <w:r w:rsidR="00F9664E" w:rsidRPr="00C07F22">
        <w:t>,</w:t>
      </w:r>
      <w:r w:rsidRPr="00C07F22">
        <w:t xml:space="preserve"> high-quality data exist from longitudinal birth cohort studies, including </w:t>
      </w:r>
      <w:r w:rsidR="00725790" w:rsidRPr="00C07F22">
        <w:t>studies of</w:t>
      </w:r>
      <w:r w:rsidRPr="00C07F22">
        <w:t xml:space="preserve"> groups </w:t>
      </w:r>
      <w:r w:rsidR="00725790" w:rsidRPr="00C07F22">
        <w:t xml:space="preserve">that </w:t>
      </w:r>
      <w:r w:rsidRPr="00C07F22">
        <w:t>consum</w:t>
      </w:r>
      <w:r w:rsidR="00725790" w:rsidRPr="00C07F22">
        <w:t>e</w:t>
      </w:r>
      <w:r w:rsidRPr="00C07F22">
        <w:t xml:space="preserve"> large amounts of seafood, freshwater fish and/or marine mammals.</w:t>
      </w:r>
      <w:r w:rsidR="00DE0A5C" w:rsidRPr="00C07F22">
        <w:t xml:space="preserve"> </w:t>
      </w:r>
      <w:r w:rsidRPr="00C07F22">
        <w:t xml:space="preserve">These are available only in a small number of locations, and are not globally representative. </w:t>
      </w:r>
    </w:p>
    <w:p w14:paraId="334F1596" w14:textId="52624A1A" w:rsidR="004F110C" w:rsidRPr="00C07F22" w:rsidRDefault="004F110C" w:rsidP="00E1136D">
      <w:pPr>
        <w:pStyle w:val="Normalnumber"/>
        <w:numPr>
          <w:ilvl w:val="1"/>
          <w:numId w:val="4"/>
        </w:numPr>
        <w:tabs>
          <w:tab w:val="clear" w:pos="1134"/>
        </w:tabs>
        <w:ind w:firstLine="624"/>
      </w:pPr>
      <w:r w:rsidRPr="00C07F22">
        <w:t>The G</w:t>
      </w:r>
      <w:r w:rsidR="0056566B" w:rsidRPr="00C07F22">
        <w:t xml:space="preserve">lobal </w:t>
      </w:r>
      <w:r w:rsidRPr="00C07F22">
        <w:t>E</w:t>
      </w:r>
      <w:r w:rsidR="0056566B" w:rsidRPr="00C07F22">
        <w:t xml:space="preserve">nvironment </w:t>
      </w:r>
      <w:r w:rsidRPr="00C07F22">
        <w:t>F</w:t>
      </w:r>
      <w:r w:rsidR="0056566B" w:rsidRPr="00C07F22">
        <w:t>acility</w:t>
      </w:r>
      <w:r w:rsidRPr="00C07F22">
        <w:t>-funded project</w:t>
      </w:r>
      <w:r w:rsidR="001F4808" w:rsidRPr="00C07F22">
        <w:t>, entitled</w:t>
      </w:r>
      <w:r w:rsidRPr="00C07F22">
        <w:t xml:space="preserve"> “Develop a </w:t>
      </w:r>
      <w:r w:rsidR="00EE6662">
        <w:t>p</w:t>
      </w:r>
      <w:r w:rsidRPr="00C07F22">
        <w:t xml:space="preserve">lan for </w:t>
      </w:r>
      <w:r w:rsidR="00EE6662">
        <w:t>g</w:t>
      </w:r>
      <w:r w:rsidRPr="00C07F22">
        <w:t xml:space="preserve">lobal </w:t>
      </w:r>
      <w:r w:rsidR="00EE6662">
        <w:t>m</w:t>
      </w:r>
      <w:r w:rsidRPr="00C07F22">
        <w:t xml:space="preserve">onitoring of </w:t>
      </w:r>
      <w:r w:rsidR="00EE6662">
        <w:t>h</w:t>
      </w:r>
      <w:r w:rsidRPr="00C07F22">
        <w:t xml:space="preserve">uman </w:t>
      </w:r>
      <w:r w:rsidR="00EE6662">
        <w:t>e</w:t>
      </w:r>
      <w:r w:rsidRPr="00C07F22">
        <w:t xml:space="preserve">xposure to and </w:t>
      </w:r>
      <w:r w:rsidR="00EE6662">
        <w:t>e</w:t>
      </w:r>
      <w:r w:rsidRPr="00C07F22">
        <w:t xml:space="preserve">nvironmental </w:t>
      </w:r>
      <w:r w:rsidR="00EE6662">
        <w:t>c</w:t>
      </w:r>
      <w:r w:rsidRPr="00C07F22">
        <w:t xml:space="preserve">oncentration of </w:t>
      </w:r>
      <w:r w:rsidR="00EE6662">
        <w:t>m</w:t>
      </w:r>
      <w:r w:rsidRPr="00C07F22">
        <w:t>ercury” (</w:t>
      </w:r>
      <w:r w:rsidR="00EE6662">
        <w:t xml:space="preserve">see </w:t>
      </w:r>
      <w:r w:rsidRPr="00C07F22">
        <w:t>UNEP/MC/COP.3/INF/19) has generated comparable data in a small number of additional countries, using the W</w:t>
      </w:r>
      <w:r w:rsidR="0056566B" w:rsidRPr="00C07F22">
        <w:t xml:space="preserve">orld </w:t>
      </w:r>
      <w:r w:rsidRPr="00C07F22">
        <w:t>H</w:t>
      </w:r>
      <w:r w:rsidR="0056566B" w:rsidRPr="00C07F22">
        <w:t xml:space="preserve">ealth </w:t>
      </w:r>
      <w:r w:rsidRPr="00C07F22">
        <w:t>O</w:t>
      </w:r>
      <w:r w:rsidR="0056566B" w:rsidRPr="00C07F22">
        <w:t>rganization</w:t>
      </w:r>
      <w:r w:rsidRPr="00C07F22">
        <w:t xml:space="preserve"> </w:t>
      </w:r>
      <w:r w:rsidR="0056566B" w:rsidRPr="00C07F22">
        <w:t xml:space="preserve">(WHO) </w:t>
      </w:r>
      <w:r w:rsidRPr="00C07F22">
        <w:t>protocol</w:t>
      </w:r>
      <w:r w:rsidR="00F9664E" w:rsidRPr="00C07F22">
        <w:t xml:space="preserve"> for assessment of prenatal exposure to mercury</w:t>
      </w:r>
      <w:r w:rsidRPr="00C07F22">
        <w:t>.</w:t>
      </w:r>
      <w:r w:rsidRPr="00C07F22">
        <w:rPr>
          <w:vertAlign w:val="superscript"/>
        </w:rPr>
        <w:footnoteReference w:id="5"/>
      </w:r>
    </w:p>
    <w:p w14:paraId="7BFBE9CA" w14:textId="1A2EE2DD" w:rsidR="004F110C" w:rsidRPr="00C07F22" w:rsidRDefault="00F4344C" w:rsidP="00E1136D">
      <w:pPr>
        <w:pStyle w:val="Normalnumber"/>
      </w:pPr>
      <w:r w:rsidRPr="00C07F22">
        <w:rPr>
          <w:u w:color="FF0000"/>
        </w:rPr>
        <w:t>Biomonitoring of t</w:t>
      </w:r>
      <w:r w:rsidR="004F110C" w:rsidRPr="00C07F22">
        <w:rPr>
          <w:u w:color="FF0000"/>
        </w:rPr>
        <w:t>otal mercury in urine is relevant for populations with high exposure to elemental and inorganic mercury</w:t>
      </w:r>
      <w:r w:rsidR="00E26A0D" w:rsidRPr="00C07F22">
        <w:rPr>
          <w:u w:color="FF0000"/>
        </w:rPr>
        <w:t xml:space="preserve"> but</w:t>
      </w:r>
      <w:r w:rsidR="004F110C" w:rsidRPr="00C07F22">
        <w:rPr>
          <w:u w:color="FF0000"/>
        </w:rPr>
        <w:t xml:space="preserve"> is not appropriate for assessment of methylmercury exposure. It may be useful for </w:t>
      </w:r>
      <w:r w:rsidRPr="00C07F22">
        <w:rPr>
          <w:u w:color="FF0000"/>
        </w:rPr>
        <w:t xml:space="preserve">evaluating </w:t>
      </w:r>
      <w:r w:rsidR="004F110C" w:rsidRPr="00C07F22">
        <w:rPr>
          <w:u w:color="FF0000"/>
        </w:rPr>
        <w:t xml:space="preserve">the impact of control actions taken by parties </w:t>
      </w:r>
      <w:r w:rsidR="001F4808" w:rsidRPr="00C07F22">
        <w:rPr>
          <w:u w:color="FF0000"/>
        </w:rPr>
        <w:t>with respect to</w:t>
      </w:r>
      <w:r w:rsidR="004F110C" w:rsidRPr="00C07F22">
        <w:rPr>
          <w:u w:color="FF0000"/>
        </w:rPr>
        <w:t xml:space="preserve"> mercury exposure in mining communities. </w:t>
      </w:r>
    </w:p>
    <w:p w14:paraId="0A44E378" w14:textId="454A3294" w:rsidR="004F110C" w:rsidRPr="00C07F22" w:rsidRDefault="004F110C" w:rsidP="00E1136D">
      <w:pPr>
        <w:pStyle w:val="Normalnumber"/>
      </w:pPr>
      <w:r w:rsidRPr="00C07F22">
        <w:rPr>
          <w:u w:color="FF0000"/>
        </w:rPr>
        <w:t xml:space="preserve">Human biomonitoring has a number of advantages </w:t>
      </w:r>
      <w:r w:rsidR="001F4808" w:rsidRPr="00C07F22">
        <w:rPr>
          <w:u w:color="FF0000"/>
        </w:rPr>
        <w:t>with respect to</w:t>
      </w:r>
      <w:r w:rsidRPr="00C07F22">
        <w:rPr>
          <w:u w:color="FF0000"/>
        </w:rPr>
        <w:t xml:space="preserve"> informing an effectiveness evaluation of the Minamata Convention, including:</w:t>
      </w:r>
    </w:p>
    <w:p w14:paraId="0FD73A74" w14:textId="236997A2" w:rsidR="004F110C" w:rsidRPr="00C07F22" w:rsidRDefault="004F110C" w:rsidP="00E1136D">
      <w:pPr>
        <w:pStyle w:val="Normalnumber"/>
        <w:numPr>
          <w:ilvl w:val="1"/>
          <w:numId w:val="4"/>
        </w:numPr>
        <w:tabs>
          <w:tab w:val="clear" w:pos="1134"/>
        </w:tabs>
        <w:ind w:firstLine="624"/>
      </w:pPr>
      <w:r w:rsidRPr="00C07F22">
        <w:t xml:space="preserve">Directly addressing the fundamental question </w:t>
      </w:r>
      <w:r w:rsidR="0056566B" w:rsidRPr="00C07F22">
        <w:t>of</w:t>
      </w:r>
      <w:r w:rsidRPr="00C07F22">
        <w:t xml:space="preserve"> whether enough is being done to protect human health (</w:t>
      </w:r>
      <w:r w:rsidR="0056566B" w:rsidRPr="00C07F22">
        <w:t>a</w:t>
      </w:r>
      <w:r w:rsidRPr="00C07F22">
        <w:t>rticle 1 of the Convention);</w:t>
      </w:r>
    </w:p>
    <w:p w14:paraId="4EEA2F09" w14:textId="77777777" w:rsidR="004F110C" w:rsidRPr="00C07F22" w:rsidRDefault="004F110C" w:rsidP="00E1136D">
      <w:pPr>
        <w:pStyle w:val="Normalnumber"/>
        <w:numPr>
          <w:ilvl w:val="1"/>
          <w:numId w:val="4"/>
        </w:numPr>
        <w:tabs>
          <w:tab w:val="clear" w:pos="1134"/>
        </w:tabs>
        <w:ind w:firstLine="624"/>
      </w:pPr>
      <w:r w:rsidRPr="00C07F22">
        <w:t>Integrating information on exposure to mercury from different sources;</w:t>
      </w:r>
    </w:p>
    <w:p w14:paraId="091B3D45" w14:textId="24EAE67D" w:rsidR="004F110C" w:rsidRPr="00C07F22" w:rsidRDefault="004F110C" w:rsidP="00E1136D">
      <w:pPr>
        <w:pStyle w:val="Normalnumber"/>
        <w:numPr>
          <w:ilvl w:val="1"/>
          <w:numId w:val="4"/>
        </w:numPr>
        <w:tabs>
          <w:tab w:val="clear" w:pos="1134"/>
        </w:tabs>
        <w:ind w:firstLine="624"/>
      </w:pPr>
      <w:r w:rsidRPr="00C07F22">
        <w:t>Integrating the effects of the range of risk</w:t>
      </w:r>
      <w:r w:rsidR="001F4808" w:rsidRPr="00C07F22">
        <w:t>-</w:t>
      </w:r>
      <w:r w:rsidRPr="00C07F22">
        <w:t>reduction measures taken.</w:t>
      </w:r>
    </w:p>
    <w:p w14:paraId="750A411A" w14:textId="6241EBC6" w:rsidR="004F110C" w:rsidRPr="00C07F22" w:rsidRDefault="004F110C" w:rsidP="00E1136D">
      <w:pPr>
        <w:pStyle w:val="Normalnumber"/>
      </w:pPr>
      <w:r w:rsidRPr="00C07F22">
        <w:lastRenderedPageBreak/>
        <w:t xml:space="preserve">In using human biomonitoring data, it should be noted that </w:t>
      </w:r>
      <w:r w:rsidR="006B59DD" w:rsidRPr="00C07F22">
        <w:t xml:space="preserve">the level of mercury in </w:t>
      </w:r>
      <w:r w:rsidRPr="00C07F22">
        <w:t>human</w:t>
      </w:r>
      <w:r w:rsidR="006B59DD" w:rsidRPr="00C07F22">
        <w:t>s</w:t>
      </w:r>
      <w:r w:rsidRPr="00C07F22">
        <w:t xml:space="preserve"> is affected by many confounding </w:t>
      </w:r>
      <w:r w:rsidRPr="00C07F22">
        <w:rPr>
          <w:u w:color="FF0000"/>
        </w:rPr>
        <w:t>factors</w:t>
      </w:r>
      <w:r w:rsidR="00E26A0D" w:rsidRPr="00C07F22">
        <w:rPr>
          <w:u w:color="FF0000"/>
        </w:rPr>
        <w:t>,</w:t>
      </w:r>
      <w:r w:rsidRPr="00C07F22">
        <w:t xml:space="preserve"> such as fish consumption habit</w:t>
      </w:r>
      <w:r w:rsidR="00E26A0D" w:rsidRPr="00C07F22">
        <w:t>s</w:t>
      </w:r>
      <w:r w:rsidRPr="00C07F22">
        <w:t xml:space="preserve"> (species and amount), age, gender, alcohol consumption, health condition</w:t>
      </w:r>
      <w:r w:rsidR="00E26A0D" w:rsidRPr="00C07F22">
        <w:t xml:space="preserve"> and</w:t>
      </w:r>
      <w:r w:rsidRPr="00C07F22">
        <w:t xml:space="preserve"> economic </w:t>
      </w:r>
      <w:r w:rsidR="00E26A0D" w:rsidRPr="00C07F22">
        <w:t>status</w:t>
      </w:r>
      <w:r w:rsidRPr="00C07F22">
        <w:t>.</w:t>
      </w:r>
    </w:p>
    <w:p w14:paraId="257075C3" w14:textId="0038C93D" w:rsidR="004F110C" w:rsidRPr="00C07F22" w:rsidRDefault="00B93064" w:rsidP="00E9604D">
      <w:pPr>
        <w:pStyle w:val="CH2"/>
      </w:pPr>
      <w:r w:rsidRPr="00C07F22">
        <w:tab/>
        <w:t>D.</w:t>
      </w:r>
      <w:r w:rsidRPr="00C07F22">
        <w:tab/>
      </w:r>
      <w:r w:rsidR="004F110C" w:rsidRPr="00C07F22">
        <w:t>Biotic media</w:t>
      </w:r>
    </w:p>
    <w:p w14:paraId="6662824B" w14:textId="6FF36C54" w:rsidR="004F110C" w:rsidRPr="00C07F22" w:rsidRDefault="004F110C" w:rsidP="00E9604D">
      <w:pPr>
        <w:pStyle w:val="Normalnumber"/>
        <w:keepNext/>
        <w:keepLines/>
      </w:pPr>
      <w:r w:rsidRPr="00C07F22">
        <w:t xml:space="preserve">Biota </w:t>
      </w:r>
      <w:r w:rsidRPr="00C07F22">
        <w:rPr>
          <w:u w:color="FF0000"/>
        </w:rPr>
        <w:t>samples can provide information for different outcomes. Three types of outcomes, namely human exposure, environmental health and temporal trends</w:t>
      </w:r>
      <w:r w:rsidR="00E26A0D" w:rsidRPr="00C07F22">
        <w:rPr>
          <w:u w:color="FF0000"/>
        </w:rPr>
        <w:t>,</w:t>
      </w:r>
      <w:r w:rsidRPr="00C07F22">
        <w:rPr>
          <w:u w:color="FF0000"/>
        </w:rPr>
        <w:t xml:space="preserve"> are identified in relation to biota monitoring. There is enough biotic mercury data available regionally and globally to assess environmental exposure </w:t>
      </w:r>
      <w:r w:rsidR="002F0D74" w:rsidRPr="00C07F22">
        <w:rPr>
          <w:u w:color="FF0000"/>
        </w:rPr>
        <w:t>and</w:t>
      </w:r>
      <w:r w:rsidRPr="00C07F22">
        <w:rPr>
          <w:u w:color="FF0000"/>
        </w:rPr>
        <w:t xml:space="preserve"> spatial and temporal trends </w:t>
      </w:r>
      <w:r w:rsidR="002F0D74" w:rsidRPr="00C07F22">
        <w:rPr>
          <w:u w:color="FF0000"/>
        </w:rPr>
        <w:t>in</w:t>
      </w:r>
      <w:r w:rsidRPr="00C07F22">
        <w:rPr>
          <w:u w:color="FF0000"/>
        </w:rPr>
        <w:t xml:space="preserve"> many, but not all, ecosystems and biomes of geographic interest. Human</w:t>
      </w:r>
      <w:r w:rsidR="00E26A0D" w:rsidRPr="00C07F22">
        <w:rPr>
          <w:u w:color="FF0000"/>
        </w:rPr>
        <w:t>s can be</w:t>
      </w:r>
      <w:r w:rsidRPr="00C07F22">
        <w:rPr>
          <w:u w:color="FF0000"/>
        </w:rPr>
        <w:t xml:space="preserve"> expos</w:t>
      </w:r>
      <w:r w:rsidR="00E26A0D" w:rsidRPr="00C07F22">
        <w:rPr>
          <w:u w:color="FF0000"/>
        </w:rPr>
        <w:t>ed</w:t>
      </w:r>
      <w:r w:rsidRPr="00C07F22">
        <w:rPr>
          <w:u w:color="FF0000"/>
        </w:rPr>
        <w:t xml:space="preserve"> to dietary methylmercury from fish, birds and marine mammals (fish </w:t>
      </w:r>
      <w:r w:rsidR="00E26A0D" w:rsidRPr="00C07F22">
        <w:rPr>
          <w:u w:color="FF0000"/>
        </w:rPr>
        <w:t xml:space="preserve">being </w:t>
      </w:r>
      <w:r w:rsidRPr="00C07F22">
        <w:rPr>
          <w:u w:color="FF0000"/>
        </w:rPr>
        <w:t>a major contribut</w:t>
      </w:r>
      <w:r w:rsidR="00E26A0D" w:rsidRPr="00C07F22">
        <w:rPr>
          <w:u w:color="FF0000"/>
        </w:rPr>
        <w:t>or</w:t>
      </w:r>
      <w:r w:rsidRPr="00C07F22">
        <w:rPr>
          <w:u w:color="FF0000"/>
        </w:rPr>
        <w:t xml:space="preserve">, birds a minor or major </w:t>
      </w:r>
      <w:r w:rsidR="00E26A0D" w:rsidRPr="00C07F22">
        <w:rPr>
          <w:u w:color="FF0000"/>
        </w:rPr>
        <w:t>contributor</w:t>
      </w:r>
      <w:r w:rsidRPr="00C07F22">
        <w:rPr>
          <w:u w:color="FF0000"/>
        </w:rPr>
        <w:t xml:space="preserve"> depending on diets and marine mammals a major contribut</w:t>
      </w:r>
      <w:r w:rsidR="00E26A0D" w:rsidRPr="00C07F22">
        <w:rPr>
          <w:u w:color="FF0000"/>
        </w:rPr>
        <w:t>or</w:t>
      </w:r>
      <w:r w:rsidRPr="00C07F22">
        <w:rPr>
          <w:u w:color="FF0000"/>
        </w:rPr>
        <w:t xml:space="preserve"> in certain diets). </w:t>
      </w:r>
    </w:p>
    <w:p w14:paraId="6C2D69E2" w14:textId="688FB472" w:rsidR="004F110C" w:rsidRPr="00C07F22" w:rsidRDefault="004F110C" w:rsidP="00E1136D">
      <w:pPr>
        <w:pStyle w:val="Normalnumber"/>
      </w:pPr>
      <w:r w:rsidRPr="00C07F22">
        <w:rPr>
          <w:u w:color="FF0000"/>
        </w:rPr>
        <w:t>The following samples from four major biomarker groups (taxa) are considered the most relevant and are most frequently used</w:t>
      </w:r>
      <w:r w:rsidRPr="00C07F22">
        <w:t xml:space="preserve"> for methylmercury monitoring:</w:t>
      </w:r>
    </w:p>
    <w:p w14:paraId="2543FFDC" w14:textId="089C01F4" w:rsidR="004F110C" w:rsidRPr="00C07F22" w:rsidRDefault="004F110C" w:rsidP="00E1136D">
      <w:pPr>
        <w:pStyle w:val="Normalnumber"/>
        <w:numPr>
          <w:ilvl w:val="1"/>
          <w:numId w:val="4"/>
        </w:numPr>
        <w:tabs>
          <w:tab w:val="clear" w:pos="1134"/>
        </w:tabs>
        <w:ind w:firstLine="624"/>
      </w:pPr>
      <w:r w:rsidRPr="00C07F22">
        <w:t>Fish: muscle fillet, muscle biopsy, fin clips, blood</w:t>
      </w:r>
      <w:r w:rsidR="00E26A0D" w:rsidRPr="00C07F22">
        <w:t>;</w:t>
      </w:r>
    </w:p>
    <w:p w14:paraId="3CBB5F08" w14:textId="6403AE14" w:rsidR="004F110C" w:rsidRPr="00C07F22" w:rsidRDefault="004F110C" w:rsidP="00E1136D">
      <w:pPr>
        <w:pStyle w:val="Normalnumber"/>
        <w:numPr>
          <w:ilvl w:val="1"/>
          <w:numId w:val="4"/>
        </w:numPr>
        <w:tabs>
          <w:tab w:val="clear" w:pos="1134"/>
        </w:tabs>
        <w:ind w:firstLine="624"/>
      </w:pPr>
      <w:r w:rsidRPr="00C07F22">
        <w:t>Sea turtles: scutes, blood, muscle</w:t>
      </w:r>
      <w:r w:rsidR="00E26A0D" w:rsidRPr="00C07F22">
        <w:t>;</w:t>
      </w:r>
    </w:p>
    <w:p w14:paraId="7B399403" w14:textId="48FBA119" w:rsidR="004F110C" w:rsidRPr="00C07F22" w:rsidRDefault="004F110C" w:rsidP="00E1136D">
      <w:pPr>
        <w:pStyle w:val="Normalnumber"/>
        <w:numPr>
          <w:ilvl w:val="1"/>
          <w:numId w:val="4"/>
        </w:numPr>
        <w:tabs>
          <w:tab w:val="clear" w:pos="1134"/>
        </w:tabs>
        <w:ind w:firstLine="624"/>
      </w:pPr>
      <w:r w:rsidRPr="00C07F22">
        <w:t>Birds: blood, feather</w:t>
      </w:r>
      <w:r w:rsidR="00F4344C" w:rsidRPr="00C07F22">
        <w:t>s</w:t>
      </w:r>
      <w:r w:rsidRPr="00C07F22">
        <w:t>, eggs, muscle, egg</w:t>
      </w:r>
      <w:r w:rsidR="00F4344C" w:rsidRPr="00C07F22">
        <w:t xml:space="preserve"> </w:t>
      </w:r>
      <w:r w:rsidRPr="00C07F22">
        <w:t>shells and membranes, liver and kidney</w:t>
      </w:r>
      <w:r w:rsidR="00F4344C" w:rsidRPr="00C07F22">
        <w:t>s</w:t>
      </w:r>
      <w:r w:rsidR="00E26A0D" w:rsidRPr="00C07F22">
        <w:t>;</w:t>
      </w:r>
    </w:p>
    <w:p w14:paraId="6AF03CAF" w14:textId="78601CD0" w:rsidR="004F110C" w:rsidRPr="00165629" w:rsidRDefault="004F110C" w:rsidP="00E1136D">
      <w:pPr>
        <w:pStyle w:val="Normalnumber"/>
        <w:numPr>
          <w:ilvl w:val="1"/>
          <w:numId w:val="4"/>
        </w:numPr>
        <w:tabs>
          <w:tab w:val="clear" w:pos="1134"/>
        </w:tabs>
        <w:ind w:firstLine="624"/>
      </w:pPr>
      <w:r w:rsidRPr="00165629">
        <w:t>Mammals: skin, fur or hair, muscle, liver and kidney</w:t>
      </w:r>
      <w:r w:rsidR="00F4344C" w:rsidRPr="00165629">
        <w:t>s</w:t>
      </w:r>
      <w:r w:rsidR="00E26A0D" w:rsidRPr="00165629">
        <w:t>.</w:t>
      </w:r>
    </w:p>
    <w:p w14:paraId="1D5500AF" w14:textId="1FC1AF4C" w:rsidR="004F110C" w:rsidRPr="00C07F22" w:rsidRDefault="002F0D74" w:rsidP="002F0D74">
      <w:pPr>
        <w:pStyle w:val="Normalnumber"/>
      </w:pPr>
      <w:r w:rsidRPr="00165629">
        <w:t xml:space="preserve">It is recommended that </w:t>
      </w:r>
      <w:r w:rsidR="004F110C" w:rsidRPr="00165629">
        <w:t xml:space="preserve">muscle tissue </w:t>
      </w:r>
      <w:r w:rsidRPr="00165629">
        <w:t>be used to assess samples from</w:t>
      </w:r>
      <w:r w:rsidR="004F110C" w:rsidRPr="00165629">
        <w:t xml:space="preserve"> fish and marine mammals</w:t>
      </w:r>
      <w:r w:rsidR="00A334A9" w:rsidRPr="00165629">
        <w:t>.</w:t>
      </w:r>
      <w:r w:rsidR="00DE0A5C" w:rsidRPr="00165629">
        <w:t xml:space="preserve"> </w:t>
      </w:r>
      <w:r w:rsidR="004F110C" w:rsidRPr="00165629">
        <w:t>For birds, blood should be used for short</w:t>
      </w:r>
      <w:r w:rsidR="00E26A0D" w:rsidRPr="00165629">
        <w:t>-</w:t>
      </w:r>
      <w:r w:rsidR="004F110C" w:rsidRPr="00165629">
        <w:t>term data (</w:t>
      </w:r>
      <w:r w:rsidRPr="00165629">
        <w:t xml:space="preserve">i.e., </w:t>
      </w:r>
      <w:r w:rsidR="004F110C" w:rsidRPr="00165629">
        <w:t>within days</w:t>
      </w:r>
      <w:r w:rsidRPr="00165629">
        <w:t xml:space="preserve"> of exposure</w:t>
      </w:r>
      <w:r w:rsidR="004F110C" w:rsidRPr="00165629">
        <w:t>)</w:t>
      </w:r>
      <w:r w:rsidRPr="00165629">
        <w:t>;</w:t>
      </w:r>
      <w:r w:rsidR="004F110C" w:rsidRPr="00165629">
        <w:t xml:space="preserve"> muscle or eggs should be used for medium</w:t>
      </w:r>
      <w:r w:rsidR="00E26A0D" w:rsidRPr="00165629">
        <w:t>-</w:t>
      </w:r>
      <w:r w:rsidR="004F110C" w:rsidRPr="00165629">
        <w:t>term</w:t>
      </w:r>
      <w:r w:rsidR="00E26A0D" w:rsidRPr="00165629">
        <w:t xml:space="preserve"> data</w:t>
      </w:r>
      <w:r w:rsidR="004F110C" w:rsidRPr="00165629">
        <w:t xml:space="preserve"> (</w:t>
      </w:r>
      <w:r w:rsidR="004F110C" w:rsidRPr="00165629">
        <w:rPr>
          <w:u w:color="FF0000"/>
        </w:rPr>
        <w:t>within</w:t>
      </w:r>
      <w:r w:rsidR="004F110C" w:rsidRPr="00165629">
        <w:t xml:space="preserve"> weeks </w:t>
      </w:r>
      <w:r w:rsidR="00F4344C" w:rsidRPr="00165629">
        <w:t>to</w:t>
      </w:r>
      <w:r w:rsidR="004F110C" w:rsidRPr="00165629">
        <w:t xml:space="preserve"> months</w:t>
      </w:r>
      <w:r w:rsidRPr="00165629">
        <w:t xml:space="preserve"> of exposure</w:t>
      </w:r>
      <w:r w:rsidR="004F110C" w:rsidRPr="00165629">
        <w:t>) and feathers can be used for long</w:t>
      </w:r>
      <w:r w:rsidR="00F931FD" w:rsidRPr="00165629">
        <w:t>-</w:t>
      </w:r>
      <w:r w:rsidR="004F110C" w:rsidRPr="00165629">
        <w:t xml:space="preserve">term </w:t>
      </w:r>
      <w:r w:rsidR="00F931FD" w:rsidRPr="00165629">
        <w:t xml:space="preserve">data </w:t>
      </w:r>
      <w:r w:rsidR="004F110C" w:rsidRPr="00165629">
        <w:t xml:space="preserve">(within months </w:t>
      </w:r>
      <w:r w:rsidR="00F4344C" w:rsidRPr="00165629">
        <w:t>to</w:t>
      </w:r>
      <w:r w:rsidR="004F110C" w:rsidRPr="00165629">
        <w:t xml:space="preserve"> years</w:t>
      </w:r>
      <w:r w:rsidRPr="00165629">
        <w:t xml:space="preserve"> of exposure</w:t>
      </w:r>
      <w:r w:rsidR="004F110C" w:rsidRPr="00165629">
        <w:t>).</w:t>
      </w:r>
      <w:r w:rsidR="00DE0A5C" w:rsidRPr="00165629">
        <w:t xml:space="preserve"> </w:t>
      </w:r>
      <w:r w:rsidR="004F110C" w:rsidRPr="00165629">
        <w:t xml:space="preserve">It is considered sufficient to assess total mercury </w:t>
      </w:r>
      <w:r w:rsidRPr="00165629">
        <w:t>in</w:t>
      </w:r>
      <w:r w:rsidR="004F110C" w:rsidRPr="00C07F22">
        <w:t xml:space="preserve"> all tissues (assuming </w:t>
      </w:r>
      <w:r w:rsidRPr="00C07F22">
        <w:t xml:space="preserve">a </w:t>
      </w:r>
      <w:r w:rsidR="004F110C" w:rsidRPr="00C07F22">
        <w:t>methylmercury mean level</w:t>
      </w:r>
      <w:r w:rsidRPr="00C07F22">
        <w:rPr>
          <w:rFonts w:eastAsia="Arial Unicode MS"/>
          <w:sz w:val="24"/>
          <w:szCs w:val="24"/>
          <w:bdr w:val="nil"/>
        </w:rPr>
        <w:t xml:space="preserve"> </w:t>
      </w:r>
      <w:r w:rsidRPr="00C07F22">
        <w:t>greater than 80 per cent</w:t>
      </w:r>
      <w:r w:rsidR="004F110C" w:rsidRPr="00C07F22">
        <w:t>) using either wet weight or dry weight.</w:t>
      </w:r>
      <w:r w:rsidR="00DE0A5C" w:rsidRPr="00C07F22">
        <w:t xml:space="preserve"> </w:t>
      </w:r>
      <w:r w:rsidR="004F110C" w:rsidRPr="00C07F22">
        <w:t xml:space="preserve">Samples should be georeferenced, with the level of detail varying according to the objective of the sampling. Standard operating procedures are available </w:t>
      </w:r>
      <w:r w:rsidR="00DC5DF1" w:rsidRPr="00C07F22">
        <w:t>(e.g.,</w:t>
      </w:r>
      <w:r w:rsidR="004F110C" w:rsidRPr="00C07F22">
        <w:t xml:space="preserve"> through national/regional monitoring program</w:t>
      </w:r>
      <w:r w:rsidRPr="00C07F22">
        <w:t>me</w:t>
      </w:r>
      <w:r w:rsidR="004F110C" w:rsidRPr="00C07F22">
        <w:t>s</w:t>
      </w:r>
      <w:r w:rsidR="00DC5DF1" w:rsidRPr="00C07F22">
        <w:t>);</w:t>
      </w:r>
      <w:r w:rsidR="004F110C" w:rsidRPr="00C07F22">
        <w:t xml:space="preserve"> however</w:t>
      </w:r>
      <w:r w:rsidR="00DC5DF1" w:rsidRPr="00C07F22">
        <w:t>,</w:t>
      </w:r>
      <w:r w:rsidR="004F110C" w:rsidRPr="00C07F22">
        <w:t xml:space="preserve"> </w:t>
      </w:r>
      <w:r w:rsidRPr="00C07F22">
        <w:t>other</w:t>
      </w:r>
      <w:r w:rsidR="004F110C" w:rsidRPr="00C07F22">
        <w:t xml:space="preserve"> more universal protocols may need to be agreed on for sampling not covered by </w:t>
      </w:r>
      <w:r w:rsidR="00DC5DF1" w:rsidRPr="00C07F22">
        <w:t>such procedures</w:t>
      </w:r>
      <w:r w:rsidR="004F110C" w:rsidRPr="00C07F22">
        <w:t xml:space="preserve">. Inter-tissue conversions are generally </w:t>
      </w:r>
      <w:r w:rsidR="00DC5DF1" w:rsidRPr="00C07F22">
        <w:t xml:space="preserve">a </w:t>
      </w:r>
      <w:r w:rsidR="004F110C" w:rsidRPr="00C07F22">
        <w:t xml:space="preserve">feasible </w:t>
      </w:r>
      <w:r w:rsidR="00DC5DF1" w:rsidRPr="00C07F22">
        <w:t>means of</w:t>
      </w:r>
      <w:r w:rsidR="004F110C" w:rsidRPr="00C07F22">
        <w:t xml:space="preserve"> </w:t>
      </w:r>
      <w:r w:rsidR="00DC5DF1" w:rsidRPr="00C07F22">
        <w:t>obtaining</w:t>
      </w:r>
      <w:r w:rsidR="004F110C" w:rsidRPr="00C07F22">
        <w:t xml:space="preserve"> standardized, and therefore comparable, tissue mercury concentrations.</w:t>
      </w:r>
    </w:p>
    <w:p w14:paraId="6107FDD5" w14:textId="646EC701" w:rsidR="004F110C" w:rsidRPr="00C07F22" w:rsidRDefault="004F110C" w:rsidP="00E1136D">
      <w:pPr>
        <w:pStyle w:val="Normalnumber"/>
      </w:pPr>
      <w:r w:rsidRPr="00C07F22">
        <w:rPr>
          <w:i/>
          <w:iCs/>
          <w:u w:color="FF0000"/>
        </w:rPr>
        <w:t>Global Mercury Assessment 2018</w:t>
      </w:r>
      <w:r w:rsidRPr="00C07F22">
        <w:rPr>
          <w:u w:color="FF0000"/>
        </w:rPr>
        <w:t xml:space="preserve"> used the biota data from the Global Biotic Mercury Synthesis (GBMS) </w:t>
      </w:r>
      <w:r w:rsidR="00DC5DF1" w:rsidRPr="00C07F22">
        <w:rPr>
          <w:u w:color="FF0000"/>
        </w:rPr>
        <w:t>d</w:t>
      </w:r>
      <w:r w:rsidRPr="00C07F22">
        <w:rPr>
          <w:u w:color="FF0000"/>
        </w:rPr>
        <w:t>atabase</w:t>
      </w:r>
      <w:r w:rsidR="00DC5DF1" w:rsidRPr="00C07F22">
        <w:rPr>
          <w:u w:color="FF0000"/>
        </w:rPr>
        <w:t>,</w:t>
      </w:r>
      <w:r w:rsidRPr="00C07F22">
        <w:rPr>
          <w:u w:color="FF0000"/>
          <w:vertAlign w:val="superscript"/>
        </w:rPr>
        <w:footnoteReference w:id="6"/>
      </w:r>
      <w:r w:rsidRPr="00C07F22">
        <w:rPr>
          <w:u w:color="FF0000"/>
        </w:rPr>
        <w:t xml:space="preserve"> which includes details about each organism sampled, its sampling location and its basic ecological data. Data have been compiled from 1,095 different references, representing 119 countries, 2,781 unique locations and 458,840 mercury samples from 375,677 total individual organisms. Examples featured in the GBMS database include datasets for some geographic areas with extensive temporal and spatial information, including areas </w:t>
      </w:r>
      <w:r w:rsidR="00440B2D" w:rsidRPr="00C07F22">
        <w:rPr>
          <w:u w:color="FF0000"/>
        </w:rPr>
        <w:t xml:space="preserve">of </w:t>
      </w:r>
      <w:r w:rsidRPr="00C07F22">
        <w:rPr>
          <w:u w:color="FF0000"/>
        </w:rPr>
        <w:t>freshwater lakes in the northern United States</w:t>
      </w:r>
      <w:r w:rsidR="00293254" w:rsidRPr="00C07F22">
        <w:rPr>
          <w:u w:color="FF0000"/>
        </w:rPr>
        <w:t xml:space="preserve"> of America</w:t>
      </w:r>
      <w:r w:rsidRPr="00C07F22">
        <w:rPr>
          <w:u w:color="FF0000"/>
        </w:rPr>
        <w:t>, much of Canada, and Scandinavia.</w:t>
      </w:r>
      <w:r w:rsidR="00DE0A5C" w:rsidRPr="00C07F22">
        <w:rPr>
          <w:u w:color="FF0000"/>
        </w:rPr>
        <w:t xml:space="preserve"> </w:t>
      </w:r>
      <w:r w:rsidRPr="00C07F22">
        <w:rPr>
          <w:u w:color="FF0000"/>
        </w:rPr>
        <w:t xml:space="preserve">These areas represent over 500,000 </w:t>
      </w:r>
      <w:r w:rsidR="00C30F09" w:rsidRPr="00C07F22">
        <w:rPr>
          <w:u w:color="FF0000"/>
        </w:rPr>
        <w:t xml:space="preserve">samples of </w:t>
      </w:r>
      <w:r w:rsidRPr="00C07F22">
        <w:rPr>
          <w:u w:color="FF0000"/>
        </w:rPr>
        <w:t xml:space="preserve">fish mercury concentrations </w:t>
      </w:r>
      <w:r w:rsidR="00C30F09" w:rsidRPr="00C07F22">
        <w:rPr>
          <w:u w:color="FF0000"/>
        </w:rPr>
        <w:t xml:space="preserve">taken </w:t>
      </w:r>
      <w:r w:rsidRPr="00C07F22">
        <w:rPr>
          <w:u w:color="FF0000"/>
        </w:rPr>
        <w:t xml:space="preserve">over the past 50 years of data collection – </w:t>
      </w:r>
      <w:r w:rsidR="00C51FAC" w:rsidRPr="00C51FAC">
        <w:rPr>
          <w:u w:color="FF0000"/>
          <w:lang w:val="en-US"/>
        </w:rPr>
        <w:t>some of which are standardized to enable comparison</w:t>
      </w:r>
      <w:r w:rsidR="00C51FAC">
        <w:rPr>
          <w:u w:color="FF0000"/>
          <w:lang w:val="en-US"/>
        </w:rPr>
        <w:t>.</w:t>
      </w:r>
      <w:r w:rsidRPr="00C07F22">
        <w:rPr>
          <w:u w:color="FF0000"/>
        </w:rPr>
        <w:t xml:space="preserve"> Further details can be found in </w:t>
      </w:r>
      <w:r w:rsidR="00DC5DF1" w:rsidRPr="00C07F22">
        <w:rPr>
          <w:u w:color="FF0000"/>
        </w:rPr>
        <w:t xml:space="preserve">document </w:t>
      </w:r>
      <w:r w:rsidRPr="00C07F22">
        <w:rPr>
          <w:u w:color="FF0000"/>
        </w:rPr>
        <w:t>UNEP/MC</w:t>
      </w:r>
      <w:r w:rsidR="00342631">
        <w:rPr>
          <w:u w:color="FF0000"/>
        </w:rPr>
        <w:t>/</w:t>
      </w:r>
      <w:r w:rsidRPr="00C07F22">
        <w:rPr>
          <w:u w:color="FF0000"/>
        </w:rPr>
        <w:t>COP.3/INF/15.</w:t>
      </w:r>
    </w:p>
    <w:p w14:paraId="0AA1C06E" w14:textId="7544E3BA" w:rsidR="004F110C" w:rsidRPr="00C07F22" w:rsidRDefault="00440B2D" w:rsidP="00602796">
      <w:pPr>
        <w:pStyle w:val="Normalnumber"/>
      </w:pPr>
      <w:r w:rsidRPr="00C07F22">
        <w:rPr>
          <w:u w:color="FF0000"/>
        </w:rPr>
        <w:t>T</w:t>
      </w:r>
      <w:r w:rsidR="004F110C" w:rsidRPr="00C07F22">
        <w:rPr>
          <w:u w:color="FF0000"/>
        </w:rPr>
        <w:t xml:space="preserve">o potentially explain how the temporal trends </w:t>
      </w:r>
      <w:r w:rsidR="00F565F4" w:rsidRPr="00C07F22">
        <w:rPr>
          <w:u w:color="FF0000"/>
        </w:rPr>
        <w:t>in</w:t>
      </w:r>
      <w:r w:rsidR="004F110C" w:rsidRPr="00C07F22">
        <w:rPr>
          <w:u w:color="FF0000"/>
        </w:rPr>
        <w:t xml:space="preserve"> fish mercury concentrations change under </w:t>
      </w:r>
      <w:r w:rsidR="00F565F4" w:rsidRPr="00C07F22">
        <w:rPr>
          <w:u w:color="FF0000"/>
        </w:rPr>
        <w:t xml:space="preserve">the </w:t>
      </w:r>
      <w:r w:rsidR="004F110C" w:rsidRPr="00C07F22">
        <w:rPr>
          <w:u w:color="FF0000"/>
        </w:rPr>
        <w:t xml:space="preserve">influence of different drivers, including environmental/climate change </w:t>
      </w:r>
      <w:r w:rsidR="00037213" w:rsidRPr="00C07F22">
        <w:rPr>
          <w:u w:color="FF0000"/>
        </w:rPr>
        <w:t>and</w:t>
      </w:r>
      <w:r w:rsidR="004F110C" w:rsidRPr="00C07F22">
        <w:rPr>
          <w:u w:color="FF0000"/>
        </w:rPr>
        <w:t xml:space="preserve"> deposition change, a set of minimum information </w:t>
      </w:r>
      <w:r w:rsidR="00602796" w:rsidRPr="00C07F22">
        <w:rPr>
          <w:u w:color="FF0000"/>
        </w:rPr>
        <w:t xml:space="preserve">targets </w:t>
      </w:r>
      <w:r w:rsidR="004F110C" w:rsidRPr="00C07F22">
        <w:rPr>
          <w:u w:color="FF0000"/>
        </w:rPr>
        <w:t>should be developed. For each location</w:t>
      </w:r>
      <w:r w:rsidR="00F565F4" w:rsidRPr="00C07F22">
        <w:rPr>
          <w:u w:color="FF0000"/>
        </w:rPr>
        <w:t>,</w:t>
      </w:r>
      <w:r w:rsidR="004F110C" w:rsidRPr="00C07F22">
        <w:rPr>
          <w:u w:color="FF0000"/>
        </w:rPr>
        <w:t xml:space="preserve"> this should include lake (or river, estuary, sea</w:t>
      </w:r>
      <w:r w:rsidR="00F565F4" w:rsidRPr="00C07F22">
        <w:rPr>
          <w:u w:color="FF0000"/>
        </w:rPr>
        <w:t>,</w:t>
      </w:r>
      <w:r w:rsidR="004F110C" w:rsidRPr="00C07F22">
        <w:rPr>
          <w:u w:color="FF0000"/>
        </w:rPr>
        <w:t xml:space="preserve"> etc.) catchment morphology, pollution deposition patterns and local pollution history. For each biota species (here exemplified by fish)</w:t>
      </w:r>
      <w:r w:rsidR="00F565F4" w:rsidRPr="00C07F22">
        <w:rPr>
          <w:u w:color="FF0000"/>
        </w:rPr>
        <w:t>,</w:t>
      </w:r>
      <w:r w:rsidR="004F110C" w:rsidRPr="00C07F22">
        <w:rPr>
          <w:u w:color="FF0000"/>
        </w:rPr>
        <w:t xml:space="preserve"> minimum data should include length, weight, sex and sexual maturity. Samples (i.e.</w:t>
      </w:r>
      <w:r w:rsidR="00F565F4" w:rsidRPr="00C07F22">
        <w:rPr>
          <w:u w:color="FF0000"/>
        </w:rPr>
        <w:t>,</w:t>
      </w:r>
      <w:r w:rsidR="004F110C" w:rsidRPr="00C07F22">
        <w:rPr>
          <w:u w:color="FF0000"/>
        </w:rPr>
        <w:t xml:space="preserve"> fish muscle) for determination of total mercury concentrations may also be analysed for stable isotopes (at least nitrogen and potentially carbon</w:t>
      </w:r>
      <w:r w:rsidR="00602796" w:rsidRPr="00C07F22">
        <w:rPr>
          <w:rFonts w:eastAsia="Arial Unicode MS"/>
          <w:sz w:val="24"/>
          <w:szCs w:val="24"/>
          <w:u w:color="FF0000"/>
          <w:bdr w:val="nil"/>
        </w:rPr>
        <w:t xml:space="preserve"> </w:t>
      </w:r>
      <w:r w:rsidR="00602796" w:rsidRPr="00C07F22">
        <w:rPr>
          <w:u w:color="FF0000"/>
        </w:rPr>
        <w:t>also</w:t>
      </w:r>
      <w:r w:rsidR="004F110C" w:rsidRPr="00C07F22">
        <w:rPr>
          <w:u w:color="FF0000"/>
        </w:rPr>
        <w:t xml:space="preserve">) for a better understanding of the food web processes. Many of these parameters are lacking </w:t>
      </w:r>
      <w:r w:rsidRPr="00C07F22">
        <w:rPr>
          <w:u w:color="FF0000"/>
        </w:rPr>
        <w:t xml:space="preserve">in </w:t>
      </w:r>
      <w:r w:rsidR="004F110C" w:rsidRPr="00C07F22">
        <w:rPr>
          <w:u w:color="FF0000"/>
        </w:rPr>
        <w:t xml:space="preserve">current databases. As an example, inter-annual and intra-annual variability is often much larger than long-term trends, making it difficult to relate temporal trend changes to large environmental drivers (including deposition). The spatial variation within the temporal trend should be considered when </w:t>
      </w:r>
      <w:r w:rsidR="00F565F4" w:rsidRPr="00C07F22">
        <w:rPr>
          <w:u w:color="FF0000"/>
        </w:rPr>
        <w:t>evaluating C</w:t>
      </w:r>
      <w:r w:rsidR="004F110C" w:rsidRPr="00C07F22">
        <w:rPr>
          <w:u w:color="FF0000"/>
        </w:rPr>
        <w:t xml:space="preserve">onvention effectiveness in </w:t>
      </w:r>
      <w:r w:rsidR="00F565F4" w:rsidRPr="00C07F22">
        <w:rPr>
          <w:u w:color="FF0000"/>
        </w:rPr>
        <w:t xml:space="preserve">the </w:t>
      </w:r>
      <w:r w:rsidR="004F110C" w:rsidRPr="00C07F22">
        <w:rPr>
          <w:u w:color="FF0000"/>
        </w:rPr>
        <w:t xml:space="preserve">years to come. To be able to document potential </w:t>
      </w:r>
      <w:r w:rsidR="00F565F4" w:rsidRPr="00C07F22">
        <w:rPr>
          <w:u w:color="FF0000"/>
        </w:rPr>
        <w:t xml:space="preserve">changes in </w:t>
      </w:r>
      <w:r w:rsidR="004F110C" w:rsidRPr="00C07F22">
        <w:rPr>
          <w:u w:color="FF0000"/>
        </w:rPr>
        <w:t>temporal trends, within-year variability</w:t>
      </w:r>
      <w:r w:rsidR="00F565F4" w:rsidRPr="00C07F22">
        <w:rPr>
          <w:u w:color="FF0000"/>
        </w:rPr>
        <w:t xml:space="preserve"> must be lowered</w:t>
      </w:r>
      <w:r w:rsidR="004F110C" w:rsidRPr="00C07F22">
        <w:rPr>
          <w:u w:color="FF0000"/>
        </w:rPr>
        <w:t xml:space="preserve"> by improving the data adjustment, includ</w:t>
      </w:r>
      <w:r w:rsidR="00F565F4" w:rsidRPr="00C07F22">
        <w:rPr>
          <w:u w:color="FF0000"/>
        </w:rPr>
        <w:t>ing</w:t>
      </w:r>
      <w:r w:rsidR="004F110C" w:rsidRPr="00C07F22">
        <w:rPr>
          <w:u w:color="FF0000"/>
        </w:rPr>
        <w:t xml:space="preserve"> more lake data and information and collect</w:t>
      </w:r>
      <w:r w:rsidR="00F565F4" w:rsidRPr="00C07F22">
        <w:rPr>
          <w:u w:color="FF0000"/>
        </w:rPr>
        <w:t>ing</w:t>
      </w:r>
      <w:r w:rsidR="004F110C" w:rsidRPr="00C07F22">
        <w:rPr>
          <w:u w:color="FF0000"/>
        </w:rPr>
        <w:t xml:space="preserve"> data from the same lake over time. </w:t>
      </w:r>
    </w:p>
    <w:p w14:paraId="7A5FEC96" w14:textId="43EA5F1B" w:rsidR="004F110C" w:rsidRPr="00C07F22" w:rsidRDefault="00B93064" w:rsidP="00165629">
      <w:pPr>
        <w:pStyle w:val="CH2"/>
        <w:rPr>
          <w:bCs/>
        </w:rPr>
      </w:pPr>
      <w:r w:rsidRPr="00C07F22">
        <w:lastRenderedPageBreak/>
        <w:tab/>
        <w:t>E.</w:t>
      </w:r>
      <w:r w:rsidRPr="00C07F22">
        <w:tab/>
      </w:r>
      <w:r w:rsidR="004F110C" w:rsidRPr="00C07F22">
        <w:t>Water and soil</w:t>
      </w:r>
    </w:p>
    <w:p w14:paraId="4D043246" w14:textId="22E8ADEA" w:rsidR="004F110C" w:rsidRPr="00C07F22" w:rsidRDefault="004F110C" w:rsidP="00165629">
      <w:pPr>
        <w:pStyle w:val="Normalnumber"/>
        <w:keepNext/>
        <w:keepLines/>
      </w:pPr>
      <w:r w:rsidRPr="00C07F22">
        <w:rPr>
          <w:u w:color="FF0000"/>
        </w:rPr>
        <w:t xml:space="preserve">Levels of mercury and </w:t>
      </w:r>
      <w:r w:rsidRPr="00677B78">
        <w:rPr>
          <w:u w:color="FF0000"/>
        </w:rPr>
        <w:t>mercury compounds</w:t>
      </w:r>
      <w:r w:rsidRPr="00C07F22">
        <w:rPr>
          <w:u w:color="FF0000"/>
        </w:rPr>
        <w:t xml:space="preserve"> in water are collected in </w:t>
      </w:r>
      <w:r w:rsidR="00440B2D" w:rsidRPr="00C07F22">
        <w:rPr>
          <w:u w:color="FF0000"/>
        </w:rPr>
        <w:t>connection with</w:t>
      </w:r>
      <w:r w:rsidRPr="00C07F22">
        <w:rPr>
          <w:u w:color="FF0000"/>
        </w:rPr>
        <w:t xml:space="preserve"> water quality issues in a number of countries. These data may be useful in tracking mercury resulting from local activities </w:t>
      </w:r>
      <w:r w:rsidR="00A504F8" w:rsidRPr="00C07F22">
        <w:rPr>
          <w:u w:color="FF0000"/>
        </w:rPr>
        <w:t xml:space="preserve">that </w:t>
      </w:r>
      <w:r w:rsidRPr="00C07F22">
        <w:rPr>
          <w:u w:color="FF0000"/>
        </w:rPr>
        <w:t>release mercury and in modelling the movement of mercury in the aquatic environment</w:t>
      </w:r>
      <w:r w:rsidR="00440B2D" w:rsidRPr="00C07F22">
        <w:rPr>
          <w:u w:color="FF0000"/>
        </w:rPr>
        <w:t>, but</w:t>
      </w:r>
      <w:r w:rsidRPr="00C07F22">
        <w:rPr>
          <w:u w:color="FF0000"/>
        </w:rPr>
        <w:t xml:space="preserve"> </w:t>
      </w:r>
      <w:r w:rsidR="00440B2D" w:rsidRPr="00C07F22">
        <w:rPr>
          <w:u w:color="FF0000"/>
        </w:rPr>
        <w:t>m</w:t>
      </w:r>
      <w:r w:rsidRPr="00C07F22">
        <w:rPr>
          <w:u w:color="FF0000"/>
        </w:rPr>
        <w:t xml:space="preserve">onitoring data from rivers and coastal areas will not provide </w:t>
      </w:r>
      <w:r w:rsidR="00A504F8" w:rsidRPr="00C07F22">
        <w:rPr>
          <w:u w:color="FF0000"/>
        </w:rPr>
        <w:t xml:space="preserve">an indication of </w:t>
      </w:r>
      <w:r w:rsidRPr="00C07F22">
        <w:rPr>
          <w:u w:color="FF0000"/>
        </w:rPr>
        <w:t xml:space="preserve">overall </w:t>
      </w:r>
      <w:r w:rsidR="00A504F8" w:rsidRPr="00C07F22">
        <w:rPr>
          <w:u w:color="FF0000"/>
        </w:rPr>
        <w:t xml:space="preserve">global </w:t>
      </w:r>
      <w:r w:rsidRPr="00C07F22">
        <w:rPr>
          <w:u w:color="FF0000"/>
        </w:rPr>
        <w:t>trends. Levels of mercury in ocean water</w:t>
      </w:r>
      <w:r w:rsidR="00440B2D" w:rsidRPr="00C07F22">
        <w:rPr>
          <w:u w:color="FF0000"/>
        </w:rPr>
        <w:t>, however,</w:t>
      </w:r>
      <w:r w:rsidRPr="00C07F22">
        <w:rPr>
          <w:u w:color="FF0000"/>
        </w:rPr>
        <w:t xml:space="preserve"> could be comparable on a global basis and contribute to </w:t>
      </w:r>
      <w:r w:rsidR="00602796" w:rsidRPr="00C07F22">
        <w:rPr>
          <w:u w:color="FF0000"/>
        </w:rPr>
        <w:t>an</w:t>
      </w:r>
      <w:r w:rsidRPr="00C07F22">
        <w:rPr>
          <w:u w:color="FF0000"/>
        </w:rPr>
        <w:t xml:space="preserve"> understanding of the global mercury cycle. These data are collected by existing networks and ad hoc research programmes but </w:t>
      </w:r>
      <w:r w:rsidR="00440B2D" w:rsidRPr="00C07F22">
        <w:rPr>
          <w:u w:color="FF0000"/>
        </w:rPr>
        <w:t xml:space="preserve">not </w:t>
      </w:r>
      <w:r w:rsidRPr="00C07F22">
        <w:rPr>
          <w:u w:color="FF0000"/>
        </w:rPr>
        <w:t>currently through dedicated long</w:t>
      </w:r>
      <w:r w:rsidR="00A504F8" w:rsidRPr="00C07F22">
        <w:rPr>
          <w:u w:color="FF0000"/>
        </w:rPr>
        <w:t>-</w:t>
      </w:r>
      <w:r w:rsidRPr="00C07F22">
        <w:rPr>
          <w:u w:color="FF0000"/>
        </w:rPr>
        <w:t xml:space="preserve">term monitoring programmes. </w:t>
      </w:r>
    </w:p>
    <w:p w14:paraId="350983F8" w14:textId="484A98D7" w:rsidR="004F110C" w:rsidRPr="00C07F22" w:rsidRDefault="004F110C" w:rsidP="00E1136D">
      <w:pPr>
        <w:pStyle w:val="Normalnumber"/>
      </w:pPr>
      <w:r w:rsidRPr="00C07F22">
        <w:rPr>
          <w:u w:color="FF0000"/>
        </w:rPr>
        <w:t xml:space="preserve">Soil samples </w:t>
      </w:r>
      <w:r w:rsidR="00A504F8" w:rsidRPr="00C07F22">
        <w:rPr>
          <w:u w:color="FF0000"/>
        </w:rPr>
        <w:t xml:space="preserve">can </w:t>
      </w:r>
      <w:r w:rsidRPr="00C07F22">
        <w:rPr>
          <w:u w:color="FF0000"/>
        </w:rPr>
        <w:t>be very useful in assessing contamination of a particular site, but global comparability may not be feasible, given differences in soil types</w:t>
      </w:r>
      <w:r w:rsidR="00A504F8" w:rsidRPr="00C07F22">
        <w:rPr>
          <w:u w:color="FF0000"/>
        </w:rPr>
        <w:t>,</w:t>
      </w:r>
      <w:r w:rsidRPr="00C07F22">
        <w:rPr>
          <w:u w:color="FF0000"/>
        </w:rPr>
        <w:t xml:space="preserve"> etc.</w:t>
      </w:r>
      <w:r w:rsidR="00DE0A5C" w:rsidRPr="00C07F22">
        <w:rPr>
          <w:u w:color="FF0000"/>
        </w:rPr>
        <w:t xml:space="preserve"> </w:t>
      </w:r>
      <w:r w:rsidRPr="00C07F22">
        <w:rPr>
          <w:u w:color="FF0000"/>
        </w:rPr>
        <w:t>Data on the levels of mercury in sediments are very relevant for the associated levels of mercury in biotic media; however</w:t>
      </w:r>
      <w:r w:rsidR="00A504F8" w:rsidRPr="00C07F22">
        <w:rPr>
          <w:u w:color="FF0000"/>
        </w:rPr>
        <w:t>,</w:t>
      </w:r>
      <w:r w:rsidRPr="00C07F22">
        <w:rPr>
          <w:u w:color="FF0000"/>
        </w:rPr>
        <w:t xml:space="preserve"> sampling of sediment </w:t>
      </w:r>
      <w:r w:rsidR="0074541F" w:rsidRPr="00C07F22">
        <w:rPr>
          <w:u w:color="FF0000"/>
        </w:rPr>
        <w:t>is</w:t>
      </w:r>
      <w:r w:rsidRPr="00C07F22">
        <w:rPr>
          <w:u w:color="FF0000"/>
        </w:rPr>
        <w:t xml:space="preserve"> </w:t>
      </w:r>
      <w:r w:rsidR="0074541F" w:rsidRPr="00C07F22">
        <w:rPr>
          <w:u w:color="FF0000"/>
        </w:rPr>
        <w:t xml:space="preserve">currently </w:t>
      </w:r>
      <w:r w:rsidR="00A504F8" w:rsidRPr="00C07F22">
        <w:rPr>
          <w:u w:color="FF0000"/>
        </w:rPr>
        <w:t xml:space="preserve">not </w:t>
      </w:r>
      <w:r w:rsidRPr="00C07F22">
        <w:rPr>
          <w:u w:color="FF0000"/>
        </w:rPr>
        <w:t xml:space="preserve">considered widespread or easily comparable on a global basis. </w:t>
      </w:r>
    </w:p>
    <w:p w14:paraId="4C1CE11D" w14:textId="19EA7D71" w:rsidR="004F110C" w:rsidRPr="00C07F22" w:rsidRDefault="00DC6081" w:rsidP="00B93064">
      <w:pPr>
        <w:pStyle w:val="CH1"/>
        <w:rPr>
          <w:u w:color="FF0000"/>
        </w:rPr>
      </w:pPr>
      <w:r w:rsidRPr="00C07F22">
        <w:rPr>
          <w:u w:color="FF0000"/>
        </w:rPr>
        <w:tab/>
      </w:r>
      <w:r w:rsidR="00F61B5A" w:rsidRPr="00C07F22">
        <w:rPr>
          <w:u w:color="FF0000"/>
        </w:rPr>
        <w:t>III</w:t>
      </w:r>
      <w:r w:rsidRPr="00C07F22">
        <w:rPr>
          <w:u w:color="FF0000"/>
        </w:rPr>
        <w:t>.</w:t>
      </w:r>
      <w:r w:rsidRPr="00C07F22">
        <w:rPr>
          <w:u w:color="FF0000"/>
        </w:rPr>
        <w:tab/>
      </w:r>
      <w:r w:rsidR="004F110C" w:rsidRPr="00C07F22">
        <w:rPr>
          <w:u w:color="FF0000"/>
        </w:rPr>
        <w:t>Comparability, gaps and options for filling gaps</w:t>
      </w:r>
    </w:p>
    <w:p w14:paraId="0AF4F140" w14:textId="674BC904" w:rsidR="004F110C" w:rsidRPr="00C07F22" w:rsidRDefault="00DC6081" w:rsidP="00DC6081">
      <w:pPr>
        <w:pStyle w:val="CH1"/>
        <w:rPr>
          <w:bCs/>
        </w:rPr>
      </w:pPr>
      <w:r w:rsidRPr="00C07F22">
        <w:tab/>
        <w:t>A.</w:t>
      </w:r>
      <w:r w:rsidRPr="00C07F22">
        <w:tab/>
      </w:r>
      <w:r w:rsidR="004F110C" w:rsidRPr="00C07F22">
        <w:t>Ambient air</w:t>
      </w:r>
    </w:p>
    <w:p w14:paraId="71D7E450" w14:textId="7EDFFFF1" w:rsidR="004F110C" w:rsidRPr="00C07F22" w:rsidRDefault="00B61F51" w:rsidP="00B93064">
      <w:pPr>
        <w:pStyle w:val="Normalnumber"/>
      </w:pPr>
      <w:r>
        <w:t>The f</w:t>
      </w:r>
      <w:r w:rsidR="004F110C" w:rsidRPr="00C07F22">
        <w:t xml:space="preserve">igure </w:t>
      </w:r>
      <w:r>
        <w:t>below</w:t>
      </w:r>
      <w:r w:rsidR="004F110C" w:rsidRPr="00C07F22">
        <w:t xml:space="preserve"> shows current </w:t>
      </w:r>
      <w:r w:rsidR="00A504F8" w:rsidRPr="00C07F22">
        <w:t xml:space="preserve">TGM/GEM </w:t>
      </w:r>
      <w:r w:rsidR="004F110C" w:rsidRPr="00C07F22">
        <w:t>monitoring efforts. From this figure</w:t>
      </w:r>
      <w:r w:rsidR="008473F4" w:rsidRPr="00C07F22">
        <w:t>,</w:t>
      </w:r>
      <w:r w:rsidR="004F110C" w:rsidRPr="00C07F22">
        <w:t xml:space="preserve"> it can be seen that the gaps </w:t>
      </w:r>
      <w:r w:rsidR="00A504F8" w:rsidRPr="00C07F22">
        <w:t>in</w:t>
      </w:r>
      <w:r w:rsidR="004F110C" w:rsidRPr="00C07F22">
        <w:t xml:space="preserve"> TGM/</w:t>
      </w:r>
      <w:r w:rsidR="004F110C" w:rsidRPr="00C07F22">
        <w:rPr>
          <w:u w:color="FF0000"/>
        </w:rPr>
        <w:t>GEM</w:t>
      </w:r>
      <w:r w:rsidR="004F110C" w:rsidRPr="00C07F22">
        <w:t xml:space="preserve"> information could be filled by </w:t>
      </w:r>
      <w:r w:rsidR="008473F4" w:rsidRPr="00C07F22">
        <w:t xml:space="preserve">expanding </w:t>
      </w:r>
      <w:r w:rsidR="004F110C" w:rsidRPr="00C07F22">
        <w:t xml:space="preserve">the current networks that are </w:t>
      </w:r>
      <w:r w:rsidR="00A504F8" w:rsidRPr="00C07F22">
        <w:t xml:space="preserve">monitoring </w:t>
      </w:r>
      <w:r w:rsidR="004F110C" w:rsidRPr="00C07F22">
        <w:t xml:space="preserve">atmospheric mercury. Such expansions would include areas within South America, Africa, the Caribbean, parts of Asia, </w:t>
      </w:r>
      <w:r w:rsidR="0074541F" w:rsidRPr="00C07F22">
        <w:t xml:space="preserve">the </w:t>
      </w:r>
      <w:r w:rsidR="004F110C" w:rsidRPr="00C07F22">
        <w:t>Russia</w:t>
      </w:r>
      <w:r w:rsidR="0074541F" w:rsidRPr="00C07F22">
        <w:t>n Federation</w:t>
      </w:r>
      <w:r w:rsidR="004F110C" w:rsidRPr="00C07F22">
        <w:t xml:space="preserve"> and Oceania. </w:t>
      </w:r>
    </w:p>
    <w:p w14:paraId="3C5D412F" w14:textId="77E23512" w:rsidR="00440B2D" w:rsidRPr="00970F26" w:rsidRDefault="00096E68" w:rsidP="00970F26">
      <w:pPr>
        <w:pStyle w:val="Titletable"/>
      </w:pPr>
      <w:r w:rsidRPr="00970F26">
        <w:rPr>
          <w:b w:val="0"/>
        </w:rPr>
        <w:t>Figure</w:t>
      </w:r>
    </w:p>
    <w:p w14:paraId="025EB685" w14:textId="3CC067DC" w:rsidR="004F110C" w:rsidRPr="00C07F22" w:rsidRDefault="00096E68" w:rsidP="00970F26">
      <w:pPr>
        <w:pStyle w:val="Titletable"/>
        <w:rPr>
          <w:i/>
          <w:iCs/>
        </w:rPr>
      </w:pPr>
      <w:r w:rsidRPr="00C07F22">
        <w:t>Existing monitoring networks measuring mercury concentrations in air</w:t>
      </w:r>
    </w:p>
    <w:p w14:paraId="068CBDB3" w14:textId="1F4975F0" w:rsidR="004F110C" w:rsidRPr="00C07F22" w:rsidRDefault="004F110C" w:rsidP="0087472C">
      <w:pP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ind w:left="624"/>
        <w:rPr>
          <w:rFonts w:eastAsia="Times New Roman"/>
          <w:sz w:val="20"/>
          <w:szCs w:val="20"/>
          <w:lang w:val="en-GB"/>
        </w:rPr>
      </w:pPr>
      <w:r w:rsidRPr="00C07F22">
        <w:rPr>
          <w:noProof/>
          <w:sz w:val="20"/>
          <w:szCs w:val="20"/>
          <w:lang w:val="en-GB" w:eastAsia="en-GB"/>
        </w:rPr>
        <w:drawing>
          <wp:inline distT="0" distB="0" distL="0" distR="0" wp14:anchorId="720ECA90" wp14:editId="647BDECE">
            <wp:extent cx="5727214" cy="4894442"/>
            <wp:effectExtent l="0" t="0" r="6985" b="1905"/>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7"/>
                    <a:stretch>
                      <a:fillRect/>
                    </a:stretch>
                  </pic:blipFill>
                  <pic:spPr>
                    <a:xfrm>
                      <a:off x="0" y="0"/>
                      <a:ext cx="5729722" cy="4896585"/>
                    </a:xfrm>
                    <a:prstGeom prst="rect">
                      <a:avLst/>
                    </a:prstGeom>
                    <a:ln w="12700" cap="flat">
                      <a:noFill/>
                      <a:miter lim="400000"/>
                    </a:ln>
                    <a:effectLst/>
                  </pic:spPr>
                </pic:pic>
              </a:graphicData>
            </a:graphic>
          </wp:inline>
        </w:drawing>
      </w:r>
    </w:p>
    <w:p w14:paraId="63B18450" w14:textId="751F83B5" w:rsidR="004F110C" w:rsidRPr="00C07F22" w:rsidRDefault="00096E68" w:rsidP="00206FF9">
      <w:pPr>
        <w:shd w:val="clear" w:color="auto" w:fill="FFFFFF"/>
        <w:spacing w:before="40" w:after="240"/>
        <w:ind w:left="1247"/>
        <w:rPr>
          <w:rFonts w:eastAsia="Times New Roman"/>
          <w:sz w:val="17"/>
          <w:szCs w:val="17"/>
          <w:bdr w:val="none" w:sz="0" w:space="0" w:color="auto"/>
          <w:lang w:val="en-GB"/>
        </w:rPr>
      </w:pPr>
      <w:r w:rsidRPr="00C51FAC">
        <w:rPr>
          <w:bCs/>
          <w:i/>
          <w:iCs/>
          <w:sz w:val="17"/>
          <w:szCs w:val="17"/>
        </w:rPr>
        <w:t>Abbrev</w:t>
      </w:r>
      <w:r w:rsidRPr="00C51FAC">
        <w:rPr>
          <w:i/>
          <w:iCs/>
          <w:sz w:val="17"/>
          <w:szCs w:val="17"/>
        </w:rPr>
        <w:t>iations</w:t>
      </w:r>
      <w:r w:rsidRPr="00C51FAC">
        <w:rPr>
          <w:sz w:val="17"/>
          <w:szCs w:val="17"/>
        </w:rPr>
        <w:t>: AMAP, Arctic Monitoring and Assessment Programme; EMEP, E</w:t>
      </w:r>
      <w:r w:rsidR="00545BE7" w:rsidRPr="00C51FAC">
        <w:rPr>
          <w:sz w:val="17"/>
          <w:szCs w:val="17"/>
        </w:rPr>
        <w:t>uropean Monitoring and Evaluation</w:t>
      </w:r>
      <w:r w:rsidR="00440B2D" w:rsidRPr="00C51FAC">
        <w:rPr>
          <w:sz w:val="17"/>
          <w:szCs w:val="17"/>
        </w:rPr>
        <w:t xml:space="preserve"> </w:t>
      </w:r>
      <w:r w:rsidRPr="00C51FAC">
        <w:rPr>
          <w:sz w:val="17"/>
          <w:szCs w:val="17"/>
        </w:rPr>
        <w:t>Program</w:t>
      </w:r>
      <w:r w:rsidR="00545BE7" w:rsidRPr="00C51FAC">
        <w:rPr>
          <w:sz w:val="17"/>
          <w:szCs w:val="17"/>
        </w:rPr>
        <w:t>me</w:t>
      </w:r>
      <w:r w:rsidRPr="00C51FAC">
        <w:rPr>
          <w:sz w:val="17"/>
          <w:szCs w:val="17"/>
        </w:rPr>
        <w:t>; GMOS, Global Mercury Observation System; MDN, Mercury Deposition Network.</w:t>
      </w:r>
    </w:p>
    <w:p w14:paraId="2C2DE92D" w14:textId="77777777" w:rsidR="004F110C" w:rsidRPr="00C07F22" w:rsidRDefault="004F110C" w:rsidP="00E1136D">
      <w:pPr>
        <w:pStyle w:val="Normalnumber"/>
      </w:pPr>
      <w:r w:rsidRPr="00C07F22">
        <w:lastRenderedPageBreak/>
        <w:t>The following approaches are proposed for filling gaps:</w:t>
      </w:r>
    </w:p>
    <w:p w14:paraId="78571D57" w14:textId="77777777" w:rsidR="004F110C" w:rsidRPr="00C07F22" w:rsidRDefault="004F110C" w:rsidP="00E1136D">
      <w:pPr>
        <w:pStyle w:val="Normalnumber"/>
        <w:numPr>
          <w:ilvl w:val="1"/>
          <w:numId w:val="4"/>
        </w:numPr>
        <w:tabs>
          <w:tab w:val="clear" w:pos="1134"/>
        </w:tabs>
        <w:ind w:firstLine="624"/>
      </w:pPr>
      <w:r w:rsidRPr="00C07F22">
        <w:t>Couple current monitoring of TGM/GEM with new technologies (including passive and active mercury sampling);</w:t>
      </w:r>
    </w:p>
    <w:p w14:paraId="410D8313" w14:textId="77777777" w:rsidR="004F110C" w:rsidRPr="00C07F22" w:rsidRDefault="004F110C" w:rsidP="00E1136D">
      <w:pPr>
        <w:pStyle w:val="Normalnumber"/>
        <w:numPr>
          <w:ilvl w:val="1"/>
          <w:numId w:val="4"/>
        </w:numPr>
        <w:tabs>
          <w:tab w:val="clear" w:pos="1134"/>
        </w:tabs>
        <w:ind w:firstLine="624"/>
      </w:pPr>
      <w:r w:rsidRPr="00C07F22">
        <w:t>Expand current monitoring networks, where possible, to fill data gaps;</w:t>
      </w:r>
    </w:p>
    <w:p w14:paraId="3E6A3C1B" w14:textId="79029A2E" w:rsidR="004F110C" w:rsidRPr="00C07F22" w:rsidRDefault="004F110C" w:rsidP="00E1136D">
      <w:pPr>
        <w:pStyle w:val="Normalnumber"/>
        <w:numPr>
          <w:ilvl w:val="1"/>
          <w:numId w:val="4"/>
        </w:numPr>
        <w:tabs>
          <w:tab w:val="clear" w:pos="1134"/>
        </w:tabs>
        <w:ind w:firstLine="624"/>
      </w:pPr>
      <w:r w:rsidRPr="00C07F22">
        <w:t>Employ currently</w:t>
      </w:r>
      <w:r w:rsidR="00096E68" w:rsidRPr="00C07F22">
        <w:t xml:space="preserve"> </w:t>
      </w:r>
      <w:r w:rsidRPr="00C07F22">
        <w:t>used standard procedures for data collection and treatment, where possible;</w:t>
      </w:r>
    </w:p>
    <w:p w14:paraId="0C90A73C" w14:textId="09904AE4" w:rsidR="004F110C" w:rsidRPr="00C07F22" w:rsidRDefault="0074541F" w:rsidP="00E1136D">
      <w:pPr>
        <w:pStyle w:val="Normalnumber"/>
        <w:numPr>
          <w:ilvl w:val="1"/>
          <w:numId w:val="4"/>
        </w:numPr>
        <w:tabs>
          <w:tab w:val="clear" w:pos="1134"/>
        </w:tabs>
        <w:ind w:firstLine="624"/>
      </w:pPr>
      <w:r w:rsidRPr="00C07F22">
        <w:t>C</w:t>
      </w:r>
      <w:r w:rsidR="004F110C" w:rsidRPr="00C07F22">
        <w:t>ompar</w:t>
      </w:r>
      <w:r w:rsidR="00096E68" w:rsidRPr="00C07F22">
        <w:t>e</w:t>
      </w:r>
      <w:r w:rsidR="004F110C" w:rsidRPr="00C07F22">
        <w:t xml:space="preserve"> measurement technologies and data treatment </w:t>
      </w:r>
      <w:r w:rsidRPr="00C07F22">
        <w:t>across</w:t>
      </w:r>
      <w:r w:rsidR="004F110C" w:rsidRPr="00C07F22">
        <w:t xml:space="preserve"> networks; </w:t>
      </w:r>
    </w:p>
    <w:p w14:paraId="246C70F4" w14:textId="7F95C997" w:rsidR="004F110C" w:rsidRPr="00C07F22" w:rsidRDefault="004F110C" w:rsidP="00E1136D">
      <w:pPr>
        <w:pStyle w:val="Normalnumber"/>
        <w:numPr>
          <w:ilvl w:val="1"/>
          <w:numId w:val="4"/>
        </w:numPr>
        <w:tabs>
          <w:tab w:val="clear" w:pos="1134"/>
        </w:tabs>
        <w:ind w:firstLine="624"/>
      </w:pPr>
      <w:r w:rsidRPr="00C07F22">
        <w:t xml:space="preserve">Fill geographical data gaps using manual active or passive sampling methods; </w:t>
      </w:r>
    </w:p>
    <w:p w14:paraId="6F361768" w14:textId="77777777" w:rsidR="004F110C" w:rsidRPr="00C07F22" w:rsidRDefault="004F110C" w:rsidP="00E1136D">
      <w:pPr>
        <w:pStyle w:val="Normalnumber"/>
        <w:numPr>
          <w:ilvl w:val="1"/>
          <w:numId w:val="4"/>
        </w:numPr>
        <w:tabs>
          <w:tab w:val="clear" w:pos="1134"/>
        </w:tabs>
        <w:ind w:firstLine="624"/>
      </w:pPr>
      <w:r w:rsidRPr="00C07F22">
        <w:t xml:space="preserve">If feasible, couple manual active or passive air measurements with active and wet/dry deposition measurements; </w:t>
      </w:r>
    </w:p>
    <w:p w14:paraId="092CD7A9" w14:textId="139D8603" w:rsidR="004F110C" w:rsidRPr="00C07F22" w:rsidRDefault="004F110C" w:rsidP="00E1136D">
      <w:pPr>
        <w:pStyle w:val="Normalnumber"/>
        <w:numPr>
          <w:ilvl w:val="1"/>
          <w:numId w:val="4"/>
        </w:numPr>
        <w:tabs>
          <w:tab w:val="clear" w:pos="1134"/>
        </w:tabs>
        <w:ind w:firstLine="624"/>
      </w:pPr>
      <w:r w:rsidRPr="00C07F22">
        <w:t>Conduct sampling at least quarterly (either averaged with active sampling data or integrate</w:t>
      </w:r>
      <w:r w:rsidR="0074541F" w:rsidRPr="00C07F22">
        <w:t>d</w:t>
      </w:r>
      <w:r w:rsidRPr="00C07F22">
        <w:t xml:space="preserve"> over </w:t>
      </w:r>
      <w:r w:rsidR="0074541F" w:rsidRPr="00C07F22">
        <w:t xml:space="preserve">the course of </w:t>
      </w:r>
      <w:r w:rsidR="00A97C7B" w:rsidRPr="00C07F22">
        <w:t>three</w:t>
      </w:r>
      <w:r w:rsidRPr="00C07F22">
        <w:t xml:space="preserve"> months with passive sampling) to assess seasonal variation</w:t>
      </w:r>
      <w:r w:rsidR="00A97C7B" w:rsidRPr="00C07F22">
        <w:t>s</w:t>
      </w:r>
      <w:r w:rsidRPr="00C07F22">
        <w:t>;</w:t>
      </w:r>
    </w:p>
    <w:p w14:paraId="185A3102" w14:textId="6C7E25F8" w:rsidR="004F110C" w:rsidRPr="00C07F22" w:rsidRDefault="006E5977" w:rsidP="00E1136D">
      <w:pPr>
        <w:pStyle w:val="Normalnumber"/>
        <w:numPr>
          <w:ilvl w:val="1"/>
          <w:numId w:val="4"/>
        </w:numPr>
        <w:tabs>
          <w:tab w:val="clear" w:pos="1134"/>
        </w:tabs>
        <w:ind w:firstLine="624"/>
      </w:pPr>
      <w:r w:rsidRPr="00C07F22">
        <w:t>When choosing new sampling sites, p</w:t>
      </w:r>
      <w:r w:rsidR="004F110C" w:rsidRPr="00C07F22">
        <w:t xml:space="preserve">rioritize </w:t>
      </w:r>
      <w:r w:rsidRPr="00C07F22">
        <w:t xml:space="preserve">the filling </w:t>
      </w:r>
      <w:r w:rsidR="00177911" w:rsidRPr="00C07F22">
        <w:t xml:space="preserve">of the </w:t>
      </w:r>
      <w:r w:rsidRPr="00C07F22">
        <w:t>information and data</w:t>
      </w:r>
      <w:r w:rsidR="0074541F" w:rsidRPr="00C07F22">
        <w:t xml:space="preserve"> </w:t>
      </w:r>
      <w:r w:rsidR="004F110C" w:rsidRPr="00C07F22">
        <w:t xml:space="preserve">gaps identified in </w:t>
      </w:r>
      <w:r w:rsidR="00A97C7B" w:rsidRPr="00C07F22">
        <w:rPr>
          <w:i/>
          <w:iCs/>
        </w:rPr>
        <w:t>G</w:t>
      </w:r>
      <w:r w:rsidR="004F110C" w:rsidRPr="00C07F22">
        <w:rPr>
          <w:i/>
          <w:iCs/>
        </w:rPr>
        <w:t xml:space="preserve">lobal </w:t>
      </w:r>
      <w:r w:rsidR="00A97C7B" w:rsidRPr="00C07F22">
        <w:rPr>
          <w:i/>
          <w:iCs/>
        </w:rPr>
        <w:t>M</w:t>
      </w:r>
      <w:r w:rsidR="004F110C" w:rsidRPr="00C07F22">
        <w:rPr>
          <w:i/>
          <w:iCs/>
        </w:rPr>
        <w:t xml:space="preserve">ercury </w:t>
      </w:r>
      <w:r w:rsidR="00A97C7B" w:rsidRPr="00C07F22">
        <w:rPr>
          <w:i/>
          <w:iCs/>
        </w:rPr>
        <w:t>A</w:t>
      </w:r>
      <w:r w:rsidR="004F110C" w:rsidRPr="00C07F22">
        <w:rPr>
          <w:i/>
          <w:iCs/>
        </w:rPr>
        <w:t xml:space="preserve">ssessment </w:t>
      </w:r>
      <w:r w:rsidR="00A97C7B" w:rsidRPr="00C07F22">
        <w:rPr>
          <w:i/>
          <w:iCs/>
        </w:rPr>
        <w:t>2018</w:t>
      </w:r>
      <w:r w:rsidR="00A97C7B" w:rsidRPr="00C07F22">
        <w:t xml:space="preserve"> </w:t>
      </w:r>
      <w:r w:rsidR="004F110C" w:rsidRPr="00C07F22">
        <w:t>and other literature.</w:t>
      </w:r>
    </w:p>
    <w:p w14:paraId="5716DF8F" w14:textId="73CC56E5" w:rsidR="004F110C" w:rsidRPr="00C07F22" w:rsidRDefault="004F110C" w:rsidP="00E1136D">
      <w:pPr>
        <w:pStyle w:val="Normalnumber"/>
      </w:pPr>
      <w:r w:rsidRPr="00C07F22">
        <w:t>I</w:t>
      </w:r>
      <w:r w:rsidR="00A97C7B" w:rsidRPr="00C07F22">
        <w:t>t is recommended that the</w:t>
      </w:r>
      <w:r w:rsidRPr="00C07F22">
        <w:t xml:space="preserve"> elaborati</w:t>
      </w:r>
      <w:r w:rsidR="00A97C7B" w:rsidRPr="00C07F22">
        <w:t>on of</w:t>
      </w:r>
      <w:r w:rsidRPr="00C07F22">
        <w:t xml:space="preserve"> future strategies aiming to fill geographical gaps </w:t>
      </w:r>
      <w:r w:rsidR="006E5977" w:rsidRPr="00C07F22">
        <w:t>in</w:t>
      </w:r>
      <w:r w:rsidRPr="00C07F22">
        <w:t xml:space="preserve"> atmospheric mercury monitoring data</w:t>
      </w:r>
      <w:r w:rsidR="00A97C7B" w:rsidRPr="00C07F22">
        <w:t xml:space="preserve"> provide for</w:t>
      </w:r>
      <w:r w:rsidRPr="00C07F22">
        <w:t xml:space="preserve"> the operation of about 30 monitoring sites</w:t>
      </w:r>
      <w:r w:rsidR="00A97C7B" w:rsidRPr="00C07F22">
        <w:t>,</w:t>
      </w:r>
      <w:r w:rsidRPr="00C07F22">
        <w:t xml:space="preserve"> with manual active or passive air sampling in each large geographical area</w:t>
      </w:r>
      <w:r w:rsidR="006E5977" w:rsidRPr="00C07F22">
        <w:t>s</w:t>
      </w:r>
      <w:r w:rsidR="00A97C7B" w:rsidRPr="00C07F22">
        <w:t xml:space="preserve">, </w:t>
      </w:r>
      <w:r w:rsidRPr="00C07F22">
        <w:t xml:space="preserve">such as Africa, Latin America and </w:t>
      </w:r>
      <w:r w:rsidR="006E5977" w:rsidRPr="00C07F22">
        <w:t xml:space="preserve">the </w:t>
      </w:r>
      <w:r w:rsidRPr="00C07F22">
        <w:t>Russia</w:t>
      </w:r>
      <w:r w:rsidR="006E5977" w:rsidRPr="00C07F22">
        <w:t>n Federation</w:t>
      </w:r>
      <w:r w:rsidR="00A97C7B" w:rsidRPr="00C07F22">
        <w:t>,</w:t>
      </w:r>
      <w:r w:rsidRPr="00C07F22">
        <w:t xml:space="preserve"> placed in locations that </w:t>
      </w:r>
      <w:r w:rsidR="00A97C7B" w:rsidRPr="00C07F22">
        <w:t xml:space="preserve">could </w:t>
      </w:r>
      <w:r w:rsidRPr="00C07F22">
        <w:t>provide information on regional/local background mercury concentrations.</w:t>
      </w:r>
      <w:r w:rsidR="00DE0A5C" w:rsidRPr="00C07F22">
        <w:t xml:space="preserve"> </w:t>
      </w:r>
      <w:r w:rsidRPr="00C07F22">
        <w:t>The suggested number of sites is only indicative</w:t>
      </w:r>
      <w:r w:rsidR="00A97C7B" w:rsidRPr="00C07F22">
        <w:t>;</w:t>
      </w:r>
      <w:r w:rsidRPr="00C07F22">
        <w:t xml:space="preserve"> a larger number of sites using manual active or passive air sampling would certainly allow </w:t>
      </w:r>
      <w:r w:rsidR="00A97C7B" w:rsidRPr="00C07F22">
        <w:t>for</w:t>
      </w:r>
      <w:r w:rsidRPr="00C07F22">
        <w:t xml:space="preserve"> better geographical distribution and representativeness of the regional/local emission regimes, meteorology and transport/deposition patterns. A cost analysis for air monitoring</w:t>
      </w:r>
      <w:r w:rsidR="00545BE7" w:rsidRPr="00C07F22">
        <w:t>,</w:t>
      </w:r>
      <w:r w:rsidRPr="00C07F22">
        <w:t xml:space="preserve"> including the proposed sampling</w:t>
      </w:r>
      <w:r w:rsidR="00545BE7" w:rsidRPr="00C07F22">
        <w:t>,</w:t>
      </w:r>
      <w:r w:rsidRPr="00C07F22">
        <w:t xml:space="preserve"> can be found in </w:t>
      </w:r>
      <w:r w:rsidR="00A97C7B" w:rsidRPr="00C07F22">
        <w:t xml:space="preserve">document </w:t>
      </w:r>
      <w:r w:rsidRPr="00C07F22">
        <w:t>UNEP/MC/COP.3/INF/15</w:t>
      </w:r>
      <w:r w:rsidR="00A97C7B" w:rsidRPr="00C07F22">
        <w:t>,</w:t>
      </w:r>
      <w:r w:rsidRPr="00C07F22">
        <w:t xml:space="preserve"> </w:t>
      </w:r>
      <w:r w:rsidR="00A97C7B" w:rsidRPr="00C07F22">
        <w:t>p</w:t>
      </w:r>
      <w:r w:rsidRPr="00C07F22">
        <w:t>art I</w:t>
      </w:r>
      <w:r w:rsidR="00A97C7B" w:rsidRPr="00C07F22">
        <w:t>,</w:t>
      </w:r>
      <w:r w:rsidRPr="00C07F22">
        <w:t xml:space="preserve"> </w:t>
      </w:r>
      <w:r w:rsidR="00A97C7B" w:rsidRPr="00C07F22">
        <w:t>s</w:t>
      </w:r>
      <w:r w:rsidRPr="00C07F22">
        <w:t>ection 4.</w:t>
      </w:r>
    </w:p>
    <w:p w14:paraId="238B55E1" w14:textId="430AA5E2" w:rsidR="004F110C" w:rsidRPr="00C07F22" w:rsidRDefault="00032AF5" w:rsidP="00E1136D">
      <w:pPr>
        <w:pStyle w:val="CH2"/>
        <w:rPr>
          <w:bCs/>
        </w:rPr>
      </w:pPr>
      <w:r w:rsidRPr="00C07F22">
        <w:tab/>
      </w:r>
      <w:r w:rsidR="00B82C2A" w:rsidRPr="00C07F22">
        <w:t>B.</w:t>
      </w:r>
      <w:r w:rsidRPr="00C07F22">
        <w:tab/>
      </w:r>
      <w:r w:rsidR="004F110C" w:rsidRPr="00C07F22">
        <w:t>Human exposure</w:t>
      </w:r>
    </w:p>
    <w:p w14:paraId="336A65EA" w14:textId="382FD588" w:rsidR="004F110C" w:rsidRPr="00C07F22" w:rsidRDefault="004F110C" w:rsidP="00E1136D">
      <w:pPr>
        <w:pStyle w:val="Normalnumber"/>
      </w:pPr>
      <w:r w:rsidRPr="00C07F22">
        <w:t xml:space="preserve">Studies using the WHO protocol for </w:t>
      </w:r>
      <w:r w:rsidRPr="00ED77A9">
        <w:t>assessment of prenatal</w:t>
      </w:r>
      <w:r w:rsidRPr="00C07F22">
        <w:t xml:space="preserve"> exposure to methylmercury are recommended to fill the data gaps </w:t>
      </w:r>
      <w:r w:rsidR="00FD0905" w:rsidRPr="00C07F22">
        <w:t>and</w:t>
      </w:r>
      <w:r w:rsidRPr="00C07F22">
        <w:t xml:space="preserve"> obtain </w:t>
      </w:r>
      <w:r w:rsidR="00FD0905" w:rsidRPr="00C07F22">
        <w:t>the</w:t>
      </w:r>
      <w:r w:rsidRPr="00C07F22">
        <w:t xml:space="preserve"> global picture </w:t>
      </w:r>
      <w:r w:rsidR="00FD0905" w:rsidRPr="00C07F22">
        <w:t xml:space="preserve">needed </w:t>
      </w:r>
      <w:r w:rsidRPr="00C07F22">
        <w:t>for effectiveness evaluation</w:t>
      </w:r>
      <w:r w:rsidR="00FD0905" w:rsidRPr="00C07F22">
        <w:t>.</w:t>
      </w:r>
      <w:r w:rsidRPr="00C07F22">
        <w:rPr>
          <w:vertAlign w:val="superscript"/>
        </w:rPr>
        <w:footnoteReference w:id="7"/>
      </w:r>
      <w:r w:rsidRPr="00C07F22">
        <w:t xml:space="preserve"> </w:t>
      </w:r>
      <w:r w:rsidR="00FD0905" w:rsidRPr="00C07F22">
        <w:t>Using t</w:t>
      </w:r>
      <w:r w:rsidRPr="00C07F22">
        <w:t xml:space="preserve">he </w:t>
      </w:r>
      <w:r w:rsidR="00FD0905" w:rsidRPr="00C07F22">
        <w:t xml:space="preserve">WHO </w:t>
      </w:r>
      <w:r w:rsidRPr="00C07F22">
        <w:t xml:space="preserve">protocol </w:t>
      </w:r>
      <w:r w:rsidR="00FD0905" w:rsidRPr="00C07F22">
        <w:t xml:space="preserve">would </w:t>
      </w:r>
      <w:r w:rsidRPr="00C07F22">
        <w:t xml:space="preserve">enable </w:t>
      </w:r>
      <w:r w:rsidR="00FD0905" w:rsidRPr="00C07F22">
        <w:t xml:space="preserve">the </w:t>
      </w:r>
      <w:r w:rsidRPr="00C07F22">
        <w:t>collection of comparable data (e.g.</w:t>
      </w:r>
      <w:r w:rsidR="00FD0905" w:rsidRPr="00C07F22">
        <w:t>,</w:t>
      </w:r>
      <w:r w:rsidRPr="00C07F22">
        <w:t xml:space="preserve"> hair samples from 250</w:t>
      </w:r>
      <w:r w:rsidR="00206FF9" w:rsidRPr="00C07F22">
        <w:t> </w:t>
      </w:r>
      <w:r w:rsidRPr="00C07F22">
        <w:t>people per study location</w:t>
      </w:r>
      <w:r w:rsidR="00FD0905" w:rsidRPr="00C07F22">
        <w:t>,</w:t>
      </w:r>
      <w:r w:rsidRPr="00C07F22">
        <w:t xml:space="preserve"> with minimum diversity recommended). The studies </w:t>
      </w:r>
      <w:r w:rsidR="00FD0905" w:rsidRPr="00C07F22">
        <w:t xml:space="preserve">would be </w:t>
      </w:r>
      <w:r w:rsidRPr="00C07F22">
        <w:t>country</w:t>
      </w:r>
      <w:r w:rsidR="00847AE1">
        <w:noBreakHyphen/>
      </w:r>
      <w:r w:rsidRPr="00C07F22">
        <w:t>driven</w:t>
      </w:r>
      <w:r w:rsidR="00FD0905" w:rsidRPr="00C07F22">
        <w:t>;</w:t>
      </w:r>
      <w:r w:rsidR="00DE0A5C" w:rsidRPr="00C07F22">
        <w:t xml:space="preserve"> </w:t>
      </w:r>
      <w:r w:rsidR="00FD0905" w:rsidRPr="00C07F22">
        <w:t>l</w:t>
      </w:r>
      <w:r w:rsidRPr="00C07F22">
        <w:t xml:space="preserve">ocal ethical clearance </w:t>
      </w:r>
      <w:r w:rsidR="006E5977" w:rsidRPr="00C07F22">
        <w:t>(i.e</w:t>
      </w:r>
      <w:r w:rsidR="00206FF9" w:rsidRPr="00C07F22">
        <w:t>.</w:t>
      </w:r>
      <w:r w:rsidR="006E5977" w:rsidRPr="00C07F22">
        <w:t>, that of an institutional review board) would be</w:t>
      </w:r>
      <w:r w:rsidRPr="00C07F22">
        <w:t xml:space="preserve"> required</w:t>
      </w:r>
      <w:r w:rsidR="006E5977" w:rsidRPr="00C07F22">
        <w:t>,</w:t>
      </w:r>
      <w:r w:rsidRPr="00C07F22">
        <w:t xml:space="preserve"> and the studies </w:t>
      </w:r>
      <w:r w:rsidR="006E5977" w:rsidRPr="00C07F22">
        <w:t>would be</w:t>
      </w:r>
      <w:r w:rsidRPr="00C07F22">
        <w:t xml:space="preserve"> conducted within the </w:t>
      </w:r>
      <w:r w:rsidR="006E5977" w:rsidRPr="00C07F22">
        <w:t xml:space="preserve">national </w:t>
      </w:r>
      <w:r w:rsidRPr="00C07F22">
        <w:t>health system</w:t>
      </w:r>
      <w:r w:rsidR="00C51FAC">
        <w:t>;</w:t>
      </w:r>
      <w:r w:rsidRPr="00C07F22">
        <w:t xml:space="preserve"> therefore country approval </w:t>
      </w:r>
      <w:r w:rsidR="00C51FAC">
        <w:t>would be</w:t>
      </w:r>
      <w:r w:rsidRPr="00C07F22">
        <w:t xml:space="preserve"> a given.</w:t>
      </w:r>
      <w:r w:rsidR="00DE0A5C" w:rsidRPr="00C07F22">
        <w:t xml:space="preserve"> </w:t>
      </w:r>
      <w:r w:rsidRPr="00C07F22">
        <w:t xml:space="preserve">Each country </w:t>
      </w:r>
      <w:r w:rsidR="00FD0905" w:rsidRPr="00C07F22">
        <w:t xml:space="preserve">would </w:t>
      </w:r>
      <w:r w:rsidRPr="00C07F22">
        <w:t xml:space="preserve">own its data and </w:t>
      </w:r>
      <w:r w:rsidR="00197072" w:rsidRPr="00C07F22">
        <w:t xml:space="preserve">the </w:t>
      </w:r>
      <w:r w:rsidRPr="00C07F22">
        <w:t xml:space="preserve">submission of results </w:t>
      </w:r>
      <w:r w:rsidR="00FD0905" w:rsidRPr="00C07F22">
        <w:t xml:space="preserve">would be </w:t>
      </w:r>
      <w:r w:rsidRPr="00C07F22">
        <w:t>voluntary.</w:t>
      </w:r>
      <w:r w:rsidR="00DE0A5C" w:rsidRPr="00C07F22">
        <w:t xml:space="preserve"> </w:t>
      </w:r>
    </w:p>
    <w:p w14:paraId="13D49F4C" w14:textId="7F7F5B5A" w:rsidR="004F110C" w:rsidRPr="00C07F22" w:rsidRDefault="00FD0905" w:rsidP="00E1136D">
      <w:pPr>
        <w:pStyle w:val="Normalnumber"/>
      </w:pPr>
      <w:r w:rsidRPr="00C07F22">
        <w:t>Paragraph 1 (d) of a</w:t>
      </w:r>
      <w:r w:rsidR="004F110C" w:rsidRPr="00C07F22">
        <w:t xml:space="preserve">rticle 17 of the Convention </w:t>
      </w:r>
      <w:r w:rsidRPr="00C07F22">
        <w:t>calls for the</w:t>
      </w:r>
      <w:r w:rsidR="004F110C" w:rsidRPr="00C07F22">
        <w:t xml:space="preserve"> part</w:t>
      </w:r>
      <w:r w:rsidRPr="00C07F22">
        <w:t>ies to</w:t>
      </w:r>
      <w:r w:rsidR="004F110C" w:rsidRPr="00C07F22">
        <w:t xml:space="preserve"> facilitate the exchange of epidemiological information concerning health impacts associated with exposure to mercury and mercury compounds, in close cooperation with the World Health Organization and other relevant organizations, as appropriate.</w:t>
      </w:r>
      <w:r w:rsidR="00DE0A5C" w:rsidRPr="00C07F22">
        <w:t xml:space="preserve"> </w:t>
      </w:r>
      <w:r w:rsidR="0024150E" w:rsidRPr="00C07F22">
        <w:t>In line with that article of the Convention, t</w:t>
      </w:r>
      <w:r w:rsidR="004F110C" w:rsidRPr="00C07F22">
        <w:t xml:space="preserve">he compilation and exchange of data on mercury levels obtained through human biomonitoring should be undertaken. </w:t>
      </w:r>
    </w:p>
    <w:p w14:paraId="5EEFDF8E" w14:textId="0644CE21" w:rsidR="004F110C" w:rsidRPr="00C07F22" w:rsidRDefault="004F110C" w:rsidP="00E1136D">
      <w:pPr>
        <w:pStyle w:val="Normalnumber"/>
      </w:pPr>
      <w:r w:rsidRPr="00C07F22">
        <w:t xml:space="preserve">To facilitate the generation of globally representative </w:t>
      </w:r>
      <w:r w:rsidR="00D168F6" w:rsidRPr="00C07F22">
        <w:t xml:space="preserve">human biomonitoring </w:t>
      </w:r>
      <w:r w:rsidRPr="00C07F22">
        <w:t xml:space="preserve">data and trend information, which will be most relevant for effectiveness evaluation, the </w:t>
      </w:r>
      <w:r w:rsidR="00FD0905" w:rsidRPr="00C07F22">
        <w:t>m</w:t>
      </w:r>
      <w:r w:rsidRPr="00C07F22">
        <w:t xml:space="preserve">onitoring </w:t>
      </w:r>
      <w:r w:rsidR="00FD0905" w:rsidRPr="00C07F22">
        <w:t>g</w:t>
      </w:r>
      <w:r w:rsidRPr="00C07F22">
        <w:t>roup established under the global monitoring arrangements for effectiveness evaluation should be kept informed of the studies planned and carried out.</w:t>
      </w:r>
      <w:r w:rsidR="00DE0A5C" w:rsidRPr="00C07F22">
        <w:t xml:space="preserve"> </w:t>
      </w:r>
    </w:p>
    <w:p w14:paraId="33602639" w14:textId="4198E581" w:rsidR="004F110C" w:rsidRPr="00C07F22" w:rsidRDefault="004F110C" w:rsidP="00E1136D">
      <w:pPr>
        <w:pStyle w:val="Normalnumber"/>
      </w:pPr>
      <w:r w:rsidRPr="00C07F22">
        <w:t>Data quality issues are covered by the WHO protocol.</w:t>
      </w:r>
      <w:r w:rsidR="00DE0A5C" w:rsidRPr="00C07F22">
        <w:t xml:space="preserve"> </w:t>
      </w:r>
      <w:r w:rsidR="00D168F6" w:rsidRPr="00C07F22">
        <w:t>Measurement r</w:t>
      </w:r>
      <w:r w:rsidRPr="00C07F22">
        <w:t xml:space="preserve">esults must be analytically comparable </w:t>
      </w:r>
      <w:r w:rsidR="00197072" w:rsidRPr="00C07F22">
        <w:t>across</w:t>
      </w:r>
      <w:r w:rsidRPr="00C07F22">
        <w:t xml:space="preserve"> laboratories/studies. To ensure comparability, each national survey would need to follow the WHO</w:t>
      </w:r>
      <w:r w:rsidR="00FD0905" w:rsidRPr="00C07F22">
        <w:t>-</w:t>
      </w:r>
      <w:r w:rsidRPr="00C07F22">
        <w:t xml:space="preserve">harmonized </w:t>
      </w:r>
      <w:r w:rsidR="00FD0905" w:rsidRPr="00C07F22">
        <w:t>standard operating procedures</w:t>
      </w:r>
      <w:r w:rsidRPr="00C07F22">
        <w:t xml:space="preserve"> for sampling and analytical methods and develop procedures for quality assurance and quality control that cover the pre-analytical phase. The availability of appropriate reference materials (samples with a certain level of mercury)</w:t>
      </w:r>
      <w:r w:rsidRPr="00C07F22">
        <w:rPr>
          <w:vertAlign w:val="superscript"/>
        </w:rPr>
        <w:footnoteReference w:id="8"/>
      </w:r>
      <w:r w:rsidRPr="00C07F22">
        <w:t xml:space="preserve"> </w:t>
      </w:r>
      <w:r w:rsidR="00197072" w:rsidRPr="00C07F22">
        <w:t xml:space="preserve">would </w:t>
      </w:r>
      <w:r w:rsidRPr="00C07F22">
        <w:t xml:space="preserve">support internal quality assurance. External quality assurance should be done through international inter-laboratory comparison investigations. Coordination of the studies </w:t>
      </w:r>
      <w:r w:rsidR="00197072" w:rsidRPr="00C07F22">
        <w:t>would</w:t>
      </w:r>
      <w:r w:rsidRPr="00C07F22">
        <w:t xml:space="preserve"> </w:t>
      </w:r>
      <w:r w:rsidR="00D168F6" w:rsidRPr="00C07F22">
        <w:t>help</w:t>
      </w:r>
      <w:r w:rsidRPr="00C07F22">
        <w:t xml:space="preserve"> </w:t>
      </w:r>
      <w:r w:rsidR="00197072" w:rsidRPr="00C07F22">
        <w:t xml:space="preserve">to </w:t>
      </w:r>
      <w:r w:rsidRPr="00C07F22">
        <w:t>ensur</w:t>
      </w:r>
      <w:r w:rsidR="00D168F6" w:rsidRPr="00C07F22">
        <w:t>e</w:t>
      </w:r>
      <w:r w:rsidRPr="00C07F22">
        <w:t xml:space="preserve"> appropriate quality control measures. </w:t>
      </w:r>
    </w:p>
    <w:p w14:paraId="0AA7382B" w14:textId="3C1AF3AB" w:rsidR="004F110C" w:rsidRPr="00C07F22" w:rsidRDefault="004F110C" w:rsidP="00970F26">
      <w:pPr>
        <w:pStyle w:val="Normalnumber"/>
        <w:keepNext/>
        <w:keepLines/>
      </w:pPr>
      <w:r w:rsidRPr="00C07F22">
        <w:lastRenderedPageBreak/>
        <w:t>The WHO protocol also covers data management, analysis and evaluation issues, including whether this should be done at the national and/or in</w:t>
      </w:r>
      <w:r w:rsidRPr="005805C4">
        <w:t>ternatio</w:t>
      </w:r>
      <w:r w:rsidRPr="00C07F22">
        <w:t xml:space="preserve">nal level. </w:t>
      </w:r>
      <w:r w:rsidR="00D168F6" w:rsidRPr="00C07F22">
        <w:t>The protocol</w:t>
      </w:r>
      <w:r w:rsidRPr="00C07F22">
        <w:t xml:space="preserve"> recommends that participating countries conduct statistical analyses at the national level and submit anonymized data to a central database</w:t>
      </w:r>
      <w:r w:rsidR="00197072" w:rsidRPr="00C07F22">
        <w:rPr>
          <w:rFonts w:eastAsia="Arial Unicode MS"/>
          <w:sz w:val="24"/>
          <w:szCs w:val="24"/>
          <w:bdr w:val="nil"/>
        </w:rPr>
        <w:t xml:space="preserve"> </w:t>
      </w:r>
      <w:r w:rsidR="00197072" w:rsidRPr="00C07F22">
        <w:t>for statistical analysis</w:t>
      </w:r>
      <w:r w:rsidRPr="00C07F22">
        <w:t>. The aim of a statistical analysis at the international level is to assess associations between biomarker values and predictors such as age, gender</w:t>
      </w:r>
      <w:r w:rsidR="00D168F6" w:rsidRPr="00C07F22">
        <w:t xml:space="preserve"> and</w:t>
      </w:r>
      <w:r w:rsidRPr="00C07F22">
        <w:t xml:space="preserve"> fish consumption habits (collected via questionnaire) in a pooled dataset</w:t>
      </w:r>
      <w:r w:rsidRPr="002D2810">
        <w:t xml:space="preserve">. </w:t>
      </w:r>
      <w:r w:rsidR="003178FB" w:rsidRPr="002D2810">
        <w:t>The WHO protocol also addresses d</w:t>
      </w:r>
      <w:r w:rsidRPr="002D2810">
        <w:t>ata communication issues</w:t>
      </w:r>
      <w:r w:rsidR="00197072" w:rsidRPr="002D2810">
        <w:t xml:space="preserve">, </w:t>
      </w:r>
      <w:r w:rsidR="00C51FAC" w:rsidRPr="002D2810">
        <w:t xml:space="preserve">and </w:t>
      </w:r>
      <w:r w:rsidR="00197072" w:rsidRPr="002D2810">
        <w:t xml:space="preserve">the human health assessments of the </w:t>
      </w:r>
      <w:r w:rsidRPr="002D2810">
        <w:t>Arctic Monitoring and Assessment Programme (AMAP)</w:t>
      </w:r>
      <w:r w:rsidR="00C51FAC" w:rsidRPr="002D2810">
        <w:t xml:space="preserve"> address those issues for indigenous peoples </w:t>
      </w:r>
      <w:r w:rsidR="00DB1782" w:rsidRPr="00EE4085">
        <w:t xml:space="preserve">in the Artic region </w:t>
      </w:r>
      <w:r w:rsidR="00C51FAC" w:rsidRPr="002D2810">
        <w:t>in particular</w:t>
      </w:r>
      <w:r w:rsidRPr="002D2810">
        <w:t>.</w:t>
      </w:r>
      <w:r w:rsidR="005805C4">
        <w:t xml:space="preserve"> </w:t>
      </w:r>
      <w:r w:rsidR="003178FB" w:rsidRPr="00C07F22">
        <w:t>C</w:t>
      </w:r>
      <w:r w:rsidRPr="00C07F22">
        <w:t xml:space="preserve">ommunication issues include </w:t>
      </w:r>
      <w:r w:rsidR="00D168F6" w:rsidRPr="00C07F22">
        <w:t xml:space="preserve">the </w:t>
      </w:r>
      <w:r w:rsidRPr="00C07F22">
        <w:t>communication of results within the country, to the individuals participating in the study and to policymakers. It should be noted that some countries</w:t>
      </w:r>
      <w:r w:rsidR="003178FB" w:rsidRPr="00C07F22">
        <w:t xml:space="preserve"> may already have</w:t>
      </w:r>
      <w:r w:rsidRPr="00C07F22">
        <w:t xml:space="preserve"> national guidelines relating to </w:t>
      </w:r>
      <w:r w:rsidR="003178FB" w:rsidRPr="00C07F22">
        <w:t xml:space="preserve">the </w:t>
      </w:r>
      <w:r w:rsidRPr="00C07F22">
        <w:t xml:space="preserve">communication of results. </w:t>
      </w:r>
    </w:p>
    <w:p w14:paraId="4C228CD5" w14:textId="7102BD5C" w:rsidR="004F110C" w:rsidRPr="00C07F22" w:rsidRDefault="004F110C" w:rsidP="00E1136D">
      <w:pPr>
        <w:pStyle w:val="Normalnumber"/>
      </w:pPr>
      <w:r w:rsidRPr="00C07F22">
        <w:t xml:space="preserve">The </w:t>
      </w:r>
      <w:r w:rsidR="00024DDD" w:rsidRPr="00C07F22">
        <w:t xml:space="preserve">Global Environment Facility-funded project “Develop a Plan for Global Monitoring of Human Exposure to and Environmental Concentrations of Mercury” </w:t>
      </w:r>
      <w:r w:rsidRPr="00C07F22">
        <w:t xml:space="preserve">(UNEP/MC/COP.3/INF/19) </w:t>
      </w:r>
      <w:r w:rsidR="00024DDD" w:rsidRPr="00C07F22">
        <w:t xml:space="preserve">has shown </w:t>
      </w:r>
      <w:r w:rsidR="00945763" w:rsidRPr="00C07F22">
        <w:t xml:space="preserve">that </w:t>
      </w:r>
      <w:r w:rsidR="00024DDD" w:rsidRPr="00C07F22">
        <w:t xml:space="preserve">the </w:t>
      </w:r>
      <w:r w:rsidRPr="00C07F22">
        <w:t xml:space="preserve">generation of data using the WHO </w:t>
      </w:r>
      <w:r w:rsidR="00024DDD" w:rsidRPr="00C07F22">
        <w:t>p</w:t>
      </w:r>
      <w:r w:rsidRPr="00C07F22">
        <w:t xml:space="preserve">rotocol in developing countries </w:t>
      </w:r>
      <w:r w:rsidR="00945763" w:rsidRPr="00C07F22">
        <w:t>is</w:t>
      </w:r>
      <w:r w:rsidRPr="00C07F22">
        <w:t xml:space="preserve"> cost-effective, practical and feasible.</w:t>
      </w:r>
      <w:r w:rsidR="00DE0A5C" w:rsidRPr="00C07F22">
        <w:t xml:space="preserve"> </w:t>
      </w:r>
      <w:r w:rsidRPr="00C07F22">
        <w:t xml:space="preserve">The project </w:t>
      </w:r>
      <w:r w:rsidR="00945763" w:rsidRPr="00C07F22">
        <w:t xml:space="preserve">has </w:t>
      </w:r>
      <w:r w:rsidRPr="00C07F22">
        <w:t>built local capacit</w:t>
      </w:r>
      <w:r w:rsidR="00647827" w:rsidRPr="00C07F22">
        <w:t>y</w:t>
      </w:r>
      <w:r w:rsidRPr="00C07F22">
        <w:t xml:space="preserve"> to conduct </w:t>
      </w:r>
      <w:r w:rsidR="00647827" w:rsidRPr="00C07F22">
        <w:t xml:space="preserve">the relevant </w:t>
      </w:r>
      <w:r w:rsidRPr="00C07F22">
        <w:t xml:space="preserve">studies, which can therefore be repeated over time and in a range of locations to fill gaps. </w:t>
      </w:r>
    </w:p>
    <w:p w14:paraId="64819E98" w14:textId="2DA61076" w:rsidR="004F110C" w:rsidRPr="00C07F22" w:rsidRDefault="00032AF5" w:rsidP="00E1136D">
      <w:pPr>
        <w:pStyle w:val="CH2"/>
        <w:rPr>
          <w:bCs/>
        </w:rPr>
      </w:pPr>
      <w:r w:rsidRPr="00C07F22">
        <w:tab/>
      </w:r>
      <w:r w:rsidR="00B82C2A" w:rsidRPr="00C07F22">
        <w:t>C.</w:t>
      </w:r>
      <w:r w:rsidRPr="00C07F22">
        <w:tab/>
      </w:r>
      <w:r w:rsidR="004F110C" w:rsidRPr="00C07F22">
        <w:t>Biotic media</w:t>
      </w:r>
    </w:p>
    <w:p w14:paraId="5BAE178A" w14:textId="59CE6120" w:rsidR="004F110C" w:rsidRPr="00C07F22" w:rsidRDefault="004F110C" w:rsidP="00E1136D">
      <w:pPr>
        <w:pStyle w:val="Normalnumber"/>
      </w:pPr>
      <w:r w:rsidRPr="00C07F22">
        <w:rPr>
          <w:u w:color="FF0000"/>
        </w:rPr>
        <w:t xml:space="preserve">It has been recognized that there is </w:t>
      </w:r>
      <w:r w:rsidRPr="0045076D">
        <w:rPr>
          <w:u w:color="FF0000"/>
        </w:rPr>
        <w:t>a large amount</w:t>
      </w:r>
      <w:r w:rsidRPr="00C07F22">
        <w:rPr>
          <w:u w:color="FF0000"/>
        </w:rPr>
        <w:t xml:space="preserve"> of published data available</w:t>
      </w:r>
      <w:r w:rsidR="00D168F6" w:rsidRPr="00C07F22">
        <w:rPr>
          <w:u w:color="FF0000"/>
        </w:rPr>
        <w:t xml:space="preserve"> on mercury levels in biota</w:t>
      </w:r>
      <w:r w:rsidRPr="00C07F22">
        <w:rPr>
          <w:u w:color="FF0000"/>
        </w:rPr>
        <w:t xml:space="preserve">, as well as unpublished data collected for </w:t>
      </w:r>
      <w:r w:rsidRPr="00C07F22">
        <w:t>commercial</w:t>
      </w:r>
      <w:r w:rsidRPr="00C07F22">
        <w:rPr>
          <w:u w:color="FF0000"/>
        </w:rPr>
        <w:t xml:space="preserve"> and governmental purposes. </w:t>
      </w:r>
      <w:r w:rsidR="00E21A92" w:rsidRPr="00C07F22">
        <w:rPr>
          <w:u w:color="FF0000"/>
        </w:rPr>
        <w:t>It is not clear, h</w:t>
      </w:r>
      <w:r w:rsidRPr="00C07F22">
        <w:rPr>
          <w:u w:color="FF0000"/>
        </w:rPr>
        <w:t xml:space="preserve">owever, to what extent published and other data reflect background information on mercury concentrations, or whether existing data emphasizes areas where high </w:t>
      </w:r>
      <w:r w:rsidRPr="00C07F22">
        <w:t>mercury</w:t>
      </w:r>
      <w:r w:rsidRPr="00C07F22">
        <w:rPr>
          <w:u w:color="FF0000"/>
        </w:rPr>
        <w:t xml:space="preserve"> concentrations are expected. As previously described, the large biotic mercury concentration datasets from the northern United States</w:t>
      </w:r>
      <w:r w:rsidR="00C51FAC">
        <w:rPr>
          <w:u w:color="FF0000"/>
        </w:rPr>
        <w:t xml:space="preserve"> of America</w:t>
      </w:r>
      <w:r w:rsidRPr="00C07F22">
        <w:rPr>
          <w:u w:color="FF0000"/>
        </w:rPr>
        <w:t xml:space="preserve">, Canada and Scandinavia revealed that </w:t>
      </w:r>
      <w:r w:rsidR="00D168F6" w:rsidRPr="00C07F22">
        <w:rPr>
          <w:u w:color="FF0000"/>
        </w:rPr>
        <w:t xml:space="preserve">mercury </w:t>
      </w:r>
      <w:r w:rsidRPr="00C07F22">
        <w:rPr>
          <w:u w:color="FF0000"/>
        </w:rPr>
        <w:t>levels in freshwater fish from lakes with local mercury sources responded to regulation and management. Further evaluation work on existing data is required to gather all currently available</w:t>
      </w:r>
      <w:r w:rsidR="00E21A92" w:rsidRPr="00C07F22">
        <w:rPr>
          <w:u w:color="FF0000"/>
        </w:rPr>
        <w:t>,</w:t>
      </w:r>
      <w:r w:rsidRPr="00C07F22">
        <w:rPr>
          <w:u w:color="FF0000"/>
        </w:rPr>
        <w:t xml:space="preserve"> globally representative biotic mercury data, to assess what data are relevant, comparable and harmoniz</w:t>
      </w:r>
      <w:r w:rsidR="00141592" w:rsidRPr="00C07F22">
        <w:rPr>
          <w:u w:color="FF0000"/>
        </w:rPr>
        <w:t>able</w:t>
      </w:r>
      <w:r w:rsidRPr="00C07F22">
        <w:rPr>
          <w:u w:color="FF0000"/>
        </w:rPr>
        <w:t xml:space="preserve">. This process has been started with the GBMS dataset, which will allow a clearer identification of </w:t>
      </w:r>
      <w:r w:rsidR="00141592" w:rsidRPr="00C07F22">
        <w:rPr>
          <w:u w:color="FF0000"/>
        </w:rPr>
        <w:t xml:space="preserve">geographic and taxonomic </w:t>
      </w:r>
      <w:r w:rsidRPr="00C07F22">
        <w:rPr>
          <w:u w:color="FF0000"/>
        </w:rPr>
        <w:t>data gaps.</w:t>
      </w:r>
    </w:p>
    <w:p w14:paraId="40C9FFAB" w14:textId="0AA80CCD" w:rsidR="004F110C" w:rsidRPr="00C07F22" w:rsidRDefault="004F110C" w:rsidP="00E1136D">
      <w:pPr>
        <w:pStyle w:val="Normalnumber"/>
      </w:pPr>
      <w:r w:rsidRPr="00C07F22">
        <w:rPr>
          <w:u w:color="FF0000"/>
        </w:rPr>
        <w:t>AMAP is one of the best examples of how to operate a long-term mercury biomonitoring field program</w:t>
      </w:r>
      <w:r w:rsidR="00141592" w:rsidRPr="00C07F22">
        <w:rPr>
          <w:u w:color="FF0000"/>
        </w:rPr>
        <w:t>me</w:t>
      </w:r>
      <w:r w:rsidRPr="00C07F22">
        <w:rPr>
          <w:u w:color="FF0000"/>
        </w:rPr>
        <w:t xml:space="preserve"> for the benefit of both human and ecological health.</w:t>
      </w:r>
      <w:r w:rsidR="00434271" w:rsidRPr="00C07F22">
        <w:rPr>
          <w:rStyle w:val="FootnoteReference"/>
          <w:u w:color="FF0000"/>
        </w:rPr>
        <w:footnoteReference w:id="9"/>
      </w:r>
      <w:r w:rsidR="00DE0A5C" w:rsidRPr="00C07F22">
        <w:rPr>
          <w:u w:color="FF0000"/>
        </w:rPr>
        <w:t xml:space="preserve"> </w:t>
      </w:r>
      <w:r w:rsidRPr="00C07F22">
        <w:rPr>
          <w:u w:color="FF0000"/>
        </w:rPr>
        <w:t xml:space="preserve">The Global Environment Monitoring System </w:t>
      </w:r>
      <w:r w:rsidR="00437FCE" w:rsidRPr="00C07F22">
        <w:rPr>
          <w:u w:color="FF0000"/>
        </w:rPr>
        <w:sym w:font="Symbol" w:char="F02D"/>
      </w:r>
      <w:r w:rsidRPr="00C07F22">
        <w:rPr>
          <w:u w:color="FF0000"/>
        </w:rPr>
        <w:t xml:space="preserve"> </w:t>
      </w:r>
      <w:r w:rsidRPr="00C07F22">
        <w:t>Food</w:t>
      </w:r>
      <w:r w:rsidRPr="00C07F22">
        <w:rPr>
          <w:u w:color="FF0000"/>
        </w:rPr>
        <w:t xml:space="preserve"> Contamination Monitoring and Assessment Programme, commonly known as GEMS/Food, has one of the best global systems for collecting fish mercury data</w:t>
      </w:r>
      <w:r w:rsidR="00141592" w:rsidRPr="00C07F22">
        <w:rPr>
          <w:u w:color="FF0000"/>
        </w:rPr>
        <w:t>,</w:t>
      </w:r>
      <w:r w:rsidRPr="00C07F22">
        <w:rPr>
          <w:u w:color="FF0000"/>
        </w:rPr>
        <w:t xml:space="preserve"> through </w:t>
      </w:r>
      <w:r w:rsidR="00293254" w:rsidRPr="00C07F22">
        <w:rPr>
          <w:u w:color="FF0000"/>
        </w:rPr>
        <w:t>its</w:t>
      </w:r>
      <w:r w:rsidRPr="00C07F22">
        <w:rPr>
          <w:u w:color="FF0000"/>
        </w:rPr>
        <w:t xml:space="preserve"> network of collaborating cent</w:t>
      </w:r>
      <w:r w:rsidR="00434271" w:rsidRPr="00C07F22">
        <w:rPr>
          <w:u w:color="FF0000"/>
        </w:rPr>
        <w:t>re</w:t>
      </w:r>
      <w:r w:rsidRPr="00C07F22">
        <w:rPr>
          <w:u w:color="FF0000"/>
        </w:rPr>
        <w:t>s and recognized national institutions.</w:t>
      </w:r>
    </w:p>
    <w:p w14:paraId="20622A99" w14:textId="72F60BBE" w:rsidR="004F110C" w:rsidRPr="00C07F22" w:rsidRDefault="00032AF5" w:rsidP="00E1136D">
      <w:pPr>
        <w:pStyle w:val="CH2"/>
        <w:rPr>
          <w:bCs/>
        </w:rPr>
      </w:pPr>
      <w:r w:rsidRPr="00C07F22">
        <w:tab/>
      </w:r>
      <w:r w:rsidR="00B82C2A" w:rsidRPr="00C07F22">
        <w:t>D.</w:t>
      </w:r>
      <w:r w:rsidRPr="00C07F22">
        <w:tab/>
      </w:r>
      <w:r w:rsidR="004F110C" w:rsidRPr="00C07F22">
        <w:t>Cost analysis</w:t>
      </w:r>
    </w:p>
    <w:p w14:paraId="71090380" w14:textId="6BFFD67B" w:rsidR="004F110C" w:rsidRPr="00C07F22" w:rsidRDefault="004F110C" w:rsidP="00E1136D">
      <w:pPr>
        <w:pStyle w:val="Normalnumber"/>
      </w:pPr>
      <w:r w:rsidRPr="00C07F22">
        <w:t>A table summarizing the cost, practicality, feasibility, sustainability, comparability and coverage of currently</w:t>
      </w:r>
      <w:r w:rsidR="00434271" w:rsidRPr="00C07F22">
        <w:t xml:space="preserve"> </w:t>
      </w:r>
      <w:r w:rsidRPr="00C07F22">
        <w:t xml:space="preserve">used monitoring methods for air, humans, biotic media and water is included in </w:t>
      </w:r>
      <w:r w:rsidR="00434271" w:rsidRPr="00C07F22">
        <w:t xml:space="preserve">document </w:t>
      </w:r>
      <w:r w:rsidRPr="00C07F22">
        <w:t>UNEP/MC/COP.3/INF/15.</w:t>
      </w:r>
    </w:p>
    <w:p w14:paraId="5DBB0162" w14:textId="76F03074" w:rsidR="004F110C" w:rsidRPr="00C07F22" w:rsidRDefault="00B82C2A" w:rsidP="00032AF5">
      <w:pPr>
        <w:pStyle w:val="CH1"/>
      </w:pPr>
      <w:r w:rsidRPr="00C07F22">
        <w:rPr>
          <w:u w:color="FF0000"/>
        </w:rPr>
        <w:tab/>
      </w:r>
      <w:bookmarkStart w:id="5" w:name="_Hlk15566111"/>
      <w:r w:rsidR="00F61B5A" w:rsidRPr="00C07F22">
        <w:rPr>
          <w:u w:color="FF0000"/>
        </w:rPr>
        <w:t>IV</w:t>
      </w:r>
      <w:r w:rsidRPr="00C07F22">
        <w:rPr>
          <w:u w:color="FF0000"/>
        </w:rPr>
        <w:t>.</w:t>
      </w:r>
      <w:r w:rsidRPr="00C07F22">
        <w:rPr>
          <w:u w:color="FF0000"/>
        </w:rPr>
        <w:tab/>
      </w:r>
      <w:r w:rsidR="004F110C" w:rsidRPr="00C07F22">
        <w:rPr>
          <w:u w:color="FF0000"/>
        </w:rPr>
        <w:t xml:space="preserve">Available modelling capabilities </w:t>
      </w:r>
      <w:r w:rsidR="004F095D" w:rsidRPr="00C07F22">
        <w:rPr>
          <w:u w:color="FF0000"/>
        </w:rPr>
        <w:t>for</w:t>
      </w:r>
      <w:r w:rsidR="004F110C" w:rsidRPr="00C07F22">
        <w:rPr>
          <w:u w:color="FF0000"/>
        </w:rPr>
        <w:t xml:space="preserve"> assess</w:t>
      </w:r>
      <w:r w:rsidR="004F095D" w:rsidRPr="00C07F22">
        <w:rPr>
          <w:u w:color="FF0000"/>
        </w:rPr>
        <w:t>ing</w:t>
      </w:r>
      <w:r w:rsidR="004F110C" w:rsidRPr="00C07F22">
        <w:rPr>
          <w:u w:color="FF0000"/>
        </w:rPr>
        <w:t xml:space="preserve"> changes in global mercury levels within and across</w:t>
      </w:r>
      <w:r w:rsidR="004F110C" w:rsidRPr="00C07F22">
        <w:t xml:space="preserve"> media</w:t>
      </w:r>
    </w:p>
    <w:p w14:paraId="6A30EA90" w14:textId="31C9D16C" w:rsidR="004F110C" w:rsidRPr="00C07F22" w:rsidRDefault="00B61F51" w:rsidP="00E1136D">
      <w:pPr>
        <w:pStyle w:val="Normalnumber"/>
      </w:pPr>
      <w:r>
        <w:t>The t</w:t>
      </w:r>
      <w:r w:rsidR="004F110C" w:rsidRPr="00C07F22">
        <w:t xml:space="preserve">able </w:t>
      </w:r>
      <w:r>
        <w:t>below</w:t>
      </w:r>
      <w:r w:rsidR="004F110C" w:rsidRPr="00C07F22">
        <w:t xml:space="preserve"> summarizes the capabilities of models to assess changes in global mercury levels within and across media. Models for different media (air, water, land </w:t>
      </w:r>
      <w:r w:rsidR="003F6C41" w:rsidRPr="00C07F22">
        <w:t xml:space="preserve">and </w:t>
      </w:r>
      <w:r w:rsidR="004F110C" w:rsidRPr="00C07F22">
        <w:t>biota) vary in their ability</w:t>
      </w:r>
      <w:r w:rsidR="00BC7851" w:rsidRPr="00BC7851">
        <w:rPr>
          <w:rFonts w:eastAsia="Arial Unicode MS"/>
          <w:sz w:val="24"/>
          <w:szCs w:val="24"/>
          <w:bdr w:val="nil"/>
          <w:lang w:val="en-US"/>
        </w:rPr>
        <w:t xml:space="preserve"> </w:t>
      </w:r>
      <w:r w:rsidR="00BC7851" w:rsidRPr="00BC7851">
        <w:rPr>
          <w:lang w:val="en-US"/>
        </w:rPr>
        <w:t>to simulate the movement of mercury in these media</w:t>
      </w:r>
      <w:r w:rsidR="004F110C" w:rsidRPr="00C07F22">
        <w:t xml:space="preserve"> and </w:t>
      </w:r>
      <w:r w:rsidR="00BC7851">
        <w:t xml:space="preserve">in their </w:t>
      </w:r>
      <w:r w:rsidR="004F110C" w:rsidRPr="00C07F22">
        <w:t xml:space="preserve">state of development. Atmospheric models have been extensively evaluated and can be applied to assess spatial gradients in atmospheric mercury concentrations and deposition, as well as temporal changes, provided that </w:t>
      </w:r>
      <w:r w:rsidR="0087472C">
        <w:br/>
      </w:r>
      <w:r w:rsidR="004F110C" w:rsidRPr="00C07F22">
        <w:t>high-quality</w:t>
      </w:r>
      <w:r w:rsidR="003F6C41" w:rsidRPr="00C07F22">
        <w:t>,</w:t>
      </w:r>
      <w:r w:rsidR="004F110C" w:rsidRPr="00C07F22">
        <w:t xml:space="preserve"> georeferenced emission data are available. By contrast, models for other media</w:t>
      </w:r>
      <w:r w:rsidR="00BC7851">
        <w:t>,</w:t>
      </w:r>
      <w:r w:rsidR="004F110C" w:rsidRPr="00C07F22">
        <w:t xml:space="preserve"> such as land</w:t>
      </w:r>
      <w:r w:rsidR="00BC7851">
        <w:t>,</w:t>
      </w:r>
      <w:r w:rsidR="004F110C" w:rsidRPr="00C07F22">
        <w:t xml:space="preserve"> are still mainly used in research applications. Further explanation</w:t>
      </w:r>
      <w:r w:rsidR="00A06A0E" w:rsidRPr="00C07F22">
        <w:t>s</w:t>
      </w:r>
      <w:r w:rsidR="00E21A92" w:rsidRPr="00C07F22">
        <w:t>,</w:t>
      </w:r>
      <w:r w:rsidR="004F110C" w:rsidRPr="00C07F22">
        <w:t xml:space="preserve"> including reference to specific available models and </w:t>
      </w:r>
      <w:r w:rsidR="00A06A0E" w:rsidRPr="00C07F22">
        <w:t>a sample</w:t>
      </w:r>
      <w:r w:rsidR="004F110C" w:rsidRPr="00C07F22">
        <w:t xml:space="preserve"> geographic presentation of calculations from existing models</w:t>
      </w:r>
      <w:r w:rsidR="00E21A92" w:rsidRPr="00C07F22">
        <w:t>,</w:t>
      </w:r>
      <w:r w:rsidR="004F110C" w:rsidRPr="00C07F22">
        <w:t xml:space="preserve"> can be found in </w:t>
      </w:r>
      <w:r w:rsidR="00E21A92" w:rsidRPr="00C07F22">
        <w:t xml:space="preserve">document </w:t>
      </w:r>
      <w:r w:rsidR="004F110C" w:rsidRPr="00C07F22">
        <w:t>UNEP/MC/COP.3/INF/15.</w:t>
      </w:r>
      <w:bookmarkEnd w:id="5"/>
    </w:p>
    <w:p w14:paraId="71A37E9C" w14:textId="2EE3DE51" w:rsidR="004F110C" w:rsidRPr="00C07F22" w:rsidRDefault="004F110C" w:rsidP="00E1136D">
      <w:pPr>
        <w:pStyle w:val="Normalnumber"/>
      </w:pPr>
      <w:r w:rsidRPr="00C07F22">
        <w:t>Integrated model</w:t>
      </w:r>
      <w:r w:rsidR="008473F4" w:rsidRPr="00C07F22">
        <w:t>l</w:t>
      </w:r>
      <w:r w:rsidRPr="00C07F22">
        <w:t xml:space="preserve">ing frameworks can </w:t>
      </w:r>
      <w:r w:rsidRPr="00AA382F">
        <w:t xml:space="preserve">illustrate </w:t>
      </w:r>
      <w:r w:rsidR="00E21A92" w:rsidRPr="00AA382F">
        <w:t xml:space="preserve">the </w:t>
      </w:r>
      <w:r w:rsidRPr="00AA382F">
        <w:t>pathways</w:t>
      </w:r>
      <w:r w:rsidRPr="00C07F22">
        <w:t xml:space="preserve"> by which primary releases of mercury </w:t>
      </w:r>
      <w:r w:rsidR="003F6C41" w:rsidRPr="00C07F22">
        <w:t>in</w:t>
      </w:r>
      <w:r w:rsidRPr="00C07F22">
        <w:t>to the atmosphere, land and water reach fish and wildlife</w:t>
      </w:r>
      <w:r w:rsidR="00A06A0E" w:rsidRPr="00C07F22">
        <w:t xml:space="preserve"> as methylmercury</w:t>
      </w:r>
      <w:r w:rsidR="00437FCE" w:rsidRPr="00C07F22">
        <w:t>,</w:t>
      </w:r>
      <w:r w:rsidRPr="00C07F22">
        <w:t xml:space="preserve"> as well as </w:t>
      </w:r>
      <w:r w:rsidR="00437FCE" w:rsidRPr="00C07F22">
        <w:t xml:space="preserve">the </w:t>
      </w:r>
      <w:r w:rsidR="00141592" w:rsidRPr="00C07F22">
        <w:t xml:space="preserve">mercury </w:t>
      </w:r>
      <w:r w:rsidRPr="00C07F22">
        <w:t>exposure of some fish</w:t>
      </w:r>
      <w:r w:rsidR="00437FCE" w:rsidRPr="00C07F22">
        <w:t>-</w:t>
      </w:r>
      <w:r w:rsidRPr="00C07F22">
        <w:t xml:space="preserve">consuming human populations. At </w:t>
      </w:r>
      <w:r w:rsidRPr="00AC4EA4">
        <w:t>present, integrated</w:t>
      </w:r>
      <w:r w:rsidRPr="00C07F22">
        <w:t xml:space="preserve"> model</w:t>
      </w:r>
      <w:r w:rsidR="008473F4" w:rsidRPr="00C07F22">
        <w:t>l</w:t>
      </w:r>
      <w:r w:rsidRPr="00C07F22">
        <w:t xml:space="preserve">ing </w:t>
      </w:r>
      <w:r w:rsidRPr="00C07F22">
        <w:lastRenderedPageBreak/>
        <w:t xml:space="preserve">frameworks are under development and </w:t>
      </w:r>
      <w:r w:rsidR="00E21A92" w:rsidRPr="00C07F22">
        <w:t xml:space="preserve">are </w:t>
      </w:r>
      <w:r w:rsidRPr="00C07F22">
        <w:t xml:space="preserve">available as a research product. Integrated models have not previously been applied or compared in global assessment efforts. </w:t>
      </w:r>
      <w:r w:rsidR="00141592" w:rsidRPr="00C07F22">
        <w:t>A</w:t>
      </w:r>
      <w:r w:rsidR="00E21A92" w:rsidRPr="00C07F22">
        <w:t xml:space="preserve"> few research groups have published c</w:t>
      </w:r>
      <w:r w:rsidRPr="00C07F22">
        <w:t xml:space="preserve">oupled atmosphere-ocean and atmosphere-terrestrial </w:t>
      </w:r>
      <w:r w:rsidR="00E21A92" w:rsidRPr="00C07F22">
        <w:t xml:space="preserve">models </w:t>
      </w:r>
      <w:r w:rsidRPr="00C07F22">
        <w:t>in the peer-reviewed literature</w:t>
      </w:r>
      <w:r w:rsidR="00141592" w:rsidRPr="00C07F22">
        <w:t xml:space="preserve"> and</w:t>
      </w:r>
      <w:r w:rsidR="00AA382F">
        <w:t>,</w:t>
      </w:r>
      <w:r w:rsidRPr="00C07F22">
        <w:t xml:space="preserve"> </w:t>
      </w:r>
      <w:r w:rsidR="00141592" w:rsidRPr="00C07F22">
        <w:t>w</w:t>
      </w:r>
      <w:r w:rsidRPr="00C07F22">
        <w:t>ith additional model evaluation, updates should be available to begin policy-relevant analyses by 2023. Models for food web bioaccumulation of methylmercury are also available from selected groups and can be used to describe accumulation patterns at the ecosystem scale (lakes, wetlands, estuaries, contaminated sites) and for global marine food webs. The most difficult link in integrated model</w:t>
      </w:r>
      <w:r w:rsidR="008473F4" w:rsidRPr="00C07F22">
        <w:t>l</w:t>
      </w:r>
      <w:r w:rsidRPr="00C07F22">
        <w:t>ing frameworks is to human exposure and health outcomes</w:t>
      </w:r>
      <w:r w:rsidR="00E21A92" w:rsidRPr="00C07F22">
        <w:t>,</w:t>
      </w:r>
      <w:r w:rsidRPr="00C07F22">
        <w:t xml:space="preserve"> due to the diversity of dietary preferences, food consumption patterns and individual variability in toxicokinetics affecting methylmercury uptake and elimination. All these components of integrated model</w:t>
      </w:r>
      <w:r w:rsidR="008473F4" w:rsidRPr="00C07F22">
        <w:t>l</w:t>
      </w:r>
      <w:r w:rsidRPr="00C07F22">
        <w:t>ing frameworks are rapidly developing in the scientific community.</w:t>
      </w:r>
    </w:p>
    <w:p w14:paraId="0B373605" w14:textId="545D7255" w:rsidR="00A06A0E" w:rsidRPr="0087472C" w:rsidRDefault="00BF3195" w:rsidP="0087472C">
      <w:pPr>
        <w:pStyle w:val="Titlefigure"/>
        <w:rPr>
          <w:b w:val="0"/>
          <w:i/>
          <w:iCs/>
        </w:rPr>
      </w:pPr>
      <w:r w:rsidRPr="0087472C">
        <w:rPr>
          <w:b w:val="0"/>
        </w:rPr>
        <w:t>Table</w:t>
      </w:r>
    </w:p>
    <w:p w14:paraId="7EAD3B5D" w14:textId="7B24EDE2" w:rsidR="004F110C" w:rsidRPr="00C07F22" w:rsidRDefault="004F110C" w:rsidP="0087472C">
      <w:pPr>
        <w:pStyle w:val="Titlefigure"/>
        <w:rPr>
          <w:iCs/>
        </w:rPr>
      </w:pPr>
      <w:r w:rsidRPr="00C07F22">
        <w:t>Summary of available model</w:t>
      </w:r>
      <w:r w:rsidR="008473F4" w:rsidRPr="00C07F22">
        <w:t>l</w:t>
      </w:r>
      <w:r w:rsidRPr="00C07F22">
        <w:t>ing capabilities for individual media</w:t>
      </w:r>
    </w:p>
    <w:tbl>
      <w:tblPr>
        <w:tblW w:w="8307" w:type="dxa"/>
        <w:jc w:val="right"/>
        <w:shd w:val="clear" w:color="auto" w:fill="CED7E7"/>
        <w:tblLayout w:type="fixed"/>
        <w:tblLook w:val="04A0" w:firstRow="1" w:lastRow="0" w:firstColumn="1" w:lastColumn="0" w:noHBand="0" w:noVBand="1"/>
      </w:tblPr>
      <w:tblGrid>
        <w:gridCol w:w="2354"/>
        <w:gridCol w:w="2653"/>
        <w:gridCol w:w="1483"/>
        <w:gridCol w:w="1817"/>
      </w:tblGrid>
      <w:tr w:rsidR="004F110C" w:rsidRPr="00C07F22" w14:paraId="2DD5EBC4" w14:textId="77777777" w:rsidTr="0087472C">
        <w:trPr>
          <w:trHeight w:val="57"/>
          <w:tblHeader/>
          <w:jc w:val="right"/>
        </w:trPr>
        <w:tc>
          <w:tcPr>
            <w:tcW w:w="2557" w:type="dxa"/>
            <w:tcBorders>
              <w:top w:val="single" w:sz="4" w:space="0" w:color="auto"/>
              <w:bottom w:val="single" w:sz="12" w:space="0" w:color="auto"/>
            </w:tcBorders>
            <w:shd w:val="clear" w:color="auto" w:fill="auto"/>
            <w:tcMar>
              <w:top w:w="80" w:type="dxa"/>
              <w:left w:w="80" w:type="dxa"/>
              <w:bottom w:w="80" w:type="dxa"/>
              <w:right w:w="80" w:type="dxa"/>
            </w:tcMar>
          </w:tcPr>
          <w:p w14:paraId="51EE2E55" w14:textId="286E769E" w:rsidR="004F110C" w:rsidRPr="00C07F22" w:rsidRDefault="004F110C" w:rsidP="00206FF9">
            <w:pPr>
              <w:shd w:val="clear" w:color="auto" w:fill="FFFFFF"/>
              <w:spacing w:before="40" w:after="40"/>
              <w:ind w:left="57" w:right="57"/>
              <w:rPr>
                <w:i/>
                <w:sz w:val="18"/>
                <w:szCs w:val="18"/>
                <w:lang w:val="en-GB"/>
              </w:rPr>
            </w:pPr>
            <w:r w:rsidRPr="00C07F22">
              <w:rPr>
                <w:i/>
                <w:sz w:val="18"/>
                <w:szCs w:val="18"/>
                <w:lang w:val="en-GB"/>
              </w:rPr>
              <w:t>Media/</w:t>
            </w:r>
            <w:r w:rsidR="00BF3195" w:rsidRPr="00C07F22">
              <w:rPr>
                <w:i/>
                <w:sz w:val="18"/>
                <w:szCs w:val="18"/>
                <w:lang w:val="en-GB"/>
              </w:rPr>
              <w:t>a</w:t>
            </w:r>
            <w:r w:rsidRPr="00C07F22">
              <w:rPr>
                <w:i/>
                <w:sz w:val="18"/>
                <w:szCs w:val="18"/>
                <w:lang w:val="en-GB"/>
              </w:rPr>
              <w:t>vailability</w:t>
            </w:r>
          </w:p>
        </w:tc>
        <w:tc>
          <w:tcPr>
            <w:tcW w:w="2884" w:type="dxa"/>
            <w:tcBorders>
              <w:top w:val="single" w:sz="4" w:space="0" w:color="auto"/>
              <w:bottom w:val="single" w:sz="12" w:space="0" w:color="auto"/>
            </w:tcBorders>
            <w:shd w:val="clear" w:color="auto" w:fill="auto"/>
            <w:tcMar>
              <w:top w:w="80" w:type="dxa"/>
              <w:left w:w="80" w:type="dxa"/>
              <w:bottom w:w="80" w:type="dxa"/>
              <w:right w:w="80" w:type="dxa"/>
            </w:tcMar>
          </w:tcPr>
          <w:p w14:paraId="3974411B" w14:textId="77777777" w:rsidR="004F110C" w:rsidRPr="00C07F22" w:rsidRDefault="004F110C" w:rsidP="00206FF9">
            <w:pPr>
              <w:shd w:val="clear" w:color="auto" w:fill="FFFFFF"/>
              <w:spacing w:before="40" w:after="40"/>
              <w:ind w:left="57" w:right="57"/>
              <w:rPr>
                <w:i/>
                <w:sz w:val="18"/>
                <w:szCs w:val="18"/>
                <w:lang w:val="en-GB"/>
              </w:rPr>
            </w:pPr>
            <w:r w:rsidRPr="00C07F22">
              <w:rPr>
                <w:i/>
                <w:sz w:val="18"/>
                <w:szCs w:val="18"/>
                <w:lang w:val="en-GB"/>
              </w:rPr>
              <w:t>Indicators needed for model input</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3BF27490" w14:textId="77777777" w:rsidR="004F110C" w:rsidRPr="00C07F22" w:rsidRDefault="004F110C" w:rsidP="00206FF9">
            <w:pPr>
              <w:shd w:val="clear" w:color="auto" w:fill="FFFFFF"/>
              <w:spacing w:before="40" w:after="40"/>
              <w:ind w:left="57" w:right="57"/>
              <w:rPr>
                <w:i/>
                <w:sz w:val="18"/>
                <w:szCs w:val="18"/>
                <w:lang w:val="en-GB"/>
              </w:rPr>
            </w:pPr>
            <w:r w:rsidRPr="00C07F22">
              <w:rPr>
                <w:i/>
                <w:sz w:val="18"/>
                <w:szCs w:val="18"/>
                <w:lang w:val="en-GB"/>
              </w:rPr>
              <w:t>Output provided</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5F6E844A" w14:textId="77777777" w:rsidR="004F110C" w:rsidRPr="00C07F22" w:rsidRDefault="004F110C" w:rsidP="00206FF9">
            <w:pPr>
              <w:shd w:val="clear" w:color="auto" w:fill="FFFFFF"/>
              <w:spacing w:before="40" w:after="40"/>
              <w:ind w:left="57" w:right="57"/>
              <w:rPr>
                <w:i/>
                <w:sz w:val="18"/>
                <w:szCs w:val="18"/>
                <w:lang w:val="en-GB"/>
              </w:rPr>
            </w:pPr>
            <w:r w:rsidRPr="00C07F22">
              <w:rPr>
                <w:i/>
                <w:sz w:val="18"/>
                <w:szCs w:val="18"/>
                <w:lang w:val="en-GB"/>
              </w:rPr>
              <w:t>Gaps still to be filled</w:t>
            </w:r>
          </w:p>
        </w:tc>
      </w:tr>
      <w:tr w:rsidR="004F110C" w:rsidRPr="00C07F22" w14:paraId="64CD6EE1" w14:textId="77777777" w:rsidTr="0087472C">
        <w:trPr>
          <w:trHeight w:val="57"/>
          <w:jc w:val="right"/>
        </w:trPr>
        <w:tc>
          <w:tcPr>
            <w:tcW w:w="2557" w:type="dxa"/>
            <w:tcBorders>
              <w:top w:val="single" w:sz="12" w:space="0" w:color="auto"/>
              <w:bottom w:val="single" w:sz="4" w:space="0" w:color="auto"/>
            </w:tcBorders>
            <w:shd w:val="clear" w:color="auto" w:fill="auto"/>
            <w:tcMar>
              <w:top w:w="80" w:type="dxa"/>
              <w:left w:w="80" w:type="dxa"/>
              <w:bottom w:w="80" w:type="dxa"/>
              <w:right w:w="80" w:type="dxa"/>
            </w:tcMar>
          </w:tcPr>
          <w:p w14:paraId="02C292BA" w14:textId="03DBA028" w:rsidR="004F110C" w:rsidRPr="00C07F22" w:rsidRDefault="004F110C" w:rsidP="00206FF9">
            <w:pPr>
              <w:shd w:val="clear" w:color="auto" w:fill="FFFFFF"/>
              <w:spacing w:before="40" w:after="40"/>
              <w:ind w:left="57" w:right="57"/>
              <w:rPr>
                <w:rFonts w:eastAsia="Times New Roman"/>
                <w:b/>
                <w:sz w:val="18"/>
                <w:szCs w:val="18"/>
                <w:lang w:val="en-GB"/>
              </w:rPr>
            </w:pPr>
            <w:r w:rsidRPr="00C07F22">
              <w:rPr>
                <w:b/>
                <w:sz w:val="18"/>
                <w:szCs w:val="18"/>
                <w:lang w:val="en-GB"/>
              </w:rPr>
              <w:t>Socio</w:t>
            </w:r>
            <w:r w:rsidR="008473F4" w:rsidRPr="00C07F22">
              <w:rPr>
                <w:b/>
                <w:sz w:val="18"/>
                <w:szCs w:val="18"/>
                <w:lang w:val="en-GB"/>
              </w:rPr>
              <w:t>e</w:t>
            </w:r>
            <w:r w:rsidRPr="00C07F22">
              <w:rPr>
                <w:b/>
                <w:sz w:val="18"/>
                <w:szCs w:val="18"/>
                <w:lang w:val="en-GB"/>
              </w:rPr>
              <w:t xml:space="preserve">conomic </w:t>
            </w:r>
            <w:r w:rsidR="008473F4" w:rsidRPr="00C07F22">
              <w:rPr>
                <w:b/>
                <w:sz w:val="18"/>
                <w:szCs w:val="18"/>
                <w:lang w:val="en-GB"/>
              </w:rPr>
              <w:t>m</w:t>
            </w:r>
            <w:r w:rsidRPr="00C07F22">
              <w:rPr>
                <w:b/>
                <w:sz w:val="18"/>
                <w:szCs w:val="18"/>
                <w:lang w:val="en-GB"/>
              </w:rPr>
              <w:t>odel</w:t>
            </w:r>
            <w:r w:rsidR="00C5665B">
              <w:rPr>
                <w:b/>
                <w:sz w:val="18"/>
                <w:szCs w:val="18"/>
                <w:lang w:val="en-GB"/>
              </w:rPr>
              <w:t>l</w:t>
            </w:r>
            <w:r w:rsidRPr="00C07F22">
              <w:rPr>
                <w:b/>
                <w:sz w:val="18"/>
                <w:szCs w:val="18"/>
                <w:lang w:val="en-GB"/>
              </w:rPr>
              <w:t xml:space="preserve">ing: </w:t>
            </w:r>
            <w:r w:rsidR="008473F4" w:rsidRPr="00C07F22">
              <w:rPr>
                <w:b/>
                <w:sz w:val="18"/>
                <w:szCs w:val="18"/>
                <w:lang w:val="en-GB"/>
              </w:rPr>
              <w:t>s</w:t>
            </w:r>
            <w:r w:rsidRPr="00C07F22">
              <w:rPr>
                <w:b/>
                <w:sz w:val="18"/>
                <w:szCs w:val="18"/>
                <w:lang w:val="en-GB"/>
              </w:rPr>
              <w:t xml:space="preserve">ome </w:t>
            </w:r>
            <w:r w:rsidR="008473F4" w:rsidRPr="00C07F22">
              <w:rPr>
                <w:b/>
                <w:sz w:val="18"/>
                <w:szCs w:val="18"/>
                <w:lang w:val="en-GB"/>
              </w:rPr>
              <w:t>a</w:t>
            </w:r>
            <w:r w:rsidRPr="00C07F22">
              <w:rPr>
                <w:b/>
                <w:sz w:val="18"/>
                <w:szCs w:val="18"/>
                <w:lang w:val="en-GB"/>
              </w:rPr>
              <w:t>vailability</w:t>
            </w:r>
          </w:p>
          <w:p w14:paraId="3C8BAE47" w14:textId="77777777"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Global emission models (forecasting up to 2050)</w:t>
            </w:r>
          </w:p>
        </w:tc>
        <w:tc>
          <w:tcPr>
            <w:tcW w:w="2884" w:type="dxa"/>
            <w:tcBorders>
              <w:top w:val="single" w:sz="12" w:space="0" w:color="auto"/>
              <w:bottom w:val="single" w:sz="4" w:space="0" w:color="auto"/>
            </w:tcBorders>
            <w:shd w:val="clear" w:color="auto" w:fill="auto"/>
            <w:tcMar>
              <w:top w:w="80" w:type="dxa"/>
              <w:left w:w="80" w:type="dxa"/>
              <w:bottom w:w="80" w:type="dxa"/>
              <w:right w:w="80" w:type="dxa"/>
            </w:tcMar>
          </w:tcPr>
          <w:p w14:paraId="55A9A47F" w14:textId="412E06EB" w:rsidR="004F110C" w:rsidRPr="00C07F22" w:rsidRDefault="004F110C" w:rsidP="00206FF9">
            <w:pPr>
              <w:shd w:val="clear" w:color="auto" w:fill="FFFFFF"/>
              <w:spacing w:before="40" w:after="40"/>
              <w:ind w:left="57" w:right="57"/>
              <w:rPr>
                <w:rFonts w:eastAsia="Times New Roman"/>
                <w:sz w:val="18"/>
                <w:szCs w:val="18"/>
                <w:lang w:val="en-GB"/>
              </w:rPr>
            </w:pPr>
            <w:r w:rsidRPr="00C07F22">
              <w:rPr>
                <w:b/>
                <w:sz w:val="18"/>
                <w:szCs w:val="18"/>
                <w:lang w:val="en-GB"/>
              </w:rPr>
              <w:t>Inputs:</w:t>
            </w:r>
            <w:r w:rsidRPr="00C07F22">
              <w:rPr>
                <w:sz w:val="18"/>
                <w:szCs w:val="18"/>
                <w:lang w:val="en-GB"/>
              </w:rPr>
              <w:t xml:space="preserve"> socioeconomic activity data (production, population, </w:t>
            </w:r>
            <w:r w:rsidR="001E7AC9" w:rsidRPr="00C07F22">
              <w:rPr>
                <w:sz w:val="18"/>
                <w:szCs w:val="18"/>
                <w:lang w:val="en-GB"/>
              </w:rPr>
              <w:t>gross domestic product</w:t>
            </w:r>
            <w:r w:rsidRPr="00C07F22">
              <w:rPr>
                <w:sz w:val="18"/>
                <w:szCs w:val="18"/>
                <w:lang w:val="en-GB"/>
              </w:rPr>
              <w:t>), material flow and policy specifications</w:t>
            </w:r>
          </w:p>
          <w:p w14:paraId="681879A5"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0DFFA329" w14:textId="1DCC4C40" w:rsidR="004F110C" w:rsidRPr="00C07F22" w:rsidRDefault="004F110C" w:rsidP="00206FF9">
            <w:pPr>
              <w:shd w:val="clear" w:color="auto" w:fill="FFFFFF"/>
              <w:spacing w:before="40" w:after="40"/>
              <w:ind w:left="57" w:right="57"/>
              <w:rPr>
                <w:sz w:val="18"/>
                <w:szCs w:val="18"/>
                <w:lang w:val="en-GB"/>
              </w:rPr>
            </w:pPr>
            <w:r w:rsidRPr="00C07F22">
              <w:rPr>
                <w:b/>
                <w:sz w:val="18"/>
                <w:szCs w:val="18"/>
                <w:lang w:val="en-GB"/>
              </w:rPr>
              <w:t>Evaluation:</w:t>
            </w:r>
            <w:r w:rsidRPr="00C07F22">
              <w:rPr>
                <w:sz w:val="18"/>
                <w:szCs w:val="18"/>
                <w:lang w:val="en-GB"/>
              </w:rPr>
              <w:t xml:space="preserve"> intercomparison and past performance, </w:t>
            </w:r>
            <w:r w:rsidR="008473F4" w:rsidRPr="00C07F22">
              <w:rPr>
                <w:sz w:val="18"/>
                <w:szCs w:val="18"/>
                <w:lang w:val="en-GB"/>
              </w:rPr>
              <w:t>a</w:t>
            </w:r>
            <w:r w:rsidRPr="00C07F22">
              <w:rPr>
                <w:sz w:val="18"/>
                <w:szCs w:val="18"/>
                <w:lang w:val="en-GB"/>
              </w:rPr>
              <w:t>nthropogenic material flow</w:t>
            </w:r>
          </w:p>
        </w:tc>
        <w:tc>
          <w:tcPr>
            <w:tcW w:w="1605" w:type="dxa"/>
            <w:tcBorders>
              <w:top w:val="single" w:sz="12" w:space="0" w:color="auto"/>
              <w:bottom w:val="single" w:sz="4" w:space="0" w:color="auto"/>
            </w:tcBorders>
            <w:shd w:val="clear" w:color="auto" w:fill="auto"/>
            <w:tcMar>
              <w:top w:w="80" w:type="dxa"/>
              <w:left w:w="80" w:type="dxa"/>
              <w:bottom w:w="80" w:type="dxa"/>
              <w:right w:w="80" w:type="dxa"/>
            </w:tcMar>
          </w:tcPr>
          <w:p w14:paraId="232304CF" w14:textId="0B2200E4" w:rsidR="004F110C" w:rsidRPr="00C07F22" w:rsidRDefault="004F110C" w:rsidP="00206FF9">
            <w:pPr>
              <w:shd w:val="clear" w:color="auto" w:fill="FFFFFF"/>
              <w:spacing w:before="40" w:after="40"/>
              <w:ind w:left="57" w:right="57"/>
              <w:rPr>
                <w:sz w:val="18"/>
                <w:szCs w:val="18"/>
                <w:lang w:val="en-GB"/>
              </w:rPr>
            </w:pPr>
            <w:r w:rsidRPr="002D2810">
              <w:rPr>
                <w:sz w:val="18"/>
                <w:szCs w:val="18"/>
                <w:lang w:val="en-GB"/>
              </w:rPr>
              <w:t>Global demand,</w:t>
            </w:r>
            <w:r w:rsidR="00F24B5C">
              <w:rPr>
                <w:sz w:val="18"/>
                <w:szCs w:val="18"/>
                <w:lang w:val="en-GB"/>
              </w:rPr>
              <w:t xml:space="preserve"> e</w:t>
            </w:r>
            <w:r w:rsidR="00F24B5C" w:rsidRPr="00C07F22">
              <w:rPr>
                <w:sz w:val="18"/>
                <w:szCs w:val="18"/>
                <w:lang w:val="en-GB"/>
              </w:rPr>
              <w:t xml:space="preserve">mission </w:t>
            </w:r>
            <w:r w:rsidRPr="00C07F22">
              <w:rPr>
                <w:sz w:val="18"/>
                <w:szCs w:val="18"/>
                <w:lang w:val="en-GB"/>
              </w:rPr>
              <w:t>and release scenarios</w:t>
            </w:r>
          </w:p>
        </w:tc>
        <w:tc>
          <w:tcPr>
            <w:tcW w:w="1970" w:type="dxa"/>
            <w:tcBorders>
              <w:top w:val="single" w:sz="12" w:space="0" w:color="auto"/>
              <w:bottom w:val="single" w:sz="4" w:space="0" w:color="auto"/>
            </w:tcBorders>
            <w:shd w:val="clear" w:color="auto" w:fill="auto"/>
            <w:tcMar>
              <w:top w:w="80" w:type="dxa"/>
              <w:left w:w="80" w:type="dxa"/>
              <w:bottom w:w="80" w:type="dxa"/>
              <w:right w:w="80" w:type="dxa"/>
            </w:tcMar>
          </w:tcPr>
          <w:p w14:paraId="117C336C" w14:textId="4B6F5EFF"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Mercury emission factors to be refined</w:t>
            </w:r>
            <w:r w:rsidR="008473F4" w:rsidRPr="00C07F22">
              <w:rPr>
                <w:sz w:val="18"/>
                <w:szCs w:val="18"/>
                <w:lang w:val="en-GB"/>
              </w:rPr>
              <w:t xml:space="preserve"> </w:t>
            </w:r>
            <w:r w:rsidRPr="00C07F22">
              <w:rPr>
                <w:sz w:val="18"/>
                <w:szCs w:val="18"/>
                <w:lang w:val="en-GB"/>
              </w:rPr>
              <w:t>(regional, site, etc.), data on mercury content of commodities to be collected, consistency across sectors and non-mercury policies to be explored (e.g.</w:t>
            </w:r>
            <w:r w:rsidR="008473F4" w:rsidRPr="00C07F22">
              <w:rPr>
                <w:sz w:val="18"/>
                <w:szCs w:val="18"/>
                <w:lang w:val="en-GB"/>
              </w:rPr>
              <w:t>,</w:t>
            </w:r>
            <w:r w:rsidRPr="00C07F22">
              <w:rPr>
                <w:sz w:val="18"/>
                <w:szCs w:val="18"/>
                <w:lang w:val="en-GB"/>
              </w:rPr>
              <w:t xml:space="preserve"> energy)</w:t>
            </w:r>
          </w:p>
        </w:tc>
      </w:tr>
      <w:tr w:rsidR="004F110C" w:rsidRPr="00C07F22" w14:paraId="25C33D48" w14:textId="77777777" w:rsidTr="0087472C">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382393DE" w14:textId="31030540" w:rsidR="004F110C" w:rsidRPr="00C07F22" w:rsidRDefault="004F110C" w:rsidP="00206FF9">
            <w:pPr>
              <w:shd w:val="clear" w:color="auto" w:fill="FFFFFF"/>
              <w:spacing w:before="40" w:after="40"/>
              <w:ind w:left="57" w:right="57"/>
              <w:rPr>
                <w:b/>
                <w:sz w:val="18"/>
                <w:szCs w:val="18"/>
                <w:lang w:val="en-GB"/>
              </w:rPr>
            </w:pPr>
            <w:r w:rsidRPr="00C07F22">
              <w:rPr>
                <w:b/>
                <w:sz w:val="18"/>
                <w:szCs w:val="18"/>
                <w:lang w:val="en-GB"/>
              </w:rPr>
              <w:t xml:space="preserve">Air: </w:t>
            </w:r>
            <w:r w:rsidR="008473F4" w:rsidRPr="00C07F22">
              <w:rPr>
                <w:b/>
                <w:sz w:val="18"/>
                <w:szCs w:val="18"/>
                <w:lang w:val="en-GB"/>
              </w:rPr>
              <w:t>w</w:t>
            </w:r>
            <w:r w:rsidRPr="00C07F22">
              <w:rPr>
                <w:b/>
                <w:sz w:val="18"/>
                <w:szCs w:val="18"/>
                <w:lang w:val="en-GB"/>
              </w:rPr>
              <w:t xml:space="preserve">idely </w:t>
            </w:r>
            <w:r w:rsidR="008473F4" w:rsidRPr="00C07F22">
              <w:rPr>
                <w:b/>
                <w:sz w:val="18"/>
                <w:szCs w:val="18"/>
                <w:lang w:val="en-GB"/>
              </w:rPr>
              <w:t>a</w:t>
            </w:r>
            <w:r w:rsidRPr="00C07F22">
              <w:rPr>
                <w:b/>
                <w:sz w:val="18"/>
                <w:szCs w:val="18"/>
                <w:lang w:val="en-GB"/>
              </w:rPr>
              <w:t>vailable</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47EC753A" w14:textId="5BED2AEF" w:rsidR="004F110C" w:rsidRPr="00C07F22" w:rsidRDefault="004F110C" w:rsidP="00206FF9">
            <w:pPr>
              <w:shd w:val="clear" w:color="auto" w:fill="FFFFFF"/>
              <w:spacing w:before="40" w:after="40"/>
              <w:ind w:left="57" w:right="57"/>
              <w:rPr>
                <w:rFonts w:eastAsia="Times New Roman"/>
                <w:sz w:val="18"/>
                <w:szCs w:val="18"/>
                <w:lang w:val="en-GB"/>
              </w:rPr>
            </w:pPr>
            <w:r w:rsidRPr="00C07F22">
              <w:rPr>
                <w:b/>
                <w:sz w:val="18"/>
                <w:szCs w:val="18"/>
                <w:lang w:val="en-GB"/>
              </w:rPr>
              <w:t>Inputs:</w:t>
            </w:r>
            <w:r w:rsidRPr="00C07F22">
              <w:rPr>
                <w:sz w:val="18"/>
                <w:szCs w:val="18"/>
                <w:lang w:val="en-GB"/>
              </w:rPr>
              <w:t xml:space="preserve"> </w:t>
            </w:r>
            <w:r w:rsidR="004E1179" w:rsidRPr="00C07F22">
              <w:rPr>
                <w:sz w:val="18"/>
                <w:szCs w:val="18"/>
                <w:lang w:val="en-GB"/>
              </w:rPr>
              <w:t>g</w:t>
            </w:r>
            <w:r w:rsidRPr="00C07F22">
              <w:rPr>
                <w:sz w:val="18"/>
                <w:szCs w:val="18"/>
                <w:lang w:val="en-GB"/>
              </w:rPr>
              <w:t>lobal emissions</w:t>
            </w:r>
          </w:p>
          <w:p w14:paraId="555A1A25"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1C6C830B" w14:textId="0F49AF66" w:rsidR="004F110C" w:rsidRPr="00C07F22" w:rsidRDefault="004F110C" w:rsidP="00206FF9">
            <w:pPr>
              <w:shd w:val="clear" w:color="auto" w:fill="FFFFFF"/>
              <w:spacing w:before="40" w:after="40"/>
              <w:ind w:left="57" w:right="57"/>
              <w:rPr>
                <w:sz w:val="18"/>
                <w:szCs w:val="18"/>
                <w:lang w:val="en-GB"/>
              </w:rPr>
            </w:pPr>
            <w:r w:rsidRPr="00C07F22">
              <w:rPr>
                <w:b/>
                <w:sz w:val="18"/>
                <w:szCs w:val="18"/>
                <w:lang w:val="en-GB"/>
              </w:rPr>
              <w:t>Evaluation:</w:t>
            </w:r>
            <w:r w:rsidRPr="00C07F22">
              <w:rPr>
                <w:sz w:val="18"/>
                <w:szCs w:val="18"/>
                <w:lang w:val="en-GB"/>
              </w:rPr>
              <w:t xml:space="preserve"> </w:t>
            </w:r>
            <w:r w:rsidR="004E1179" w:rsidRPr="00C07F22">
              <w:rPr>
                <w:sz w:val="18"/>
                <w:szCs w:val="18"/>
                <w:lang w:val="en-GB"/>
              </w:rPr>
              <w:t>a</w:t>
            </w:r>
            <w:r w:rsidRPr="00C07F22">
              <w:rPr>
                <w:sz w:val="18"/>
                <w:szCs w:val="18"/>
                <w:lang w:val="en-GB"/>
              </w:rPr>
              <w:t>tmospheric measurements;</w:t>
            </w:r>
            <w:r w:rsidR="008473F4" w:rsidRPr="00C07F22">
              <w:rPr>
                <w:sz w:val="18"/>
                <w:szCs w:val="18"/>
                <w:lang w:val="en-GB"/>
              </w:rPr>
              <w:t xml:space="preserve"> w</w:t>
            </w:r>
            <w:r w:rsidRPr="00C07F22">
              <w:rPr>
                <w:sz w:val="18"/>
                <w:szCs w:val="18"/>
                <w:lang w:val="en-GB"/>
              </w:rPr>
              <w:t>et and dry deposition data</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6E0229D3" w14:textId="1066844C" w:rsidR="004F110C" w:rsidRPr="00C07F22" w:rsidRDefault="004F110C" w:rsidP="00970F26">
            <w:pPr>
              <w:shd w:val="clear" w:color="auto" w:fill="FFFFFF"/>
              <w:spacing w:before="40" w:after="40"/>
              <w:ind w:left="57" w:right="57"/>
              <w:rPr>
                <w:sz w:val="18"/>
                <w:szCs w:val="18"/>
                <w:lang w:val="en-GB"/>
              </w:rPr>
            </w:pPr>
            <w:r w:rsidRPr="00970F26">
              <w:rPr>
                <w:sz w:val="18"/>
                <w:szCs w:val="18"/>
                <w:lang w:val="en-GB"/>
              </w:rPr>
              <w:t>Atmospheric concentration; deposition;</w:t>
            </w:r>
            <w:r w:rsidR="00970F26" w:rsidRPr="00970F26">
              <w:rPr>
                <w:sz w:val="18"/>
                <w:szCs w:val="18"/>
                <w:lang w:val="en-GB"/>
              </w:rPr>
              <w:t xml:space="preserve"> </w:t>
            </w:r>
            <w:r w:rsidRPr="00970F26">
              <w:rPr>
                <w:sz w:val="18"/>
                <w:szCs w:val="18"/>
                <w:lang w:val="en-GB"/>
              </w:rPr>
              <w:t>temporal changes;</w:t>
            </w:r>
            <w:r w:rsidR="00970F26">
              <w:rPr>
                <w:sz w:val="18"/>
                <w:szCs w:val="18"/>
                <w:lang w:val="en-GB"/>
              </w:rPr>
              <w:t xml:space="preserve"> </w:t>
            </w:r>
            <w:r w:rsidRPr="00970F26">
              <w:rPr>
                <w:sz w:val="18"/>
                <w:szCs w:val="18"/>
                <w:lang w:val="en-GB"/>
              </w:rPr>
              <w:t>attribution by source region</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640B6F8C" w14:textId="77777777"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Harmonized emissions inventories to be established</w:t>
            </w:r>
          </w:p>
        </w:tc>
      </w:tr>
      <w:tr w:rsidR="004F110C" w:rsidRPr="00C07F22" w14:paraId="3F5783DE" w14:textId="77777777" w:rsidTr="0087472C">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4E12AA74" w14:textId="48E25D5C" w:rsidR="004F110C" w:rsidRPr="00C07F22" w:rsidRDefault="004F110C" w:rsidP="00206FF9">
            <w:pPr>
              <w:shd w:val="clear" w:color="auto" w:fill="FFFFFF"/>
              <w:spacing w:before="40" w:after="40"/>
              <w:ind w:left="57" w:right="57"/>
              <w:rPr>
                <w:rFonts w:eastAsia="Times New Roman"/>
                <w:b/>
                <w:sz w:val="18"/>
                <w:szCs w:val="18"/>
                <w:lang w:val="en-GB"/>
              </w:rPr>
            </w:pPr>
            <w:r w:rsidRPr="00C07F22">
              <w:rPr>
                <w:b/>
                <w:sz w:val="18"/>
                <w:szCs w:val="18"/>
                <w:lang w:val="en-GB"/>
              </w:rPr>
              <w:t xml:space="preserve">Water: </w:t>
            </w:r>
            <w:r w:rsidR="008473F4" w:rsidRPr="00C07F22">
              <w:rPr>
                <w:b/>
                <w:sz w:val="18"/>
                <w:szCs w:val="18"/>
                <w:lang w:val="en-GB"/>
              </w:rPr>
              <w:t>r</w:t>
            </w:r>
            <w:r w:rsidRPr="00C07F22">
              <w:rPr>
                <w:b/>
                <w:sz w:val="18"/>
                <w:szCs w:val="18"/>
                <w:lang w:val="en-GB"/>
              </w:rPr>
              <w:t xml:space="preserve">esearch </w:t>
            </w:r>
            <w:r w:rsidR="008473F4" w:rsidRPr="00C07F22">
              <w:rPr>
                <w:b/>
                <w:sz w:val="18"/>
                <w:szCs w:val="18"/>
                <w:lang w:val="en-GB"/>
              </w:rPr>
              <w:t>p</w:t>
            </w:r>
            <w:r w:rsidRPr="00C07F22">
              <w:rPr>
                <w:b/>
                <w:sz w:val="18"/>
                <w:szCs w:val="18"/>
                <w:lang w:val="en-GB"/>
              </w:rPr>
              <w:t>roduct</w:t>
            </w:r>
            <w:r w:rsidR="001E7AC9" w:rsidRPr="00C07F22">
              <w:rPr>
                <w:b/>
                <w:sz w:val="18"/>
                <w:szCs w:val="18"/>
                <w:lang w:val="en-GB"/>
              </w:rPr>
              <w:t xml:space="preserve"> –</w:t>
            </w:r>
            <w:r w:rsidRPr="00C07F22">
              <w:rPr>
                <w:b/>
                <w:sz w:val="18"/>
                <w:szCs w:val="18"/>
                <w:lang w:val="en-GB"/>
              </w:rPr>
              <w:t xml:space="preserve"> </w:t>
            </w:r>
            <w:r w:rsidR="00483EF1" w:rsidRPr="00C07F22">
              <w:rPr>
                <w:b/>
                <w:sz w:val="18"/>
                <w:szCs w:val="18"/>
                <w:lang w:val="en-GB"/>
              </w:rPr>
              <w:t>s</w:t>
            </w:r>
            <w:r w:rsidRPr="00C07F22">
              <w:rPr>
                <w:b/>
                <w:sz w:val="18"/>
                <w:szCs w:val="18"/>
                <w:lang w:val="en-GB"/>
              </w:rPr>
              <w:t xml:space="preserve">ome </w:t>
            </w:r>
            <w:r w:rsidR="008473F4" w:rsidRPr="00C07F22">
              <w:rPr>
                <w:b/>
                <w:sz w:val="18"/>
                <w:szCs w:val="18"/>
                <w:lang w:val="en-GB"/>
              </w:rPr>
              <w:t>a</w:t>
            </w:r>
            <w:r w:rsidRPr="00C07F22">
              <w:rPr>
                <w:b/>
                <w:sz w:val="18"/>
                <w:szCs w:val="18"/>
                <w:lang w:val="en-GB"/>
              </w:rPr>
              <w:t>vailability</w:t>
            </w:r>
          </w:p>
          <w:p w14:paraId="5C64147E" w14:textId="2F247301" w:rsidR="004F110C" w:rsidRPr="00C07F22" w:rsidRDefault="004F110C" w:rsidP="00206FF9">
            <w:pPr>
              <w:shd w:val="clear" w:color="auto" w:fill="FFFFFF"/>
              <w:spacing w:before="40" w:after="40"/>
              <w:ind w:left="57" w:right="57"/>
              <w:rPr>
                <w:rFonts w:eastAsia="Times New Roman"/>
                <w:i/>
                <w:sz w:val="18"/>
                <w:szCs w:val="18"/>
                <w:lang w:val="en-GB"/>
              </w:rPr>
            </w:pPr>
            <w:r w:rsidRPr="00C07F22">
              <w:rPr>
                <w:i/>
                <w:sz w:val="18"/>
                <w:szCs w:val="18"/>
                <w:lang w:val="en-GB"/>
              </w:rPr>
              <w:t xml:space="preserve">Global </w:t>
            </w:r>
            <w:r w:rsidR="001E7AC9" w:rsidRPr="00C07F22">
              <w:rPr>
                <w:i/>
                <w:sz w:val="18"/>
                <w:szCs w:val="18"/>
                <w:lang w:val="en-GB"/>
              </w:rPr>
              <w:t>o</w:t>
            </w:r>
            <w:r w:rsidRPr="00C07F22">
              <w:rPr>
                <w:i/>
                <w:sz w:val="18"/>
                <w:szCs w:val="18"/>
                <w:lang w:val="en-GB"/>
              </w:rPr>
              <w:t>ceans</w:t>
            </w:r>
            <w:r w:rsidR="003F6C41" w:rsidRPr="00C07F22">
              <w:rPr>
                <w:i/>
                <w:sz w:val="18"/>
                <w:szCs w:val="18"/>
                <w:lang w:val="en-GB"/>
              </w:rPr>
              <w:t>:</w:t>
            </w:r>
          </w:p>
          <w:p w14:paraId="0673071C" w14:textId="17193EA4" w:rsidR="004F110C" w:rsidRPr="00C07F22" w:rsidRDefault="003F6C41" w:rsidP="00206FF9">
            <w:pPr>
              <w:shd w:val="clear" w:color="auto" w:fill="FFFFFF"/>
              <w:spacing w:before="40" w:after="40"/>
              <w:ind w:left="57" w:right="57"/>
              <w:rPr>
                <w:rFonts w:eastAsia="Times New Roman"/>
                <w:sz w:val="18"/>
                <w:szCs w:val="18"/>
                <w:lang w:val="en-GB"/>
              </w:rPr>
            </w:pPr>
            <w:r w:rsidRPr="00C07F22">
              <w:rPr>
                <w:sz w:val="18"/>
                <w:szCs w:val="18"/>
                <w:lang w:val="en-GB"/>
              </w:rPr>
              <w:t>g</w:t>
            </w:r>
            <w:r w:rsidR="004F110C" w:rsidRPr="00C07F22">
              <w:rPr>
                <w:sz w:val="18"/>
                <w:szCs w:val="18"/>
                <w:lang w:val="en-GB"/>
              </w:rPr>
              <w:t>lobal ocean models (MITgcm, NEMO)</w:t>
            </w:r>
          </w:p>
          <w:p w14:paraId="05E46EC7"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277A8536" w14:textId="3288EA38" w:rsidR="004F110C" w:rsidRPr="00C07F22" w:rsidRDefault="004F110C" w:rsidP="00206FF9">
            <w:pPr>
              <w:shd w:val="clear" w:color="auto" w:fill="FFFFFF"/>
              <w:spacing w:before="40" w:after="40"/>
              <w:ind w:left="57" w:right="57"/>
              <w:rPr>
                <w:i/>
                <w:sz w:val="18"/>
                <w:szCs w:val="18"/>
                <w:lang w:val="en-GB"/>
              </w:rPr>
            </w:pPr>
            <w:r w:rsidRPr="00C07F22">
              <w:rPr>
                <w:i/>
                <w:sz w:val="18"/>
                <w:szCs w:val="18"/>
                <w:lang w:val="en-GB"/>
              </w:rPr>
              <w:t>Estuaries (site specific); Freshwater</w:t>
            </w:r>
            <w:r w:rsidR="002D2810">
              <w:rPr>
                <w:i/>
                <w:sz w:val="18"/>
                <w:szCs w:val="18"/>
                <w:lang w:val="en-GB"/>
              </w:rPr>
              <w:t xml:space="preserve"> and </w:t>
            </w:r>
            <w:r w:rsidRPr="00C07F22">
              <w:rPr>
                <w:i/>
                <w:sz w:val="18"/>
                <w:szCs w:val="18"/>
                <w:lang w:val="en-GB"/>
              </w:rPr>
              <w:t>rivers (site specific)</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3A0349C6" w14:textId="4E12E89C" w:rsidR="004F110C" w:rsidRPr="00C07F22" w:rsidRDefault="004F110C" w:rsidP="00206FF9">
            <w:pPr>
              <w:shd w:val="clear" w:color="auto" w:fill="FFFFFF"/>
              <w:spacing w:before="40" w:after="40"/>
              <w:ind w:left="57" w:right="57"/>
              <w:rPr>
                <w:rFonts w:eastAsia="Times New Roman"/>
                <w:sz w:val="18"/>
                <w:szCs w:val="18"/>
                <w:lang w:val="en-GB"/>
              </w:rPr>
            </w:pPr>
            <w:r w:rsidRPr="00C07F22">
              <w:rPr>
                <w:b/>
                <w:sz w:val="18"/>
                <w:szCs w:val="18"/>
                <w:lang w:val="en-GB"/>
              </w:rPr>
              <w:t>Inputs:</w:t>
            </w:r>
            <w:r w:rsidRPr="00C07F22">
              <w:rPr>
                <w:sz w:val="18"/>
                <w:szCs w:val="18"/>
                <w:lang w:val="en-GB"/>
              </w:rPr>
              <w:t xml:space="preserve"> </w:t>
            </w:r>
            <w:r w:rsidR="004E1179" w:rsidRPr="00C07F22">
              <w:rPr>
                <w:sz w:val="18"/>
                <w:szCs w:val="18"/>
                <w:lang w:val="en-GB"/>
              </w:rPr>
              <w:t>s</w:t>
            </w:r>
            <w:r w:rsidRPr="00C07F22">
              <w:rPr>
                <w:sz w:val="18"/>
                <w:szCs w:val="18"/>
                <w:lang w:val="en-GB"/>
              </w:rPr>
              <w:t>patially resolved global atmospheric Hg inputs (wet + dry) –</w:t>
            </w:r>
            <w:r w:rsidR="00463E7D" w:rsidRPr="00C07F22">
              <w:rPr>
                <w:sz w:val="18"/>
                <w:szCs w:val="18"/>
                <w:lang w:val="en-GB"/>
              </w:rPr>
              <w:t xml:space="preserve"> </w:t>
            </w:r>
            <w:r w:rsidR="00483EF1" w:rsidRPr="00C07F22">
              <w:rPr>
                <w:sz w:val="18"/>
                <w:szCs w:val="18"/>
                <w:lang w:val="en-GB"/>
              </w:rPr>
              <w:t>c</w:t>
            </w:r>
            <w:r w:rsidRPr="00C07F22">
              <w:rPr>
                <w:sz w:val="18"/>
                <w:szCs w:val="18"/>
                <w:lang w:val="en-GB"/>
              </w:rPr>
              <w:t>oncentrations of Hg and MeHg in rivers (globally)</w:t>
            </w:r>
          </w:p>
          <w:p w14:paraId="2B3207FF"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39699E06" w14:textId="467298B1" w:rsidR="004F110C" w:rsidRPr="00C07F22" w:rsidRDefault="004F110C" w:rsidP="00206FF9">
            <w:pPr>
              <w:shd w:val="clear" w:color="auto" w:fill="FFFFFF"/>
              <w:spacing w:before="40" w:after="40"/>
              <w:ind w:left="57" w:right="57"/>
              <w:rPr>
                <w:rFonts w:eastAsia="Times New Roman"/>
                <w:sz w:val="18"/>
                <w:szCs w:val="18"/>
                <w:lang w:val="en-GB"/>
              </w:rPr>
            </w:pPr>
            <w:r w:rsidRPr="00C07F22">
              <w:rPr>
                <w:b/>
                <w:sz w:val="18"/>
                <w:szCs w:val="18"/>
                <w:lang w:val="en-GB"/>
              </w:rPr>
              <w:t>Evaluation:</w:t>
            </w:r>
            <w:r w:rsidRPr="00C07F22">
              <w:rPr>
                <w:sz w:val="18"/>
                <w:szCs w:val="18"/>
                <w:lang w:val="en-GB"/>
              </w:rPr>
              <w:t xml:space="preserve"> </w:t>
            </w:r>
            <w:r w:rsidR="004E1179" w:rsidRPr="00C07F22">
              <w:rPr>
                <w:sz w:val="18"/>
                <w:szCs w:val="18"/>
                <w:lang w:val="en-GB"/>
              </w:rPr>
              <w:t>m</w:t>
            </w:r>
            <w:r w:rsidRPr="00C07F22">
              <w:rPr>
                <w:sz w:val="18"/>
                <w:szCs w:val="18"/>
                <w:lang w:val="en-GB"/>
              </w:rPr>
              <w:t>easured seawater total and methylmercury, and Hg</w:t>
            </w:r>
            <w:r w:rsidRPr="00C07F22">
              <w:rPr>
                <w:sz w:val="18"/>
                <w:szCs w:val="18"/>
                <w:vertAlign w:val="superscript"/>
                <w:lang w:val="en-GB"/>
              </w:rPr>
              <w:t>0</w:t>
            </w:r>
            <w:r w:rsidRPr="00C07F22">
              <w:rPr>
                <w:sz w:val="18"/>
                <w:szCs w:val="18"/>
                <w:lang w:val="en-GB"/>
              </w:rPr>
              <w:t xml:space="preserve"> concentrations; </w:t>
            </w:r>
          </w:p>
          <w:p w14:paraId="23E02499" w14:textId="498E3372"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These are being collected through networks (GEOTRACES</w:t>
            </w:r>
            <w:r w:rsidR="002D2810">
              <w:rPr>
                <w:sz w:val="18"/>
                <w:szCs w:val="18"/>
                <w:lang w:val="en-GB"/>
              </w:rPr>
              <w:t xml:space="preserve">, </w:t>
            </w:r>
            <w:r w:rsidRPr="00C07F22">
              <w:rPr>
                <w:sz w:val="18"/>
                <w:szCs w:val="18"/>
                <w:lang w:val="en-GB"/>
              </w:rPr>
              <w:t xml:space="preserve">CLIVAR) </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68E8C1F1" w14:textId="7777777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Seawater MeHg in global oceans</w:t>
            </w:r>
          </w:p>
          <w:p w14:paraId="44653BE1"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7AB6EDD8" w14:textId="6F5872BB"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Total Hg concentrations in seawater globally for surface</w:t>
            </w:r>
            <w:r w:rsidR="002D2810">
              <w:rPr>
                <w:sz w:val="18"/>
                <w:szCs w:val="18"/>
                <w:lang w:val="en-GB"/>
              </w:rPr>
              <w:t xml:space="preserve"> and </w:t>
            </w:r>
            <w:r w:rsidRPr="00C07F22">
              <w:rPr>
                <w:sz w:val="18"/>
                <w:szCs w:val="18"/>
                <w:lang w:val="en-GB"/>
              </w:rPr>
              <w:t>deep ocean</w:t>
            </w:r>
          </w:p>
          <w:p w14:paraId="56CF5FC5"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6C99DC69" w14:textId="77777777"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Temporal changes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65A98BCC" w14:textId="7777777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Seawater Hg species data somewhat sparse but improving</w:t>
            </w:r>
          </w:p>
          <w:p w14:paraId="3465016E"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21F49727" w14:textId="77777777"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Data on Hg and MeHg in global rivers largely lacking</w:t>
            </w:r>
          </w:p>
        </w:tc>
      </w:tr>
      <w:tr w:rsidR="004F110C" w:rsidRPr="00C07F22" w14:paraId="6A6CD9C2" w14:textId="77777777" w:rsidTr="0087472C">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1B6AA72E" w14:textId="2F36535D" w:rsidR="004F110C" w:rsidRPr="00C07F22" w:rsidRDefault="004F110C" w:rsidP="00206FF9">
            <w:pPr>
              <w:shd w:val="clear" w:color="auto" w:fill="FFFFFF"/>
              <w:spacing w:before="40" w:after="40"/>
              <w:ind w:left="57" w:right="57"/>
              <w:rPr>
                <w:rFonts w:eastAsia="Times New Roman"/>
                <w:b/>
                <w:sz w:val="18"/>
                <w:szCs w:val="18"/>
                <w:lang w:val="en-GB"/>
              </w:rPr>
            </w:pPr>
            <w:r w:rsidRPr="00C07F22">
              <w:rPr>
                <w:b/>
                <w:sz w:val="18"/>
                <w:szCs w:val="18"/>
                <w:lang w:val="en-GB"/>
              </w:rPr>
              <w:t>Soils</w:t>
            </w:r>
            <w:r w:rsidR="002D2810">
              <w:rPr>
                <w:b/>
                <w:sz w:val="18"/>
                <w:szCs w:val="18"/>
                <w:lang w:val="en-GB"/>
              </w:rPr>
              <w:t xml:space="preserve"> and </w:t>
            </w:r>
            <w:r w:rsidR="00483EF1" w:rsidRPr="00C07F22">
              <w:rPr>
                <w:b/>
                <w:sz w:val="18"/>
                <w:szCs w:val="18"/>
                <w:lang w:val="en-GB"/>
              </w:rPr>
              <w:t>l</w:t>
            </w:r>
            <w:r w:rsidRPr="00C07F22">
              <w:rPr>
                <w:b/>
                <w:sz w:val="18"/>
                <w:szCs w:val="18"/>
                <w:lang w:val="en-GB"/>
              </w:rPr>
              <w:t xml:space="preserve">and: </w:t>
            </w:r>
            <w:r w:rsidR="00483EF1" w:rsidRPr="00C07F22">
              <w:rPr>
                <w:b/>
                <w:sz w:val="18"/>
                <w:szCs w:val="18"/>
                <w:lang w:val="en-GB"/>
              </w:rPr>
              <w:t>r</w:t>
            </w:r>
            <w:r w:rsidRPr="00C07F22">
              <w:rPr>
                <w:b/>
                <w:sz w:val="18"/>
                <w:szCs w:val="18"/>
                <w:lang w:val="en-GB"/>
              </w:rPr>
              <w:t xml:space="preserve">esearch </w:t>
            </w:r>
            <w:r w:rsidR="00483EF1" w:rsidRPr="00C07F22">
              <w:rPr>
                <w:b/>
                <w:sz w:val="18"/>
                <w:szCs w:val="18"/>
                <w:lang w:val="en-GB"/>
              </w:rPr>
              <w:t>p</w:t>
            </w:r>
            <w:r w:rsidRPr="00C07F22">
              <w:rPr>
                <w:b/>
                <w:sz w:val="18"/>
                <w:szCs w:val="18"/>
                <w:lang w:val="en-GB"/>
              </w:rPr>
              <w:t xml:space="preserve">roduct – </w:t>
            </w:r>
            <w:r w:rsidR="00483EF1" w:rsidRPr="00C07F22">
              <w:rPr>
                <w:b/>
                <w:sz w:val="18"/>
                <w:szCs w:val="18"/>
                <w:lang w:val="en-GB"/>
              </w:rPr>
              <w:t>s</w:t>
            </w:r>
            <w:r w:rsidRPr="00C07F22">
              <w:rPr>
                <w:b/>
                <w:sz w:val="18"/>
                <w:szCs w:val="18"/>
                <w:lang w:val="en-GB"/>
              </w:rPr>
              <w:t xml:space="preserve">ome </w:t>
            </w:r>
            <w:r w:rsidR="00483EF1" w:rsidRPr="00C07F22">
              <w:rPr>
                <w:b/>
                <w:sz w:val="18"/>
                <w:szCs w:val="18"/>
                <w:lang w:val="en-GB"/>
              </w:rPr>
              <w:t>a</w:t>
            </w:r>
            <w:r w:rsidRPr="00C07F22">
              <w:rPr>
                <w:b/>
                <w:sz w:val="18"/>
                <w:szCs w:val="18"/>
                <w:lang w:val="en-GB"/>
              </w:rPr>
              <w:t>vailability</w:t>
            </w:r>
          </w:p>
          <w:p w14:paraId="659C46C8" w14:textId="4CC2DC86" w:rsidR="004F110C" w:rsidRPr="00C07F22" w:rsidRDefault="004F110C" w:rsidP="00206FF9">
            <w:pPr>
              <w:shd w:val="clear" w:color="auto" w:fill="FFFFFF"/>
              <w:spacing w:before="40" w:after="40"/>
              <w:ind w:left="57" w:right="57"/>
              <w:rPr>
                <w:rFonts w:eastAsia="Times New Roman"/>
                <w:i/>
                <w:sz w:val="18"/>
                <w:szCs w:val="18"/>
                <w:lang w:val="en-GB"/>
              </w:rPr>
            </w:pPr>
            <w:r w:rsidRPr="00C07F22">
              <w:rPr>
                <w:i/>
                <w:sz w:val="18"/>
                <w:szCs w:val="18"/>
                <w:lang w:val="en-GB"/>
              </w:rPr>
              <w:t>Global soils</w:t>
            </w:r>
            <w:r w:rsidR="003F6C41" w:rsidRPr="00C07F22">
              <w:rPr>
                <w:i/>
                <w:sz w:val="18"/>
                <w:szCs w:val="18"/>
                <w:lang w:val="en-GB"/>
              </w:rPr>
              <w:t>:</w:t>
            </w:r>
          </w:p>
          <w:p w14:paraId="375453E7" w14:textId="7E3B4063" w:rsidR="004F110C" w:rsidRPr="00C07F22" w:rsidRDefault="003F6C41" w:rsidP="00206FF9">
            <w:pPr>
              <w:shd w:val="clear" w:color="auto" w:fill="FFFFFF"/>
              <w:spacing w:before="40" w:after="40"/>
              <w:ind w:left="57" w:right="57"/>
              <w:rPr>
                <w:rFonts w:eastAsia="Times New Roman"/>
                <w:sz w:val="18"/>
                <w:szCs w:val="18"/>
                <w:lang w:val="en-GB"/>
              </w:rPr>
            </w:pPr>
            <w:r w:rsidRPr="00C07F22">
              <w:rPr>
                <w:sz w:val="18"/>
                <w:szCs w:val="18"/>
                <w:lang w:val="en-GB"/>
              </w:rPr>
              <w:t>g</w:t>
            </w:r>
            <w:r w:rsidR="004F110C" w:rsidRPr="00C07F22">
              <w:rPr>
                <w:sz w:val="18"/>
                <w:szCs w:val="18"/>
                <w:lang w:val="en-GB"/>
              </w:rPr>
              <w:t>lobal terrestrial mercury model</w:t>
            </w:r>
          </w:p>
          <w:p w14:paraId="39239850"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3017DA99" w14:textId="5228F21F"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ASGM</w:t>
            </w:r>
            <w:r w:rsidR="002D2810">
              <w:rPr>
                <w:sz w:val="18"/>
                <w:szCs w:val="18"/>
                <w:lang w:val="en-GB"/>
              </w:rPr>
              <w:t xml:space="preserve"> </w:t>
            </w:r>
            <w:r w:rsidR="00483EF1" w:rsidRPr="00C07F22">
              <w:rPr>
                <w:sz w:val="18"/>
                <w:szCs w:val="18"/>
                <w:lang w:val="en-GB"/>
              </w:rPr>
              <w:t>c</w:t>
            </w:r>
            <w:r w:rsidRPr="00C07F22">
              <w:rPr>
                <w:sz w:val="18"/>
                <w:szCs w:val="18"/>
                <w:lang w:val="en-GB"/>
              </w:rPr>
              <w:t>ontaminated sites (not yet integrated into global models but would be useful)</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1E29F3F4" w14:textId="308B4370" w:rsidR="004F110C" w:rsidRPr="00C07F22" w:rsidRDefault="004F110C" w:rsidP="00206FF9">
            <w:pPr>
              <w:shd w:val="clear" w:color="auto" w:fill="FFFFFF"/>
              <w:spacing w:before="40" w:after="40"/>
              <w:ind w:left="57" w:right="57"/>
              <w:rPr>
                <w:rFonts w:eastAsia="Times New Roman"/>
                <w:sz w:val="18"/>
                <w:szCs w:val="18"/>
                <w:lang w:val="en-GB"/>
              </w:rPr>
            </w:pPr>
            <w:r w:rsidRPr="00C07F22">
              <w:rPr>
                <w:b/>
                <w:sz w:val="18"/>
                <w:szCs w:val="18"/>
                <w:lang w:val="en-GB"/>
              </w:rPr>
              <w:t>Inputs:</w:t>
            </w:r>
            <w:r w:rsidRPr="00C07F22">
              <w:rPr>
                <w:sz w:val="18"/>
                <w:szCs w:val="18"/>
                <w:lang w:val="en-GB"/>
              </w:rPr>
              <w:t xml:space="preserve"> </w:t>
            </w:r>
            <w:r w:rsidR="004E1179" w:rsidRPr="00C07F22">
              <w:rPr>
                <w:sz w:val="18"/>
                <w:szCs w:val="18"/>
                <w:lang w:val="en-GB"/>
              </w:rPr>
              <w:t>a</w:t>
            </w:r>
            <w:r w:rsidRPr="00C07F22">
              <w:rPr>
                <w:sz w:val="18"/>
                <w:szCs w:val="18"/>
                <w:lang w:val="en-GB"/>
              </w:rPr>
              <w:t>tmospheric deposition (model input)</w:t>
            </w:r>
          </w:p>
          <w:p w14:paraId="4A809F59" w14:textId="07DD793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Emissions releases to land</w:t>
            </w:r>
            <w:r w:rsidR="002D2810">
              <w:rPr>
                <w:sz w:val="18"/>
                <w:szCs w:val="18"/>
                <w:lang w:val="en-GB"/>
              </w:rPr>
              <w:t xml:space="preserve"> and </w:t>
            </w:r>
            <w:r w:rsidRPr="00C07F22">
              <w:rPr>
                <w:sz w:val="18"/>
                <w:szCs w:val="18"/>
                <w:lang w:val="en-GB"/>
              </w:rPr>
              <w:t xml:space="preserve">water (very preliminary and coarse spatial resolution) </w:t>
            </w:r>
          </w:p>
          <w:p w14:paraId="436DECA7"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6B1C9BE8" w14:textId="7777777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 xml:space="preserve">Few data on runoff from contaminated sites </w:t>
            </w:r>
          </w:p>
          <w:p w14:paraId="4395F9EF"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6BA219F7" w14:textId="7777777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 xml:space="preserve">Global land cover data and atmospheric inputs </w:t>
            </w:r>
          </w:p>
          <w:p w14:paraId="44CB1842"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3E6E7BCF" w14:textId="69A6F541" w:rsidR="004F110C" w:rsidRPr="00C07F22" w:rsidRDefault="004F110C" w:rsidP="00206FF9">
            <w:pPr>
              <w:shd w:val="clear" w:color="auto" w:fill="FFFFFF"/>
              <w:spacing w:before="40" w:after="40"/>
              <w:ind w:left="57" w:right="57"/>
              <w:rPr>
                <w:sz w:val="18"/>
                <w:szCs w:val="18"/>
                <w:lang w:val="en-GB"/>
              </w:rPr>
            </w:pPr>
            <w:r w:rsidRPr="00C07F22">
              <w:rPr>
                <w:b/>
                <w:sz w:val="18"/>
                <w:szCs w:val="18"/>
                <w:lang w:val="en-GB"/>
              </w:rPr>
              <w:lastRenderedPageBreak/>
              <w:t>Evaluation:</w:t>
            </w:r>
            <w:r w:rsidRPr="00C07F22">
              <w:rPr>
                <w:sz w:val="18"/>
                <w:szCs w:val="18"/>
                <w:lang w:val="en-GB"/>
              </w:rPr>
              <w:t xml:space="preserve"> </w:t>
            </w:r>
            <w:r w:rsidR="004E1179" w:rsidRPr="00C07F22">
              <w:rPr>
                <w:sz w:val="18"/>
                <w:szCs w:val="18"/>
                <w:lang w:val="en-GB"/>
              </w:rPr>
              <w:t>s</w:t>
            </w:r>
            <w:r w:rsidRPr="00C07F22">
              <w:rPr>
                <w:sz w:val="18"/>
                <w:szCs w:val="18"/>
                <w:lang w:val="en-GB"/>
              </w:rPr>
              <w:t>oil Hg data (good data for North America, parts of Europe)</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2F909A41" w14:textId="7777777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lastRenderedPageBreak/>
              <w:t>Soil Hg concentrations globally</w:t>
            </w:r>
          </w:p>
          <w:p w14:paraId="597A7239"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497CE0E7" w14:textId="77777777"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 xml:space="preserve">Hg in global rivers </w:t>
            </w:r>
          </w:p>
          <w:p w14:paraId="56CCE2D8"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0D276C03" w14:textId="567FE050"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“Hot spots” most sensitive to Hg inputs and likely to affect biota</w:t>
            </w:r>
            <w:r w:rsidR="00447C82">
              <w:rPr>
                <w:sz w:val="18"/>
                <w:szCs w:val="18"/>
                <w:lang w:val="en-GB"/>
              </w:rPr>
              <w:t xml:space="preserve"> and </w:t>
            </w:r>
            <w:r w:rsidRPr="00C07F22">
              <w:rPr>
                <w:sz w:val="18"/>
                <w:szCs w:val="18"/>
                <w:lang w:val="en-GB"/>
              </w:rPr>
              <w:t>human populations</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3C676603" w14:textId="02CD32C9" w:rsidR="004F110C" w:rsidRPr="00C07F22" w:rsidRDefault="004F110C" w:rsidP="00206FF9">
            <w:pPr>
              <w:shd w:val="clear" w:color="auto" w:fill="FFFFFF"/>
              <w:spacing w:before="40" w:after="40"/>
              <w:ind w:left="57" w:right="57"/>
              <w:rPr>
                <w:rFonts w:eastAsia="Times New Roman"/>
                <w:sz w:val="18"/>
                <w:szCs w:val="18"/>
                <w:lang w:val="en-GB"/>
              </w:rPr>
            </w:pPr>
            <w:r w:rsidRPr="00C07F22">
              <w:rPr>
                <w:sz w:val="18"/>
                <w:szCs w:val="18"/>
                <w:lang w:val="en-GB"/>
              </w:rPr>
              <w:t>MeHg simulation for terrestrial environments other than site</w:t>
            </w:r>
            <w:r w:rsidR="00A872A9">
              <w:rPr>
                <w:sz w:val="18"/>
                <w:szCs w:val="18"/>
                <w:lang w:val="en-GB"/>
              </w:rPr>
              <w:t>-</w:t>
            </w:r>
            <w:r w:rsidRPr="00C07F22">
              <w:rPr>
                <w:sz w:val="18"/>
                <w:szCs w:val="18"/>
                <w:lang w:val="en-GB"/>
              </w:rPr>
              <w:t>specific assessments still to be done</w:t>
            </w:r>
          </w:p>
          <w:p w14:paraId="65C16066" w14:textId="77777777" w:rsidR="004F110C" w:rsidRPr="00C07F22" w:rsidRDefault="004F110C" w:rsidP="00206FF9">
            <w:pPr>
              <w:shd w:val="clear" w:color="auto" w:fill="FFFFFF"/>
              <w:spacing w:before="40" w:after="40"/>
              <w:ind w:left="57" w:right="57"/>
              <w:rPr>
                <w:rFonts w:eastAsia="Times New Roman"/>
                <w:sz w:val="18"/>
                <w:szCs w:val="18"/>
                <w:lang w:val="en-GB"/>
              </w:rPr>
            </w:pPr>
          </w:p>
          <w:p w14:paraId="469C04B1" w14:textId="52B57343" w:rsidR="004F110C" w:rsidRPr="00C07F22" w:rsidRDefault="004F110C" w:rsidP="00206FF9">
            <w:pPr>
              <w:shd w:val="clear" w:color="auto" w:fill="FFFFFF"/>
              <w:spacing w:before="40" w:after="40"/>
              <w:ind w:left="57" w:right="57"/>
              <w:rPr>
                <w:sz w:val="18"/>
                <w:szCs w:val="18"/>
                <w:lang w:val="en-GB"/>
              </w:rPr>
            </w:pPr>
            <w:r w:rsidRPr="00C07F22">
              <w:rPr>
                <w:sz w:val="18"/>
                <w:szCs w:val="18"/>
                <w:lang w:val="en-GB"/>
              </w:rPr>
              <w:t>Ground</w:t>
            </w:r>
            <w:r w:rsidR="00A872A9">
              <w:rPr>
                <w:sz w:val="18"/>
                <w:szCs w:val="18"/>
                <w:lang w:val="en-GB"/>
              </w:rPr>
              <w:t>-</w:t>
            </w:r>
            <w:r w:rsidRPr="00C07F22">
              <w:rPr>
                <w:sz w:val="18"/>
                <w:szCs w:val="18"/>
                <w:lang w:val="en-GB"/>
              </w:rPr>
              <w:t>truthing global “hot spot” analysis is needed</w:t>
            </w:r>
            <w:r w:rsidR="003F6C41" w:rsidRPr="00C07F22">
              <w:rPr>
                <w:sz w:val="18"/>
                <w:szCs w:val="18"/>
                <w:lang w:val="en-GB"/>
              </w:rPr>
              <w:t>;</w:t>
            </w:r>
            <w:r w:rsidR="00DE0A5C" w:rsidRPr="00C07F22">
              <w:rPr>
                <w:sz w:val="18"/>
                <w:szCs w:val="18"/>
                <w:lang w:val="en-GB"/>
              </w:rPr>
              <w:t xml:space="preserve"> </w:t>
            </w:r>
            <w:r w:rsidR="003F6C41" w:rsidRPr="00C07F22">
              <w:rPr>
                <w:sz w:val="18"/>
                <w:szCs w:val="18"/>
                <w:lang w:val="en-GB"/>
              </w:rPr>
              <w:t>d</w:t>
            </w:r>
            <w:r w:rsidRPr="00C07F22">
              <w:rPr>
                <w:sz w:val="18"/>
                <w:szCs w:val="18"/>
                <w:lang w:val="en-GB"/>
              </w:rPr>
              <w:t xml:space="preserve">ata on locations of ASGM and releases </w:t>
            </w:r>
            <w:r w:rsidR="00447C82">
              <w:rPr>
                <w:sz w:val="18"/>
                <w:szCs w:val="18"/>
                <w:lang w:val="en-GB"/>
              </w:rPr>
              <w:t xml:space="preserve">and/or </w:t>
            </w:r>
            <w:r w:rsidRPr="00C07F22">
              <w:rPr>
                <w:sz w:val="18"/>
                <w:szCs w:val="18"/>
                <w:lang w:val="en-GB"/>
              </w:rPr>
              <w:t>contaminated sites to be collected</w:t>
            </w:r>
          </w:p>
        </w:tc>
      </w:tr>
      <w:tr w:rsidR="004F110C" w:rsidRPr="00C07F22" w14:paraId="767EF03D" w14:textId="77777777" w:rsidTr="0087472C">
        <w:trPr>
          <w:trHeight w:val="57"/>
          <w:jc w:val="right"/>
        </w:trPr>
        <w:tc>
          <w:tcPr>
            <w:tcW w:w="2557" w:type="dxa"/>
            <w:tcBorders>
              <w:top w:val="single" w:sz="4" w:space="0" w:color="auto"/>
              <w:bottom w:val="single" w:sz="4" w:space="0" w:color="auto"/>
            </w:tcBorders>
            <w:shd w:val="clear" w:color="auto" w:fill="auto"/>
            <w:tcMar>
              <w:top w:w="80" w:type="dxa"/>
              <w:left w:w="80" w:type="dxa"/>
              <w:bottom w:w="80" w:type="dxa"/>
              <w:right w:w="80" w:type="dxa"/>
            </w:tcMar>
          </w:tcPr>
          <w:p w14:paraId="6CEAD10C" w14:textId="6ED76FEC" w:rsidR="004F110C" w:rsidRPr="00C07F22" w:rsidRDefault="004F110C" w:rsidP="00C07F22">
            <w:pPr>
              <w:keepNext/>
              <w:keepLines/>
              <w:shd w:val="clear" w:color="auto" w:fill="FFFFFF"/>
              <w:spacing w:before="40" w:after="40"/>
              <w:ind w:left="57" w:right="57"/>
              <w:rPr>
                <w:rFonts w:eastAsia="Times New Roman"/>
                <w:b/>
                <w:sz w:val="18"/>
                <w:szCs w:val="18"/>
                <w:lang w:val="en-GB"/>
              </w:rPr>
            </w:pPr>
            <w:r w:rsidRPr="00C07F22">
              <w:rPr>
                <w:b/>
                <w:sz w:val="18"/>
                <w:szCs w:val="18"/>
                <w:lang w:val="en-GB"/>
              </w:rPr>
              <w:t xml:space="preserve">Biota: </w:t>
            </w:r>
            <w:r w:rsidR="00483EF1" w:rsidRPr="00C07F22">
              <w:rPr>
                <w:b/>
                <w:sz w:val="18"/>
                <w:szCs w:val="18"/>
                <w:lang w:val="en-GB"/>
              </w:rPr>
              <w:t>r</w:t>
            </w:r>
            <w:r w:rsidRPr="00C07F22">
              <w:rPr>
                <w:b/>
                <w:sz w:val="18"/>
                <w:szCs w:val="18"/>
                <w:lang w:val="en-GB"/>
              </w:rPr>
              <w:t xml:space="preserve">esearch </w:t>
            </w:r>
            <w:r w:rsidR="00483EF1" w:rsidRPr="00C07F22">
              <w:rPr>
                <w:b/>
                <w:sz w:val="18"/>
                <w:szCs w:val="18"/>
                <w:lang w:val="en-GB"/>
              </w:rPr>
              <w:t>p</w:t>
            </w:r>
            <w:r w:rsidRPr="00C07F22">
              <w:rPr>
                <w:b/>
                <w:sz w:val="18"/>
                <w:szCs w:val="18"/>
                <w:lang w:val="en-GB"/>
              </w:rPr>
              <w:t xml:space="preserve">roduct – </w:t>
            </w:r>
            <w:r w:rsidR="00483EF1" w:rsidRPr="00C07F22">
              <w:rPr>
                <w:b/>
                <w:sz w:val="18"/>
                <w:szCs w:val="18"/>
                <w:lang w:val="en-GB"/>
              </w:rPr>
              <w:t>s</w:t>
            </w:r>
            <w:r w:rsidRPr="00C07F22">
              <w:rPr>
                <w:b/>
                <w:sz w:val="18"/>
                <w:szCs w:val="18"/>
                <w:lang w:val="en-GB"/>
              </w:rPr>
              <w:t xml:space="preserve">ome </w:t>
            </w:r>
            <w:r w:rsidR="00483EF1" w:rsidRPr="00C07F22">
              <w:rPr>
                <w:b/>
                <w:sz w:val="18"/>
                <w:szCs w:val="18"/>
                <w:lang w:val="en-GB"/>
              </w:rPr>
              <w:t>a</w:t>
            </w:r>
            <w:r w:rsidRPr="00C07F22">
              <w:rPr>
                <w:b/>
                <w:sz w:val="18"/>
                <w:szCs w:val="18"/>
                <w:lang w:val="en-GB"/>
              </w:rPr>
              <w:t>vailability</w:t>
            </w:r>
          </w:p>
          <w:p w14:paraId="0762B6F1"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sz w:val="18"/>
                <w:szCs w:val="18"/>
                <w:lang w:val="en-GB"/>
              </w:rPr>
              <w:t>Food web bioaccumulation model for marine ecosystems</w:t>
            </w:r>
          </w:p>
          <w:p w14:paraId="7110FF82" w14:textId="1613A1F7"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sz w:val="18"/>
                <w:szCs w:val="18"/>
                <w:lang w:val="en-GB"/>
              </w:rPr>
              <w:t>(global models for plankton exist</w:t>
            </w:r>
            <w:r w:rsidR="00447C82">
              <w:rPr>
                <w:sz w:val="18"/>
                <w:szCs w:val="18"/>
                <w:lang w:val="en-GB"/>
              </w:rPr>
              <w:t xml:space="preserve">, </w:t>
            </w:r>
            <w:r w:rsidRPr="00C07F22">
              <w:rPr>
                <w:sz w:val="18"/>
                <w:szCs w:val="18"/>
                <w:lang w:val="en-GB"/>
              </w:rPr>
              <w:t>fish under development)</w:t>
            </w:r>
          </w:p>
          <w:p w14:paraId="342714C4"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5A546477"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729F0B16" w14:textId="77777777" w:rsidR="004F110C" w:rsidRPr="00C07F22" w:rsidRDefault="004F110C" w:rsidP="00C07F22">
            <w:pPr>
              <w:keepNext/>
              <w:keepLines/>
              <w:shd w:val="clear" w:color="auto" w:fill="FFFFFF"/>
              <w:spacing w:before="40" w:after="40"/>
              <w:ind w:left="57" w:right="57"/>
              <w:rPr>
                <w:sz w:val="18"/>
                <w:szCs w:val="18"/>
                <w:lang w:val="en-GB"/>
              </w:rPr>
            </w:pPr>
            <w:r w:rsidRPr="00C07F22">
              <w:rPr>
                <w:sz w:val="18"/>
                <w:szCs w:val="18"/>
                <w:lang w:val="en-GB"/>
              </w:rPr>
              <w:t>Food web model for freshwater ecosystems (site specific)</w:t>
            </w:r>
          </w:p>
        </w:tc>
        <w:tc>
          <w:tcPr>
            <w:tcW w:w="2884" w:type="dxa"/>
            <w:tcBorders>
              <w:top w:val="single" w:sz="4" w:space="0" w:color="auto"/>
              <w:bottom w:val="single" w:sz="4" w:space="0" w:color="auto"/>
            </w:tcBorders>
            <w:shd w:val="clear" w:color="auto" w:fill="auto"/>
            <w:tcMar>
              <w:top w:w="80" w:type="dxa"/>
              <w:left w:w="80" w:type="dxa"/>
              <w:bottom w:w="80" w:type="dxa"/>
              <w:right w:w="80" w:type="dxa"/>
            </w:tcMar>
          </w:tcPr>
          <w:p w14:paraId="75CE8261" w14:textId="3AE8199C" w:rsidR="004F110C" w:rsidRPr="00C07F22" w:rsidRDefault="004F110C" w:rsidP="00C07F22">
            <w:pPr>
              <w:keepNext/>
              <w:keepLines/>
              <w:shd w:val="clear" w:color="auto" w:fill="FFFFFF"/>
              <w:spacing w:before="40" w:after="40"/>
              <w:ind w:left="57" w:right="57"/>
              <w:rPr>
                <w:sz w:val="18"/>
                <w:szCs w:val="18"/>
                <w:lang w:val="en-GB"/>
              </w:rPr>
            </w:pPr>
            <w:r w:rsidRPr="00C07F22">
              <w:rPr>
                <w:b/>
                <w:sz w:val="18"/>
                <w:szCs w:val="18"/>
                <w:lang w:val="en-GB"/>
              </w:rPr>
              <w:t>Inputs:</w:t>
            </w:r>
            <w:r w:rsidRPr="00C07F22">
              <w:rPr>
                <w:sz w:val="18"/>
                <w:szCs w:val="18"/>
                <w:lang w:val="en-GB"/>
              </w:rPr>
              <w:t xml:space="preserve"> MeHg seawater (model); Fisheries biomass production from primary productivity globally, trophic interactions (available through collaboration with NOAA/GFDL and UBC Nereus projects)</w:t>
            </w:r>
          </w:p>
          <w:p w14:paraId="752B3C40" w14:textId="77777777" w:rsidR="00463E7D" w:rsidRPr="00C07F22" w:rsidRDefault="00463E7D" w:rsidP="00C07F22">
            <w:pPr>
              <w:keepNext/>
              <w:keepLines/>
              <w:shd w:val="clear" w:color="auto" w:fill="FFFFFF"/>
              <w:spacing w:before="40" w:after="40"/>
              <w:ind w:left="57" w:right="57"/>
              <w:rPr>
                <w:rFonts w:eastAsia="Times New Roman"/>
                <w:sz w:val="18"/>
                <w:szCs w:val="18"/>
                <w:lang w:val="en-GB"/>
              </w:rPr>
            </w:pPr>
          </w:p>
          <w:p w14:paraId="7D227CC3"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b/>
                <w:sz w:val="18"/>
                <w:szCs w:val="18"/>
                <w:lang w:val="en-GB"/>
              </w:rPr>
              <w:t>Evaluation:</w:t>
            </w:r>
            <w:r w:rsidRPr="00C07F22">
              <w:rPr>
                <w:sz w:val="18"/>
                <w:szCs w:val="18"/>
                <w:lang w:val="en-GB"/>
              </w:rPr>
              <w:t xml:space="preserve"> Biotic mercury database</w:t>
            </w:r>
          </w:p>
          <w:p w14:paraId="2F194BDD"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78801D0C" w14:textId="0374CCAD" w:rsidR="004F110C" w:rsidRPr="00C07F22" w:rsidRDefault="004F110C" w:rsidP="00C07F22">
            <w:pPr>
              <w:keepNext/>
              <w:keepLines/>
              <w:shd w:val="clear" w:color="auto" w:fill="FFFFFF"/>
              <w:spacing w:before="40" w:after="40"/>
              <w:ind w:left="57" w:right="57"/>
              <w:rPr>
                <w:sz w:val="18"/>
                <w:szCs w:val="18"/>
                <w:lang w:val="en-GB"/>
              </w:rPr>
            </w:pPr>
            <w:r w:rsidRPr="00C07F22">
              <w:rPr>
                <w:sz w:val="18"/>
                <w:szCs w:val="18"/>
                <w:lang w:val="en-GB"/>
              </w:rPr>
              <w:t xml:space="preserve">Trophic level 3 for temporal trend, </w:t>
            </w:r>
            <w:r w:rsidR="003178FB" w:rsidRPr="00C07F22">
              <w:rPr>
                <w:sz w:val="18"/>
                <w:szCs w:val="18"/>
                <w:lang w:val="en-GB"/>
              </w:rPr>
              <w:t xml:space="preserve">level </w:t>
            </w:r>
            <w:r w:rsidRPr="00C07F22">
              <w:rPr>
                <w:sz w:val="18"/>
                <w:szCs w:val="18"/>
                <w:lang w:val="en-GB"/>
              </w:rPr>
              <w:t xml:space="preserve">4 for spatial gradient analysis </w:t>
            </w:r>
          </w:p>
        </w:tc>
        <w:tc>
          <w:tcPr>
            <w:tcW w:w="1605" w:type="dxa"/>
            <w:tcBorders>
              <w:top w:val="single" w:sz="4" w:space="0" w:color="auto"/>
              <w:bottom w:val="single" w:sz="4" w:space="0" w:color="auto"/>
            </w:tcBorders>
            <w:shd w:val="clear" w:color="auto" w:fill="auto"/>
            <w:tcMar>
              <w:top w:w="80" w:type="dxa"/>
              <w:left w:w="80" w:type="dxa"/>
              <w:bottom w:w="80" w:type="dxa"/>
              <w:right w:w="80" w:type="dxa"/>
            </w:tcMar>
          </w:tcPr>
          <w:p w14:paraId="745A8332" w14:textId="0DFA60E7"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sz w:val="18"/>
                <w:szCs w:val="18"/>
                <w:lang w:val="en-GB"/>
              </w:rPr>
              <w:t xml:space="preserve">Concentrations of MeHg in fish consumed by human populations; </w:t>
            </w:r>
            <w:r w:rsidR="004E1179" w:rsidRPr="00C07F22">
              <w:rPr>
                <w:sz w:val="18"/>
                <w:szCs w:val="18"/>
                <w:lang w:val="en-GB"/>
              </w:rPr>
              <w:t>m</w:t>
            </w:r>
            <w:r w:rsidRPr="00C07F22">
              <w:rPr>
                <w:sz w:val="18"/>
                <w:szCs w:val="18"/>
                <w:lang w:val="en-GB"/>
              </w:rPr>
              <w:t xml:space="preserve">arine origin of MeHg </w:t>
            </w:r>
          </w:p>
          <w:p w14:paraId="4F680867"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65173F57" w14:textId="60A23BF0"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sz w:val="18"/>
                <w:szCs w:val="18"/>
                <w:lang w:val="en-GB"/>
              </w:rPr>
              <w:t>Attribution of</w:t>
            </w:r>
          </w:p>
          <w:p w14:paraId="47E5EA56"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sz w:val="18"/>
                <w:szCs w:val="18"/>
                <w:lang w:val="en-GB"/>
              </w:rPr>
              <w:t>Hg sources in fish (marine mammals?) by region;</w:t>
            </w:r>
          </w:p>
          <w:p w14:paraId="5A5BB723"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0B8DA803" w14:textId="77777777" w:rsidR="004F110C" w:rsidRPr="00C07F22" w:rsidRDefault="004F110C" w:rsidP="00C07F22">
            <w:pPr>
              <w:keepNext/>
              <w:keepLines/>
              <w:shd w:val="clear" w:color="auto" w:fill="FFFFFF"/>
              <w:spacing w:before="40" w:after="40"/>
              <w:ind w:left="57" w:right="57"/>
              <w:rPr>
                <w:sz w:val="18"/>
                <w:szCs w:val="18"/>
                <w:lang w:val="en-GB"/>
              </w:rPr>
            </w:pPr>
            <w:r w:rsidRPr="00C07F22">
              <w:rPr>
                <w:sz w:val="18"/>
                <w:szCs w:val="18"/>
                <w:lang w:val="en-GB"/>
              </w:rPr>
              <w:t>Changes due to emissions and climate</w:t>
            </w:r>
          </w:p>
        </w:tc>
        <w:tc>
          <w:tcPr>
            <w:tcW w:w="1970" w:type="dxa"/>
            <w:tcBorders>
              <w:top w:val="single" w:sz="4" w:space="0" w:color="auto"/>
              <w:bottom w:val="single" w:sz="4" w:space="0" w:color="auto"/>
            </w:tcBorders>
            <w:shd w:val="clear" w:color="auto" w:fill="auto"/>
            <w:tcMar>
              <w:top w:w="80" w:type="dxa"/>
              <w:left w:w="80" w:type="dxa"/>
              <w:bottom w:w="80" w:type="dxa"/>
              <w:right w:w="80" w:type="dxa"/>
            </w:tcMar>
          </w:tcPr>
          <w:p w14:paraId="75A394BA" w14:textId="0487DCA8" w:rsidR="004F110C" w:rsidRPr="00C07F22" w:rsidRDefault="004F110C" w:rsidP="00C07F22">
            <w:pPr>
              <w:keepNext/>
              <w:keepLines/>
              <w:shd w:val="clear" w:color="auto" w:fill="FFFFFF"/>
              <w:spacing w:before="40" w:after="40"/>
              <w:ind w:left="57" w:right="57"/>
              <w:rPr>
                <w:rFonts w:eastAsia="Times New Roman"/>
                <w:sz w:val="18"/>
                <w:szCs w:val="18"/>
                <w:lang w:val="en-GB"/>
              </w:rPr>
            </w:pPr>
            <w:r w:rsidRPr="00C07F22">
              <w:rPr>
                <w:sz w:val="18"/>
                <w:szCs w:val="18"/>
                <w:lang w:val="en-GB"/>
              </w:rPr>
              <w:t>Global fish model under development; could link to marine mammals/</w:t>
            </w:r>
            <w:r w:rsidR="004E1179" w:rsidRPr="00C07F22">
              <w:rPr>
                <w:sz w:val="18"/>
                <w:szCs w:val="18"/>
                <w:lang w:val="en-GB"/>
              </w:rPr>
              <w:t xml:space="preserve"> </w:t>
            </w:r>
            <w:r w:rsidRPr="00C07F22">
              <w:rPr>
                <w:sz w:val="18"/>
                <w:szCs w:val="18"/>
                <w:lang w:val="en-GB"/>
              </w:rPr>
              <w:t>birds</w:t>
            </w:r>
          </w:p>
          <w:p w14:paraId="1F8D935E"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155B30ED"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6670BB47"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0DCD8211"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20036F8A"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3EDABECD"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68D684C1" w14:textId="77777777"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08AFC87E" w14:textId="60B4173E" w:rsidR="004F110C" w:rsidRPr="00C07F22" w:rsidRDefault="004F110C" w:rsidP="00C07F22">
            <w:pPr>
              <w:keepNext/>
              <w:keepLines/>
              <w:shd w:val="clear" w:color="auto" w:fill="FFFFFF"/>
              <w:spacing w:before="40" w:after="40"/>
              <w:ind w:left="57" w:right="57"/>
              <w:rPr>
                <w:rFonts w:eastAsia="Times New Roman"/>
                <w:sz w:val="18"/>
                <w:szCs w:val="18"/>
                <w:lang w:val="en-GB"/>
              </w:rPr>
            </w:pPr>
          </w:p>
          <w:p w14:paraId="581FD354" w14:textId="77777777" w:rsidR="00463E7D" w:rsidRPr="00C07F22" w:rsidRDefault="00463E7D" w:rsidP="00C07F22">
            <w:pPr>
              <w:keepNext/>
              <w:keepLines/>
              <w:shd w:val="clear" w:color="auto" w:fill="FFFFFF"/>
              <w:spacing w:before="40" w:after="40"/>
              <w:ind w:left="57" w:right="57"/>
              <w:rPr>
                <w:rFonts w:eastAsia="Times New Roman"/>
                <w:sz w:val="18"/>
                <w:szCs w:val="18"/>
                <w:lang w:val="en-GB"/>
              </w:rPr>
            </w:pPr>
          </w:p>
          <w:p w14:paraId="5AAB3E39" w14:textId="77777777" w:rsidR="004F110C" w:rsidRPr="00C07F22" w:rsidRDefault="004F110C" w:rsidP="00C07F22">
            <w:pPr>
              <w:keepNext/>
              <w:keepLines/>
              <w:shd w:val="clear" w:color="auto" w:fill="FFFFFF"/>
              <w:spacing w:before="40" w:after="40"/>
              <w:ind w:left="57" w:right="57"/>
              <w:rPr>
                <w:sz w:val="18"/>
                <w:szCs w:val="18"/>
                <w:lang w:val="en-GB"/>
              </w:rPr>
            </w:pPr>
            <w:r w:rsidRPr="00C07F22">
              <w:rPr>
                <w:sz w:val="18"/>
                <w:szCs w:val="18"/>
                <w:lang w:val="en-GB"/>
              </w:rPr>
              <w:t>Trophic level 4 data in Asia and Africa to be collected</w:t>
            </w:r>
          </w:p>
        </w:tc>
      </w:tr>
      <w:tr w:rsidR="004F110C" w:rsidRPr="00C07F22" w14:paraId="07B5590B" w14:textId="77777777" w:rsidTr="0087472C">
        <w:trPr>
          <w:trHeight w:val="57"/>
          <w:jc w:val="right"/>
        </w:trPr>
        <w:tc>
          <w:tcPr>
            <w:tcW w:w="2557" w:type="dxa"/>
            <w:tcBorders>
              <w:top w:val="single" w:sz="4" w:space="0" w:color="auto"/>
              <w:bottom w:val="single" w:sz="12" w:space="0" w:color="auto"/>
            </w:tcBorders>
            <w:shd w:val="clear" w:color="auto" w:fill="auto"/>
            <w:tcMar>
              <w:top w:w="80" w:type="dxa"/>
              <w:left w:w="80" w:type="dxa"/>
              <w:bottom w:w="80" w:type="dxa"/>
              <w:right w:w="80" w:type="dxa"/>
            </w:tcMar>
          </w:tcPr>
          <w:p w14:paraId="09FF80A4" w14:textId="35D7A188" w:rsidR="004F110C" w:rsidRPr="00C07F22" w:rsidRDefault="004F110C" w:rsidP="00206FF9">
            <w:pPr>
              <w:keepNext/>
              <w:keepLines/>
              <w:shd w:val="clear" w:color="auto" w:fill="FFFFFF"/>
              <w:spacing w:before="40" w:after="40"/>
              <w:ind w:left="57" w:right="57"/>
              <w:rPr>
                <w:rFonts w:eastAsia="Times New Roman"/>
                <w:sz w:val="18"/>
                <w:szCs w:val="18"/>
                <w:lang w:val="en-GB"/>
              </w:rPr>
            </w:pPr>
            <w:r w:rsidRPr="00C07F22">
              <w:rPr>
                <w:b/>
                <w:sz w:val="18"/>
                <w:szCs w:val="18"/>
                <w:lang w:val="en-GB"/>
              </w:rPr>
              <w:t>Humans</w:t>
            </w:r>
            <w:r w:rsidR="003F6C41" w:rsidRPr="00C07F22">
              <w:rPr>
                <w:b/>
                <w:sz w:val="18"/>
                <w:szCs w:val="18"/>
                <w:lang w:val="en-GB"/>
              </w:rPr>
              <w:t xml:space="preserve">: </w:t>
            </w:r>
            <w:r w:rsidR="003F6C41" w:rsidRPr="00C07F22">
              <w:rPr>
                <w:sz w:val="18"/>
                <w:szCs w:val="18"/>
                <w:lang w:val="en-GB"/>
              </w:rPr>
              <w:t>e</w:t>
            </w:r>
            <w:r w:rsidRPr="00C07F22">
              <w:rPr>
                <w:sz w:val="18"/>
                <w:szCs w:val="18"/>
                <w:lang w:val="en-GB"/>
              </w:rPr>
              <w:t>xposure of marine fish consumers (globally)</w:t>
            </w:r>
          </w:p>
          <w:p w14:paraId="29F6BF90" w14:textId="77777777" w:rsidR="004F110C" w:rsidRPr="00C07F22" w:rsidRDefault="004F110C" w:rsidP="00206FF9">
            <w:pPr>
              <w:keepNext/>
              <w:keepLines/>
              <w:shd w:val="clear" w:color="auto" w:fill="FFFFFF"/>
              <w:spacing w:before="40" w:after="40"/>
              <w:ind w:left="57" w:right="57"/>
              <w:rPr>
                <w:rFonts w:eastAsia="Times New Roman"/>
                <w:sz w:val="18"/>
                <w:szCs w:val="18"/>
                <w:lang w:val="en-GB"/>
              </w:rPr>
            </w:pPr>
          </w:p>
          <w:p w14:paraId="7A1FC2B0" w14:textId="52240970" w:rsidR="004F110C" w:rsidRPr="00C07F22" w:rsidRDefault="004F110C" w:rsidP="00206FF9">
            <w:pPr>
              <w:keepNext/>
              <w:keepLines/>
              <w:shd w:val="clear" w:color="auto" w:fill="FFFFFF"/>
              <w:spacing w:before="40" w:after="40"/>
              <w:ind w:left="57" w:right="57"/>
              <w:rPr>
                <w:rFonts w:eastAsia="Times New Roman"/>
                <w:i/>
                <w:sz w:val="18"/>
                <w:szCs w:val="18"/>
                <w:lang w:val="en-GB"/>
              </w:rPr>
            </w:pPr>
            <w:r w:rsidRPr="00C07F22">
              <w:rPr>
                <w:i/>
                <w:sz w:val="18"/>
                <w:szCs w:val="18"/>
                <w:lang w:val="en-GB"/>
              </w:rPr>
              <w:t>Toxicokinetic model linking MeHg ingestion and blood</w:t>
            </w:r>
            <w:r w:rsidR="00447C82">
              <w:rPr>
                <w:i/>
                <w:sz w:val="18"/>
                <w:szCs w:val="18"/>
                <w:lang w:val="en-GB"/>
              </w:rPr>
              <w:t xml:space="preserve"> and </w:t>
            </w:r>
            <w:r w:rsidRPr="00C07F22">
              <w:rPr>
                <w:i/>
                <w:sz w:val="18"/>
                <w:szCs w:val="18"/>
                <w:lang w:val="en-GB"/>
              </w:rPr>
              <w:t>hair concentrations</w:t>
            </w:r>
            <w:r w:rsidR="00447C82">
              <w:rPr>
                <w:i/>
                <w:sz w:val="18"/>
                <w:szCs w:val="18"/>
                <w:lang w:val="en-GB"/>
              </w:rPr>
              <w:t xml:space="preserve"> and</w:t>
            </w:r>
          </w:p>
          <w:p w14:paraId="2F7CCFCD" w14:textId="77777777" w:rsidR="004F110C" w:rsidRPr="00C07F22" w:rsidRDefault="004F110C" w:rsidP="00206FF9">
            <w:pPr>
              <w:keepNext/>
              <w:keepLines/>
              <w:shd w:val="clear" w:color="auto" w:fill="FFFFFF"/>
              <w:spacing w:before="40" w:after="40"/>
              <w:ind w:left="57" w:right="57"/>
              <w:rPr>
                <w:rFonts w:eastAsia="Times New Roman"/>
                <w:i/>
                <w:iCs/>
                <w:sz w:val="18"/>
                <w:szCs w:val="18"/>
                <w:lang w:val="en-GB"/>
              </w:rPr>
            </w:pPr>
            <w:r w:rsidRPr="00C07F22">
              <w:rPr>
                <w:i/>
                <w:sz w:val="18"/>
                <w:szCs w:val="18"/>
                <w:lang w:val="en-GB"/>
              </w:rPr>
              <w:t>outcomes</w:t>
            </w:r>
          </w:p>
          <w:p w14:paraId="623CBAAC" w14:textId="77777777" w:rsidR="004F110C" w:rsidRPr="00C07F22" w:rsidRDefault="004F110C" w:rsidP="00206FF9">
            <w:pPr>
              <w:keepNext/>
              <w:keepLines/>
              <w:shd w:val="clear" w:color="auto" w:fill="FFFFFF"/>
              <w:spacing w:before="40" w:after="40"/>
              <w:ind w:left="57" w:right="57"/>
              <w:rPr>
                <w:rFonts w:eastAsia="Times New Roman"/>
                <w:sz w:val="18"/>
                <w:szCs w:val="18"/>
                <w:lang w:val="en-GB"/>
              </w:rPr>
            </w:pPr>
          </w:p>
          <w:p w14:paraId="4ED23219" w14:textId="4B8AFA8F" w:rsidR="004F110C" w:rsidRPr="00C07F22" w:rsidRDefault="004F110C" w:rsidP="00206FF9">
            <w:pPr>
              <w:keepNext/>
              <w:keepLines/>
              <w:shd w:val="clear" w:color="auto" w:fill="FFFFFF"/>
              <w:spacing w:before="40" w:after="40"/>
              <w:ind w:left="57" w:right="57"/>
              <w:rPr>
                <w:rFonts w:eastAsia="Times New Roman"/>
                <w:sz w:val="18"/>
                <w:szCs w:val="18"/>
                <w:lang w:val="en-GB"/>
              </w:rPr>
            </w:pPr>
            <w:r w:rsidRPr="00C07F22">
              <w:rPr>
                <w:sz w:val="18"/>
                <w:szCs w:val="18"/>
                <w:lang w:val="en-GB"/>
              </w:rPr>
              <w:t>Freshwater fish and rice consumers (site</w:t>
            </w:r>
            <w:r w:rsidR="008D2EF8">
              <w:rPr>
                <w:sz w:val="18"/>
                <w:szCs w:val="18"/>
                <w:lang w:val="en-GB"/>
              </w:rPr>
              <w:t>-</w:t>
            </w:r>
            <w:r w:rsidRPr="00C07F22">
              <w:rPr>
                <w:sz w:val="18"/>
                <w:szCs w:val="18"/>
                <w:lang w:val="en-GB"/>
              </w:rPr>
              <w:t>specific data, if applicable) – these may be highest risk populations</w:t>
            </w:r>
          </w:p>
          <w:p w14:paraId="70D8CC36" w14:textId="77777777" w:rsidR="004F110C" w:rsidRPr="00C07F22" w:rsidRDefault="004F110C" w:rsidP="00206FF9">
            <w:pPr>
              <w:keepNext/>
              <w:keepLines/>
              <w:shd w:val="clear" w:color="auto" w:fill="FFFFFF"/>
              <w:spacing w:before="40" w:after="40"/>
              <w:ind w:left="57" w:right="57"/>
              <w:rPr>
                <w:rFonts w:eastAsia="Times New Roman"/>
                <w:sz w:val="18"/>
                <w:szCs w:val="18"/>
                <w:lang w:val="en-GB"/>
              </w:rPr>
            </w:pPr>
          </w:p>
          <w:p w14:paraId="481F195F" w14:textId="77777777" w:rsidR="004F110C" w:rsidRPr="00C07F22" w:rsidRDefault="004F110C" w:rsidP="00206FF9">
            <w:pPr>
              <w:keepNext/>
              <w:keepLines/>
              <w:shd w:val="clear" w:color="auto" w:fill="FFFFFF"/>
              <w:spacing w:before="40" w:after="40"/>
              <w:ind w:left="57" w:right="57"/>
              <w:rPr>
                <w:sz w:val="18"/>
                <w:szCs w:val="18"/>
                <w:lang w:val="en-GB"/>
              </w:rPr>
            </w:pPr>
            <w:r w:rsidRPr="00C07F22">
              <w:rPr>
                <w:sz w:val="18"/>
                <w:szCs w:val="18"/>
                <w:lang w:val="en-GB"/>
              </w:rPr>
              <w:t>Occupational exposures at ASGM sites (site specific)</w:t>
            </w:r>
          </w:p>
        </w:tc>
        <w:tc>
          <w:tcPr>
            <w:tcW w:w="2884" w:type="dxa"/>
            <w:tcBorders>
              <w:top w:val="single" w:sz="4" w:space="0" w:color="auto"/>
              <w:bottom w:val="single" w:sz="12" w:space="0" w:color="auto"/>
            </w:tcBorders>
            <w:shd w:val="clear" w:color="auto" w:fill="auto"/>
            <w:tcMar>
              <w:top w:w="80" w:type="dxa"/>
              <w:left w:w="80" w:type="dxa"/>
              <w:bottom w:w="80" w:type="dxa"/>
              <w:right w:w="80" w:type="dxa"/>
            </w:tcMar>
          </w:tcPr>
          <w:p w14:paraId="34320318" w14:textId="2DBB16DE" w:rsidR="004F110C" w:rsidRPr="00C07F22" w:rsidRDefault="004F110C" w:rsidP="00206FF9">
            <w:pPr>
              <w:keepNext/>
              <w:keepLines/>
              <w:shd w:val="clear" w:color="auto" w:fill="FFFFFF"/>
              <w:spacing w:before="40" w:after="40"/>
              <w:ind w:left="57" w:right="57"/>
              <w:rPr>
                <w:rFonts w:eastAsia="Times New Roman"/>
                <w:sz w:val="18"/>
                <w:szCs w:val="18"/>
                <w:lang w:val="en-GB"/>
              </w:rPr>
            </w:pPr>
            <w:r w:rsidRPr="00C07F22">
              <w:rPr>
                <w:b/>
                <w:sz w:val="18"/>
                <w:szCs w:val="18"/>
                <w:lang w:val="en-GB"/>
              </w:rPr>
              <w:t>Inputs:</w:t>
            </w:r>
            <w:r w:rsidRPr="00C07F22">
              <w:rPr>
                <w:sz w:val="18"/>
                <w:szCs w:val="18"/>
                <w:lang w:val="en-GB"/>
              </w:rPr>
              <w:t xml:space="preserve"> Biomass and MeHg concentrations in fish consumed by different subsidence populations globally (model); </w:t>
            </w:r>
            <w:r w:rsidR="008D2EF8">
              <w:rPr>
                <w:sz w:val="18"/>
                <w:szCs w:val="18"/>
                <w:lang w:val="en-GB"/>
              </w:rPr>
              <w:t>d</w:t>
            </w:r>
            <w:r w:rsidRPr="00C07F22">
              <w:rPr>
                <w:sz w:val="18"/>
                <w:szCs w:val="18"/>
                <w:lang w:val="en-GB"/>
              </w:rPr>
              <w:t>ietary intake data for different human populations</w:t>
            </w:r>
          </w:p>
          <w:p w14:paraId="7DAD8B0E" w14:textId="77777777" w:rsidR="004F110C" w:rsidRPr="00C07F22" w:rsidRDefault="004F110C" w:rsidP="00206FF9">
            <w:pPr>
              <w:keepNext/>
              <w:keepLines/>
              <w:shd w:val="clear" w:color="auto" w:fill="FFFFFF"/>
              <w:spacing w:before="40" w:after="40"/>
              <w:ind w:left="57" w:right="57"/>
              <w:rPr>
                <w:rFonts w:eastAsia="Times New Roman"/>
                <w:sz w:val="18"/>
                <w:szCs w:val="18"/>
                <w:lang w:val="en-GB"/>
              </w:rPr>
            </w:pPr>
          </w:p>
          <w:p w14:paraId="05BC820A" w14:textId="77777777" w:rsidR="004F110C" w:rsidRPr="00C07F22" w:rsidRDefault="004F110C" w:rsidP="00206FF9">
            <w:pPr>
              <w:keepNext/>
              <w:keepLines/>
              <w:shd w:val="clear" w:color="auto" w:fill="FFFFFF"/>
              <w:spacing w:before="40" w:after="40"/>
              <w:ind w:left="57" w:right="57"/>
              <w:rPr>
                <w:sz w:val="18"/>
                <w:szCs w:val="18"/>
                <w:lang w:val="en-GB"/>
              </w:rPr>
            </w:pPr>
            <w:r w:rsidRPr="00C07F22">
              <w:rPr>
                <w:sz w:val="18"/>
                <w:szCs w:val="18"/>
                <w:lang w:val="en-GB"/>
              </w:rPr>
              <w:t>National biomonitoring data (model evaluation)</w:t>
            </w:r>
          </w:p>
        </w:tc>
        <w:tc>
          <w:tcPr>
            <w:tcW w:w="1605" w:type="dxa"/>
            <w:tcBorders>
              <w:top w:val="single" w:sz="4" w:space="0" w:color="auto"/>
              <w:bottom w:val="single" w:sz="12" w:space="0" w:color="auto"/>
            </w:tcBorders>
            <w:shd w:val="clear" w:color="auto" w:fill="auto"/>
            <w:tcMar>
              <w:top w:w="80" w:type="dxa"/>
              <w:left w:w="80" w:type="dxa"/>
              <w:bottom w:w="80" w:type="dxa"/>
              <w:right w:w="80" w:type="dxa"/>
            </w:tcMar>
          </w:tcPr>
          <w:p w14:paraId="34E1A731" w14:textId="77777777" w:rsidR="004F110C" w:rsidRPr="00C07F22" w:rsidRDefault="004F110C" w:rsidP="00206FF9">
            <w:pPr>
              <w:keepNext/>
              <w:keepLines/>
              <w:shd w:val="clear" w:color="auto" w:fill="FFFFFF"/>
              <w:spacing w:before="40" w:after="40"/>
              <w:ind w:left="57" w:right="57"/>
              <w:rPr>
                <w:sz w:val="18"/>
                <w:szCs w:val="18"/>
                <w:lang w:val="en-GB"/>
              </w:rPr>
            </w:pPr>
            <w:r w:rsidRPr="00C07F22">
              <w:rPr>
                <w:sz w:val="18"/>
                <w:szCs w:val="18"/>
                <w:lang w:val="en-GB"/>
              </w:rPr>
              <w:t xml:space="preserve">Goal: Attribution of Hg source contributions to human populations </w:t>
            </w:r>
          </w:p>
        </w:tc>
        <w:tc>
          <w:tcPr>
            <w:tcW w:w="1970" w:type="dxa"/>
            <w:tcBorders>
              <w:top w:val="single" w:sz="4" w:space="0" w:color="auto"/>
              <w:bottom w:val="single" w:sz="12" w:space="0" w:color="auto"/>
            </w:tcBorders>
            <w:shd w:val="clear" w:color="auto" w:fill="auto"/>
            <w:tcMar>
              <w:top w:w="80" w:type="dxa"/>
              <w:left w:w="80" w:type="dxa"/>
              <w:bottom w:w="80" w:type="dxa"/>
              <w:right w:w="80" w:type="dxa"/>
            </w:tcMar>
          </w:tcPr>
          <w:p w14:paraId="4FD7CC9B" w14:textId="7D691118" w:rsidR="004F110C" w:rsidRPr="00C07F22" w:rsidRDefault="004F110C" w:rsidP="00206FF9">
            <w:pPr>
              <w:keepNext/>
              <w:keepLines/>
              <w:shd w:val="clear" w:color="auto" w:fill="FFFFFF"/>
              <w:spacing w:before="40" w:after="40"/>
              <w:ind w:left="57" w:right="57"/>
              <w:rPr>
                <w:rFonts w:eastAsia="Times New Roman"/>
                <w:sz w:val="18"/>
                <w:szCs w:val="18"/>
                <w:lang w:val="en-GB"/>
              </w:rPr>
            </w:pPr>
            <w:r w:rsidRPr="00C07F22">
              <w:rPr>
                <w:sz w:val="18"/>
                <w:szCs w:val="18"/>
                <w:lang w:val="en-GB"/>
              </w:rPr>
              <w:t>Mechanisms affecting relationships between external MeHg exposure and blood concentrations</w:t>
            </w:r>
            <w:r w:rsidR="00447C82">
              <w:rPr>
                <w:sz w:val="18"/>
                <w:szCs w:val="18"/>
                <w:lang w:val="en-GB"/>
              </w:rPr>
              <w:t xml:space="preserve"> and</w:t>
            </w:r>
          </w:p>
          <w:p w14:paraId="24D12CED" w14:textId="77777777" w:rsidR="004F110C" w:rsidRPr="00C07F22" w:rsidRDefault="004F110C" w:rsidP="00206FF9">
            <w:pPr>
              <w:keepNext/>
              <w:keepLines/>
              <w:shd w:val="clear" w:color="auto" w:fill="FFFFFF"/>
              <w:spacing w:before="40" w:after="40"/>
              <w:ind w:left="57" w:right="57"/>
              <w:rPr>
                <w:sz w:val="18"/>
                <w:szCs w:val="18"/>
                <w:lang w:val="en-GB"/>
              </w:rPr>
            </w:pPr>
            <w:r w:rsidRPr="00C07F22">
              <w:rPr>
                <w:sz w:val="18"/>
                <w:szCs w:val="18"/>
                <w:lang w:val="en-GB"/>
              </w:rPr>
              <w:t>outcomes for different populations are uncertain (research evolving)</w:t>
            </w:r>
          </w:p>
        </w:tc>
      </w:tr>
    </w:tbl>
    <w:p w14:paraId="00997EE3" w14:textId="06CC7825" w:rsidR="00483EF1" w:rsidRPr="00C07F22" w:rsidRDefault="00483EF1" w:rsidP="0087472C">
      <w:pPr>
        <w:pStyle w:val="NormalNonumber"/>
        <w:spacing w:before="40"/>
        <w:rPr>
          <w:sz w:val="17"/>
          <w:szCs w:val="17"/>
        </w:rPr>
      </w:pPr>
      <w:r w:rsidRPr="00C07F22">
        <w:rPr>
          <w:bCs/>
          <w:i/>
          <w:iCs/>
          <w:sz w:val="17"/>
          <w:szCs w:val="17"/>
        </w:rPr>
        <w:t>Abbrev</w:t>
      </w:r>
      <w:r w:rsidRPr="00C07F22">
        <w:rPr>
          <w:i/>
          <w:iCs/>
          <w:sz w:val="17"/>
          <w:szCs w:val="17"/>
        </w:rPr>
        <w:t>iations</w:t>
      </w:r>
      <w:r w:rsidRPr="00C07F22">
        <w:rPr>
          <w:sz w:val="17"/>
          <w:szCs w:val="17"/>
        </w:rPr>
        <w:t xml:space="preserve">: ASGM, artisanal and small-scale gold mining; </w:t>
      </w:r>
      <w:r w:rsidR="00AC4EA4">
        <w:rPr>
          <w:sz w:val="17"/>
          <w:szCs w:val="17"/>
        </w:rPr>
        <w:t xml:space="preserve">GFDL, Geophysical Fluid Dynamics Laboratory, NOAA; </w:t>
      </w:r>
      <w:r w:rsidRPr="00C07F22">
        <w:rPr>
          <w:sz w:val="17"/>
          <w:szCs w:val="17"/>
        </w:rPr>
        <w:t>Hg, mercury; MeHg, methylmercury; MITgcm, Massachusetts Institute of Technology general circulation model; NEMO, Nucleus for European Modelling of the Ocean</w:t>
      </w:r>
      <w:r w:rsidR="00AC4EA4">
        <w:rPr>
          <w:sz w:val="17"/>
          <w:szCs w:val="17"/>
        </w:rPr>
        <w:t>, NOAA, United States National Oceanic and Atmospheric Administration; UBC, University of British Columbia</w:t>
      </w:r>
      <w:r w:rsidRPr="00C07F22">
        <w:rPr>
          <w:sz w:val="17"/>
          <w:szCs w:val="17"/>
        </w:rPr>
        <w:t xml:space="preserve">. </w:t>
      </w:r>
    </w:p>
    <w:p w14:paraId="49083335" w14:textId="496C76A6" w:rsidR="004F110C" w:rsidRPr="00C07F22" w:rsidRDefault="001E3AA1" w:rsidP="003E0F2A">
      <w:pPr>
        <w:pStyle w:val="CH1"/>
        <w:rPr>
          <w:u w:color="FF0000"/>
        </w:rPr>
      </w:pPr>
      <w:r w:rsidRPr="00C07F22">
        <w:rPr>
          <w:u w:color="FF0000"/>
        </w:rPr>
        <w:tab/>
      </w:r>
      <w:r w:rsidR="00F61B5A" w:rsidRPr="00C07F22">
        <w:rPr>
          <w:u w:color="FF0000"/>
        </w:rPr>
        <w:t>V</w:t>
      </w:r>
      <w:r w:rsidRPr="00C07F22">
        <w:rPr>
          <w:u w:color="FF0000"/>
        </w:rPr>
        <w:t>.</w:t>
      </w:r>
      <w:r w:rsidRPr="00C07F22">
        <w:rPr>
          <w:u w:color="FF0000"/>
        </w:rPr>
        <w:tab/>
      </w:r>
      <w:r w:rsidR="004F110C" w:rsidRPr="00C07F22">
        <w:rPr>
          <w:u w:color="FF0000"/>
        </w:rPr>
        <w:t>Establishing a baseline for monitoring data</w:t>
      </w:r>
    </w:p>
    <w:p w14:paraId="7A52CED4" w14:textId="1FAF97E7" w:rsidR="004F110C" w:rsidRPr="00C07F22" w:rsidRDefault="004F110C" w:rsidP="00C13A85">
      <w:pPr>
        <w:pStyle w:val="Normalnumber"/>
      </w:pPr>
      <w:r w:rsidRPr="00C07F22">
        <w:t>In the “before-after” approach</w:t>
      </w:r>
      <w:r w:rsidR="00C13A85" w:rsidRPr="00E1226B">
        <w:t>,</w:t>
      </w:r>
      <w:r w:rsidRPr="00E1226B">
        <w:t xml:space="preserve"> where</w:t>
      </w:r>
      <w:r w:rsidRPr="00C07F22">
        <w:t xml:space="preserve"> the mercury levels before and after the implementation of the Convention</w:t>
      </w:r>
      <w:r w:rsidR="00C13A85" w:rsidRPr="00C07F22">
        <w:t xml:space="preserve"> are compared</w:t>
      </w:r>
      <w:r w:rsidRPr="00C07F22">
        <w:t xml:space="preserve">, monitoring data close to the beginning and the end of the evaluation period can be used. For the first effectiveness evaluation, monitoring data </w:t>
      </w:r>
      <w:r w:rsidR="00C13A85" w:rsidRPr="00C07F22">
        <w:t xml:space="preserve">from </w:t>
      </w:r>
      <w:r w:rsidRPr="00C07F22">
        <w:t xml:space="preserve">before the entry into force of the Convention </w:t>
      </w:r>
      <w:r w:rsidR="00C13A85" w:rsidRPr="00C07F22">
        <w:t xml:space="preserve">can </w:t>
      </w:r>
      <w:r w:rsidRPr="00C07F22">
        <w:t xml:space="preserve">be used as </w:t>
      </w:r>
      <w:r w:rsidR="001E5A0D" w:rsidRPr="00C07F22">
        <w:t xml:space="preserve">a </w:t>
      </w:r>
      <w:r w:rsidRPr="00C07F22">
        <w:t>baseline.</w:t>
      </w:r>
      <w:r w:rsidR="00C13A85" w:rsidRPr="00C07F22">
        <w:t xml:space="preserve"> </w:t>
      </w:r>
      <w:r w:rsidRPr="00C07F22">
        <w:t>For air, historical monitoring data exist for some part</w:t>
      </w:r>
      <w:r w:rsidR="00EE1B8E" w:rsidRPr="00C07F22">
        <w:t>s</w:t>
      </w:r>
      <w:r w:rsidRPr="00C07F22">
        <w:t xml:space="preserve"> of </w:t>
      </w:r>
      <w:r w:rsidR="001E5A0D" w:rsidRPr="00C07F22">
        <w:t xml:space="preserve">the </w:t>
      </w:r>
      <w:r w:rsidRPr="00C07F22">
        <w:t xml:space="preserve">northern hemisphere. For human biomonitoring, data from a limited number of regional and national biomonitoring programmes and longitudinal studies </w:t>
      </w:r>
      <w:r w:rsidR="00C13A85" w:rsidRPr="00C07F22">
        <w:t xml:space="preserve">can </w:t>
      </w:r>
      <w:r w:rsidRPr="00C07F22">
        <w:t>be used. For biotic media, historical data on mercury levels in freshwater fish in limited geographical areas are available</w:t>
      </w:r>
      <w:r w:rsidR="00C13A85" w:rsidRPr="00C07F22">
        <w:t>, and w</w:t>
      </w:r>
      <w:r w:rsidRPr="00C07F22">
        <w:t>ork is underway to analy</w:t>
      </w:r>
      <w:r w:rsidR="00434271" w:rsidRPr="00C07F22">
        <w:t>s</w:t>
      </w:r>
      <w:r w:rsidRPr="00C07F22">
        <w:t>e available data on ocean fish species.</w:t>
      </w:r>
    </w:p>
    <w:p w14:paraId="55D58304" w14:textId="5C36FF45" w:rsidR="004F110C" w:rsidRPr="00C07F22" w:rsidRDefault="004F110C" w:rsidP="00353CC4">
      <w:pPr>
        <w:pStyle w:val="Normalnumber"/>
      </w:pPr>
      <w:r w:rsidRPr="00C07F22">
        <w:t>In the “with-without” approach</w:t>
      </w:r>
      <w:r w:rsidR="00C13A85" w:rsidRPr="00C07F22">
        <w:t>,</w:t>
      </w:r>
      <w:r w:rsidRPr="00C07F22">
        <w:t xml:space="preserve"> to assess the change in mercury levels attributable to the measures taken to implement the Convention, mercury levels for the business-as-usual scenario need to be estimated using </w:t>
      </w:r>
      <w:r w:rsidR="001E5A0D" w:rsidRPr="00C07F22">
        <w:t xml:space="preserve">the </w:t>
      </w:r>
      <w:r w:rsidRPr="00C07F22">
        <w:t>integrated modelling framework described above.</w:t>
      </w:r>
    </w:p>
    <w:p w14:paraId="32142929" w14:textId="2FC1984F" w:rsidR="004F110C" w:rsidRPr="00C07F22" w:rsidRDefault="001E3AA1" w:rsidP="003E0F2A">
      <w:pPr>
        <w:pStyle w:val="CH1"/>
        <w:rPr>
          <w:u w:color="FF0000"/>
        </w:rPr>
      </w:pPr>
      <w:r w:rsidRPr="00C07F22">
        <w:rPr>
          <w:u w:color="FF0000"/>
        </w:rPr>
        <w:lastRenderedPageBreak/>
        <w:tab/>
      </w:r>
      <w:r w:rsidR="00F61B5A" w:rsidRPr="00C07F22">
        <w:rPr>
          <w:u w:color="FF0000"/>
        </w:rPr>
        <w:t>VI</w:t>
      </w:r>
      <w:r w:rsidRPr="00C07F22">
        <w:rPr>
          <w:u w:color="FF0000"/>
        </w:rPr>
        <w:t>.</w:t>
      </w:r>
      <w:r w:rsidRPr="00C07F22">
        <w:rPr>
          <w:u w:color="FF0000"/>
        </w:rPr>
        <w:tab/>
      </w:r>
      <w:r w:rsidR="004F110C" w:rsidRPr="00C07F22">
        <w:rPr>
          <w:u w:color="FF0000"/>
        </w:rPr>
        <w:t xml:space="preserve">Proposed monitoring activities </w:t>
      </w:r>
      <w:r w:rsidR="004C7E9C" w:rsidRPr="00C07F22">
        <w:rPr>
          <w:u w:color="FF0000"/>
        </w:rPr>
        <w:t xml:space="preserve">to </w:t>
      </w:r>
      <w:r w:rsidR="004F110C" w:rsidRPr="00C07F22">
        <w:rPr>
          <w:u w:color="FF0000"/>
        </w:rPr>
        <w:t>support effectiveness evaluation</w:t>
      </w:r>
    </w:p>
    <w:p w14:paraId="4A7BD25A" w14:textId="76A06133" w:rsidR="004F110C" w:rsidRPr="00C07F22" w:rsidRDefault="004F110C" w:rsidP="003E0F2A">
      <w:pPr>
        <w:pStyle w:val="Normalnumber"/>
      </w:pPr>
      <w:r w:rsidRPr="00C07F22">
        <w:t xml:space="preserve">The review presented in the sections above shows that even </w:t>
      </w:r>
      <w:r w:rsidR="008B613C" w:rsidRPr="00C07F22">
        <w:t xml:space="preserve">though </w:t>
      </w:r>
      <w:r w:rsidRPr="00C07F22">
        <w:t xml:space="preserve">mercury has one of the largest available collective data sets </w:t>
      </w:r>
      <w:r w:rsidR="00862CEA" w:rsidRPr="00C07F22">
        <w:t>among</w:t>
      </w:r>
      <w:r w:rsidRPr="00C07F22">
        <w:t xml:space="preserve"> recognized environmental contaminants, data gaps remain. </w:t>
      </w:r>
      <w:r w:rsidR="008B613C" w:rsidRPr="00C07F22">
        <w:t xml:space="preserve">Parties could fill these gaps and achieve globally representative data coverage by </w:t>
      </w:r>
      <w:r w:rsidRPr="00C07F22">
        <w:t>support</w:t>
      </w:r>
      <w:r w:rsidR="008B613C" w:rsidRPr="00C07F22">
        <w:t>ing</w:t>
      </w:r>
      <w:r w:rsidRPr="00C07F22">
        <w:t xml:space="preserve"> scientific activities and us</w:t>
      </w:r>
      <w:r w:rsidR="008B613C" w:rsidRPr="00C07F22">
        <w:t>ing</w:t>
      </w:r>
      <w:r w:rsidRPr="00C07F22">
        <w:t xml:space="preserve"> already developed materials.</w:t>
      </w:r>
    </w:p>
    <w:p w14:paraId="0B4192FA" w14:textId="782A079E" w:rsidR="004F110C" w:rsidRPr="00C07F22" w:rsidRDefault="00B76C69" w:rsidP="00970F26">
      <w:pPr>
        <w:pStyle w:val="Normalnumber"/>
        <w:keepNext/>
        <w:keepLines/>
      </w:pPr>
      <w:r w:rsidRPr="00C07F22">
        <w:t>Assuming that</w:t>
      </w:r>
      <w:r w:rsidR="004F110C" w:rsidRPr="00C07F22">
        <w:t xml:space="preserve"> existing mercury monitoring activities </w:t>
      </w:r>
      <w:r w:rsidR="000F35BF" w:rsidRPr="00C07F22">
        <w:t xml:space="preserve">continue </w:t>
      </w:r>
      <w:r w:rsidR="004F110C" w:rsidRPr="00C07F22">
        <w:t>in a harmonized manner</w:t>
      </w:r>
      <w:r w:rsidR="000F35BF" w:rsidRPr="00C07F22">
        <w:t xml:space="preserve"> and</w:t>
      </w:r>
      <w:r w:rsidR="004F110C" w:rsidRPr="00C07F22">
        <w:t xml:space="preserve"> </w:t>
      </w:r>
      <w:r w:rsidRPr="00C07F22">
        <w:t xml:space="preserve">are </w:t>
      </w:r>
      <w:r w:rsidR="004F110C" w:rsidRPr="00C07F22">
        <w:t>supplement</w:t>
      </w:r>
      <w:r w:rsidR="000F35BF" w:rsidRPr="00C07F22">
        <w:t>ed</w:t>
      </w:r>
      <w:r w:rsidR="004F110C" w:rsidRPr="00C07F22">
        <w:t xml:space="preserve"> with actions to fill the </w:t>
      </w:r>
      <w:r w:rsidR="00862CEA" w:rsidRPr="00C07F22">
        <w:t>gaps in data for certain regions</w:t>
      </w:r>
      <w:r w:rsidR="004F110C" w:rsidRPr="00C07F22">
        <w:t xml:space="preserve">, data on levels of mercury and mercury compounds in air, humans and biotic media either </w:t>
      </w:r>
      <w:r w:rsidRPr="00C07F22">
        <w:t>can be considered</w:t>
      </w:r>
      <w:r w:rsidR="000F35BF" w:rsidRPr="00C07F22">
        <w:t xml:space="preserve"> </w:t>
      </w:r>
      <w:r w:rsidR="004F110C" w:rsidRPr="00C07F22">
        <w:t>available or obtain</w:t>
      </w:r>
      <w:r w:rsidR="000F35BF" w:rsidRPr="00C07F22">
        <w:t>able</w:t>
      </w:r>
      <w:r w:rsidR="004F110C" w:rsidRPr="00C07F22">
        <w:t xml:space="preserve"> and would be comparable on a global basis. </w:t>
      </w:r>
    </w:p>
    <w:p w14:paraId="6DB030D9" w14:textId="49FD9A48" w:rsidR="004F110C" w:rsidRPr="00C07F22" w:rsidRDefault="004F110C" w:rsidP="003E0F2A">
      <w:pPr>
        <w:pStyle w:val="Normalnumber"/>
      </w:pPr>
      <w:r w:rsidRPr="00C07F22">
        <w:t xml:space="preserve">Below is a proposal for mercury monitoring activities to be undertaken by </w:t>
      </w:r>
      <w:r w:rsidR="000511F9" w:rsidRPr="00C07F22">
        <w:t>p</w:t>
      </w:r>
      <w:r w:rsidRPr="00C07F22">
        <w:t>arties</w:t>
      </w:r>
      <w:r w:rsidR="00444D8D" w:rsidRPr="00C07F22">
        <w:t>,</w:t>
      </w:r>
      <w:r w:rsidRPr="00C07F22">
        <w:t xml:space="preserve"> building on existing monitoring activities and knowledge</w:t>
      </w:r>
      <w:r w:rsidR="000511F9" w:rsidRPr="00C07F22">
        <w:t>,</w:t>
      </w:r>
      <w:r w:rsidRPr="00C07F22">
        <w:t xml:space="preserve"> </w:t>
      </w:r>
      <w:r w:rsidR="008B613C" w:rsidRPr="00C07F22">
        <w:t>to</w:t>
      </w:r>
      <w:r w:rsidR="00444D8D" w:rsidRPr="00C07F22">
        <w:t xml:space="preserve"> generate</w:t>
      </w:r>
      <w:r w:rsidR="008B613C" w:rsidRPr="00C07F22">
        <w:t xml:space="preserve"> data</w:t>
      </w:r>
      <w:r w:rsidRPr="00C07F22">
        <w:t xml:space="preserve"> </w:t>
      </w:r>
      <w:r w:rsidR="008B613C" w:rsidRPr="00C07F22">
        <w:t>for use in the preparation of</w:t>
      </w:r>
      <w:r w:rsidRPr="00C07F22">
        <w:t xml:space="preserve"> a periodic global mercury monitoring report.</w:t>
      </w:r>
    </w:p>
    <w:p w14:paraId="1B4EDF3C" w14:textId="615F43E2" w:rsidR="004F110C" w:rsidRPr="00C07F22" w:rsidRDefault="003E0F2A" w:rsidP="003E0F2A">
      <w:pPr>
        <w:pStyle w:val="CH2"/>
        <w:rPr>
          <w:rFonts w:eastAsia="Cambria"/>
          <w:bCs/>
        </w:rPr>
      </w:pPr>
      <w:r w:rsidRPr="00C07F22">
        <w:tab/>
      </w:r>
      <w:r w:rsidR="001E3AA1" w:rsidRPr="00C07F22">
        <w:t>A.</w:t>
      </w:r>
      <w:r w:rsidRPr="00C07F22">
        <w:tab/>
      </w:r>
      <w:r w:rsidR="004F110C" w:rsidRPr="00C07F22">
        <w:t>Ambient air</w:t>
      </w:r>
    </w:p>
    <w:p w14:paraId="3BD6B193" w14:textId="71CB963E" w:rsidR="004F110C" w:rsidRDefault="004F110C" w:rsidP="003E0F2A">
      <w:pPr>
        <w:pStyle w:val="Normalnumber"/>
      </w:pPr>
      <w:r w:rsidRPr="00C07F22">
        <w:t xml:space="preserve">For air monitoring, it is proposed </w:t>
      </w:r>
      <w:r w:rsidR="00DB762F" w:rsidRPr="00C07F22">
        <w:t xml:space="preserve">that </w:t>
      </w:r>
      <w:r w:rsidRPr="00C07F22">
        <w:t xml:space="preserve">existing networks </w:t>
      </w:r>
      <w:r w:rsidR="00641DEF" w:rsidRPr="00C07F22">
        <w:t>continue their monitoring activities, using</w:t>
      </w:r>
      <w:r w:rsidRPr="00C07F22">
        <w:t xml:space="preserve"> active continuous monitoring and manual active and passive air sampling techniques </w:t>
      </w:r>
      <w:r w:rsidR="00641DEF" w:rsidRPr="00C07F22">
        <w:t>to</w:t>
      </w:r>
      <w:r w:rsidRPr="00C07F22">
        <w:t xml:space="preserve"> collect:</w:t>
      </w:r>
    </w:p>
    <w:p w14:paraId="256F3A1C" w14:textId="0A5D6529" w:rsidR="00BC7851" w:rsidRPr="00BC7851" w:rsidRDefault="00BC7851" w:rsidP="00447C82">
      <w:pPr>
        <w:pStyle w:val="ListParagraph"/>
        <w:numPr>
          <w:ilvl w:val="1"/>
          <w:numId w:val="4"/>
        </w:numPr>
        <w:spacing w:after="120"/>
        <w:ind w:left="1253" w:firstLine="562"/>
        <w:rPr>
          <w:rFonts w:eastAsia="Times New Roman"/>
          <w:sz w:val="20"/>
          <w:szCs w:val="20"/>
          <w:bdr w:val="none" w:sz="0" w:space="0" w:color="auto"/>
          <w:lang w:val="en-GB"/>
        </w:rPr>
      </w:pPr>
      <w:r w:rsidRPr="00BC7851">
        <w:rPr>
          <w:rFonts w:eastAsia="Times New Roman"/>
          <w:sz w:val="20"/>
          <w:szCs w:val="20"/>
          <w:bdr w:val="none" w:sz="0" w:space="0" w:color="auto"/>
          <w:lang w:val="en-GB"/>
        </w:rPr>
        <w:t>Total gaseous mercury (TGM) or gaseous elemental mercury (GEM) concentrations in air at background and impacted sites;</w:t>
      </w:r>
    </w:p>
    <w:p w14:paraId="30D2E1C6" w14:textId="264844BE" w:rsidR="004F110C" w:rsidRPr="00BA0A62" w:rsidRDefault="00BC7851" w:rsidP="00EE4085">
      <w:pPr>
        <w:pStyle w:val="ListParagraph"/>
        <w:numPr>
          <w:ilvl w:val="1"/>
          <w:numId w:val="4"/>
        </w:numPr>
        <w:spacing w:after="120"/>
        <w:ind w:left="1253" w:firstLine="562"/>
      </w:pPr>
      <w:r w:rsidRPr="00EE4085">
        <w:rPr>
          <w:sz w:val="20"/>
          <w:szCs w:val="20"/>
        </w:rPr>
        <w:t>Wet</w:t>
      </w:r>
      <w:r w:rsidR="004F110C" w:rsidRPr="00EE4085">
        <w:rPr>
          <w:sz w:val="20"/>
          <w:szCs w:val="20"/>
        </w:rPr>
        <w:t xml:space="preserve"> </w:t>
      </w:r>
      <w:r w:rsidR="004F110C" w:rsidRPr="00A0004F">
        <w:rPr>
          <w:rFonts w:eastAsia="Times New Roman"/>
          <w:sz w:val="20"/>
          <w:szCs w:val="20"/>
          <w:bdr w:val="none" w:sz="0" w:space="0" w:color="auto"/>
          <w:lang w:val="en-GB"/>
        </w:rPr>
        <w:t>deposition</w:t>
      </w:r>
      <w:r w:rsidR="00B76C69" w:rsidRPr="00EE4085">
        <w:rPr>
          <w:sz w:val="20"/>
          <w:szCs w:val="20"/>
        </w:rPr>
        <w:t>.</w:t>
      </w:r>
      <w:r w:rsidR="004F110C" w:rsidRPr="00EE4085">
        <w:rPr>
          <w:sz w:val="20"/>
          <w:szCs w:val="20"/>
        </w:rPr>
        <w:t xml:space="preserve"> </w:t>
      </w:r>
    </w:p>
    <w:p w14:paraId="252C29AB" w14:textId="38FFF581" w:rsidR="004F110C" w:rsidRPr="00C07F22" w:rsidRDefault="00444D8D" w:rsidP="00B76C69">
      <w:pPr>
        <w:pStyle w:val="Normalnumber"/>
        <w:rPr>
          <w:rFonts w:eastAsia="Cambria"/>
        </w:rPr>
      </w:pPr>
      <w:r w:rsidRPr="00C07F22">
        <w:t>Th</w:t>
      </w:r>
      <w:r w:rsidR="005C693B" w:rsidRPr="00C07F22">
        <w:t>at</w:t>
      </w:r>
      <w:r w:rsidRPr="00C07F22">
        <w:t xml:space="preserve"> information would be used to </w:t>
      </w:r>
      <w:r w:rsidR="004F110C" w:rsidRPr="00C07F22">
        <w:t xml:space="preserve">assess spatial and temporal patterns of mercury concentrations in ambient air and deposition fluxes to terrestrial and aquatic ecosystems. </w:t>
      </w:r>
      <w:r w:rsidRPr="00C07F22">
        <w:t>It should be noted that s</w:t>
      </w:r>
      <w:r w:rsidR="004F110C" w:rsidRPr="00C07F22">
        <w:t xml:space="preserve">tandard </w:t>
      </w:r>
      <w:r w:rsidR="000F35BF" w:rsidRPr="00C07F22">
        <w:t>o</w:t>
      </w:r>
      <w:r w:rsidR="004F110C" w:rsidRPr="00C07F22">
        <w:t xml:space="preserve">perating </w:t>
      </w:r>
      <w:r w:rsidR="000F35BF" w:rsidRPr="00C07F22">
        <w:t>p</w:t>
      </w:r>
      <w:r w:rsidR="004F110C" w:rsidRPr="00C07F22">
        <w:t xml:space="preserve">rocedures suggest </w:t>
      </w:r>
      <w:r w:rsidR="005C693B" w:rsidRPr="00C07F22">
        <w:t xml:space="preserve">that </w:t>
      </w:r>
      <w:r w:rsidR="004F110C" w:rsidRPr="00C07F22">
        <w:t xml:space="preserve">mercury deposition fluxes </w:t>
      </w:r>
      <w:r w:rsidR="005C693B" w:rsidRPr="00C07F22">
        <w:t xml:space="preserve">should be monitored </w:t>
      </w:r>
      <w:r w:rsidR="004F110C" w:rsidRPr="00C07F22">
        <w:t>with samplers that are “</w:t>
      </w:r>
      <w:r w:rsidR="000F35BF" w:rsidRPr="00C07F22">
        <w:t>w</w:t>
      </w:r>
      <w:r w:rsidR="004F110C" w:rsidRPr="00C07F22">
        <w:t xml:space="preserve">et only” or </w:t>
      </w:r>
      <w:r w:rsidR="000F35BF" w:rsidRPr="00C07F22">
        <w:t>“b</w:t>
      </w:r>
      <w:r w:rsidR="004F110C" w:rsidRPr="00C07F22">
        <w:t>ulk</w:t>
      </w:r>
      <w:r w:rsidR="000F35BF" w:rsidRPr="00C07F22">
        <w:t>”</w:t>
      </w:r>
      <w:r w:rsidR="004F110C" w:rsidRPr="00C07F22">
        <w:t>.</w:t>
      </w:r>
    </w:p>
    <w:p w14:paraId="2A475C90" w14:textId="327DADE4" w:rsidR="004F110C" w:rsidRPr="00C07F22" w:rsidRDefault="004F110C" w:rsidP="005C693B">
      <w:pPr>
        <w:pStyle w:val="Normalnumber"/>
      </w:pPr>
      <w:r w:rsidRPr="00C07F22">
        <w:t>To fill the gaps</w:t>
      </w:r>
      <w:r w:rsidR="005C693B" w:rsidRPr="00C07F22">
        <w:t xml:space="preserve"> in data for certain regions</w:t>
      </w:r>
      <w:r w:rsidRPr="00C07F22">
        <w:t xml:space="preserve">, samples should be collected </w:t>
      </w:r>
      <w:r w:rsidR="005C693B" w:rsidRPr="00C07F22">
        <w:t xml:space="preserve">monthly (or at lower frequency) </w:t>
      </w:r>
      <w:r w:rsidRPr="00C07F22">
        <w:t xml:space="preserve">to </w:t>
      </w:r>
      <w:r w:rsidR="005C693B" w:rsidRPr="00C07F22">
        <w:t>determine</w:t>
      </w:r>
      <w:r w:rsidRPr="00C07F22">
        <w:t xml:space="preserve"> average </w:t>
      </w:r>
      <w:r w:rsidR="005C693B" w:rsidRPr="00C07F22">
        <w:t xml:space="preserve">regional/location background </w:t>
      </w:r>
      <w:r w:rsidRPr="00C07F22">
        <w:t>TGM concentrations</w:t>
      </w:r>
      <w:r w:rsidR="005C693B" w:rsidRPr="00C07F22">
        <w:t>, in particular in</w:t>
      </w:r>
      <w:r w:rsidRPr="00C07F22">
        <w:t xml:space="preserve"> Africa, Latin America and </w:t>
      </w:r>
      <w:r w:rsidR="005C693B" w:rsidRPr="00C07F22">
        <w:t xml:space="preserve">the </w:t>
      </w:r>
      <w:r w:rsidRPr="00C07F22">
        <w:t>Russia</w:t>
      </w:r>
      <w:r w:rsidR="005C693B" w:rsidRPr="00C07F22">
        <w:t>n Federation</w:t>
      </w:r>
      <w:r w:rsidRPr="00C07F22">
        <w:t>.</w:t>
      </w:r>
    </w:p>
    <w:p w14:paraId="0EB6D92E" w14:textId="6D0219D1" w:rsidR="004F110C" w:rsidRPr="00C07F22" w:rsidRDefault="003E0F2A" w:rsidP="00B120C0">
      <w:pPr>
        <w:pStyle w:val="CH2"/>
        <w:rPr>
          <w:rFonts w:eastAsia="Cambria"/>
        </w:rPr>
      </w:pPr>
      <w:r w:rsidRPr="00C07F22">
        <w:tab/>
      </w:r>
      <w:r w:rsidR="001E3AA1" w:rsidRPr="00C07F22">
        <w:t>B.</w:t>
      </w:r>
      <w:r w:rsidRPr="00C07F22">
        <w:tab/>
      </w:r>
      <w:r w:rsidR="004F110C" w:rsidRPr="00C07F22">
        <w:t>Human exposure</w:t>
      </w:r>
    </w:p>
    <w:p w14:paraId="17B67D86" w14:textId="73D1A4DA" w:rsidR="004F110C" w:rsidRPr="00C07F22" w:rsidRDefault="004F110C" w:rsidP="003E0F2A">
      <w:pPr>
        <w:pStyle w:val="Normalnumber"/>
      </w:pPr>
      <w:r w:rsidRPr="00C07F22">
        <w:t>For human biomonitoring</w:t>
      </w:r>
      <w:r w:rsidR="000F35BF" w:rsidRPr="00C07F22">
        <w:t>,</w:t>
      </w:r>
      <w:r w:rsidRPr="00C07F22">
        <w:t xml:space="preserve"> the following biomarkers are recommended</w:t>
      </w:r>
      <w:r w:rsidR="000F35BF" w:rsidRPr="00C07F22">
        <w:t xml:space="preserve"> for prenatal exposure in the general population:</w:t>
      </w:r>
      <w:r w:rsidRPr="00C07F22">
        <w:rPr>
          <w:vertAlign w:val="superscript"/>
        </w:rPr>
        <w:footnoteReference w:id="10"/>
      </w:r>
    </w:p>
    <w:p w14:paraId="4EFA3FEA" w14:textId="42C1CCBD" w:rsidR="004F110C" w:rsidRPr="00C07F22" w:rsidRDefault="004F110C" w:rsidP="003E0F2A">
      <w:pPr>
        <w:pStyle w:val="Normalnumber"/>
        <w:numPr>
          <w:ilvl w:val="1"/>
          <w:numId w:val="4"/>
        </w:numPr>
        <w:tabs>
          <w:tab w:val="clear" w:pos="1134"/>
        </w:tabs>
        <w:ind w:firstLine="624"/>
      </w:pPr>
      <w:r w:rsidRPr="00C07F22">
        <w:t>Total mercury in maternal scalp hair (3</w:t>
      </w:r>
      <w:r w:rsidR="00E271D7">
        <w:t xml:space="preserve"> </w:t>
      </w:r>
      <w:r w:rsidRPr="00C07F22">
        <w:t xml:space="preserve">cm hair strand from the scalp, to measure exposure during the </w:t>
      </w:r>
      <w:r w:rsidR="000F35BF" w:rsidRPr="00C07F22">
        <w:t>thi</w:t>
      </w:r>
      <w:r w:rsidRPr="00C07F22">
        <w:t>rd trimester)</w:t>
      </w:r>
      <w:r w:rsidR="000F35BF" w:rsidRPr="00C07F22">
        <w:t>;</w:t>
      </w:r>
    </w:p>
    <w:p w14:paraId="7172E3B9" w14:textId="11647B22" w:rsidR="004F110C" w:rsidRPr="00C07F22" w:rsidRDefault="004F110C" w:rsidP="003E0F2A">
      <w:pPr>
        <w:pStyle w:val="Normalnumber"/>
        <w:numPr>
          <w:ilvl w:val="1"/>
          <w:numId w:val="4"/>
        </w:numPr>
        <w:tabs>
          <w:tab w:val="clear" w:pos="1134"/>
        </w:tabs>
        <w:ind w:firstLine="624"/>
      </w:pPr>
      <w:r w:rsidRPr="00C07F22">
        <w:t>Total mercury in cord blood</w:t>
      </w:r>
      <w:r w:rsidR="005C693B" w:rsidRPr="00C07F22">
        <w:t>,</w:t>
      </w:r>
      <w:r w:rsidRPr="00C07F22">
        <w:t xml:space="preserve"> </w:t>
      </w:r>
      <w:r w:rsidR="005C693B" w:rsidRPr="00C07F22">
        <w:t>to determine</w:t>
      </w:r>
      <w:r w:rsidRPr="00C07F22">
        <w:t xml:space="preserve"> recent exposure to methylmercury.</w:t>
      </w:r>
    </w:p>
    <w:p w14:paraId="5F9729BD" w14:textId="1FD854CA" w:rsidR="004F110C" w:rsidRPr="00C07F22" w:rsidRDefault="00444D8D" w:rsidP="003E0F2A">
      <w:pPr>
        <w:pStyle w:val="Normalnumber"/>
      </w:pPr>
      <w:r w:rsidRPr="00C07F22">
        <w:t>It is preferable to use m</w:t>
      </w:r>
      <w:r w:rsidR="004F110C" w:rsidRPr="00C07F22">
        <w:t xml:space="preserve">aternal scalp hair </w:t>
      </w:r>
      <w:r w:rsidRPr="00C07F22">
        <w:t xml:space="preserve">as </w:t>
      </w:r>
      <w:r w:rsidR="004F110C" w:rsidRPr="00C07F22">
        <w:t xml:space="preserve">a biological matrix to assess prenatal exposure. Cord blood can be an alternative matrix to hair. Human samples collected </w:t>
      </w:r>
      <w:r w:rsidRPr="00C07F22">
        <w:t>at</w:t>
      </w:r>
      <w:r w:rsidR="004F110C" w:rsidRPr="00C07F22">
        <w:t xml:space="preserve"> approximately </w:t>
      </w:r>
      <w:r w:rsidRPr="00C07F22">
        <w:t>five</w:t>
      </w:r>
      <w:r w:rsidR="004F110C" w:rsidRPr="00C07F22">
        <w:t xml:space="preserve">-year intervals are feasible for human biomonitoring </w:t>
      </w:r>
      <w:r w:rsidR="008478E9" w:rsidRPr="00C07F22">
        <w:t>studies, taking into</w:t>
      </w:r>
      <w:r w:rsidR="002C1B19" w:rsidRPr="00C07F22">
        <w:t xml:space="preserve"> </w:t>
      </w:r>
      <w:r w:rsidR="008478E9" w:rsidRPr="00C07F22">
        <w:t>account</w:t>
      </w:r>
      <w:r w:rsidR="004F110C" w:rsidRPr="00C07F22">
        <w:t xml:space="preserve"> the </w:t>
      </w:r>
      <w:r w:rsidRPr="00C07F22">
        <w:t>goal of</w:t>
      </w:r>
      <w:r w:rsidR="004F110C" w:rsidRPr="00C07F22">
        <w:t xml:space="preserve"> identify</w:t>
      </w:r>
      <w:r w:rsidRPr="00C07F22">
        <w:t>ing</w:t>
      </w:r>
      <w:r w:rsidR="004F110C" w:rsidRPr="00C07F22">
        <w:t xml:space="preserve"> statistically significant differences</w:t>
      </w:r>
      <w:r w:rsidR="008478E9" w:rsidRPr="00C07F22">
        <w:t xml:space="preserve"> and</w:t>
      </w:r>
      <w:r w:rsidR="004F110C" w:rsidRPr="00C07F22">
        <w:t xml:space="preserve"> the time such studies take to implement (including adaptation of the master protocol to local circumstances, </w:t>
      </w:r>
      <w:r w:rsidR="005C693B" w:rsidRPr="00C07F22">
        <w:t xml:space="preserve">obtaining </w:t>
      </w:r>
      <w:r w:rsidR="004F110C" w:rsidRPr="00C07F22">
        <w:t>approval</w:t>
      </w:r>
      <w:r w:rsidR="005C693B" w:rsidRPr="00C07F22">
        <w:t xml:space="preserve"> from local ethics bodies</w:t>
      </w:r>
      <w:r w:rsidR="004F110C" w:rsidRPr="00C07F22">
        <w:t>, training of staff</w:t>
      </w:r>
      <w:r w:rsidRPr="00C07F22">
        <w:t>,</w:t>
      </w:r>
      <w:r w:rsidR="004F110C" w:rsidRPr="00C07F22">
        <w:t xml:space="preserve"> etc.). Human samples should be accompanied by </w:t>
      </w:r>
      <w:r w:rsidR="005C693B" w:rsidRPr="00C07F22">
        <w:t xml:space="preserve">information on </w:t>
      </w:r>
      <w:r w:rsidR="004F110C" w:rsidRPr="00C07F22">
        <w:t xml:space="preserve">a series of attributes </w:t>
      </w:r>
      <w:r w:rsidR="000F35BF" w:rsidRPr="00C07F22">
        <w:t>(</w:t>
      </w:r>
      <w:r w:rsidR="004F110C" w:rsidRPr="00C07F22">
        <w:t>e.g.</w:t>
      </w:r>
      <w:r w:rsidR="000F35BF" w:rsidRPr="00C07F22">
        <w:t>,</w:t>
      </w:r>
      <w:r w:rsidR="004F110C" w:rsidRPr="00C07F22">
        <w:t xml:space="preserve"> age, gender</w:t>
      </w:r>
      <w:r w:rsidR="000F35BF" w:rsidRPr="00C07F22">
        <w:t>)</w:t>
      </w:r>
      <w:r w:rsidR="004F110C" w:rsidRPr="00C07F22">
        <w:t xml:space="preserve"> </w:t>
      </w:r>
      <w:r w:rsidR="000F35BF" w:rsidRPr="00C07F22">
        <w:t>and</w:t>
      </w:r>
      <w:r w:rsidR="004F110C" w:rsidRPr="00C07F22">
        <w:t xml:space="preserve"> social</w:t>
      </w:r>
      <w:r w:rsidR="00E1226B">
        <w:t xml:space="preserve"> and </w:t>
      </w:r>
      <w:r w:rsidR="004F110C" w:rsidRPr="00C07F22">
        <w:t xml:space="preserve">habitual information </w:t>
      </w:r>
      <w:r w:rsidR="000F35BF" w:rsidRPr="00C07F22">
        <w:t>(</w:t>
      </w:r>
      <w:r w:rsidR="004F110C" w:rsidRPr="00C07F22">
        <w:t>e.g.</w:t>
      </w:r>
      <w:r w:rsidR="000F35BF" w:rsidRPr="00C07F22">
        <w:t>,</w:t>
      </w:r>
      <w:r w:rsidR="004F110C" w:rsidRPr="00C07F22">
        <w:t xml:space="preserve"> fish consumption pattern</w:t>
      </w:r>
      <w:r w:rsidR="002C1B19" w:rsidRPr="00C07F22">
        <w:t>s</w:t>
      </w:r>
      <w:r w:rsidR="004F110C" w:rsidRPr="00C07F22">
        <w:t>, economic level</w:t>
      </w:r>
      <w:r w:rsidR="000F35BF" w:rsidRPr="00C07F22">
        <w:t>)</w:t>
      </w:r>
      <w:r w:rsidR="004F110C" w:rsidRPr="00C07F22">
        <w:t>.</w:t>
      </w:r>
      <w:r w:rsidR="00DE0A5C" w:rsidRPr="00C07F22">
        <w:t xml:space="preserve"> </w:t>
      </w:r>
    </w:p>
    <w:p w14:paraId="4529297A" w14:textId="7DB9826C" w:rsidR="004F110C" w:rsidRPr="00C07F22" w:rsidRDefault="004F110C" w:rsidP="003E0F2A">
      <w:pPr>
        <w:pStyle w:val="Normalnumber"/>
      </w:pPr>
      <w:r w:rsidRPr="00C07F22">
        <w:t xml:space="preserve">It might be useful to coordinate sample collection with survey activities under the Stockholm Convention </w:t>
      </w:r>
      <w:r w:rsidR="002C1B19" w:rsidRPr="00C07F22">
        <w:t xml:space="preserve">on Persistent Organic Pollutants </w:t>
      </w:r>
      <w:r w:rsidRPr="00C07F22">
        <w:t>to promote synergies</w:t>
      </w:r>
      <w:r w:rsidR="000F35BF" w:rsidRPr="00C07F22">
        <w:t>, includ</w:t>
      </w:r>
      <w:r w:rsidR="002C1B19" w:rsidRPr="00C07F22">
        <w:t>ing</w:t>
      </w:r>
      <w:r w:rsidR="00444D8D" w:rsidRPr="00C07F22">
        <w:t xml:space="preserve"> coverage by a single</w:t>
      </w:r>
      <w:r w:rsidRPr="00C07F22">
        <w:t xml:space="preserve"> ethic</w:t>
      </w:r>
      <w:r w:rsidR="002C1B19" w:rsidRPr="00C07F22">
        <w:t>s</w:t>
      </w:r>
      <w:r w:rsidRPr="00C07F22">
        <w:t xml:space="preserve"> approval.</w:t>
      </w:r>
    </w:p>
    <w:p w14:paraId="572903C9" w14:textId="493992F6" w:rsidR="004F110C" w:rsidRPr="00C07F22" w:rsidRDefault="004F110C" w:rsidP="003E0F2A">
      <w:pPr>
        <w:pStyle w:val="Normalnumber"/>
      </w:pPr>
      <w:r w:rsidRPr="00C07F22">
        <w:rPr>
          <w:i/>
          <w:iCs/>
        </w:rPr>
        <w:t>Global Mercury Assessment 2018</w:t>
      </w:r>
      <w:r w:rsidRPr="00C07F22">
        <w:t xml:space="preserve"> identified currently available data on mercury exposure in national human biomonitoring programmes, longitudinal birth cohort studies and cross-sectional information </w:t>
      </w:r>
      <w:r w:rsidR="008478E9" w:rsidRPr="00C07F22">
        <w:t>for</w:t>
      </w:r>
      <w:r w:rsidRPr="00C07F22">
        <w:t xml:space="preserve"> specific populations</w:t>
      </w:r>
      <w:r w:rsidR="005F5C7D" w:rsidRPr="00C07F22">
        <w:t>,</w:t>
      </w:r>
      <w:r w:rsidRPr="00C07F22">
        <w:t xml:space="preserve"> including high</w:t>
      </w:r>
      <w:r w:rsidR="00E1226B">
        <w:t>-</w:t>
      </w:r>
      <w:r w:rsidRPr="00C07F22">
        <w:t xml:space="preserve">exposure groups. These activities should be continued by </w:t>
      </w:r>
      <w:r w:rsidR="005F5C7D" w:rsidRPr="00C07F22">
        <w:t>p</w:t>
      </w:r>
      <w:r w:rsidRPr="00C07F22">
        <w:t>arties and others to provide long-term information for subsequent effectiveness evaluation.</w:t>
      </w:r>
    </w:p>
    <w:p w14:paraId="5B832762" w14:textId="0E12D092" w:rsidR="004F110C" w:rsidRPr="00C07F22" w:rsidRDefault="003E0F2A" w:rsidP="003E0F2A">
      <w:pPr>
        <w:pStyle w:val="CH2"/>
        <w:rPr>
          <w:rFonts w:eastAsia="Cambria"/>
        </w:rPr>
      </w:pPr>
      <w:r w:rsidRPr="00C07F22">
        <w:lastRenderedPageBreak/>
        <w:tab/>
      </w:r>
      <w:r w:rsidR="001E3AA1" w:rsidRPr="00C07F22">
        <w:t>C.</w:t>
      </w:r>
      <w:r w:rsidRPr="00C07F22">
        <w:tab/>
      </w:r>
      <w:r w:rsidR="004F110C" w:rsidRPr="00C07F22">
        <w:t>Biotic media</w:t>
      </w:r>
    </w:p>
    <w:p w14:paraId="518AD3FC" w14:textId="370ACA9A" w:rsidR="004F110C" w:rsidRPr="00C07F22" w:rsidRDefault="004F110C" w:rsidP="003E0F2A">
      <w:pPr>
        <w:pStyle w:val="Normalnumber"/>
      </w:pPr>
      <w:r w:rsidRPr="00C07F22">
        <w:t xml:space="preserve">For biota monitoring, an important aspect </w:t>
      </w:r>
      <w:r w:rsidR="008478E9" w:rsidRPr="00C07F22">
        <w:t>of</w:t>
      </w:r>
      <w:r w:rsidRPr="00C07F22">
        <w:t xml:space="preserve"> combining monitoring efforts </w:t>
      </w:r>
      <w:r w:rsidR="002C1B19" w:rsidRPr="00C07F22">
        <w:t>to</w:t>
      </w:r>
      <w:r w:rsidRPr="00C07F22">
        <w:t xml:space="preserve"> document </w:t>
      </w:r>
      <w:r w:rsidR="008478E9" w:rsidRPr="00C07F22">
        <w:t>C</w:t>
      </w:r>
      <w:r w:rsidRPr="00C07F22">
        <w:t xml:space="preserve">onvention effectiveness would be to </w:t>
      </w:r>
      <w:r w:rsidR="008478E9" w:rsidRPr="00C07F22">
        <w:t xml:space="preserve">minimize the effects of species-specific physiological differences by </w:t>
      </w:r>
      <w:r w:rsidR="002C1B19" w:rsidRPr="00C07F22">
        <w:t xml:space="preserve">determining the </w:t>
      </w:r>
      <w:r w:rsidRPr="00C07F22">
        <w:t>proper</w:t>
      </w:r>
      <w:r w:rsidR="00ED67E8">
        <w:t xml:space="preserve"> species and</w:t>
      </w:r>
      <w:r w:rsidRPr="00C07F22">
        <w:t xml:space="preserve"> tissue types </w:t>
      </w:r>
      <w:r w:rsidR="008478E9" w:rsidRPr="00C07F22">
        <w:t xml:space="preserve">to </w:t>
      </w:r>
      <w:r w:rsidRPr="00C07F22">
        <w:t xml:space="preserve">monitor. </w:t>
      </w:r>
      <w:r w:rsidR="00C75BD1" w:rsidRPr="00C07F22">
        <w:t>Priority should be given to the study of s</w:t>
      </w:r>
      <w:r w:rsidRPr="00C07F22">
        <w:t>pecies that accumulate significant amounts of mercury</w:t>
      </w:r>
      <w:r w:rsidR="001C0178" w:rsidRPr="00C07F22">
        <w:t>,</w:t>
      </w:r>
      <w:r w:rsidRPr="00C07F22">
        <w:t xml:space="preserve"> pose a potential risk for human health, are widely distributed over specific geographically areas and </w:t>
      </w:r>
      <w:r w:rsidR="001C0178" w:rsidRPr="00C07F22">
        <w:t xml:space="preserve">are found </w:t>
      </w:r>
      <w:r w:rsidRPr="00C07F22">
        <w:t xml:space="preserve">in numerous historical studies. </w:t>
      </w:r>
      <w:r w:rsidR="00C75BD1" w:rsidRPr="00C07F22">
        <w:t>In a</w:t>
      </w:r>
      <w:r w:rsidRPr="00C07F22">
        <w:t xml:space="preserve">ddition, there is a need to normalize or account for mercury concentrations in biota by size, age and sex, and </w:t>
      </w:r>
      <w:r w:rsidR="001C0178" w:rsidRPr="00C07F22">
        <w:t xml:space="preserve">such </w:t>
      </w:r>
      <w:r w:rsidRPr="00C07F22">
        <w:t xml:space="preserve">data should be included in the data collection process. The choice of fish species for sampling should be based on trophic level, with trophic level 4 (carnivores that eat other carnivores) being most appropriate for decisions related to human and ecological health assessments. Data on species </w:t>
      </w:r>
      <w:r w:rsidR="00C75BD1" w:rsidRPr="00C07F22">
        <w:t xml:space="preserve">that are </w:t>
      </w:r>
      <w:r w:rsidRPr="00C07F22">
        <w:t xml:space="preserve">commercially fished are useful </w:t>
      </w:r>
      <w:r w:rsidR="001C0178" w:rsidRPr="00C07F22">
        <w:t>for assessing the</w:t>
      </w:r>
      <w:r w:rsidRPr="00C07F22">
        <w:t xml:space="preserve"> health of </w:t>
      </w:r>
      <w:r w:rsidR="001C0178" w:rsidRPr="00C07F22">
        <w:t xml:space="preserve">the </w:t>
      </w:r>
      <w:r w:rsidRPr="00C07F22">
        <w:t xml:space="preserve">general population. Other species may be important for assessing the </w:t>
      </w:r>
      <w:r w:rsidR="001C0178" w:rsidRPr="00C07F22">
        <w:t xml:space="preserve">health </w:t>
      </w:r>
      <w:r w:rsidRPr="00C07F22">
        <w:t>o</w:t>
      </w:r>
      <w:r w:rsidR="001C0178" w:rsidRPr="00C07F22">
        <w:t>f</w:t>
      </w:r>
      <w:r w:rsidRPr="00C07F22">
        <w:t xml:space="preserve"> indigenous peoples.</w:t>
      </w:r>
    </w:p>
    <w:p w14:paraId="55F34E47" w14:textId="12C13B3B" w:rsidR="004F110C" w:rsidRPr="00C07F22" w:rsidRDefault="00DF2DC1" w:rsidP="003E0F2A">
      <w:pPr>
        <w:pStyle w:val="Normalnumber"/>
      </w:pPr>
      <w:r w:rsidRPr="00C07F22">
        <w:t>To account for major differences in exposure pathways,</w:t>
      </w:r>
      <w:r w:rsidRPr="00C07F22" w:rsidDel="00DF2DC1">
        <w:t xml:space="preserve"> </w:t>
      </w:r>
      <w:r w:rsidRPr="00C07F22">
        <w:t>i</w:t>
      </w:r>
      <w:r w:rsidR="004F110C" w:rsidRPr="00C07F22">
        <w:t xml:space="preserve">t is proposed that biotic monitoring be separated into two </w:t>
      </w:r>
      <w:r w:rsidR="001C0178" w:rsidRPr="00C07F22">
        <w:t>broad frameworks</w:t>
      </w:r>
      <w:r w:rsidR="004F110C" w:rsidRPr="00C07F22">
        <w:t xml:space="preserve">: continental and oceanic. A large </w:t>
      </w:r>
      <w:r w:rsidR="001C0178" w:rsidRPr="00C07F22">
        <w:t xml:space="preserve">quantity </w:t>
      </w:r>
      <w:r w:rsidR="004F110C" w:rsidRPr="00C07F22">
        <w:t xml:space="preserve">of relevant technical information on the frameworks is available in document UNEP/MC/COP.3/INF/15. </w:t>
      </w:r>
      <w:r w:rsidR="001C0178" w:rsidRPr="00C07F22">
        <w:t>The c</w:t>
      </w:r>
      <w:r w:rsidR="004F110C" w:rsidRPr="00C07F22">
        <w:t>ontinental framework</w:t>
      </w:r>
      <w:r w:rsidRPr="00C07F22">
        <w:t xml:space="preserve"> for mercury monitoring in biota</w:t>
      </w:r>
      <w:r w:rsidR="004F110C" w:rsidRPr="00C07F22">
        <w:t xml:space="preserve"> </w:t>
      </w:r>
      <w:r w:rsidR="001C0178" w:rsidRPr="00C07F22">
        <w:t xml:space="preserve">is </w:t>
      </w:r>
      <w:r w:rsidR="004F110C" w:rsidRPr="00C07F22">
        <w:t>aim</w:t>
      </w:r>
      <w:r w:rsidR="001C0178" w:rsidRPr="00C07F22">
        <w:t>ed</w:t>
      </w:r>
      <w:r w:rsidR="004F110C" w:rsidRPr="00C07F22">
        <w:t xml:space="preserve"> at identifying ecosystem sensitivity spots that are able to methylate mercury and make it available in the food web. </w:t>
      </w:r>
      <w:r w:rsidR="001C0178" w:rsidRPr="00C07F22">
        <w:t>The o</w:t>
      </w:r>
      <w:r w:rsidR="004F110C" w:rsidRPr="00C07F22">
        <w:t xml:space="preserve">ceanic </w:t>
      </w:r>
      <w:r w:rsidR="001C0178" w:rsidRPr="00C07F22">
        <w:t>f</w:t>
      </w:r>
      <w:r w:rsidR="004F110C" w:rsidRPr="00C07F22">
        <w:t>ramework covers ocean areas</w:t>
      </w:r>
      <w:r w:rsidR="001C0178" w:rsidRPr="00C07F22">
        <w:t>;</w:t>
      </w:r>
      <w:r w:rsidR="00DE0A5C" w:rsidRPr="00C07F22">
        <w:t xml:space="preserve"> </w:t>
      </w:r>
      <w:r w:rsidR="001C0178" w:rsidRPr="00C07F22">
        <w:t>t</w:t>
      </w:r>
      <w:r w:rsidR="004F110C" w:rsidRPr="00C07F22">
        <w:t>he outcome combines ocean basin matri</w:t>
      </w:r>
      <w:r w:rsidR="001C0178" w:rsidRPr="00C07F22">
        <w:t>ces</w:t>
      </w:r>
      <w:r w:rsidR="004F110C" w:rsidRPr="00C07F22">
        <w:t xml:space="preserve"> of interest for human consumption that have global ranges to define spatial gradients (trends) of mercury level</w:t>
      </w:r>
      <w:r w:rsidR="001C0178" w:rsidRPr="00C07F22">
        <w:t>s</w:t>
      </w:r>
      <w:r w:rsidR="004F110C" w:rsidRPr="00C07F22">
        <w:t xml:space="preserve"> in biotic media.</w:t>
      </w:r>
    </w:p>
    <w:tbl>
      <w:tblPr>
        <w:tblW w:w="0" w:type="auto"/>
        <w:tblLook w:val="04A0" w:firstRow="1" w:lastRow="0" w:firstColumn="1" w:lastColumn="0" w:noHBand="0" w:noVBand="1"/>
      </w:tblPr>
      <w:tblGrid>
        <w:gridCol w:w="1899"/>
        <w:gridCol w:w="1899"/>
        <w:gridCol w:w="1899"/>
        <w:gridCol w:w="1900"/>
        <w:gridCol w:w="1900"/>
      </w:tblGrid>
      <w:tr w:rsidR="00E976AB" w:rsidRPr="00C07F22" w14:paraId="6DB0CABC" w14:textId="77777777" w:rsidTr="004F53B0">
        <w:trPr>
          <w:trHeight w:val="624"/>
        </w:trPr>
        <w:tc>
          <w:tcPr>
            <w:tcW w:w="1942" w:type="dxa"/>
            <w:shd w:val="clear" w:color="auto" w:fill="auto"/>
          </w:tcPr>
          <w:p w14:paraId="6D3F7C2C" w14:textId="77777777" w:rsidR="00E976AB" w:rsidRPr="00C07F22" w:rsidRDefault="00E976AB" w:rsidP="001C0178">
            <w:pPr>
              <w:pStyle w:val="Normal-pool"/>
              <w:spacing w:before="100" w:beforeAutospacing="1"/>
            </w:pPr>
          </w:p>
        </w:tc>
        <w:tc>
          <w:tcPr>
            <w:tcW w:w="1942" w:type="dxa"/>
            <w:shd w:val="clear" w:color="auto" w:fill="auto"/>
          </w:tcPr>
          <w:p w14:paraId="378BA037" w14:textId="77777777" w:rsidR="00E976AB" w:rsidRPr="00C07F22" w:rsidRDefault="00E976AB" w:rsidP="001C0178">
            <w:pPr>
              <w:pStyle w:val="Normal-pool"/>
              <w:spacing w:before="100" w:beforeAutospacing="1"/>
            </w:pPr>
          </w:p>
        </w:tc>
        <w:tc>
          <w:tcPr>
            <w:tcW w:w="1942" w:type="dxa"/>
            <w:tcBorders>
              <w:bottom w:val="single" w:sz="4" w:space="0" w:color="auto"/>
            </w:tcBorders>
            <w:shd w:val="clear" w:color="auto" w:fill="auto"/>
          </w:tcPr>
          <w:p w14:paraId="028E3E1E" w14:textId="77777777" w:rsidR="00E976AB" w:rsidRPr="00C07F22" w:rsidRDefault="00E976AB" w:rsidP="001C0178">
            <w:pPr>
              <w:pStyle w:val="Normal-pool"/>
              <w:spacing w:before="100" w:beforeAutospacing="1"/>
            </w:pPr>
          </w:p>
        </w:tc>
        <w:tc>
          <w:tcPr>
            <w:tcW w:w="1943" w:type="dxa"/>
            <w:shd w:val="clear" w:color="auto" w:fill="auto"/>
          </w:tcPr>
          <w:p w14:paraId="25F1BA19" w14:textId="77777777" w:rsidR="00E976AB" w:rsidRPr="00C07F22" w:rsidRDefault="00E976AB" w:rsidP="001C0178">
            <w:pPr>
              <w:pStyle w:val="Normal-pool"/>
              <w:spacing w:before="100" w:beforeAutospacing="1"/>
            </w:pPr>
          </w:p>
        </w:tc>
        <w:tc>
          <w:tcPr>
            <w:tcW w:w="1943" w:type="dxa"/>
            <w:shd w:val="clear" w:color="auto" w:fill="auto"/>
          </w:tcPr>
          <w:p w14:paraId="457D2993" w14:textId="77777777" w:rsidR="00E976AB" w:rsidRPr="00C07F22" w:rsidRDefault="00E976AB" w:rsidP="001C0178">
            <w:pPr>
              <w:pStyle w:val="Normal-pool"/>
              <w:spacing w:before="100" w:beforeAutospacing="1"/>
            </w:pPr>
          </w:p>
        </w:tc>
      </w:tr>
    </w:tbl>
    <w:p w14:paraId="325E8270" w14:textId="197C33EF" w:rsidR="00032E4E" w:rsidRPr="00C07F22" w:rsidRDefault="00032E4E" w:rsidP="00E06713">
      <w:pPr>
        <w:pStyle w:val="Normal-pool"/>
      </w:pPr>
    </w:p>
    <w:sectPr w:rsidR="00032E4E" w:rsidRPr="00C07F22" w:rsidSect="00353EC0">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17E8B8" w16cid:durableId="217FAB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28EBC" w14:textId="77777777" w:rsidR="00133141" w:rsidRDefault="00133141">
      <w:r>
        <w:separator/>
      </w:r>
    </w:p>
  </w:endnote>
  <w:endnote w:type="continuationSeparator" w:id="0">
    <w:p w14:paraId="123EE1B1" w14:textId="77777777" w:rsidR="00133141" w:rsidRDefault="00133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B2193" w14:textId="77777777" w:rsidR="002F0D74" w:rsidRDefault="002F0D74">
    <w:pPr>
      <w:pStyle w:val="Footer"/>
    </w:pPr>
    <w:r>
      <w:rPr>
        <w:b/>
        <w:bCs/>
      </w:rPr>
      <w:fldChar w:fldCharType="begin"/>
    </w:r>
    <w:r>
      <w:rPr>
        <w:b/>
        <w:bCs/>
      </w:rPr>
      <w:instrText xml:space="preserve"> PAGE </w:instrTex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4D7FB" w14:textId="77777777" w:rsidR="002F0D74" w:rsidRDefault="002F0D74">
    <w:pPr>
      <w:pStyle w:val="Footer"/>
      <w:jc w:val="right"/>
    </w:pPr>
    <w:r>
      <w:rPr>
        <w:b/>
        <w:bCs/>
      </w:rPr>
      <w:fldChar w:fldCharType="begin"/>
    </w:r>
    <w:r>
      <w:rPr>
        <w:b/>
        <w:bCs/>
      </w:rPr>
      <w:instrText xml:space="preserve"> PAGE </w:instrTex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CA461" w14:textId="569EB124" w:rsidR="002F0D74" w:rsidRPr="00A169B8" w:rsidRDefault="002F0D74" w:rsidP="00A169B8">
    <w:pPr>
      <w:pStyle w:val="Footer-pool"/>
      <w:rPr>
        <w:b w:val="0"/>
      </w:rPr>
    </w:pPr>
    <w:r w:rsidRPr="00A169B8">
      <w:rPr>
        <w:b w:val="0"/>
      </w:rPr>
      <w:t>K1904304</w:t>
    </w:r>
    <w:r w:rsidRPr="00A169B8">
      <w:rPr>
        <w:b w:val="0"/>
      </w:rPr>
      <w:tab/>
    </w:r>
    <w:r w:rsidR="009E7F55">
      <w:rPr>
        <w:b w:val="0"/>
      </w:rPr>
      <w:t>21</w:t>
    </w:r>
    <w:r w:rsidR="00C94CD2">
      <w:rPr>
        <w:b w:val="0"/>
      </w:rPr>
      <w:t>11</w:t>
    </w:r>
    <w:r w:rsidRPr="00A169B8">
      <w:rPr>
        <w:b w:val="0"/>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286A5DA" w:rsidR="002F0D74" w:rsidRDefault="002F0D74">
    <w:pPr>
      <w:pStyle w:val="Footer"/>
    </w:pPr>
    <w:r>
      <w:rPr>
        <w:rStyle w:val="PageNumber"/>
      </w:rPr>
      <w:fldChar w:fldCharType="begin"/>
    </w:r>
    <w:r>
      <w:rPr>
        <w:rStyle w:val="PageNumber"/>
      </w:rPr>
      <w:instrText xml:space="preserve"> PAGE </w:instrText>
    </w:r>
    <w:r>
      <w:rPr>
        <w:rStyle w:val="PageNumber"/>
      </w:rPr>
      <w:fldChar w:fldCharType="separate"/>
    </w:r>
    <w:r w:rsidR="009E7F55">
      <w:rPr>
        <w:rStyle w:val="PageNumber"/>
        <w:noProof/>
      </w:rPr>
      <w:t>12</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47A322F" w:rsidR="002F0D74" w:rsidRPr="00A169B8" w:rsidRDefault="002F0D74" w:rsidP="00A169B8">
    <w:pPr>
      <w:pStyle w:val="Footer-pool"/>
      <w:jc w:val="right"/>
    </w:pPr>
    <w:r w:rsidRPr="00A169B8">
      <w:rPr>
        <w:rStyle w:val="PageNumber"/>
        <w:b/>
      </w:rPr>
      <w:fldChar w:fldCharType="begin"/>
    </w:r>
    <w:r w:rsidRPr="00A169B8">
      <w:rPr>
        <w:rStyle w:val="PageNumber"/>
        <w:b/>
      </w:rPr>
      <w:instrText xml:space="preserve"> PAGE </w:instrText>
    </w:r>
    <w:r w:rsidRPr="00A169B8">
      <w:rPr>
        <w:rStyle w:val="PageNumber"/>
        <w:b/>
      </w:rPr>
      <w:fldChar w:fldCharType="separate"/>
    </w:r>
    <w:r w:rsidR="009E7F55">
      <w:rPr>
        <w:rStyle w:val="PageNumber"/>
        <w:b/>
        <w:noProof/>
      </w:rPr>
      <w:t>11</w:t>
    </w:r>
    <w:r w:rsidRPr="00A169B8">
      <w:rPr>
        <w:rStyle w:val="PageNumbe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291921"/>
      <w:docPartObj>
        <w:docPartGallery w:val="Page Numbers (Bottom of Page)"/>
        <w:docPartUnique/>
      </w:docPartObj>
    </w:sdtPr>
    <w:sdtEndPr>
      <w:rPr>
        <w:noProof/>
      </w:rPr>
    </w:sdtEndPr>
    <w:sdtContent>
      <w:p w14:paraId="521EB5F1" w14:textId="17949DAD" w:rsidR="002F0D74" w:rsidRDefault="002F0D74" w:rsidP="00A169B8">
        <w:pPr>
          <w:pStyle w:val="Footer-pool"/>
        </w:pPr>
        <w:r>
          <w:fldChar w:fldCharType="begin"/>
        </w:r>
        <w:r>
          <w:instrText xml:space="preserve"> PAGE   \* MERGEFORMAT </w:instrText>
        </w:r>
        <w:r>
          <w:fldChar w:fldCharType="separate"/>
        </w:r>
        <w:r w:rsidR="009E7F5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1098E" w14:textId="77777777" w:rsidR="00133141" w:rsidRPr="00DF2400" w:rsidRDefault="00133141" w:rsidP="00DF2400">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DF2400">
        <w:rPr>
          <w:sz w:val="18"/>
          <w:szCs w:val="18"/>
        </w:rPr>
        <w:separator/>
      </w:r>
    </w:p>
  </w:footnote>
  <w:footnote w:type="continuationSeparator" w:id="0">
    <w:p w14:paraId="5622AFA2" w14:textId="77777777" w:rsidR="00133141" w:rsidRDefault="00133141">
      <w:r>
        <w:continuationSeparator/>
      </w:r>
    </w:p>
  </w:footnote>
  <w:footnote w:id="1">
    <w:p w14:paraId="464D4460" w14:textId="77777777"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rPr>
        <w:t>* UNEP/MC/COP.3/1.</w:t>
      </w:r>
    </w:p>
  </w:footnote>
  <w:footnote w:id="2">
    <w:p w14:paraId="344D70E8" w14:textId="6CC9B1C7" w:rsidR="002F0D74" w:rsidRPr="00EE4085" w:rsidRDefault="002F0D74" w:rsidP="00EE4085">
      <w:pPr>
        <w:pStyle w:val="FootnoteText"/>
        <w:tabs>
          <w:tab w:val="left" w:pos="624"/>
        </w:tabs>
        <w:rPr>
          <w:szCs w:val="18"/>
          <w:lang w:val="en-US"/>
        </w:rPr>
      </w:pPr>
      <w:r w:rsidRPr="00EE4085">
        <w:rPr>
          <w:rStyle w:val="FootnoteReference"/>
          <w:szCs w:val="18"/>
        </w:rPr>
        <w:footnoteRef/>
      </w:r>
      <w:r w:rsidRPr="00EE4085">
        <w:rPr>
          <w:szCs w:val="18"/>
          <w:lang w:val="en-GB"/>
        </w:rPr>
        <w:t xml:space="preserve"> </w:t>
      </w:r>
      <w:r w:rsidRPr="00EE4085">
        <w:rPr>
          <w:szCs w:val="18"/>
          <w:lang w:val="en-CA"/>
        </w:rPr>
        <w:t xml:space="preserve">United Nations Environment Programme, 2018. </w:t>
      </w:r>
      <w:r w:rsidRPr="00EE4085">
        <w:rPr>
          <w:i/>
          <w:iCs/>
          <w:szCs w:val="18"/>
          <w:lang w:val="en-CA"/>
        </w:rPr>
        <w:t>Global Mercury Assessment 2018</w:t>
      </w:r>
      <w:r w:rsidRPr="00EE4085">
        <w:rPr>
          <w:szCs w:val="18"/>
          <w:lang w:val="en-CA"/>
        </w:rPr>
        <w:t xml:space="preserve">. </w:t>
      </w:r>
      <w:hyperlink r:id="rId1" w:history="1">
        <w:r w:rsidRPr="00EE4085">
          <w:rPr>
            <w:rStyle w:val="Hyperlink"/>
            <w:sz w:val="18"/>
            <w:szCs w:val="18"/>
            <w:lang w:val="en-GB"/>
          </w:rPr>
          <w:t>https://wedocs.unep.org/handle/20.500.11822/27579</w:t>
        </w:r>
      </w:hyperlink>
      <w:r w:rsidRPr="00EE4085">
        <w:rPr>
          <w:szCs w:val="18"/>
          <w:lang w:val="en-CA"/>
        </w:rPr>
        <w:t>.</w:t>
      </w:r>
    </w:p>
  </w:footnote>
  <w:footnote w:id="3">
    <w:p w14:paraId="1D44E51A" w14:textId="036C5DA6"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u w:color="FF0000"/>
          <w:vertAlign w:val="superscript"/>
        </w:rPr>
        <w:footnoteRef/>
      </w:r>
      <w:r w:rsidRPr="00EE4085">
        <w:rPr>
          <w:sz w:val="18"/>
          <w:szCs w:val="18"/>
        </w:rPr>
        <w:t xml:space="preserve"> Differing views were expressed during the commenting process, with some parties holding that there should be flexibility in monitoring in order to maximize the chances of good geographical coverage and address general populations of both males and females, including foetuses.</w:t>
      </w:r>
    </w:p>
  </w:footnote>
  <w:footnote w:id="4">
    <w:p w14:paraId="7715E232" w14:textId="1EC03D93"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u w:color="FF0000"/>
          <w:vertAlign w:val="superscript"/>
        </w:rPr>
        <w:footnoteRef/>
      </w:r>
      <w:r w:rsidRPr="00EE4085">
        <w:rPr>
          <w:sz w:val="18"/>
          <w:szCs w:val="18"/>
        </w:rPr>
        <w:t xml:space="preserve"> In connection with the above footnote, some parties proposed to include hair not limited to maternal hair, and blood not limited to cord blood.</w:t>
      </w:r>
    </w:p>
  </w:footnote>
  <w:footnote w:id="5">
    <w:p w14:paraId="403557E5" w14:textId="28068839"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vertAlign w:val="superscript"/>
        </w:rPr>
        <w:footnoteRef/>
      </w:r>
      <w:r w:rsidRPr="00EE4085">
        <w:rPr>
          <w:sz w:val="18"/>
          <w:szCs w:val="18"/>
        </w:rPr>
        <w:t xml:space="preserve"> WHO, 2018. </w:t>
      </w:r>
      <w:r w:rsidR="00A526FD" w:rsidRPr="00EE4085">
        <w:rPr>
          <w:sz w:val="18"/>
          <w:szCs w:val="18"/>
        </w:rPr>
        <w:t>“</w:t>
      </w:r>
      <w:r w:rsidRPr="00EE4085">
        <w:rPr>
          <w:iCs/>
          <w:sz w:val="18"/>
          <w:szCs w:val="18"/>
        </w:rPr>
        <w:t>Assessment of prenatal exposure to mercury: human biomonitoring survey. The first survey protocol</w:t>
      </w:r>
      <w:r w:rsidRPr="00EE4085">
        <w:rPr>
          <w:sz w:val="18"/>
          <w:szCs w:val="18"/>
        </w:rPr>
        <w:t>.</w:t>
      </w:r>
      <w:r w:rsidR="00A526FD" w:rsidRPr="00EE4085">
        <w:rPr>
          <w:sz w:val="18"/>
          <w:szCs w:val="18"/>
        </w:rPr>
        <w:t>”</w:t>
      </w:r>
      <w:r w:rsidRPr="00EE4085">
        <w:rPr>
          <w:sz w:val="18"/>
          <w:szCs w:val="18"/>
        </w:rPr>
        <w:t xml:space="preserve"> http://www.euro.who.int/en/health-topics/environment-and-health/chemical-safety/publications/2018/assessment-of-prenatal-exposure-to-mercury-human-biomonitoring-survey-2018.</w:t>
      </w:r>
    </w:p>
  </w:footnote>
  <w:footnote w:id="6">
    <w:p w14:paraId="5979CEA5" w14:textId="5AC73DDD"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u w:color="FF0000"/>
          <w:vertAlign w:val="superscript"/>
        </w:rPr>
        <w:footnoteRef/>
      </w:r>
      <w:r w:rsidRPr="00EE4085">
        <w:rPr>
          <w:sz w:val="18"/>
          <w:szCs w:val="18"/>
        </w:rPr>
        <w:t xml:space="preserve"> For more information, see </w:t>
      </w:r>
      <w:hyperlink r:id="rId2" w:history="1">
        <w:r w:rsidRPr="00EE4085">
          <w:rPr>
            <w:sz w:val="18"/>
            <w:szCs w:val="18"/>
          </w:rPr>
          <w:t>http://www.briloon.org/uploads/BRI_Documents/Mercury_Center/Publications/For%20Web%20GBMS%20Booklet%202018%20.pdf</w:t>
        </w:r>
      </w:hyperlink>
      <w:r w:rsidRPr="00EE4085">
        <w:rPr>
          <w:sz w:val="18"/>
          <w:szCs w:val="18"/>
        </w:rPr>
        <w:t>.</w:t>
      </w:r>
    </w:p>
  </w:footnote>
  <w:footnote w:id="7">
    <w:p w14:paraId="30F983B5" w14:textId="77777777"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vertAlign w:val="superscript"/>
        </w:rPr>
        <w:footnoteRef/>
      </w:r>
      <w:r w:rsidRPr="00EE4085">
        <w:rPr>
          <w:sz w:val="18"/>
          <w:szCs w:val="18"/>
        </w:rPr>
        <w:t xml:space="preserve"> Some parties commented that established protocols used in other human biomonitoring programmes should also be recognized.</w:t>
      </w:r>
    </w:p>
  </w:footnote>
  <w:footnote w:id="8">
    <w:p w14:paraId="6F3E8294" w14:textId="289D33EF"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vertAlign w:val="superscript"/>
        </w:rPr>
        <w:footnoteRef/>
      </w:r>
      <w:r w:rsidRPr="00EE4085">
        <w:rPr>
          <w:sz w:val="18"/>
          <w:szCs w:val="18"/>
        </w:rPr>
        <w:t xml:space="preserve"> A list of existing reference materials can be found in document UNEP/MC/COP.3/INF/15, part II.</w:t>
      </w:r>
    </w:p>
  </w:footnote>
  <w:footnote w:id="9">
    <w:p w14:paraId="4BB7F87B" w14:textId="3982A4B5" w:rsidR="002F0D74" w:rsidRPr="00EE4085" w:rsidRDefault="002F0D74" w:rsidP="00EE4085">
      <w:pPr>
        <w:pStyle w:val="FootnoteText"/>
        <w:tabs>
          <w:tab w:val="left" w:pos="624"/>
        </w:tabs>
        <w:rPr>
          <w:szCs w:val="18"/>
          <w:lang w:val="en-GB"/>
        </w:rPr>
      </w:pPr>
      <w:r w:rsidRPr="00EE4085">
        <w:rPr>
          <w:rStyle w:val="FootnoteReference"/>
          <w:szCs w:val="18"/>
          <w:lang w:val="en-GB"/>
        </w:rPr>
        <w:footnoteRef/>
      </w:r>
      <w:r w:rsidRPr="00EE4085">
        <w:rPr>
          <w:szCs w:val="18"/>
          <w:lang w:val="en-GB"/>
        </w:rPr>
        <w:t xml:space="preserve"> </w:t>
      </w:r>
      <w:r w:rsidRPr="00EE4085">
        <w:rPr>
          <w:szCs w:val="18"/>
          <w:u w:color="FF0000"/>
          <w:lang w:val="en-GB"/>
        </w:rPr>
        <w:t xml:space="preserve">AMAP, 2011. </w:t>
      </w:r>
      <w:r w:rsidRPr="00EE4085">
        <w:rPr>
          <w:i/>
          <w:iCs/>
          <w:szCs w:val="18"/>
          <w:u w:color="FF0000"/>
          <w:lang w:val="en-GB"/>
        </w:rPr>
        <w:t>AMAP Assessment 2011: Mercury in the Arctic</w:t>
      </w:r>
      <w:r w:rsidRPr="00EE4085">
        <w:rPr>
          <w:szCs w:val="18"/>
          <w:u w:color="FF0000"/>
          <w:lang w:val="en-GB"/>
        </w:rPr>
        <w:t xml:space="preserve">. </w:t>
      </w:r>
      <w:hyperlink r:id="rId3" w:history="1">
        <w:r w:rsidRPr="00EE4085">
          <w:rPr>
            <w:rStyle w:val="Hyperlink"/>
            <w:sz w:val="18"/>
            <w:szCs w:val="18"/>
            <w:lang w:val="en-GB"/>
          </w:rPr>
          <w:t>https://www.amap.no/documents/doc/amap-assessment-2011-mercury-in-the-arctic/90</w:t>
        </w:r>
      </w:hyperlink>
      <w:r w:rsidRPr="00EE4085">
        <w:rPr>
          <w:szCs w:val="18"/>
          <w:lang w:val="en-GB"/>
        </w:rPr>
        <w:t xml:space="preserve">; and AMAP, 2015. </w:t>
      </w:r>
      <w:r w:rsidRPr="00EE4085">
        <w:rPr>
          <w:i/>
          <w:iCs/>
          <w:szCs w:val="18"/>
          <w:lang w:val="en-GB"/>
        </w:rPr>
        <w:t>AMAP Assessment 2015: Human Health in the Arctic</w:t>
      </w:r>
      <w:r w:rsidRPr="00EE4085">
        <w:rPr>
          <w:szCs w:val="18"/>
          <w:lang w:val="en-GB"/>
        </w:rPr>
        <w:t xml:space="preserve">. </w:t>
      </w:r>
      <w:hyperlink r:id="rId4" w:history="1">
        <w:r w:rsidRPr="00EE4085">
          <w:rPr>
            <w:rStyle w:val="Hyperlink"/>
            <w:sz w:val="18"/>
            <w:szCs w:val="18"/>
            <w:lang w:val="en-GB"/>
          </w:rPr>
          <w:t>https://www.amap.no/documents/doc/amap-assessment-2015-human-health-in-the-arctic/1346</w:t>
        </w:r>
      </w:hyperlink>
      <w:r w:rsidRPr="00EE4085">
        <w:rPr>
          <w:szCs w:val="18"/>
          <w:lang w:val="en-GB"/>
        </w:rPr>
        <w:t xml:space="preserve">. </w:t>
      </w:r>
    </w:p>
  </w:footnote>
  <w:footnote w:id="10">
    <w:p w14:paraId="4C246113" w14:textId="5AA348F3" w:rsidR="002F0D74" w:rsidRPr="00EE4085" w:rsidRDefault="002F0D74" w:rsidP="00EE4085">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EE4085">
        <w:rPr>
          <w:sz w:val="18"/>
          <w:szCs w:val="18"/>
          <w:vertAlign w:val="superscript"/>
        </w:rPr>
        <w:footnoteRef/>
      </w:r>
      <w:r w:rsidRPr="00EE4085">
        <w:rPr>
          <w:sz w:val="18"/>
          <w:szCs w:val="18"/>
        </w:rPr>
        <w:t xml:space="preserve"> Different views were expressed in the commenting process. Some parties held that there should be flexibility in monitoring to maximize the chances of good geographical coverage and address general populations that include </w:t>
      </w:r>
      <w:r w:rsidR="00C75BD1" w:rsidRPr="00EE4085">
        <w:rPr>
          <w:sz w:val="18"/>
          <w:szCs w:val="18"/>
        </w:rPr>
        <w:t xml:space="preserve">both </w:t>
      </w:r>
      <w:r w:rsidRPr="00EE4085">
        <w:rPr>
          <w:sz w:val="18"/>
          <w:szCs w:val="18"/>
        </w:rPr>
        <w:t xml:space="preserve">males </w:t>
      </w:r>
      <w:r w:rsidR="00C75BD1" w:rsidRPr="00EE4085">
        <w:rPr>
          <w:sz w:val="18"/>
          <w:szCs w:val="18"/>
        </w:rPr>
        <w:t xml:space="preserve">and </w:t>
      </w:r>
      <w:r w:rsidRPr="00EE4085">
        <w:rPr>
          <w:sz w:val="18"/>
          <w:szCs w:val="18"/>
        </w:rPr>
        <w:t xml:space="preserve">females, including foetuses. They suggest that hair not be limited to maternal hair and </w:t>
      </w:r>
      <w:r w:rsidR="00C75BD1" w:rsidRPr="00EE4085">
        <w:rPr>
          <w:sz w:val="18"/>
          <w:szCs w:val="18"/>
        </w:rPr>
        <w:t xml:space="preserve">that </w:t>
      </w:r>
      <w:r w:rsidRPr="00EE4085">
        <w:rPr>
          <w:sz w:val="18"/>
          <w:szCs w:val="18"/>
        </w:rPr>
        <w:t>blood not be limited to cord blood.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CF2BD" w14:textId="20E53DD4" w:rsidR="002F0D74" w:rsidRDefault="002F0D74">
    <w:pPr>
      <w:pStyle w:val="Header"/>
    </w:pPr>
    <w:r>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E9AAE" w14:textId="1581B7AC" w:rsidR="002F0D74" w:rsidRDefault="002F0D74">
    <w:pPr>
      <w:pStyle w:val="Header"/>
      <w:jc w:val="right"/>
    </w:pPr>
    <w: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B76BC" w14:textId="1C3E663F" w:rsidR="00E9604D" w:rsidRDefault="00E9604D" w:rsidP="00E9604D">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142CE70" w:rsidR="002F0D74" w:rsidRPr="00CA5CA9" w:rsidRDefault="002F0D74" w:rsidP="001224E5">
    <w:pPr>
      <w:pStyle w:val="Header-pool"/>
    </w:pPr>
    <w:r w:rsidRPr="00353EC0">
      <w:rPr>
        <w:bCs/>
      </w:rPr>
      <w:t>UNEP</w:t>
    </w:r>
    <w:r w:rsidRPr="00353EC0">
      <w:t>/MC/COP.3/</w:t>
    </w:r>
    <w:r>
      <w:t>14/Add.1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5AF68F14" w:rsidR="002F0D74" w:rsidRPr="00CA5CA9" w:rsidRDefault="002F0D74" w:rsidP="00F7137B">
    <w:pPr>
      <w:pStyle w:val="Header"/>
      <w:jc w:val="right"/>
      <w:rPr>
        <w:szCs w:val="18"/>
      </w:rPr>
    </w:pPr>
    <w:r w:rsidRPr="00353EC0">
      <w:rPr>
        <w:bCs/>
        <w:szCs w:val="18"/>
      </w:rPr>
      <w:t>UNEP</w:t>
    </w:r>
    <w:r w:rsidRPr="00353EC0">
      <w:rPr>
        <w:szCs w:val="18"/>
      </w:rPr>
      <w:t>/MC/COP.3/</w:t>
    </w:r>
    <w:r>
      <w:rPr>
        <w:szCs w:val="18"/>
      </w:rPr>
      <w:t>14/Add.1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C700A2B" w:rsidR="002F0D74" w:rsidRDefault="002F0D74" w:rsidP="00A169B8">
    <w:pPr>
      <w:pStyle w:val="Header-pool"/>
    </w:pPr>
    <w:r w:rsidRPr="00A169B8">
      <w:rPr>
        <w:bCs/>
        <w:lang w:val="en-US"/>
      </w:rPr>
      <w:t>UNEP/</w:t>
    </w:r>
    <w:r w:rsidRPr="00A169B8">
      <w:rPr>
        <w:lang w:val="en-US"/>
      </w:rPr>
      <w:t>MC/COP.3/14/Add.1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16EEA"/>
    <w:multiLevelType w:val="hybridMultilevel"/>
    <w:tmpl w:val="AD46D4A2"/>
    <w:styleLink w:val="Importovanstyl1"/>
    <w:lvl w:ilvl="0" w:tplc="CB46F74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F2C0A2">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 w:ilvl="2" w:tplc="AF14353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1009F9A">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11C37AE">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 w:ilvl="5" w:tplc="967A6742">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82A5AF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BAEBA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13AF622">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2D246F4"/>
    <w:multiLevelType w:val="hybridMultilevel"/>
    <w:tmpl w:val="65BC5364"/>
    <w:numStyleLink w:val="Importovanstyl3"/>
  </w:abstractNum>
  <w:abstractNum w:abstractNumId="2" w15:restartNumberingAfterBreak="0">
    <w:nsid w:val="1B025908"/>
    <w:multiLevelType w:val="hybridMultilevel"/>
    <w:tmpl w:val="988A58FC"/>
    <w:numStyleLink w:val="Importovanstyl8"/>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1F6D5B16"/>
    <w:multiLevelType w:val="hybridMultilevel"/>
    <w:tmpl w:val="DC7CF9F4"/>
    <w:numStyleLink w:val="Importovanstyl2"/>
  </w:abstractNum>
  <w:abstractNum w:abstractNumId="5" w15:restartNumberingAfterBreak="0">
    <w:nsid w:val="26332B32"/>
    <w:multiLevelType w:val="hybridMultilevel"/>
    <w:tmpl w:val="BBBCC818"/>
    <w:styleLink w:val="Importovanstyl6"/>
    <w:lvl w:ilvl="0" w:tplc="DC60DDB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C03532">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68AA9E0">
      <w:start w:val="1"/>
      <w:numFmt w:val="bullet"/>
      <w:lvlText w:val="▪"/>
      <w:lvlJc w:val="left"/>
      <w:pPr>
        <w:tabs>
          <w:tab w:val="left" w:pos="624"/>
          <w:tab w:val="left" w:pos="1247"/>
          <w:tab w:val="left" w:pos="1814"/>
          <w:tab w:val="left" w:pos="1872"/>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74F516">
      <w:start w:val="1"/>
      <w:numFmt w:val="bullet"/>
      <w:lvlText w:val="•"/>
      <w:lvlJc w:val="left"/>
      <w:pPr>
        <w:tabs>
          <w:tab w:val="left" w:pos="624"/>
          <w:tab w:val="left" w:pos="1247"/>
          <w:tab w:val="left" w:pos="1814"/>
          <w:tab w:val="left" w:pos="1872"/>
          <w:tab w:val="left" w:pos="2381"/>
          <w:tab w:val="left" w:pos="2496"/>
          <w:tab w:val="left" w:pos="2948"/>
          <w:tab w:val="left" w:pos="3515"/>
          <w:tab w:val="left" w:pos="3744"/>
          <w:tab w:val="left" w:pos="4082"/>
          <w:tab w:val="left" w:pos="4368"/>
          <w:tab w:val="left" w:pos="4992"/>
          <w:tab w:val="left" w:pos="5616"/>
          <w:tab w:val="left" w:pos="6240"/>
          <w:tab w:val="left" w:pos="6864"/>
          <w:tab w:val="left" w:pos="7488"/>
          <w:tab w:val="left" w:pos="8112"/>
          <w:tab w:val="left" w:pos="8520"/>
        </w:tabs>
        <w:ind w:left="312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F661EE4">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4082"/>
          <w:tab w:val="left" w:pos="4368"/>
          <w:tab w:val="left" w:pos="4992"/>
          <w:tab w:val="left" w:pos="5616"/>
          <w:tab w:val="left" w:pos="6240"/>
          <w:tab w:val="left" w:pos="6864"/>
          <w:tab w:val="left" w:pos="7488"/>
          <w:tab w:val="left" w:pos="8112"/>
          <w:tab w:val="left" w:pos="8520"/>
        </w:tabs>
        <w:ind w:left="3744" w:hanging="1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FC9D82">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6866A0">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02E9EE8">
      <w:start w:val="1"/>
      <w:numFmt w:val="bullet"/>
      <w:lvlText w:val="o"/>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8254F4">
      <w:start w:val="1"/>
      <w:numFmt w:val="bullet"/>
      <w:lvlText w:val="▪"/>
      <w:lvlJc w:val="left"/>
      <w:pPr>
        <w:tabs>
          <w:tab w:val="left" w:pos="624"/>
          <w:tab w:val="left" w:pos="1247"/>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C962E11"/>
    <w:multiLevelType w:val="hybridMultilevel"/>
    <w:tmpl w:val="7ACE99AA"/>
    <w:numStyleLink w:val="Importovanstyl4"/>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0C039A9"/>
    <w:multiLevelType w:val="hybridMultilevel"/>
    <w:tmpl w:val="988A58FC"/>
    <w:styleLink w:val="Importovanstyl8"/>
    <w:lvl w:ilvl="0" w:tplc="2ABCF044">
      <w:start w:val="1"/>
      <w:numFmt w:val="bullet"/>
      <w:lvlText w:val="▪"/>
      <w:lvlJc w:val="left"/>
      <w:pPr>
        <w:tabs>
          <w:tab w:val="num" w:pos="1814"/>
        </w:tabs>
        <w:ind w:left="196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7F2ED58">
      <w:start w:val="1"/>
      <w:numFmt w:val="bullet"/>
      <w:lvlText w:val="o"/>
      <w:lvlJc w:val="left"/>
      <w:pPr>
        <w:tabs>
          <w:tab w:val="num" w:pos="2687"/>
        </w:tabs>
        <w:ind w:left="284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60F18">
      <w:start w:val="1"/>
      <w:numFmt w:val="bullet"/>
      <w:lvlText w:val="▪"/>
      <w:lvlJc w:val="left"/>
      <w:pPr>
        <w:tabs>
          <w:tab w:val="num" w:pos="3407"/>
        </w:tabs>
        <w:ind w:left="356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D4845E">
      <w:start w:val="1"/>
      <w:numFmt w:val="bullet"/>
      <w:lvlText w:val="•"/>
      <w:lvlJc w:val="left"/>
      <w:pPr>
        <w:tabs>
          <w:tab w:val="num" w:pos="4082"/>
        </w:tabs>
        <w:ind w:left="4235" w:hanging="4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E36ECA8">
      <w:start w:val="1"/>
      <w:numFmt w:val="bullet"/>
      <w:lvlText w:val="o"/>
      <w:lvlJc w:val="left"/>
      <w:pPr>
        <w:tabs>
          <w:tab w:val="num" w:pos="4847"/>
        </w:tabs>
        <w:ind w:left="500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48CA56">
      <w:start w:val="1"/>
      <w:numFmt w:val="bullet"/>
      <w:lvlText w:val="▪"/>
      <w:lvlJc w:val="left"/>
      <w:pPr>
        <w:tabs>
          <w:tab w:val="num" w:pos="5567"/>
        </w:tabs>
        <w:ind w:left="572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B2A5AA">
      <w:start w:val="1"/>
      <w:numFmt w:val="bullet"/>
      <w:lvlText w:val="•"/>
      <w:lvlJc w:val="left"/>
      <w:pPr>
        <w:tabs>
          <w:tab w:val="num" w:pos="6287"/>
        </w:tabs>
        <w:ind w:left="644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A466836">
      <w:start w:val="1"/>
      <w:numFmt w:val="bullet"/>
      <w:lvlText w:val="o"/>
      <w:lvlJc w:val="left"/>
      <w:pPr>
        <w:tabs>
          <w:tab w:val="num" w:pos="7007"/>
        </w:tabs>
        <w:ind w:left="716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908AB62">
      <w:start w:val="1"/>
      <w:numFmt w:val="bullet"/>
      <w:lvlText w:val="▪"/>
      <w:lvlJc w:val="left"/>
      <w:pPr>
        <w:tabs>
          <w:tab w:val="num" w:pos="7727"/>
        </w:tabs>
        <w:ind w:left="7880" w:hanging="5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0D57CB0"/>
    <w:multiLevelType w:val="hybridMultilevel"/>
    <w:tmpl w:val="AD46D4A2"/>
    <w:numStyleLink w:val="Importovanstyl1"/>
  </w:abstractNum>
  <w:abstractNum w:abstractNumId="10" w15:restartNumberingAfterBreak="0">
    <w:nsid w:val="41703155"/>
    <w:multiLevelType w:val="hybridMultilevel"/>
    <w:tmpl w:val="BE9867DC"/>
    <w:numStyleLink w:val="Importovanstyl9"/>
  </w:abstractNum>
  <w:abstractNum w:abstractNumId="11" w15:restartNumberingAfterBreak="0">
    <w:nsid w:val="45A217B9"/>
    <w:multiLevelType w:val="hybridMultilevel"/>
    <w:tmpl w:val="9ED27720"/>
    <w:lvl w:ilvl="0" w:tplc="A8EE1C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96D17"/>
    <w:multiLevelType w:val="hybridMultilevel"/>
    <w:tmpl w:val="CCA46A30"/>
    <w:styleLink w:val="Importovanstyl7"/>
    <w:lvl w:ilvl="0" w:tplc="24BCAA26">
      <w:start w:val="1"/>
      <w:numFmt w:val="bullet"/>
      <w:lvlText w:val="▪"/>
      <w:lvlJc w:val="left"/>
      <w:pPr>
        <w:tabs>
          <w:tab w:val="num"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684420A">
      <w:start w:val="1"/>
      <w:numFmt w:val="bullet"/>
      <w:lvlText w:val="o"/>
      <w:lvlJc w:val="left"/>
      <w:pPr>
        <w:tabs>
          <w:tab w:val="left" w:pos="984"/>
          <w:tab w:val="left" w:pos="1247"/>
          <w:tab w:val="left" w:pos="1248"/>
          <w:tab w:val="left" w:pos="1511"/>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867D84">
      <w:start w:val="1"/>
      <w:numFmt w:val="bullet"/>
      <w:lvlText w:val="▪"/>
      <w:lvlJc w:val="left"/>
      <w:pPr>
        <w:tabs>
          <w:tab w:val="left" w:pos="984"/>
          <w:tab w:val="left" w:pos="1247"/>
          <w:tab w:val="left" w:pos="1248"/>
          <w:tab w:val="left" w:pos="1511"/>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2841CE">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D44CE18">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FA85C6">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7A1D7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F923676">
      <w:start w:val="1"/>
      <w:numFmt w:val="bullet"/>
      <w:lvlText w:val="o"/>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7A2030">
      <w:start w:val="1"/>
      <w:numFmt w:val="bullet"/>
      <w:lvlText w:val="▪"/>
      <w:lvlJc w:val="left"/>
      <w:pPr>
        <w:tabs>
          <w:tab w:val="left" w:pos="984"/>
          <w:tab w:val="left" w:pos="1247"/>
          <w:tab w:val="left" w:pos="1248"/>
          <w:tab w:val="left" w:pos="1511"/>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53FD473B"/>
    <w:multiLevelType w:val="hybridMultilevel"/>
    <w:tmpl w:val="DC7CF9F4"/>
    <w:styleLink w:val="Importovanstyl2"/>
    <w:lvl w:ilvl="0" w:tplc="876A874E">
      <w:start w:val="1"/>
      <w:numFmt w:val="bullet"/>
      <w:lvlText w:val="▪"/>
      <w:lvlJc w:val="left"/>
      <w:pPr>
        <w:tabs>
          <w:tab w:val="num"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4EEF7D4">
      <w:start w:val="1"/>
      <w:numFmt w:val="bullet"/>
      <w:lvlText w:val="o"/>
      <w:lvlJc w:val="left"/>
      <w:pPr>
        <w:tabs>
          <w:tab w:val="left" w:pos="1248"/>
          <w:tab w:val="left" w:pos="1814"/>
          <w:tab w:val="left" w:pos="1872"/>
          <w:tab w:val="num"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15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0619A6">
      <w:start w:val="1"/>
      <w:numFmt w:val="bullet"/>
      <w:lvlText w:val="▪"/>
      <w:lvlJc w:val="left"/>
      <w:pPr>
        <w:tabs>
          <w:tab w:val="left" w:pos="1248"/>
          <w:tab w:val="left" w:pos="1814"/>
          <w:tab w:val="left" w:pos="1872"/>
          <w:tab w:val="left" w:pos="1967"/>
          <w:tab w:val="left" w:pos="2381"/>
          <w:tab w:val="left" w:pos="2496"/>
          <w:tab w:val="num" w:pos="2880"/>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07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28A1A2">
      <w:start w:val="1"/>
      <w:numFmt w:val="bullet"/>
      <w:lvlText w:val="•"/>
      <w:lvlJc w:val="left"/>
      <w:pPr>
        <w:tabs>
          <w:tab w:val="left" w:pos="1248"/>
          <w:tab w:val="left" w:pos="1814"/>
          <w:tab w:val="left" w:pos="1872"/>
          <w:tab w:val="left" w:pos="1967"/>
          <w:tab w:val="left" w:pos="2381"/>
          <w:tab w:val="left" w:pos="2496"/>
          <w:tab w:val="left" w:pos="2948"/>
          <w:tab w:val="left" w:pos="3120"/>
          <w:tab w:val="num" w:pos="3515"/>
          <w:tab w:val="left" w:pos="3744"/>
          <w:tab w:val="left" w:pos="4082"/>
          <w:tab w:val="left" w:pos="4368"/>
          <w:tab w:val="left" w:pos="4992"/>
          <w:tab w:val="left" w:pos="5616"/>
          <w:tab w:val="left" w:pos="6240"/>
          <w:tab w:val="left" w:pos="6864"/>
          <w:tab w:val="left" w:pos="7488"/>
          <w:tab w:val="left" w:pos="8112"/>
          <w:tab w:val="left" w:pos="8520"/>
        </w:tabs>
        <w:ind w:left="3707" w:hanging="4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6C874AA">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num" w:pos="4082"/>
          <w:tab w:val="left" w:pos="4368"/>
          <w:tab w:val="left" w:pos="4992"/>
          <w:tab w:val="left" w:pos="5616"/>
          <w:tab w:val="left" w:pos="6240"/>
          <w:tab w:val="left" w:pos="6864"/>
          <w:tab w:val="left" w:pos="7488"/>
          <w:tab w:val="left" w:pos="8112"/>
          <w:tab w:val="left" w:pos="8520"/>
        </w:tabs>
        <w:ind w:left="427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B4808E">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num" w:pos="4802"/>
          <w:tab w:val="left" w:pos="4992"/>
          <w:tab w:val="left" w:pos="5616"/>
          <w:tab w:val="left" w:pos="6240"/>
          <w:tab w:val="left" w:pos="6864"/>
          <w:tab w:val="left" w:pos="7488"/>
          <w:tab w:val="left" w:pos="8112"/>
          <w:tab w:val="left" w:pos="8520"/>
        </w:tabs>
        <w:ind w:left="499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86A472">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num" w:pos="5616"/>
          <w:tab w:val="left" w:pos="6240"/>
          <w:tab w:val="left" w:pos="6864"/>
          <w:tab w:val="left" w:pos="7488"/>
          <w:tab w:val="left" w:pos="8112"/>
          <w:tab w:val="left" w:pos="8520"/>
        </w:tabs>
        <w:ind w:left="5808" w:hanging="4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20A52F6">
      <w:start w:val="1"/>
      <w:numFmt w:val="bullet"/>
      <w:lvlText w:val="o"/>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num" w:pos="6240"/>
          <w:tab w:val="left" w:pos="6864"/>
          <w:tab w:val="left" w:pos="7488"/>
          <w:tab w:val="left" w:pos="8112"/>
          <w:tab w:val="left" w:pos="8520"/>
        </w:tabs>
        <w:ind w:left="643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448776">
      <w:start w:val="1"/>
      <w:numFmt w:val="bullet"/>
      <w:lvlText w:val="▪"/>
      <w:lvlJc w:val="left"/>
      <w:pPr>
        <w:tabs>
          <w:tab w:val="left" w:pos="1248"/>
          <w:tab w:val="left" w:pos="1814"/>
          <w:tab w:val="left" w:pos="1872"/>
          <w:tab w:val="left" w:pos="1967"/>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num" w:pos="7200"/>
          <w:tab w:val="left" w:pos="7488"/>
          <w:tab w:val="left" w:pos="8112"/>
          <w:tab w:val="left" w:pos="8520"/>
        </w:tabs>
        <w:ind w:left="73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58F0579"/>
    <w:multiLevelType w:val="hybridMultilevel"/>
    <w:tmpl w:val="017AF79E"/>
    <w:numStyleLink w:val="Importovanstyl5"/>
  </w:abstractNum>
  <w:abstractNum w:abstractNumId="16" w15:restartNumberingAfterBreak="0">
    <w:nsid w:val="56F248D4"/>
    <w:multiLevelType w:val="hybridMultilevel"/>
    <w:tmpl w:val="CCA46A30"/>
    <w:numStyleLink w:val="Importovanstyl7"/>
  </w:abstractNum>
  <w:abstractNum w:abstractNumId="17" w15:restartNumberingAfterBreak="0">
    <w:nsid w:val="63283F39"/>
    <w:multiLevelType w:val="hybridMultilevel"/>
    <w:tmpl w:val="65BC5364"/>
    <w:styleLink w:val="Importovanstyl3"/>
    <w:lvl w:ilvl="0" w:tplc="AB6AA24E">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2F4469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A64DC2">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62ACC0">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D36376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98F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0EF974">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1D4327E">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8F6D782">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4376DC5"/>
    <w:multiLevelType w:val="hybridMultilevel"/>
    <w:tmpl w:val="017AF79E"/>
    <w:styleLink w:val="Importovanstyl5"/>
    <w:lvl w:ilvl="0" w:tplc="2736BF52">
      <w:start w:val="1"/>
      <w:numFmt w:val="bullet"/>
      <w:lvlText w:val="▪"/>
      <w:lvlJc w:val="left"/>
      <w:pPr>
        <w:tabs>
          <w:tab w:val="left" w:pos="97"/>
          <w:tab w:val="left" w:pos="624"/>
          <w:tab w:val="num"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344" w:hanging="62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FCE797A">
      <w:start w:val="1"/>
      <w:numFmt w:val="bullet"/>
      <w:lvlText w:val="o"/>
      <w:lvlJc w:val="left"/>
      <w:pPr>
        <w:tabs>
          <w:tab w:val="left" w:pos="97"/>
          <w:tab w:val="left" w:pos="624"/>
          <w:tab w:val="left" w:pos="1247"/>
          <w:tab w:val="num"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520"/>
        </w:tabs>
        <w:ind w:left="1911" w:hanging="47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928D14">
      <w:start w:val="1"/>
      <w:numFmt w:val="bullet"/>
      <w:lvlText w:val="▪"/>
      <w:lvlJc w:val="left"/>
      <w:pPr>
        <w:tabs>
          <w:tab w:val="left" w:pos="97"/>
          <w:tab w:val="left" w:pos="624"/>
          <w:tab w:val="left" w:pos="1247"/>
          <w:tab w:val="left" w:pos="1814"/>
          <w:tab w:val="num" w:pos="2381"/>
          <w:tab w:val="left" w:pos="2948"/>
          <w:tab w:val="left" w:pos="3515"/>
          <w:tab w:val="left" w:pos="4082"/>
          <w:tab w:val="left" w:pos="4368"/>
          <w:tab w:val="left" w:pos="4992"/>
          <w:tab w:val="left" w:pos="5616"/>
          <w:tab w:val="left" w:pos="6240"/>
          <w:tab w:val="left" w:pos="6864"/>
          <w:tab w:val="left" w:pos="7488"/>
          <w:tab w:val="left" w:pos="8112"/>
          <w:tab w:val="left" w:pos="8520"/>
        </w:tabs>
        <w:ind w:left="2478" w:hanging="31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458EFD2">
      <w:start w:val="1"/>
      <w:numFmt w:val="bullet"/>
      <w:lvlText w:val="•"/>
      <w:lvlJc w:val="left"/>
      <w:pPr>
        <w:tabs>
          <w:tab w:val="left" w:pos="97"/>
          <w:tab w:val="left" w:pos="624"/>
          <w:tab w:val="left" w:pos="1247"/>
          <w:tab w:val="left" w:pos="1814"/>
          <w:tab w:val="left" w:pos="2381"/>
          <w:tab w:val="left" w:pos="2948"/>
          <w:tab w:val="num" w:pos="3045"/>
          <w:tab w:val="left" w:pos="3515"/>
          <w:tab w:val="left" w:pos="4082"/>
          <w:tab w:val="left" w:pos="4368"/>
          <w:tab w:val="left" w:pos="4992"/>
          <w:tab w:val="left" w:pos="5616"/>
          <w:tab w:val="left" w:pos="6240"/>
          <w:tab w:val="left" w:pos="6864"/>
          <w:tab w:val="left" w:pos="7488"/>
          <w:tab w:val="left" w:pos="8112"/>
          <w:tab w:val="left" w:pos="8520"/>
        </w:tabs>
        <w:ind w:left="3142" w:hanging="26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FC6423E">
      <w:start w:val="1"/>
      <w:numFmt w:val="bullet"/>
      <w:lvlText w:val="o"/>
      <w:lvlJc w:val="left"/>
      <w:pPr>
        <w:tabs>
          <w:tab w:val="left" w:pos="97"/>
          <w:tab w:val="left" w:pos="624"/>
          <w:tab w:val="left" w:pos="1247"/>
          <w:tab w:val="left" w:pos="1814"/>
          <w:tab w:val="left" w:pos="2381"/>
          <w:tab w:val="left" w:pos="2948"/>
          <w:tab w:val="left" w:pos="3515"/>
          <w:tab w:val="num" w:pos="4082"/>
          <w:tab w:val="left" w:pos="4368"/>
          <w:tab w:val="left" w:pos="4992"/>
          <w:tab w:val="left" w:pos="5616"/>
          <w:tab w:val="left" w:pos="6240"/>
          <w:tab w:val="left" w:pos="6864"/>
          <w:tab w:val="left" w:pos="7488"/>
          <w:tab w:val="left" w:pos="8112"/>
          <w:tab w:val="left" w:pos="8520"/>
        </w:tabs>
        <w:ind w:left="4179" w:hanging="57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BD6E5E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num" w:pos="5001"/>
          <w:tab w:val="left" w:pos="5616"/>
          <w:tab w:val="left" w:pos="6240"/>
          <w:tab w:val="left" w:pos="6864"/>
          <w:tab w:val="left" w:pos="7488"/>
          <w:tab w:val="left" w:pos="8112"/>
          <w:tab w:val="left" w:pos="8520"/>
        </w:tabs>
        <w:ind w:left="5098" w:hanging="77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55ADDCC">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num" w:pos="5616"/>
          <w:tab w:val="left" w:pos="6240"/>
          <w:tab w:val="left" w:pos="6864"/>
          <w:tab w:val="left" w:pos="7488"/>
          <w:tab w:val="left" w:pos="8112"/>
          <w:tab w:val="left" w:pos="8520"/>
        </w:tabs>
        <w:ind w:left="5713" w:hanging="6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95AC702">
      <w:start w:val="1"/>
      <w:numFmt w:val="bullet"/>
      <w:lvlText w:val="o"/>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num" w:pos="6240"/>
          <w:tab w:val="left" w:pos="6864"/>
          <w:tab w:val="left" w:pos="7488"/>
          <w:tab w:val="left" w:pos="8112"/>
          <w:tab w:val="left" w:pos="8520"/>
        </w:tabs>
        <w:ind w:left="6337" w:hanging="57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F0817D0">
      <w:start w:val="1"/>
      <w:numFmt w:val="bullet"/>
      <w:lvlText w:val="▪"/>
      <w:lvlJc w:val="left"/>
      <w:pPr>
        <w:tabs>
          <w:tab w:val="left" w:pos="97"/>
          <w:tab w:val="left" w:pos="624"/>
          <w:tab w:val="left" w:pos="1247"/>
          <w:tab w:val="left" w:pos="1814"/>
          <w:tab w:val="left" w:pos="2381"/>
          <w:tab w:val="left" w:pos="2948"/>
          <w:tab w:val="left" w:pos="3515"/>
          <w:tab w:val="left" w:pos="4082"/>
          <w:tab w:val="left" w:pos="4368"/>
          <w:tab w:val="left" w:pos="4992"/>
          <w:tab w:val="left" w:pos="5616"/>
          <w:tab w:val="left" w:pos="6240"/>
          <w:tab w:val="num" w:pos="6864"/>
          <w:tab w:val="left" w:pos="7488"/>
          <w:tab w:val="left" w:pos="8112"/>
          <w:tab w:val="left" w:pos="8520"/>
        </w:tabs>
        <w:ind w:left="6961" w:hanging="48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666D344E"/>
    <w:multiLevelType w:val="hybridMultilevel"/>
    <w:tmpl w:val="BE9867DC"/>
    <w:styleLink w:val="Importovanstyl9"/>
    <w:lvl w:ilvl="0" w:tplc="FA565BB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8107A7A">
      <w:start w:val="1"/>
      <w:numFmt w:val="bullet"/>
      <w:lvlText w:val="o"/>
      <w:lvlJc w:val="left"/>
      <w:pPr>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06E3FD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7AE4F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0D2AA1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EE53E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E8C2B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8CF8AE">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C0A466">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75E411B"/>
    <w:multiLevelType w:val="hybridMultilevel"/>
    <w:tmpl w:val="BBBCC818"/>
    <w:numStyleLink w:val="Importovanstyl6"/>
  </w:abstractNum>
  <w:abstractNum w:abstractNumId="21" w15:restartNumberingAfterBreak="0">
    <w:nsid w:val="727A7E9C"/>
    <w:multiLevelType w:val="hybridMultilevel"/>
    <w:tmpl w:val="D07A6E4C"/>
    <w:numStyleLink w:val="Normallist"/>
  </w:abstractNum>
  <w:abstractNum w:abstractNumId="22" w15:restartNumberingAfterBreak="0">
    <w:nsid w:val="73B83242"/>
    <w:multiLevelType w:val="hybridMultilevel"/>
    <w:tmpl w:val="7ACE99AA"/>
    <w:styleLink w:val="Importovanstyl4"/>
    <w:lvl w:ilvl="0" w:tplc="9F6433DA">
      <w:start w:val="1"/>
      <w:numFmt w:val="bullet"/>
      <w:lvlText w:val="▪"/>
      <w:lvlJc w:val="left"/>
      <w:pPr>
        <w:tabs>
          <w:tab w:val="num"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83CA220">
      <w:start w:val="1"/>
      <w:numFmt w:val="bullet"/>
      <w:lvlText w:val="o"/>
      <w:lvlJc w:val="left"/>
      <w:pPr>
        <w:tabs>
          <w:tab w:val="left" w:pos="984"/>
          <w:tab w:val="left" w:pos="1247"/>
          <w:tab w:val="left" w:pos="1248"/>
          <w:tab w:val="num" w:pos="1703"/>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1799" w:hanging="3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054E344">
      <w:start w:val="1"/>
      <w:numFmt w:val="bullet"/>
      <w:lvlText w:val="▪"/>
      <w:lvlJc w:val="left"/>
      <w:pPr>
        <w:tabs>
          <w:tab w:val="left" w:pos="984"/>
          <w:tab w:val="left" w:pos="1247"/>
          <w:tab w:val="left" w:pos="1248"/>
          <w:tab w:val="left" w:pos="1814"/>
          <w:tab w:val="left" w:pos="1872"/>
          <w:tab w:val="num" w:pos="2381"/>
          <w:tab w:val="left" w:pos="2496"/>
          <w:tab w:val="left" w:pos="2948"/>
          <w:tab w:val="left" w:pos="3120"/>
          <w:tab w:val="left" w:pos="3515"/>
          <w:tab w:val="left" w:pos="3744"/>
          <w:tab w:val="left" w:pos="4082"/>
          <w:tab w:val="left" w:pos="4368"/>
          <w:tab w:val="left" w:pos="4992"/>
          <w:tab w:val="left" w:pos="5616"/>
          <w:tab w:val="left" w:pos="6240"/>
          <w:tab w:val="left" w:pos="6864"/>
          <w:tab w:val="left" w:pos="7488"/>
          <w:tab w:val="left" w:pos="8112"/>
          <w:tab w:val="left" w:pos="8520"/>
        </w:tabs>
        <w:ind w:left="2477" w:hanging="31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28EB06">
      <w:start w:val="1"/>
      <w:numFmt w:val="bullet"/>
      <w:lvlText w:val="•"/>
      <w:lvlJc w:val="left"/>
      <w:pPr>
        <w:tabs>
          <w:tab w:val="left" w:pos="984"/>
          <w:tab w:val="left" w:pos="1247"/>
          <w:tab w:val="left" w:pos="1248"/>
          <w:tab w:val="left" w:pos="1814"/>
          <w:tab w:val="left" w:pos="1872"/>
          <w:tab w:val="left" w:pos="2381"/>
          <w:tab w:val="left" w:pos="2496"/>
          <w:tab w:val="left" w:pos="2948"/>
          <w:tab w:val="num" w:pos="3120"/>
          <w:tab w:val="left" w:pos="3515"/>
          <w:tab w:val="left" w:pos="3744"/>
          <w:tab w:val="left" w:pos="4082"/>
          <w:tab w:val="left" w:pos="4368"/>
          <w:tab w:val="left" w:pos="4992"/>
          <w:tab w:val="left" w:pos="5616"/>
          <w:tab w:val="left" w:pos="6240"/>
          <w:tab w:val="left" w:pos="6864"/>
          <w:tab w:val="left" w:pos="7488"/>
          <w:tab w:val="left" w:pos="8112"/>
          <w:tab w:val="left" w:pos="8520"/>
        </w:tabs>
        <w:ind w:left="32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60CBDA">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num" w:pos="3744"/>
          <w:tab w:val="left" w:pos="4082"/>
          <w:tab w:val="left" w:pos="4368"/>
          <w:tab w:val="left" w:pos="4992"/>
          <w:tab w:val="left" w:pos="5616"/>
          <w:tab w:val="left" w:pos="6240"/>
          <w:tab w:val="left" w:pos="6864"/>
          <w:tab w:val="left" w:pos="7488"/>
          <w:tab w:val="left" w:pos="8112"/>
          <w:tab w:val="left" w:pos="8520"/>
        </w:tabs>
        <w:ind w:left="384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722B5C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num" w:pos="4431"/>
          <w:tab w:val="left" w:pos="4992"/>
          <w:tab w:val="left" w:pos="5616"/>
          <w:tab w:val="left" w:pos="6240"/>
          <w:tab w:val="left" w:pos="6864"/>
          <w:tab w:val="left" w:pos="7488"/>
          <w:tab w:val="left" w:pos="8112"/>
          <w:tab w:val="left" w:pos="8520"/>
        </w:tabs>
        <w:ind w:left="4527"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B4C21A">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num" w:pos="5496"/>
          <w:tab w:val="left" w:pos="5616"/>
          <w:tab w:val="left" w:pos="6240"/>
          <w:tab w:val="left" w:pos="6864"/>
          <w:tab w:val="left" w:pos="7488"/>
          <w:tab w:val="left" w:pos="8112"/>
          <w:tab w:val="left" w:pos="8520"/>
        </w:tabs>
        <w:ind w:left="559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E8456D6">
      <w:start w:val="1"/>
      <w:numFmt w:val="bullet"/>
      <w:lvlText w:val="o"/>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num" w:pos="6216"/>
          <w:tab w:val="left" w:pos="6240"/>
          <w:tab w:val="left" w:pos="6864"/>
          <w:tab w:val="left" w:pos="7488"/>
          <w:tab w:val="left" w:pos="8112"/>
          <w:tab w:val="left" w:pos="8520"/>
        </w:tabs>
        <w:ind w:left="6312" w:hanging="5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60261E">
      <w:start w:val="1"/>
      <w:numFmt w:val="bullet"/>
      <w:lvlText w:val="▪"/>
      <w:lvlJc w:val="left"/>
      <w:pPr>
        <w:tabs>
          <w:tab w:val="left" w:pos="984"/>
          <w:tab w:val="left" w:pos="1247"/>
          <w:tab w:val="left" w:pos="1248"/>
          <w:tab w:val="left" w:pos="1814"/>
          <w:tab w:val="left" w:pos="1872"/>
          <w:tab w:val="left" w:pos="2381"/>
          <w:tab w:val="left" w:pos="2496"/>
          <w:tab w:val="left" w:pos="2948"/>
          <w:tab w:val="left" w:pos="3120"/>
          <w:tab w:val="left" w:pos="3515"/>
          <w:tab w:val="left" w:pos="3744"/>
          <w:tab w:val="left" w:pos="4082"/>
          <w:tab w:val="left" w:pos="4368"/>
          <w:tab w:val="left" w:pos="4992"/>
          <w:tab w:val="left" w:pos="5616"/>
          <w:tab w:val="left" w:pos="6240"/>
          <w:tab w:val="num" w:pos="6864"/>
          <w:tab w:val="left" w:pos="7488"/>
          <w:tab w:val="left" w:pos="8112"/>
          <w:tab w:val="left" w:pos="8520"/>
        </w:tabs>
        <w:ind w:left="6960"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3"/>
  </w:num>
  <w:num w:numId="3">
    <w:abstractNumId w:val="7"/>
  </w:num>
  <w:num w:numId="4">
    <w:abstractNumId w:val="13"/>
    <w:lvlOverride w:ilvl="0">
      <w:lvl w:ilvl="0">
        <w:start w:val="1"/>
        <w:numFmt w:val="decimal"/>
        <w:pStyle w:val="Normalnumber"/>
        <w:lvlText w:val="%1."/>
        <w:lvlJc w:val="left"/>
        <w:pPr>
          <w:tabs>
            <w:tab w:val="num" w:pos="1134"/>
          </w:tabs>
          <w:ind w:left="1247" w:firstLine="0"/>
        </w:pPr>
        <w:rPr>
          <w:rFonts w:hint="default"/>
        </w:rPr>
      </w:lvl>
    </w:lvlOverride>
  </w:num>
  <w:num w:numId="5">
    <w:abstractNumId w:val="11"/>
  </w:num>
  <w:num w:numId="6">
    <w:abstractNumId w:val="21"/>
  </w:num>
  <w:num w:numId="7">
    <w:abstractNumId w:val="0"/>
  </w:num>
  <w:num w:numId="8">
    <w:abstractNumId w:val="9"/>
  </w:num>
  <w:num w:numId="9">
    <w:abstractNumId w:val="14"/>
  </w:num>
  <w:num w:numId="10">
    <w:abstractNumId w:val="4"/>
  </w:num>
  <w:num w:numId="11">
    <w:abstractNumId w:val="9"/>
    <w:lvlOverride w:ilvl="0">
      <w:startOverride w:val="10"/>
    </w:lvlOverride>
  </w:num>
  <w:num w:numId="12">
    <w:abstractNumId w:val="17"/>
  </w:num>
  <w:num w:numId="13">
    <w:abstractNumId w:val="1"/>
  </w:num>
  <w:num w:numId="14">
    <w:abstractNumId w:val="9"/>
    <w:lvlOverride w:ilvl="0">
      <w:startOverride w:val="15"/>
    </w:lvlOverride>
  </w:num>
  <w:num w:numId="15">
    <w:abstractNumId w:val="22"/>
  </w:num>
  <w:num w:numId="16">
    <w:abstractNumId w:val="6"/>
  </w:num>
  <w:num w:numId="17">
    <w:abstractNumId w:val="9"/>
    <w:lvlOverride w:ilvl="0">
      <w:startOverride w:val="21"/>
    </w:lvlOverride>
  </w:num>
  <w:num w:numId="18">
    <w:abstractNumId w:val="18"/>
  </w:num>
  <w:num w:numId="19">
    <w:abstractNumId w:val="15"/>
  </w:num>
  <w:num w:numId="20">
    <w:abstractNumId w:val="9"/>
    <w:lvlOverride w:ilvl="0">
      <w:startOverride w:val="23"/>
      <w:lvl w:ilvl="0" w:tplc="8F9610CE">
        <w:start w:val="23"/>
        <w:numFmt w:val="decimal"/>
        <w:lvlText w:val="%1."/>
        <w:lvlJc w:val="left"/>
        <w:pPr>
          <w:tabs>
            <w:tab w:val="left" w:pos="1248"/>
            <w:tab w:val="left" w:pos="1814"/>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90B3E6">
        <w:start w:val="1"/>
        <w:numFmt w:val="lowerLetter"/>
        <w:suff w:val="nothing"/>
        <w:lvlText w:val="%2."/>
        <w:lvlJc w:val="left"/>
        <w:pPr>
          <w:tabs>
            <w:tab w:val="left" w:pos="1248"/>
            <w:tab w:val="left" w:pos="1814"/>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444A36C">
        <w:start w:val="1"/>
        <w:numFmt w:val="lowerRoman"/>
        <w:lvlText w:val="%3."/>
        <w:lvlJc w:val="left"/>
        <w:pPr>
          <w:tabs>
            <w:tab w:val="left" w:pos="1248"/>
            <w:tab w:val="left" w:pos="1814"/>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C7A2728">
        <w:start w:val="1"/>
        <w:numFmt w:val="lowerLetter"/>
        <w:lvlText w:val="(%4)"/>
        <w:lvlJc w:val="left"/>
        <w:pPr>
          <w:tabs>
            <w:tab w:val="left" w:pos="1248"/>
            <w:tab w:val="left" w:pos="1814"/>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880AF8A">
        <w:start w:val="1"/>
        <w:numFmt w:val="lowerLetter"/>
        <w:lvlText w:val="%5."/>
        <w:lvlJc w:val="left"/>
        <w:pPr>
          <w:tabs>
            <w:tab w:val="left" w:pos="1248"/>
            <w:tab w:val="left" w:pos="1814"/>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A34555C">
        <w:start w:val="1"/>
        <w:numFmt w:val="lowerRoman"/>
        <w:lvlText w:val="%6."/>
        <w:lvlJc w:val="left"/>
        <w:pPr>
          <w:tabs>
            <w:tab w:val="left" w:pos="1248"/>
            <w:tab w:val="left" w:pos="1814"/>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7DE3A48">
        <w:start w:val="1"/>
        <w:numFmt w:val="decimal"/>
        <w:lvlText w:val="%7."/>
        <w:lvlJc w:val="left"/>
        <w:pPr>
          <w:tabs>
            <w:tab w:val="left" w:pos="1248"/>
            <w:tab w:val="left" w:pos="1814"/>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AB4C586">
        <w:start w:val="1"/>
        <w:numFmt w:val="lowerLetter"/>
        <w:lvlText w:val="%8."/>
        <w:lvlJc w:val="left"/>
        <w:pPr>
          <w:tabs>
            <w:tab w:val="left" w:pos="1248"/>
            <w:tab w:val="left" w:pos="1814"/>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BB2EADE">
        <w:start w:val="1"/>
        <w:numFmt w:val="lowerRoman"/>
        <w:lvlText w:val="%9."/>
        <w:lvlJc w:val="left"/>
        <w:pPr>
          <w:tabs>
            <w:tab w:val="left" w:pos="1248"/>
            <w:tab w:val="left" w:pos="1814"/>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5"/>
  </w:num>
  <w:num w:numId="22">
    <w:abstractNumId w:val="20"/>
  </w:num>
  <w:num w:numId="23">
    <w:abstractNumId w:val="9"/>
    <w:lvlOverride w:ilvl="0">
      <w:startOverride w:val="26"/>
    </w:lvlOverride>
  </w:num>
  <w:num w:numId="24">
    <w:abstractNumId w:val="12"/>
  </w:num>
  <w:num w:numId="25">
    <w:abstractNumId w:val="16"/>
  </w:num>
  <w:num w:numId="26">
    <w:abstractNumId w:val="9"/>
    <w:lvlOverride w:ilvl="0">
      <w:startOverride w:val="33"/>
      <w:lvl w:ilvl="0" w:tplc="8F9610CE">
        <w:start w:val="33"/>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90B3E6">
        <w:start w:val="1"/>
        <w:numFmt w:val="lowerLetter"/>
        <w:suff w:val="nothing"/>
        <w:lvlText w:val="%2."/>
        <w:lvlJc w:val="left"/>
        <w:pPr>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444A36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C7A2728">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880AF8A">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A34555C">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7DE3A4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AB4C5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BB2EADE">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9"/>
    <w:lvlOverride w:ilvl="0">
      <w:startOverride w:val="45"/>
      <w:lvl w:ilvl="0" w:tplc="8F9610CE">
        <w:start w:val="45"/>
        <w:numFmt w:val="decimal"/>
        <w:lvlText w:val="%1."/>
        <w:lvlJc w:val="left"/>
        <w:pPr>
          <w:tabs>
            <w:tab w:val="left" w:pos="1247"/>
            <w:tab w:val="left" w:pos="1815"/>
            <w:tab w:val="left" w:pos="2381"/>
            <w:tab w:val="left" w:pos="2948"/>
            <w:tab w:val="left" w:pos="35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90B3E6">
        <w:start w:val="1"/>
        <w:numFmt w:val="lowerLetter"/>
        <w:suff w:val="nothing"/>
        <w:lvlText w:val="%2."/>
        <w:lvlJc w:val="left"/>
        <w:pPr>
          <w:tabs>
            <w:tab w:val="left" w:pos="1247"/>
            <w:tab w:val="left" w:pos="1815"/>
            <w:tab w:val="left" w:pos="2381"/>
            <w:tab w:val="left" w:pos="2948"/>
            <w:tab w:val="left" w:pos="3515"/>
          </w:tabs>
          <w:ind w:left="1180" w:hanging="1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444A36C">
        <w:start w:val="1"/>
        <w:numFmt w:val="lowerRoman"/>
        <w:lvlText w:val="%3."/>
        <w:lvlJc w:val="left"/>
        <w:pPr>
          <w:tabs>
            <w:tab w:val="left" w:pos="1247"/>
            <w:tab w:val="left" w:pos="1815"/>
            <w:tab w:val="left" w:pos="2381"/>
            <w:tab w:val="left" w:pos="2948"/>
            <w:tab w:val="left" w:pos="3515"/>
          </w:tabs>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C7A2728">
        <w:start w:val="1"/>
        <w:numFmt w:val="lowerLetter"/>
        <w:lvlText w:val="(%4)"/>
        <w:lvlJc w:val="left"/>
        <w:pPr>
          <w:tabs>
            <w:tab w:val="left" w:pos="1247"/>
            <w:tab w:val="left" w:pos="1815"/>
            <w:tab w:val="left" w:pos="2381"/>
            <w:tab w:val="left" w:pos="2948"/>
            <w:tab w:val="left" w:pos="3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880AF8A">
        <w:start w:val="1"/>
        <w:numFmt w:val="lowerLetter"/>
        <w:lvlText w:val="%5."/>
        <w:lvlJc w:val="left"/>
        <w:pPr>
          <w:tabs>
            <w:tab w:val="left" w:pos="1247"/>
            <w:tab w:val="left" w:pos="1815"/>
            <w:tab w:val="left" w:pos="2381"/>
            <w:tab w:val="left" w:pos="2948"/>
          </w:tabs>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A34555C">
        <w:start w:val="1"/>
        <w:numFmt w:val="lowerRoman"/>
        <w:lvlText w:val="%6."/>
        <w:lvlJc w:val="left"/>
        <w:pPr>
          <w:tabs>
            <w:tab w:val="left" w:pos="1247"/>
            <w:tab w:val="left" w:pos="1815"/>
            <w:tab w:val="left" w:pos="2381"/>
            <w:tab w:val="left" w:pos="2948"/>
            <w:tab w:val="left" w:pos="3515"/>
          </w:tabs>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7DE3A48">
        <w:start w:val="1"/>
        <w:numFmt w:val="decimal"/>
        <w:lvlText w:val="%7."/>
        <w:lvlJc w:val="left"/>
        <w:pPr>
          <w:tabs>
            <w:tab w:val="left" w:pos="1247"/>
            <w:tab w:val="left" w:pos="1815"/>
            <w:tab w:val="left" w:pos="2381"/>
            <w:tab w:val="left" w:pos="2948"/>
            <w:tab w:val="left" w:pos="3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AB4C586">
        <w:start w:val="1"/>
        <w:numFmt w:val="lowerLetter"/>
        <w:lvlText w:val="%8."/>
        <w:lvlJc w:val="left"/>
        <w:pPr>
          <w:tabs>
            <w:tab w:val="left" w:pos="1247"/>
            <w:tab w:val="left" w:pos="1815"/>
            <w:tab w:val="left" w:pos="2381"/>
            <w:tab w:val="left" w:pos="2948"/>
            <w:tab w:val="left" w:pos="3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BB2EADE">
        <w:start w:val="1"/>
        <w:numFmt w:val="lowerRoman"/>
        <w:lvlText w:val="%9."/>
        <w:lvlJc w:val="left"/>
        <w:pPr>
          <w:tabs>
            <w:tab w:val="left" w:pos="1247"/>
            <w:tab w:val="left" w:pos="1815"/>
            <w:tab w:val="left" w:pos="2381"/>
            <w:tab w:val="left" w:pos="2948"/>
            <w:tab w:val="left" w:pos="3515"/>
          </w:tabs>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9"/>
    <w:lvlOverride w:ilvl="0">
      <w:lvl w:ilvl="0" w:tplc="8F9610C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90B3E6">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444A36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C7A2728">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880AF8A">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A34555C">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DE3A4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AB4C5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BB2EADE">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8"/>
  </w:num>
  <w:num w:numId="30">
    <w:abstractNumId w:val="2"/>
  </w:num>
  <w:num w:numId="31">
    <w:abstractNumId w:val="9"/>
    <w:lvlOverride w:ilvl="0">
      <w:startOverride w:val="52"/>
      <w:lvl w:ilvl="0" w:tplc="8F9610CE">
        <w:start w:val="5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90B3E6">
        <w:start w:val="1"/>
        <w:numFmt w:val="lowerLetter"/>
        <w:suff w:val="nothing"/>
        <w:lvlText w:val="%2."/>
        <w:lvlJc w:val="left"/>
        <w:pPr>
          <w:ind w:left="1191"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444A36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C7A2728">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880AF8A">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A34555C">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7DE3A4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AB4C5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BB2EADE">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9"/>
  </w:num>
  <w:num w:numId="33">
    <w:abstractNumId w:val="10"/>
  </w:num>
  <w:num w:numId="34">
    <w:abstractNumId w:val="9"/>
    <w:lvlOverride w:ilvl="0">
      <w:startOverride w:val="54"/>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s-ES_tradnl" w:vendorID="64" w:dllVersion="0" w:nlCheck="1" w:checkStyle="0"/>
  <w:activeWritingStyle w:appName="MSWord" w:lang="en-CA"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29F1"/>
    <w:rsid w:val="00023DA9"/>
    <w:rsid w:val="000247B0"/>
    <w:rsid w:val="00024DDD"/>
    <w:rsid w:val="00026997"/>
    <w:rsid w:val="00026A08"/>
    <w:rsid w:val="00032AF5"/>
    <w:rsid w:val="00032E4E"/>
    <w:rsid w:val="00033E0B"/>
    <w:rsid w:val="00035EDE"/>
    <w:rsid w:val="00037213"/>
    <w:rsid w:val="00045A6D"/>
    <w:rsid w:val="000509B4"/>
    <w:rsid w:val="000511F9"/>
    <w:rsid w:val="00056C7C"/>
    <w:rsid w:val="00057F78"/>
    <w:rsid w:val="0006035B"/>
    <w:rsid w:val="0006096F"/>
    <w:rsid w:val="000649C5"/>
    <w:rsid w:val="000656E9"/>
    <w:rsid w:val="00071886"/>
    <w:rsid w:val="0007391D"/>
    <w:rsid w:val="000742BC"/>
    <w:rsid w:val="00076CC6"/>
    <w:rsid w:val="00082157"/>
    <w:rsid w:val="00082A0C"/>
    <w:rsid w:val="00083504"/>
    <w:rsid w:val="0009640C"/>
    <w:rsid w:val="00096D63"/>
    <w:rsid w:val="00096E68"/>
    <w:rsid w:val="000A1C5F"/>
    <w:rsid w:val="000A7C0C"/>
    <w:rsid w:val="000B22A2"/>
    <w:rsid w:val="000B541B"/>
    <w:rsid w:val="000B73F9"/>
    <w:rsid w:val="000C2A52"/>
    <w:rsid w:val="000C2A88"/>
    <w:rsid w:val="000D33C0"/>
    <w:rsid w:val="000D4CF6"/>
    <w:rsid w:val="000D6941"/>
    <w:rsid w:val="000F2B83"/>
    <w:rsid w:val="000F35BF"/>
    <w:rsid w:val="000F4829"/>
    <w:rsid w:val="000F6B21"/>
    <w:rsid w:val="00102EFB"/>
    <w:rsid w:val="00115285"/>
    <w:rsid w:val="001202E3"/>
    <w:rsid w:val="001224E5"/>
    <w:rsid w:val="00123699"/>
    <w:rsid w:val="001241FB"/>
    <w:rsid w:val="0013059D"/>
    <w:rsid w:val="00133141"/>
    <w:rsid w:val="00134E78"/>
    <w:rsid w:val="00136187"/>
    <w:rsid w:val="001362CE"/>
    <w:rsid w:val="00141592"/>
    <w:rsid w:val="00141A55"/>
    <w:rsid w:val="0014293F"/>
    <w:rsid w:val="0014397D"/>
    <w:rsid w:val="001446A3"/>
    <w:rsid w:val="00152B6B"/>
    <w:rsid w:val="00155395"/>
    <w:rsid w:val="00155A2F"/>
    <w:rsid w:val="00156B6B"/>
    <w:rsid w:val="00160D74"/>
    <w:rsid w:val="001646EA"/>
    <w:rsid w:val="00165629"/>
    <w:rsid w:val="00167D02"/>
    <w:rsid w:val="001759D8"/>
    <w:rsid w:val="00177911"/>
    <w:rsid w:val="00177D7F"/>
    <w:rsid w:val="001805B4"/>
    <w:rsid w:val="00180C3F"/>
    <w:rsid w:val="00181EC8"/>
    <w:rsid w:val="00184349"/>
    <w:rsid w:val="00184B80"/>
    <w:rsid w:val="00191AC0"/>
    <w:rsid w:val="00195F33"/>
    <w:rsid w:val="00197072"/>
    <w:rsid w:val="001A47E5"/>
    <w:rsid w:val="001B1617"/>
    <w:rsid w:val="001B504B"/>
    <w:rsid w:val="001B6F98"/>
    <w:rsid w:val="001C0178"/>
    <w:rsid w:val="001C191A"/>
    <w:rsid w:val="001D3874"/>
    <w:rsid w:val="001D74F3"/>
    <w:rsid w:val="001D7E75"/>
    <w:rsid w:val="001E0D73"/>
    <w:rsid w:val="001E3AA1"/>
    <w:rsid w:val="001E45BD"/>
    <w:rsid w:val="001E56D2"/>
    <w:rsid w:val="001E5A0D"/>
    <w:rsid w:val="001E5A23"/>
    <w:rsid w:val="001E7AC9"/>
    <w:rsid w:val="001E7D56"/>
    <w:rsid w:val="001F000E"/>
    <w:rsid w:val="001F331A"/>
    <w:rsid w:val="001F3B72"/>
    <w:rsid w:val="001F4808"/>
    <w:rsid w:val="001F5186"/>
    <w:rsid w:val="001F75DE"/>
    <w:rsid w:val="00200D58"/>
    <w:rsid w:val="002011C1"/>
    <w:rsid w:val="002013BE"/>
    <w:rsid w:val="00201EDC"/>
    <w:rsid w:val="002024B3"/>
    <w:rsid w:val="002063A4"/>
    <w:rsid w:val="00206FF9"/>
    <w:rsid w:val="0021145B"/>
    <w:rsid w:val="00220C23"/>
    <w:rsid w:val="002247F6"/>
    <w:rsid w:val="00225E21"/>
    <w:rsid w:val="00225E44"/>
    <w:rsid w:val="00234E78"/>
    <w:rsid w:val="0024150E"/>
    <w:rsid w:val="00241E0C"/>
    <w:rsid w:val="00243D36"/>
    <w:rsid w:val="00246151"/>
    <w:rsid w:val="00247707"/>
    <w:rsid w:val="00252456"/>
    <w:rsid w:val="0026018E"/>
    <w:rsid w:val="00286740"/>
    <w:rsid w:val="00291EAE"/>
    <w:rsid w:val="002929D8"/>
    <w:rsid w:val="00293254"/>
    <w:rsid w:val="002A237D"/>
    <w:rsid w:val="002A4C53"/>
    <w:rsid w:val="002B0672"/>
    <w:rsid w:val="002B247F"/>
    <w:rsid w:val="002B3112"/>
    <w:rsid w:val="002B50D4"/>
    <w:rsid w:val="002B58BF"/>
    <w:rsid w:val="002C145D"/>
    <w:rsid w:val="002C1B19"/>
    <w:rsid w:val="002C2C3E"/>
    <w:rsid w:val="002C4920"/>
    <w:rsid w:val="002C533E"/>
    <w:rsid w:val="002D027F"/>
    <w:rsid w:val="002D2810"/>
    <w:rsid w:val="002D3E15"/>
    <w:rsid w:val="002D708D"/>
    <w:rsid w:val="002D7A85"/>
    <w:rsid w:val="002D7B60"/>
    <w:rsid w:val="002F0D74"/>
    <w:rsid w:val="002F4761"/>
    <w:rsid w:val="002F5C79"/>
    <w:rsid w:val="002F68EE"/>
    <w:rsid w:val="003019E2"/>
    <w:rsid w:val="00310BEB"/>
    <w:rsid w:val="0031413F"/>
    <w:rsid w:val="003143FC"/>
    <w:rsid w:val="00314854"/>
    <w:rsid w:val="003148BB"/>
    <w:rsid w:val="003178FB"/>
    <w:rsid w:val="00317976"/>
    <w:rsid w:val="00320F2F"/>
    <w:rsid w:val="0032237B"/>
    <w:rsid w:val="0032457E"/>
    <w:rsid w:val="00325D38"/>
    <w:rsid w:val="00342631"/>
    <w:rsid w:val="00343481"/>
    <w:rsid w:val="0034493A"/>
    <w:rsid w:val="0035277E"/>
    <w:rsid w:val="00353CC4"/>
    <w:rsid w:val="00353EC0"/>
    <w:rsid w:val="00355EA9"/>
    <w:rsid w:val="003578DE"/>
    <w:rsid w:val="00361688"/>
    <w:rsid w:val="00380921"/>
    <w:rsid w:val="0038455F"/>
    <w:rsid w:val="003877D5"/>
    <w:rsid w:val="003929B8"/>
    <w:rsid w:val="00393432"/>
    <w:rsid w:val="00396257"/>
    <w:rsid w:val="00397EB8"/>
    <w:rsid w:val="003A4FD0"/>
    <w:rsid w:val="003A69D1"/>
    <w:rsid w:val="003A7705"/>
    <w:rsid w:val="003A77F1"/>
    <w:rsid w:val="003B1545"/>
    <w:rsid w:val="003B7E84"/>
    <w:rsid w:val="003C3219"/>
    <w:rsid w:val="003C409D"/>
    <w:rsid w:val="003C444B"/>
    <w:rsid w:val="003C4544"/>
    <w:rsid w:val="003C5583"/>
    <w:rsid w:val="003C5BA6"/>
    <w:rsid w:val="003C74CF"/>
    <w:rsid w:val="003D3752"/>
    <w:rsid w:val="003E0F2A"/>
    <w:rsid w:val="003E2F62"/>
    <w:rsid w:val="003E35DA"/>
    <w:rsid w:val="003E455D"/>
    <w:rsid w:val="003F0E85"/>
    <w:rsid w:val="003F6C41"/>
    <w:rsid w:val="00410C55"/>
    <w:rsid w:val="00416854"/>
    <w:rsid w:val="00417725"/>
    <w:rsid w:val="0042266F"/>
    <w:rsid w:val="00427174"/>
    <w:rsid w:val="00432EB1"/>
    <w:rsid w:val="00434271"/>
    <w:rsid w:val="00434321"/>
    <w:rsid w:val="00437F26"/>
    <w:rsid w:val="00437FCE"/>
    <w:rsid w:val="00440B2D"/>
    <w:rsid w:val="00444097"/>
    <w:rsid w:val="00444D8D"/>
    <w:rsid w:val="00445487"/>
    <w:rsid w:val="00447C82"/>
    <w:rsid w:val="00447E0D"/>
    <w:rsid w:val="0045076D"/>
    <w:rsid w:val="00453EA8"/>
    <w:rsid w:val="00454769"/>
    <w:rsid w:val="00463E7D"/>
    <w:rsid w:val="00466991"/>
    <w:rsid w:val="0047064C"/>
    <w:rsid w:val="004822B7"/>
    <w:rsid w:val="00483EF1"/>
    <w:rsid w:val="0049469E"/>
    <w:rsid w:val="004969DE"/>
    <w:rsid w:val="004A0AA1"/>
    <w:rsid w:val="004A2217"/>
    <w:rsid w:val="004A24F9"/>
    <w:rsid w:val="004A42E1"/>
    <w:rsid w:val="004A6FA3"/>
    <w:rsid w:val="004B162C"/>
    <w:rsid w:val="004B2ABE"/>
    <w:rsid w:val="004C3DBE"/>
    <w:rsid w:val="004C5C96"/>
    <w:rsid w:val="004C7E9C"/>
    <w:rsid w:val="004D06A4"/>
    <w:rsid w:val="004D3289"/>
    <w:rsid w:val="004D63BC"/>
    <w:rsid w:val="004E1179"/>
    <w:rsid w:val="004F095D"/>
    <w:rsid w:val="004F110C"/>
    <w:rsid w:val="004F1A81"/>
    <w:rsid w:val="004F53B0"/>
    <w:rsid w:val="004F5D88"/>
    <w:rsid w:val="00501354"/>
    <w:rsid w:val="005050D2"/>
    <w:rsid w:val="005218D9"/>
    <w:rsid w:val="00532433"/>
    <w:rsid w:val="00536186"/>
    <w:rsid w:val="00544CBB"/>
    <w:rsid w:val="00545AD9"/>
    <w:rsid w:val="00545BE7"/>
    <w:rsid w:val="00551B65"/>
    <w:rsid w:val="005540BC"/>
    <w:rsid w:val="00556704"/>
    <w:rsid w:val="0056566B"/>
    <w:rsid w:val="005656D7"/>
    <w:rsid w:val="00566023"/>
    <w:rsid w:val="0057315F"/>
    <w:rsid w:val="00576104"/>
    <w:rsid w:val="005805C4"/>
    <w:rsid w:val="00585890"/>
    <w:rsid w:val="005858D4"/>
    <w:rsid w:val="00586418"/>
    <w:rsid w:val="00592B21"/>
    <w:rsid w:val="005B08A1"/>
    <w:rsid w:val="005B2DF4"/>
    <w:rsid w:val="005B44BF"/>
    <w:rsid w:val="005C67C8"/>
    <w:rsid w:val="005C693B"/>
    <w:rsid w:val="005D0249"/>
    <w:rsid w:val="005D18FA"/>
    <w:rsid w:val="005D4FD4"/>
    <w:rsid w:val="005D6E8C"/>
    <w:rsid w:val="005E3004"/>
    <w:rsid w:val="005F100C"/>
    <w:rsid w:val="005F5C7D"/>
    <w:rsid w:val="005F68DA"/>
    <w:rsid w:val="005F7419"/>
    <w:rsid w:val="00601BC9"/>
    <w:rsid w:val="00602576"/>
    <w:rsid w:val="00602796"/>
    <w:rsid w:val="0060773B"/>
    <w:rsid w:val="00613FD6"/>
    <w:rsid w:val="006157B5"/>
    <w:rsid w:val="00617224"/>
    <w:rsid w:val="00623376"/>
    <w:rsid w:val="00626FC6"/>
    <w:rsid w:val="006303B4"/>
    <w:rsid w:val="00630ADC"/>
    <w:rsid w:val="00633D3D"/>
    <w:rsid w:val="00634E0D"/>
    <w:rsid w:val="00641703"/>
    <w:rsid w:val="00641DEF"/>
    <w:rsid w:val="006431A6"/>
    <w:rsid w:val="00643E3A"/>
    <w:rsid w:val="006459F6"/>
    <w:rsid w:val="00647827"/>
    <w:rsid w:val="006501AD"/>
    <w:rsid w:val="00651BFA"/>
    <w:rsid w:val="00654475"/>
    <w:rsid w:val="00656DF0"/>
    <w:rsid w:val="00665A4B"/>
    <w:rsid w:val="00670FAE"/>
    <w:rsid w:val="00677B78"/>
    <w:rsid w:val="00692E2A"/>
    <w:rsid w:val="0069496A"/>
    <w:rsid w:val="00696C1C"/>
    <w:rsid w:val="006A3003"/>
    <w:rsid w:val="006A62EB"/>
    <w:rsid w:val="006A76F2"/>
    <w:rsid w:val="006B59DD"/>
    <w:rsid w:val="006B7D29"/>
    <w:rsid w:val="006C429A"/>
    <w:rsid w:val="006D19D4"/>
    <w:rsid w:val="006D5644"/>
    <w:rsid w:val="006D7EFB"/>
    <w:rsid w:val="006E5977"/>
    <w:rsid w:val="006E6672"/>
    <w:rsid w:val="006E6722"/>
    <w:rsid w:val="006F0221"/>
    <w:rsid w:val="006F7AFF"/>
    <w:rsid w:val="007027B9"/>
    <w:rsid w:val="00703C84"/>
    <w:rsid w:val="007066B5"/>
    <w:rsid w:val="007145DA"/>
    <w:rsid w:val="00715E88"/>
    <w:rsid w:val="00716D8B"/>
    <w:rsid w:val="00725790"/>
    <w:rsid w:val="00731576"/>
    <w:rsid w:val="00734CAA"/>
    <w:rsid w:val="00740EE2"/>
    <w:rsid w:val="00742680"/>
    <w:rsid w:val="0074541F"/>
    <w:rsid w:val="00753511"/>
    <w:rsid w:val="0075533C"/>
    <w:rsid w:val="00755A18"/>
    <w:rsid w:val="00757581"/>
    <w:rsid w:val="007602F5"/>
    <w:rsid w:val="00760D36"/>
    <w:rsid w:val="007611A0"/>
    <w:rsid w:val="00772574"/>
    <w:rsid w:val="00773E54"/>
    <w:rsid w:val="00787688"/>
    <w:rsid w:val="00792908"/>
    <w:rsid w:val="007935E6"/>
    <w:rsid w:val="00796D3F"/>
    <w:rsid w:val="007A1683"/>
    <w:rsid w:val="007A1D5C"/>
    <w:rsid w:val="007A541D"/>
    <w:rsid w:val="007A5C12"/>
    <w:rsid w:val="007A7CB0"/>
    <w:rsid w:val="007B68A3"/>
    <w:rsid w:val="007C2541"/>
    <w:rsid w:val="007D5085"/>
    <w:rsid w:val="007D66A8"/>
    <w:rsid w:val="007E003F"/>
    <w:rsid w:val="007E24BC"/>
    <w:rsid w:val="007F0CF8"/>
    <w:rsid w:val="007F5E1B"/>
    <w:rsid w:val="007F62CB"/>
    <w:rsid w:val="00807EBB"/>
    <w:rsid w:val="00810371"/>
    <w:rsid w:val="008142EC"/>
    <w:rsid w:val="008164F2"/>
    <w:rsid w:val="00821395"/>
    <w:rsid w:val="0082389F"/>
    <w:rsid w:val="00830E26"/>
    <w:rsid w:val="00834368"/>
    <w:rsid w:val="0083441A"/>
    <w:rsid w:val="00843576"/>
    <w:rsid w:val="00843B64"/>
    <w:rsid w:val="00845261"/>
    <w:rsid w:val="008473F4"/>
    <w:rsid w:val="008478E9"/>
    <w:rsid w:val="008478FC"/>
    <w:rsid w:val="00847AE1"/>
    <w:rsid w:val="008506DD"/>
    <w:rsid w:val="00851C51"/>
    <w:rsid w:val="008538F7"/>
    <w:rsid w:val="00862CEA"/>
    <w:rsid w:val="00867BFF"/>
    <w:rsid w:val="00871542"/>
    <w:rsid w:val="00872BF6"/>
    <w:rsid w:val="0087472C"/>
    <w:rsid w:val="00876A80"/>
    <w:rsid w:val="0088480A"/>
    <w:rsid w:val="0088757A"/>
    <w:rsid w:val="00887C2E"/>
    <w:rsid w:val="0089431B"/>
    <w:rsid w:val="00895668"/>
    <w:rsid w:val="008957DD"/>
    <w:rsid w:val="00897D98"/>
    <w:rsid w:val="008A33BC"/>
    <w:rsid w:val="008A6DF2"/>
    <w:rsid w:val="008A7807"/>
    <w:rsid w:val="008B4CC9"/>
    <w:rsid w:val="008B613C"/>
    <w:rsid w:val="008C0B15"/>
    <w:rsid w:val="008C5BE3"/>
    <w:rsid w:val="008D2EF8"/>
    <w:rsid w:val="008D572A"/>
    <w:rsid w:val="008D75E4"/>
    <w:rsid w:val="008D7C99"/>
    <w:rsid w:val="008D7F63"/>
    <w:rsid w:val="008E0FCB"/>
    <w:rsid w:val="008F0381"/>
    <w:rsid w:val="008F5E31"/>
    <w:rsid w:val="008F6DFE"/>
    <w:rsid w:val="0090529F"/>
    <w:rsid w:val="00916EEE"/>
    <w:rsid w:val="0092178C"/>
    <w:rsid w:val="00930B88"/>
    <w:rsid w:val="00935376"/>
    <w:rsid w:val="00940DCC"/>
    <w:rsid w:val="0094179A"/>
    <w:rsid w:val="0094459E"/>
    <w:rsid w:val="00944DBC"/>
    <w:rsid w:val="00945763"/>
    <w:rsid w:val="00950977"/>
    <w:rsid w:val="0095117B"/>
    <w:rsid w:val="00951A7B"/>
    <w:rsid w:val="00955512"/>
    <w:rsid w:val="009564A6"/>
    <w:rsid w:val="00957EF8"/>
    <w:rsid w:val="00964655"/>
    <w:rsid w:val="00966A53"/>
    <w:rsid w:val="00967621"/>
    <w:rsid w:val="00967E6A"/>
    <w:rsid w:val="00970F26"/>
    <w:rsid w:val="00985E38"/>
    <w:rsid w:val="009907B9"/>
    <w:rsid w:val="00990918"/>
    <w:rsid w:val="009A3A83"/>
    <w:rsid w:val="009B4A0F"/>
    <w:rsid w:val="009C11D2"/>
    <w:rsid w:val="009C6C70"/>
    <w:rsid w:val="009C7B0A"/>
    <w:rsid w:val="009D0B63"/>
    <w:rsid w:val="009D5CB8"/>
    <w:rsid w:val="009E307E"/>
    <w:rsid w:val="009E7F55"/>
    <w:rsid w:val="00A0004F"/>
    <w:rsid w:val="00A06A0E"/>
    <w:rsid w:val="00A07870"/>
    <w:rsid w:val="00A07C54"/>
    <w:rsid w:val="00A07F19"/>
    <w:rsid w:val="00A10ABB"/>
    <w:rsid w:val="00A113D4"/>
    <w:rsid w:val="00A1348D"/>
    <w:rsid w:val="00A13C99"/>
    <w:rsid w:val="00A169B8"/>
    <w:rsid w:val="00A2126A"/>
    <w:rsid w:val="00A232EE"/>
    <w:rsid w:val="00A334A9"/>
    <w:rsid w:val="00A36AA0"/>
    <w:rsid w:val="00A40DC4"/>
    <w:rsid w:val="00A4175F"/>
    <w:rsid w:val="00A44411"/>
    <w:rsid w:val="00A469FA"/>
    <w:rsid w:val="00A504F8"/>
    <w:rsid w:val="00A526FD"/>
    <w:rsid w:val="00A53662"/>
    <w:rsid w:val="00A55B01"/>
    <w:rsid w:val="00A56B5B"/>
    <w:rsid w:val="00A603FF"/>
    <w:rsid w:val="00A619B6"/>
    <w:rsid w:val="00A62E07"/>
    <w:rsid w:val="00A648CA"/>
    <w:rsid w:val="00A657DD"/>
    <w:rsid w:val="00A666A6"/>
    <w:rsid w:val="00A675FD"/>
    <w:rsid w:val="00A72437"/>
    <w:rsid w:val="00A8048B"/>
    <w:rsid w:val="00A80611"/>
    <w:rsid w:val="00A872A9"/>
    <w:rsid w:val="00A97C7B"/>
    <w:rsid w:val="00AA382F"/>
    <w:rsid w:val="00AA5BF4"/>
    <w:rsid w:val="00AB5340"/>
    <w:rsid w:val="00AC0A89"/>
    <w:rsid w:val="00AC4EA4"/>
    <w:rsid w:val="00AC7C96"/>
    <w:rsid w:val="00AD3593"/>
    <w:rsid w:val="00AD79BC"/>
    <w:rsid w:val="00AE0812"/>
    <w:rsid w:val="00AE237D"/>
    <w:rsid w:val="00AE502A"/>
    <w:rsid w:val="00AF0010"/>
    <w:rsid w:val="00AF1AA8"/>
    <w:rsid w:val="00AF2C1F"/>
    <w:rsid w:val="00AF7C07"/>
    <w:rsid w:val="00B06C64"/>
    <w:rsid w:val="00B07D8E"/>
    <w:rsid w:val="00B11CAC"/>
    <w:rsid w:val="00B120C0"/>
    <w:rsid w:val="00B15A29"/>
    <w:rsid w:val="00B22C93"/>
    <w:rsid w:val="00B24C34"/>
    <w:rsid w:val="00B27589"/>
    <w:rsid w:val="00B3331E"/>
    <w:rsid w:val="00B405B7"/>
    <w:rsid w:val="00B468C0"/>
    <w:rsid w:val="00B52222"/>
    <w:rsid w:val="00B531DA"/>
    <w:rsid w:val="00B54895"/>
    <w:rsid w:val="00B54E28"/>
    <w:rsid w:val="00B54FE7"/>
    <w:rsid w:val="00B61F51"/>
    <w:rsid w:val="00B6443E"/>
    <w:rsid w:val="00B647C6"/>
    <w:rsid w:val="00B655F9"/>
    <w:rsid w:val="00B66901"/>
    <w:rsid w:val="00B66F60"/>
    <w:rsid w:val="00B71E6D"/>
    <w:rsid w:val="00B72070"/>
    <w:rsid w:val="00B76C69"/>
    <w:rsid w:val="00B779E1"/>
    <w:rsid w:val="00B81E3A"/>
    <w:rsid w:val="00B82C2A"/>
    <w:rsid w:val="00B82FF6"/>
    <w:rsid w:val="00B8400F"/>
    <w:rsid w:val="00B85CFB"/>
    <w:rsid w:val="00B901ED"/>
    <w:rsid w:val="00B914E9"/>
    <w:rsid w:val="00B91EE1"/>
    <w:rsid w:val="00B93064"/>
    <w:rsid w:val="00B94602"/>
    <w:rsid w:val="00BA0090"/>
    <w:rsid w:val="00BA0A62"/>
    <w:rsid w:val="00BA1A67"/>
    <w:rsid w:val="00BA6A80"/>
    <w:rsid w:val="00BB4589"/>
    <w:rsid w:val="00BB4ABB"/>
    <w:rsid w:val="00BC117D"/>
    <w:rsid w:val="00BC62BA"/>
    <w:rsid w:val="00BC7851"/>
    <w:rsid w:val="00BE40F8"/>
    <w:rsid w:val="00BE5B5F"/>
    <w:rsid w:val="00BE7993"/>
    <w:rsid w:val="00BF3195"/>
    <w:rsid w:val="00C07F22"/>
    <w:rsid w:val="00C11971"/>
    <w:rsid w:val="00C13A85"/>
    <w:rsid w:val="00C179DE"/>
    <w:rsid w:val="00C26F55"/>
    <w:rsid w:val="00C30C63"/>
    <w:rsid w:val="00C30F09"/>
    <w:rsid w:val="00C30FF3"/>
    <w:rsid w:val="00C34D5C"/>
    <w:rsid w:val="00C36B8B"/>
    <w:rsid w:val="00C415C1"/>
    <w:rsid w:val="00C472C6"/>
    <w:rsid w:val="00C47DBF"/>
    <w:rsid w:val="00C51FAC"/>
    <w:rsid w:val="00C552FF"/>
    <w:rsid w:val="00C558DA"/>
    <w:rsid w:val="00C55AF3"/>
    <w:rsid w:val="00C5665B"/>
    <w:rsid w:val="00C647E3"/>
    <w:rsid w:val="00C75BD1"/>
    <w:rsid w:val="00C771A9"/>
    <w:rsid w:val="00C82943"/>
    <w:rsid w:val="00C84759"/>
    <w:rsid w:val="00C93096"/>
    <w:rsid w:val="00C94CD2"/>
    <w:rsid w:val="00CA5CA9"/>
    <w:rsid w:val="00CA6C7F"/>
    <w:rsid w:val="00CB007D"/>
    <w:rsid w:val="00CB60CA"/>
    <w:rsid w:val="00CC0FC7"/>
    <w:rsid w:val="00CC10A6"/>
    <w:rsid w:val="00CD030D"/>
    <w:rsid w:val="00CD5EB8"/>
    <w:rsid w:val="00CD7044"/>
    <w:rsid w:val="00CE08B9"/>
    <w:rsid w:val="00CE2D6A"/>
    <w:rsid w:val="00CE3515"/>
    <w:rsid w:val="00CE39D0"/>
    <w:rsid w:val="00CE524C"/>
    <w:rsid w:val="00CF141F"/>
    <w:rsid w:val="00CF4777"/>
    <w:rsid w:val="00CF65C8"/>
    <w:rsid w:val="00D013F5"/>
    <w:rsid w:val="00D05E3F"/>
    <w:rsid w:val="00D067BB"/>
    <w:rsid w:val="00D1352A"/>
    <w:rsid w:val="00D1638E"/>
    <w:rsid w:val="00D168F6"/>
    <w:rsid w:val="00D169AF"/>
    <w:rsid w:val="00D17CBA"/>
    <w:rsid w:val="00D200EF"/>
    <w:rsid w:val="00D25175"/>
    <w:rsid w:val="00D25249"/>
    <w:rsid w:val="00D26854"/>
    <w:rsid w:val="00D3377C"/>
    <w:rsid w:val="00D44172"/>
    <w:rsid w:val="00D47BE3"/>
    <w:rsid w:val="00D55040"/>
    <w:rsid w:val="00D63B8C"/>
    <w:rsid w:val="00D739CC"/>
    <w:rsid w:val="00D73F36"/>
    <w:rsid w:val="00D806F9"/>
    <w:rsid w:val="00D8093D"/>
    <w:rsid w:val="00D8108C"/>
    <w:rsid w:val="00D842AE"/>
    <w:rsid w:val="00D9211C"/>
    <w:rsid w:val="00D92DE0"/>
    <w:rsid w:val="00D92FEF"/>
    <w:rsid w:val="00D931F9"/>
    <w:rsid w:val="00D93A0F"/>
    <w:rsid w:val="00DA1BCA"/>
    <w:rsid w:val="00DA3663"/>
    <w:rsid w:val="00DB1782"/>
    <w:rsid w:val="00DB762F"/>
    <w:rsid w:val="00DC0365"/>
    <w:rsid w:val="00DC274A"/>
    <w:rsid w:val="00DC46FF"/>
    <w:rsid w:val="00DC5254"/>
    <w:rsid w:val="00DC569D"/>
    <w:rsid w:val="00DC5DF1"/>
    <w:rsid w:val="00DC6081"/>
    <w:rsid w:val="00DD1A4F"/>
    <w:rsid w:val="00DD3107"/>
    <w:rsid w:val="00DD3B96"/>
    <w:rsid w:val="00DD7C2C"/>
    <w:rsid w:val="00DE0A5C"/>
    <w:rsid w:val="00DE1183"/>
    <w:rsid w:val="00DE5BDA"/>
    <w:rsid w:val="00DF2400"/>
    <w:rsid w:val="00DF2DC1"/>
    <w:rsid w:val="00DF433C"/>
    <w:rsid w:val="00DF519F"/>
    <w:rsid w:val="00DF52C2"/>
    <w:rsid w:val="00E0035A"/>
    <w:rsid w:val="00E01E99"/>
    <w:rsid w:val="00E021C7"/>
    <w:rsid w:val="00E06713"/>
    <w:rsid w:val="00E06797"/>
    <w:rsid w:val="00E0707C"/>
    <w:rsid w:val="00E1136D"/>
    <w:rsid w:val="00E1226B"/>
    <w:rsid w:val="00E1265B"/>
    <w:rsid w:val="00E12E09"/>
    <w:rsid w:val="00E13B48"/>
    <w:rsid w:val="00E1404F"/>
    <w:rsid w:val="00E21A92"/>
    <w:rsid w:val="00E21C83"/>
    <w:rsid w:val="00E24ADA"/>
    <w:rsid w:val="00E26A0D"/>
    <w:rsid w:val="00E271D7"/>
    <w:rsid w:val="00E32F59"/>
    <w:rsid w:val="00E41908"/>
    <w:rsid w:val="00E46D9A"/>
    <w:rsid w:val="00E565FF"/>
    <w:rsid w:val="00E566CC"/>
    <w:rsid w:val="00E65388"/>
    <w:rsid w:val="00E7741D"/>
    <w:rsid w:val="00E808CD"/>
    <w:rsid w:val="00E8348F"/>
    <w:rsid w:val="00E85B7D"/>
    <w:rsid w:val="00E9121B"/>
    <w:rsid w:val="00E9302E"/>
    <w:rsid w:val="00E95B21"/>
    <w:rsid w:val="00E9604D"/>
    <w:rsid w:val="00E976AB"/>
    <w:rsid w:val="00EA0AE2"/>
    <w:rsid w:val="00EA39E5"/>
    <w:rsid w:val="00EA57A3"/>
    <w:rsid w:val="00EC2813"/>
    <w:rsid w:val="00EC5A46"/>
    <w:rsid w:val="00EC618F"/>
    <w:rsid w:val="00EC63E2"/>
    <w:rsid w:val="00ED0225"/>
    <w:rsid w:val="00ED0EB6"/>
    <w:rsid w:val="00ED366A"/>
    <w:rsid w:val="00ED67E8"/>
    <w:rsid w:val="00ED6BB7"/>
    <w:rsid w:val="00ED77A9"/>
    <w:rsid w:val="00EE1B8E"/>
    <w:rsid w:val="00EE4085"/>
    <w:rsid w:val="00EE6662"/>
    <w:rsid w:val="00EF22B3"/>
    <w:rsid w:val="00EF5AFE"/>
    <w:rsid w:val="00F0205B"/>
    <w:rsid w:val="00F03B69"/>
    <w:rsid w:val="00F07A50"/>
    <w:rsid w:val="00F113DA"/>
    <w:rsid w:val="00F219F7"/>
    <w:rsid w:val="00F24B5C"/>
    <w:rsid w:val="00F266FC"/>
    <w:rsid w:val="00F3037A"/>
    <w:rsid w:val="00F3465A"/>
    <w:rsid w:val="00F37DC8"/>
    <w:rsid w:val="00F4344C"/>
    <w:rsid w:val="00F439B3"/>
    <w:rsid w:val="00F46A39"/>
    <w:rsid w:val="00F565F4"/>
    <w:rsid w:val="00F57099"/>
    <w:rsid w:val="00F61B5A"/>
    <w:rsid w:val="00F650C3"/>
    <w:rsid w:val="00F65D85"/>
    <w:rsid w:val="00F6700B"/>
    <w:rsid w:val="00F7137B"/>
    <w:rsid w:val="00F8091E"/>
    <w:rsid w:val="00F8615C"/>
    <w:rsid w:val="00F931FD"/>
    <w:rsid w:val="00F9664E"/>
    <w:rsid w:val="00F969E5"/>
    <w:rsid w:val="00F96F7E"/>
    <w:rsid w:val="00FA094A"/>
    <w:rsid w:val="00FA4972"/>
    <w:rsid w:val="00FA590A"/>
    <w:rsid w:val="00FA6BB0"/>
    <w:rsid w:val="00FB2DBD"/>
    <w:rsid w:val="00FB5D24"/>
    <w:rsid w:val="00FD0905"/>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406B4B"/>
  <w15:docId w15:val="{5F634194-2451-4757-927E-C58CE317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F110C"/>
    <w:pPr>
      <w:pBdr>
        <w:top w:val="nil"/>
        <w:left w:val="nil"/>
        <w:bottom w:val="nil"/>
        <w:right w:val="nil"/>
        <w:between w:val="nil"/>
        <w:bar w:val="nil"/>
      </w:pBdr>
    </w:pPr>
    <w:rPr>
      <w:rFonts w:eastAsia="Arial Unicode MS"/>
      <w:sz w:val="24"/>
      <w:szCs w:val="24"/>
      <w:bdr w:val="nil"/>
      <w:lang w:val="en-US"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rPr>
  </w:style>
  <w:style w:type="paragraph" w:styleId="Heading6">
    <w:name w:val="heading 6"/>
    <w:basedOn w:val="Normal"/>
    <w:next w:val="Normal"/>
    <w:qFormat/>
    <w:rsid w:val="000D6941"/>
    <w:pPr>
      <w:keepNext/>
      <w:ind w:left="578"/>
      <w:outlineLvl w:val="5"/>
    </w:pPr>
    <w:rPr>
      <w:b/>
      <w:bCs/>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ind w:left="1000"/>
    </w:pPr>
    <w:rPr>
      <w:sz w:val="18"/>
      <w:szCs w:val="18"/>
    </w:rPr>
  </w:style>
  <w:style w:type="paragraph" w:styleId="TOC7">
    <w:name w:val="toc 7"/>
    <w:basedOn w:val="Normal"/>
    <w:next w:val="Normal"/>
    <w:autoRedefine/>
    <w:semiHidden/>
    <w:rsid w:val="000D6941"/>
    <w:pPr>
      <w:ind w:left="1200"/>
    </w:pPr>
    <w:rPr>
      <w:sz w:val="18"/>
      <w:szCs w:val="18"/>
    </w:rPr>
  </w:style>
  <w:style w:type="paragraph" w:styleId="TOC8">
    <w:name w:val="toc 8"/>
    <w:basedOn w:val="Normal"/>
    <w:next w:val="Normal"/>
    <w:autoRedefine/>
    <w:semiHidden/>
    <w:rsid w:val="000D6941"/>
    <w:pPr>
      <w:ind w:left="1400"/>
    </w:pPr>
    <w:rPr>
      <w:sz w:val="18"/>
      <w:szCs w:val="18"/>
    </w:rPr>
  </w:style>
  <w:style w:type="paragraph" w:styleId="TOC9">
    <w:name w:val="toc 9"/>
    <w:basedOn w:val="Normal"/>
    <w:next w:val="Normal"/>
    <w:autoRedefine/>
    <w:semiHidden/>
    <w:rsid w:val="000D6941"/>
    <w:pPr>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8A33BC"/>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rsid w:val="00D55040"/>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353EC0"/>
    <w:rPr>
      <w:b/>
      <w:sz w:val="28"/>
      <w:szCs w:val="28"/>
      <w:lang w:eastAsia="en-US"/>
    </w:rPr>
  </w:style>
  <w:style w:type="character" w:customStyle="1" w:styleId="CH2Char">
    <w:name w:val="CH2 Char"/>
    <w:link w:val="CH2"/>
    <w:rsid w:val="00353EC0"/>
    <w:rPr>
      <w:b/>
      <w:sz w:val="24"/>
      <w:szCs w:val="24"/>
      <w:lang w:eastAsia="en-US"/>
    </w:rPr>
  </w:style>
  <w:style w:type="character" w:customStyle="1" w:styleId="ZZAnxtitleChar">
    <w:name w:val="ZZ_Anx_title Char"/>
    <w:link w:val="ZZAnxtitle"/>
    <w:rsid w:val="00353EC0"/>
    <w:rPr>
      <w:b/>
      <w:bCs/>
      <w:sz w:val="28"/>
      <w:szCs w:val="26"/>
      <w:lang w:eastAsia="en-US"/>
    </w:rPr>
  </w:style>
  <w:style w:type="character" w:customStyle="1" w:styleId="ZZAnxheaderChar">
    <w:name w:val="ZZ_Anx_header Char"/>
    <w:link w:val="ZZAnxheader"/>
    <w:rsid w:val="00353EC0"/>
    <w:rPr>
      <w:b/>
      <w:bCs/>
      <w:sz w:val="28"/>
      <w:szCs w:val="22"/>
      <w:lang w:eastAsia="en-US"/>
    </w:rPr>
  </w:style>
  <w:style w:type="paragraph" w:styleId="BodyText">
    <w:name w:val="Body Text"/>
    <w:basedOn w:val="Normal"/>
    <w:link w:val="BodyTextChar"/>
    <w:uiPriority w:val="1"/>
    <w:qFormat/>
    <w:rsid w:val="00353EC0"/>
  </w:style>
  <w:style w:type="character" w:customStyle="1" w:styleId="BodyTextChar">
    <w:name w:val="Body Text Char"/>
    <w:basedOn w:val="DefaultParagraphFont"/>
    <w:link w:val="BodyText"/>
    <w:uiPriority w:val="1"/>
    <w:rsid w:val="00353EC0"/>
    <w:rPr>
      <w:sz w:val="24"/>
      <w:szCs w:val="24"/>
      <w:lang w:val="en-US" w:eastAsia="en-US"/>
    </w:rPr>
  </w:style>
  <w:style w:type="character" w:customStyle="1" w:styleId="HeaderChar">
    <w:name w:val="Header Char"/>
    <w:basedOn w:val="DefaultParagraphFont"/>
    <w:link w:val="Header"/>
    <w:uiPriority w:val="99"/>
    <w:rsid w:val="00353EC0"/>
    <w:rPr>
      <w:b/>
      <w:sz w:val="18"/>
      <w:lang w:eastAsia="en-US"/>
    </w:rPr>
  </w:style>
  <w:style w:type="character" w:customStyle="1" w:styleId="FooterChar">
    <w:name w:val="Footer Char"/>
    <w:basedOn w:val="DefaultParagraphFont"/>
    <w:link w:val="Footer"/>
    <w:uiPriority w:val="99"/>
    <w:rsid w:val="00353EC0"/>
    <w:rPr>
      <w:sz w:val="18"/>
      <w:lang w:eastAsia="en-US"/>
    </w:rPr>
  </w:style>
  <w:style w:type="numbering" w:customStyle="1" w:styleId="Importovanstyl1">
    <w:name w:val="Importovaný styl 1"/>
    <w:rsid w:val="004F110C"/>
    <w:pPr>
      <w:numPr>
        <w:numId w:val="7"/>
      </w:numPr>
    </w:pPr>
  </w:style>
  <w:style w:type="numbering" w:customStyle="1" w:styleId="Importovanstyl2">
    <w:name w:val="Importovaný styl 2"/>
    <w:rsid w:val="004F110C"/>
    <w:pPr>
      <w:numPr>
        <w:numId w:val="9"/>
      </w:numPr>
    </w:pPr>
  </w:style>
  <w:style w:type="numbering" w:customStyle="1" w:styleId="Importovanstyl3">
    <w:name w:val="Importovaný styl 3"/>
    <w:rsid w:val="004F110C"/>
    <w:pPr>
      <w:numPr>
        <w:numId w:val="12"/>
      </w:numPr>
    </w:pPr>
  </w:style>
  <w:style w:type="numbering" w:customStyle="1" w:styleId="Importovanstyl4">
    <w:name w:val="Importovaný styl 4"/>
    <w:rsid w:val="004F110C"/>
    <w:pPr>
      <w:numPr>
        <w:numId w:val="15"/>
      </w:numPr>
    </w:pPr>
  </w:style>
  <w:style w:type="numbering" w:customStyle="1" w:styleId="Importovanstyl5">
    <w:name w:val="Importovaný styl 5"/>
    <w:rsid w:val="004F110C"/>
    <w:pPr>
      <w:numPr>
        <w:numId w:val="18"/>
      </w:numPr>
    </w:pPr>
  </w:style>
  <w:style w:type="numbering" w:customStyle="1" w:styleId="Importovanstyl6">
    <w:name w:val="Importovaný styl 6"/>
    <w:rsid w:val="004F110C"/>
    <w:pPr>
      <w:numPr>
        <w:numId w:val="21"/>
      </w:numPr>
    </w:pPr>
  </w:style>
  <w:style w:type="numbering" w:customStyle="1" w:styleId="Importovanstyl7">
    <w:name w:val="Importovaný styl 7"/>
    <w:rsid w:val="004F110C"/>
    <w:pPr>
      <w:numPr>
        <w:numId w:val="24"/>
      </w:numPr>
    </w:pPr>
  </w:style>
  <w:style w:type="numbering" w:customStyle="1" w:styleId="Importovanstyl8">
    <w:name w:val="Importovaný styl 8"/>
    <w:rsid w:val="004F110C"/>
    <w:pPr>
      <w:numPr>
        <w:numId w:val="29"/>
      </w:numPr>
    </w:pPr>
  </w:style>
  <w:style w:type="numbering" w:customStyle="1" w:styleId="Importovanstyl9">
    <w:name w:val="Importovaný styl 9"/>
    <w:rsid w:val="004F110C"/>
    <w:pPr>
      <w:numPr>
        <w:numId w:val="32"/>
      </w:numPr>
    </w:pPr>
  </w:style>
  <w:style w:type="paragraph" w:styleId="Caption">
    <w:name w:val="caption"/>
    <w:basedOn w:val="Normal"/>
    <w:next w:val="Normal"/>
    <w:unhideWhenUsed/>
    <w:qFormat/>
    <w:rsid w:val="00096E68"/>
    <w:pPr>
      <w:spacing w:after="200"/>
    </w:pPr>
    <w:rPr>
      <w:i/>
      <w:iCs/>
      <w:color w:val="1F497D" w:themeColor="text2"/>
      <w:sz w:val="18"/>
      <w:szCs w:val="18"/>
    </w:rPr>
  </w:style>
  <w:style w:type="character" w:styleId="FootnoteReference">
    <w:name w:val="footnote reference"/>
    <w:basedOn w:val="DefaultParagraphFont"/>
    <w:semiHidden/>
    <w:unhideWhenUsed/>
    <w:qFormat/>
    <w:rsid w:val="00434271"/>
    <w:rPr>
      <w:vertAlign w:val="superscript"/>
    </w:rPr>
  </w:style>
  <w:style w:type="character" w:customStyle="1" w:styleId="UnresolvedMention1">
    <w:name w:val="Unresolved Mention1"/>
    <w:basedOn w:val="DefaultParagraphFont"/>
    <w:uiPriority w:val="99"/>
    <w:semiHidden/>
    <w:unhideWhenUsed/>
    <w:rsid w:val="00437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amap.no/documents/doc/amap-assessment-2011-mercury-in-the-arctic/90" TargetMode="External"/><Relationship Id="rId2" Type="http://schemas.openxmlformats.org/officeDocument/2006/relationships/hyperlink" Target="http://www.briloon.org/uploads/BRI_Documents/Mercury_Center/Publications/For%252525252520Web%252525252520GBMS%252525252520Booklet%2525252525202018%252525252520.pdf" TargetMode="External"/><Relationship Id="rId1" Type="http://schemas.openxmlformats.org/officeDocument/2006/relationships/hyperlink" Target="https://wedocs.unep.org/handle/20.500.11822/27579" TargetMode="External"/><Relationship Id="rId4" Type="http://schemas.openxmlformats.org/officeDocument/2006/relationships/hyperlink" Target="https://www.amap.no/documents/doc/amap-assessment-2015-human-health-in-the-arctic/13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E538-7437-41FC-8ACC-484263DC1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5762</Words>
  <Characters>32850</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Cynthia Mwanza</cp:lastModifiedBy>
  <cp:revision>4</cp:revision>
  <cp:lastPrinted>2019-11-08T20:29:00Z</cp:lastPrinted>
  <dcterms:created xsi:type="dcterms:W3CDTF">2019-11-20T09:59:00Z</dcterms:created>
  <dcterms:modified xsi:type="dcterms:W3CDTF">2019-11-21T08:34:00Z</dcterms:modified>
</cp:coreProperties>
</file>