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0" w:type="dxa"/>
        <w:tblInd w:w="-34" w:type="dxa"/>
        <w:tblBorders>
          <w:bottom w:val="single" w:sz="24" w:space="0" w:color="auto"/>
          <w:insideH w:val="single" w:sz="8" w:space="0" w:color="auto"/>
        </w:tblBorders>
        <w:tblLayout w:type="fixed"/>
        <w:tblCellMar>
          <w:left w:w="57" w:type="dxa"/>
          <w:right w:w="57" w:type="dxa"/>
        </w:tblCellMar>
        <w:tblLook w:val="0000" w:firstRow="0" w:lastRow="0" w:firstColumn="0" w:lastColumn="0" w:noHBand="0" w:noVBand="0"/>
      </w:tblPr>
      <w:tblGrid>
        <w:gridCol w:w="3403"/>
        <w:gridCol w:w="4536"/>
        <w:gridCol w:w="1701"/>
      </w:tblGrid>
      <w:tr w:rsidR="00DE796A" w14:paraId="43501267" w14:textId="77777777" w:rsidTr="00B212C7">
        <w:trPr>
          <w:cantSplit/>
          <w:trHeight w:val="624"/>
        </w:trPr>
        <w:tc>
          <w:tcPr>
            <w:tcW w:w="3403" w:type="dxa"/>
            <w:tcBorders>
              <w:top w:val="nil"/>
              <w:bottom w:val="nil"/>
            </w:tcBorders>
          </w:tcPr>
          <w:p w14:paraId="315B46E2" w14:textId="77777777" w:rsidR="00DE796A" w:rsidRPr="0064436F" w:rsidRDefault="00934FB6" w:rsidP="000B1AA7">
            <w:pPr>
              <w:spacing w:after="120" w:line="640" w:lineRule="exact"/>
              <w:rPr>
                <w:rFonts w:ascii="Arial" w:hAnsi="Arial" w:cs="Arial"/>
                <w:b/>
                <w:bCs/>
                <w:sz w:val="64"/>
                <w:szCs w:val="64"/>
                <w:lang w:val="en-GB"/>
              </w:rPr>
            </w:pPr>
            <w:r w:rsidRPr="00934FB6">
              <w:rPr>
                <w:rFonts w:ascii="Arial" w:hAnsi="Arial" w:cs="Arial"/>
                <w:b/>
                <w:bCs/>
                <w:sz w:val="64"/>
                <w:szCs w:val="64"/>
              </w:rPr>
              <w:t>MC</w:t>
            </w:r>
          </w:p>
        </w:tc>
        <w:tc>
          <w:tcPr>
            <w:tcW w:w="6237" w:type="dxa"/>
            <w:gridSpan w:val="2"/>
            <w:tcBorders>
              <w:top w:val="nil"/>
              <w:bottom w:val="nil"/>
            </w:tcBorders>
          </w:tcPr>
          <w:p w14:paraId="15BB08DF" w14:textId="77777777" w:rsidR="00DE796A" w:rsidRPr="000844F9" w:rsidRDefault="00DE796A" w:rsidP="00614BE8">
            <w:pPr>
              <w:bidi/>
              <w:spacing w:line="640" w:lineRule="exact"/>
              <w:jc w:val="both"/>
              <w:rPr>
                <w:b/>
                <w:bCs/>
                <w:sz w:val="44"/>
                <w:szCs w:val="44"/>
                <w:rtl/>
              </w:rPr>
            </w:pPr>
            <w:r w:rsidRPr="000844F9">
              <w:rPr>
                <w:rFonts w:hint="cs"/>
                <w:b/>
                <w:bCs/>
                <w:sz w:val="44"/>
                <w:szCs w:val="44"/>
                <w:rtl/>
              </w:rPr>
              <w:t>الأمم المتحدة</w:t>
            </w:r>
          </w:p>
        </w:tc>
      </w:tr>
      <w:tr w:rsidR="004B0A17" w14:paraId="6D3BD447" w14:textId="77777777" w:rsidTr="00B212C7">
        <w:trPr>
          <w:cantSplit/>
          <w:trHeight w:val="254"/>
        </w:trPr>
        <w:tc>
          <w:tcPr>
            <w:tcW w:w="3403" w:type="dxa"/>
            <w:tcBorders>
              <w:top w:val="nil"/>
              <w:bottom w:val="single" w:sz="4" w:space="0" w:color="auto"/>
            </w:tcBorders>
          </w:tcPr>
          <w:p w14:paraId="71DEC684" w14:textId="150BFD02" w:rsidR="004B0A17" w:rsidRPr="002413D6" w:rsidRDefault="00115715" w:rsidP="00DB6CCC">
            <w:pPr>
              <w:rPr>
                <w:rFonts w:cs="Times New Roman"/>
                <w:b/>
                <w:bCs/>
                <w:szCs w:val="20"/>
              </w:rPr>
            </w:pPr>
            <w:r w:rsidRPr="00AB507F">
              <w:rPr>
                <w:rFonts w:cs="Times New Roman"/>
                <w:b/>
                <w:bCs/>
                <w:sz w:val="28"/>
              </w:rPr>
              <w:t>UNEP</w:t>
            </w:r>
            <w:r>
              <w:rPr>
                <w:rFonts w:cs="Times New Roman"/>
              </w:rPr>
              <w:t>/</w:t>
            </w:r>
            <w:r w:rsidR="00934FB6">
              <w:rPr>
                <w:rFonts w:cs="Times New Roman"/>
                <w:szCs w:val="20"/>
              </w:rPr>
              <w:t>MC/COP.</w:t>
            </w:r>
            <w:r w:rsidR="001764C7">
              <w:rPr>
                <w:rFonts w:cs="Times New Roman"/>
                <w:szCs w:val="20"/>
              </w:rPr>
              <w:t>3</w:t>
            </w:r>
            <w:r w:rsidR="00934FB6">
              <w:rPr>
                <w:rFonts w:cs="Times New Roman"/>
                <w:szCs w:val="20"/>
              </w:rPr>
              <w:t>/</w:t>
            </w:r>
            <w:r w:rsidR="002413D6">
              <w:rPr>
                <w:rFonts w:cs="Times New Roman"/>
                <w:szCs w:val="20"/>
              </w:rPr>
              <w:t>14/Add.1</w:t>
            </w:r>
          </w:p>
        </w:tc>
        <w:tc>
          <w:tcPr>
            <w:tcW w:w="6237" w:type="dxa"/>
            <w:gridSpan w:val="2"/>
            <w:tcBorders>
              <w:top w:val="nil"/>
              <w:bottom w:val="single" w:sz="4" w:space="0" w:color="auto"/>
            </w:tcBorders>
          </w:tcPr>
          <w:p w14:paraId="0A72B2A3" w14:textId="77777777" w:rsidR="004B0A17" w:rsidRPr="00F71440" w:rsidRDefault="004B0A17" w:rsidP="004B0A17">
            <w:pPr>
              <w:jc w:val="both"/>
              <w:rPr>
                <w:rFonts w:cs="Times New Roman"/>
                <w:b/>
                <w:bCs/>
                <w:szCs w:val="20"/>
                <w:rtl/>
              </w:rPr>
            </w:pPr>
          </w:p>
        </w:tc>
      </w:tr>
      <w:tr w:rsidR="00DE796A" w14:paraId="0D8768E6" w14:textId="77777777" w:rsidTr="00B212C7">
        <w:trPr>
          <w:cantSplit/>
          <w:trHeight w:val="1892"/>
        </w:trPr>
        <w:tc>
          <w:tcPr>
            <w:tcW w:w="3403" w:type="dxa"/>
            <w:tcBorders>
              <w:top w:val="single" w:sz="4" w:space="0" w:color="auto"/>
              <w:bottom w:val="single" w:sz="24" w:space="0" w:color="auto"/>
            </w:tcBorders>
          </w:tcPr>
          <w:p w14:paraId="2B4BA96C" w14:textId="77777777"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bookmarkStart w:id="0" w:name="_GoBack"/>
            <w:bookmarkEnd w:id="0"/>
          </w:p>
          <w:p w14:paraId="10AF5101" w14:textId="06CE68EF" w:rsidR="00934FB6" w:rsidRPr="002772B3" w:rsidRDefault="002413D6" w:rsidP="00934FB6">
            <w:pPr>
              <w:jc w:val="both"/>
              <w:rPr>
                <w:rFonts w:cs="Times New Roman"/>
                <w:szCs w:val="20"/>
              </w:rPr>
            </w:pPr>
            <w:r>
              <w:rPr>
                <w:rFonts w:cs="Times New Roman"/>
                <w:szCs w:val="20"/>
              </w:rPr>
              <w:t xml:space="preserve">8 October </w:t>
            </w:r>
            <w:r w:rsidR="00934FB6" w:rsidRPr="00A969A0">
              <w:rPr>
                <w:rFonts w:cs="Times New Roman"/>
                <w:szCs w:val="20"/>
              </w:rPr>
              <w:t>20</w:t>
            </w:r>
            <w:r w:rsidR="00934FB6">
              <w:rPr>
                <w:rFonts w:cs="Times New Roman"/>
                <w:szCs w:val="20"/>
              </w:rPr>
              <w:t>1</w:t>
            </w:r>
            <w:r w:rsidR="001764C7">
              <w:rPr>
                <w:rFonts w:cs="Times New Roman"/>
                <w:szCs w:val="20"/>
              </w:rPr>
              <w:t>9</w:t>
            </w:r>
          </w:p>
          <w:p w14:paraId="30C352C1" w14:textId="77777777" w:rsidR="00934FB6" w:rsidRPr="00DA3FB6" w:rsidRDefault="00934FB6" w:rsidP="00E720C8">
            <w:pPr>
              <w:pStyle w:val="Heading5"/>
              <w:spacing w:before="120"/>
              <w:ind w:left="34" w:right="34"/>
              <w:jc w:val="both"/>
              <w:rPr>
                <w:rFonts w:ascii="Times New Roman" w:hAnsi="Times New Roman" w:cs="Times New Roman"/>
                <w:b w:val="0"/>
                <w:bCs w:val="0"/>
                <w:noProof w:val="0"/>
                <w:szCs w:val="20"/>
                <w:lang w:val="en-GB"/>
              </w:rPr>
            </w:pPr>
            <w:r w:rsidRPr="00A969A0">
              <w:rPr>
                <w:rFonts w:ascii="Times New Roman" w:hAnsi="Times New Roman" w:cs="Times New Roman"/>
                <w:b w:val="0"/>
                <w:bCs w:val="0"/>
                <w:noProof w:val="0"/>
                <w:szCs w:val="20"/>
              </w:rPr>
              <w:t>Arabic</w:t>
            </w:r>
          </w:p>
          <w:p w14:paraId="504A8337" w14:textId="77777777" w:rsidR="00DE796A" w:rsidRDefault="00934FB6" w:rsidP="00934FB6">
            <w:pPr>
              <w:ind w:right="34"/>
              <w:jc w:val="both"/>
            </w:pPr>
            <w:r w:rsidRPr="00A969A0">
              <w:rPr>
                <w:rFonts w:cs="Times New Roman"/>
                <w:szCs w:val="20"/>
              </w:rPr>
              <w:t>Original: English</w:t>
            </w:r>
          </w:p>
        </w:tc>
        <w:tc>
          <w:tcPr>
            <w:tcW w:w="4536" w:type="dxa"/>
            <w:tcBorders>
              <w:top w:val="single" w:sz="4" w:space="0" w:color="auto"/>
              <w:bottom w:val="single" w:sz="24" w:space="0" w:color="auto"/>
            </w:tcBorders>
          </w:tcPr>
          <w:p w14:paraId="217CCEE4" w14:textId="77777777" w:rsidR="00317EFB" w:rsidRPr="00643398" w:rsidRDefault="00317EFB" w:rsidP="00E60E51">
            <w:pPr>
              <w:bidi/>
              <w:spacing w:before="840" w:line="620" w:lineRule="exact"/>
              <w:rPr>
                <w:rFonts w:hint="cs"/>
                <w:b/>
                <w:bCs/>
                <w:sz w:val="36"/>
                <w:szCs w:val="36"/>
                <w:rtl/>
              </w:rPr>
            </w:pPr>
            <w:r w:rsidRPr="00E760C7">
              <w:rPr>
                <w:rFonts w:hint="cs"/>
                <w:b/>
                <w:bCs/>
                <w:sz w:val="52"/>
                <w:szCs w:val="52"/>
                <w:rtl/>
              </w:rPr>
              <w:t>برنامج الأمم</w:t>
            </w:r>
          </w:p>
          <w:p w14:paraId="5598AB4C" w14:textId="4C19C1F1" w:rsidR="00DE796A" w:rsidRDefault="00317EFB" w:rsidP="00DA3FB6">
            <w:pPr>
              <w:bidi/>
              <w:spacing w:line="620" w:lineRule="exact"/>
              <w:ind w:left="34" w:hanging="17"/>
              <w:rPr>
                <w:rtl/>
              </w:rPr>
            </w:pPr>
            <w:r w:rsidRPr="00E760C7">
              <w:rPr>
                <w:rFonts w:hint="cs"/>
                <w:b/>
                <w:bCs/>
                <w:sz w:val="52"/>
                <w:szCs w:val="52"/>
                <w:rtl/>
              </w:rPr>
              <w:t>المتحدة للبيئة</w:t>
            </w:r>
          </w:p>
        </w:tc>
        <w:tc>
          <w:tcPr>
            <w:tcW w:w="1701" w:type="dxa"/>
            <w:tcBorders>
              <w:top w:val="single" w:sz="4" w:space="0" w:color="auto"/>
              <w:bottom w:val="single" w:sz="24" w:space="0" w:color="auto"/>
            </w:tcBorders>
          </w:tcPr>
          <w:p w14:paraId="5CF0660A" w14:textId="77E6E52B" w:rsidR="00DE796A" w:rsidRDefault="00E60E51" w:rsidP="007D019B">
            <w:pPr>
              <w:spacing w:line="20" w:lineRule="exact"/>
            </w:pPr>
            <w:r>
              <w:rPr>
                <w:noProof/>
                <w:lang w:val="en-CA" w:eastAsia="en-CA"/>
              </w:rPr>
              <w:drawing>
                <wp:anchor distT="0" distB="0" distL="114300" distR="114300" simplePos="0" relativeHeight="251658240" behindDoc="0" locked="0" layoutInCell="1" allowOverlap="1" wp14:anchorId="6D45A22E" wp14:editId="188580C9">
                  <wp:simplePos x="0" y="0"/>
                  <wp:positionH relativeFrom="column">
                    <wp:posOffset>195368</wp:posOffset>
                  </wp:positionH>
                  <wp:positionV relativeFrom="paragraph">
                    <wp:posOffset>675005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r w:rsidR="00933976">
              <w:rPr>
                <w:noProof/>
                <w:lang w:val="en-CA" w:eastAsia="en-CA"/>
              </w:rPr>
              <w:drawing>
                <wp:anchor distT="0" distB="0" distL="114300" distR="114300" simplePos="0" relativeHeight="251657216" behindDoc="1" locked="0" layoutInCell="1" allowOverlap="1" wp14:anchorId="0B48B7CA" wp14:editId="6C645CE2">
                  <wp:simplePos x="0" y="0"/>
                  <wp:positionH relativeFrom="column">
                    <wp:posOffset>219498</wp:posOffset>
                  </wp:positionH>
                  <wp:positionV relativeFrom="paragraph">
                    <wp:posOffset>20955</wp:posOffset>
                  </wp:positionV>
                  <wp:extent cx="793750" cy="718820"/>
                  <wp:effectExtent l="0" t="0" r="6350" b="5080"/>
                  <wp:wrapTight wrapText="bothSides">
                    <wp:wrapPolygon edited="0">
                      <wp:start x="0" y="0"/>
                      <wp:lineTo x="0" y="21180"/>
                      <wp:lineTo x="21254" y="21180"/>
                      <wp:lineTo x="21254"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93750" cy="71882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2625D8" w:rsidRPr="002625D8" w14:paraId="1390D2F1" w14:textId="77777777" w:rsidTr="00F71440">
        <w:trPr>
          <w:cantSplit/>
          <w:trHeight w:val="2317"/>
        </w:trPr>
        <w:tc>
          <w:tcPr>
            <w:tcW w:w="3403" w:type="dxa"/>
            <w:tcBorders>
              <w:top w:val="single" w:sz="24" w:space="0" w:color="auto"/>
              <w:bottom w:val="nil"/>
            </w:tcBorders>
          </w:tcPr>
          <w:p w14:paraId="5D95DE35" w14:textId="77777777" w:rsidR="002625D8" w:rsidRPr="002625D8" w:rsidRDefault="002625D8" w:rsidP="002625D8">
            <w:pPr>
              <w:bidi/>
              <w:spacing w:before="120" w:after="120" w:line="400" w:lineRule="exact"/>
              <w:jc w:val="both"/>
              <w:rPr>
                <w:rFonts w:ascii="Traditional Arabic" w:hAnsi="Traditional Arabic"/>
                <w:sz w:val="28"/>
                <w:szCs w:val="28"/>
              </w:rPr>
            </w:pPr>
          </w:p>
        </w:tc>
        <w:tc>
          <w:tcPr>
            <w:tcW w:w="6237" w:type="dxa"/>
            <w:gridSpan w:val="2"/>
            <w:tcBorders>
              <w:top w:val="single" w:sz="24" w:space="0" w:color="auto"/>
              <w:bottom w:val="nil"/>
            </w:tcBorders>
          </w:tcPr>
          <w:p w14:paraId="039F54BB" w14:textId="77777777" w:rsidR="002625D8" w:rsidRDefault="002625D8" w:rsidP="002625D8">
            <w:pPr>
              <w:bidi/>
              <w:spacing w:before="60" w:line="360" w:lineRule="exact"/>
              <w:ind w:right="2019"/>
              <w:jc w:val="both"/>
              <w:rPr>
                <w:b/>
                <w:bCs/>
                <w:sz w:val="30"/>
                <w:rtl/>
              </w:rPr>
            </w:pPr>
            <w:r>
              <w:rPr>
                <w:rFonts w:hint="cs"/>
                <w:b/>
                <w:bCs/>
                <w:sz w:val="30"/>
                <w:rtl/>
              </w:rPr>
              <w:t>مؤتمر الأطراف في اتفاقية ميناماتا</w:t>
            </w:r>
          </w:p>
          <w:p w14:paraId="12824EF2" w14:textId="77777777" w:rsidR="002625D8" w:rsidRDefault="002625D8" w:rsidP="002625D8">
            <w:pPr>
              <w:bidi/>
              <w:spacing w:line="360" w:lineRule="exact"/>
              <w:ind w:right="2019"/>
              <w:jc w:val="both"/>
              <w:rPr>
                <w:b/>
                <w:bCs/>
                <w:sz w:val="30"/>
                <w:rtl/>
              </w:rPr>
            </w:pPr>
            <w:r>
              <w:rPr>
                <w:rFonts w:hint="cs"/>
                <w:b/>
                <w:bCs/>
                <w:sz w:val="30"/>
                <w:rtl/>
              </w:rPr>
              <w:t>بشأن الزئبق</w:t>
            </w:r>
          </w:p>
          <w:p w14:paraId="2C1B588E" w14:textId="77777777" w:rsidR="002625D8" w:rsidRPr="00A579D1" w:rsidRDefault="002625D8" w:rsidP="002625D8">
            <w:pPr>
              <w:bidi/>
              <w:spacing w:line="360" w:lineRule="exact"/>
              <w:ind w:right="748"/>
              <w:jc w:val="both"/>
              <w:rPr>
                <w:b/>
                <w:bCs/>
                <w:sz w:val="30"/>
                <w:rtl/>
              </w:rPr>
            </w:pPr>
            <w:r>
              <w:rPr>
                <w:rFonts w:hint="cs"/>
                <w:b/>
                <w:bCs/>
                <w:sz w:val="30"/>
                <w:rtl/>
              </w:rPr>
              <w:t>الاجتماع الثالث</w:t>
            </w:r>
          </w:p>
          <w:p w14:paraId="302113BB" w14:textId="77777777" w:rsidR="002625D8" w:rsidRDefault="002625D8" w:rsidP="002625D8">
            <w:pPr>
              <w:bidi/>
              <w:spacing w:before="40" w:line="360" w:lineRule="exact"/>
              <w:rPr>
                <w:rFonts w:ascii="Traditional Arabic" w:hAnsi="Traditional Arabic"/>
                <w:sz w:val="30"/>
                <w:rtl/>
              </w:rPr>
            </w:pPr>
            <w:r w:rsidRPr="00980B8A">
              <w:rPr>
                <w:rFonts w:ascii="Traditional Arabic" w:hAnsi="Traditional Arabic" w:hint="cs"/>
                <w:sz w:val="30"/>
                <w:rtl/>
              </w:rPr>
              <w:t>جنيف،</w:t>
            </w:r>
            <w:r w:rsidRPr="00980B8A">
              <w:rPr>
                <w:rFonts w:ascii="Traditional Arabic" w:hAnsi="Traditional Arabic"/>
                <w:sz w:val="30"/>
                <w:rtl/>
              </w:rPr>
              <w:t xml:space="preserve"> </w:t>
            </w:r>
            <w:r>
              <w:rPr>
                <w:rFonts w:ascii="Traditional Arabic" w:hAnsi="Traditional Arabic" w:hint="cs"/>
                <w:sz w:val="30"/>
                <w:rtl/>
              </w:rPr>
              <w:t>25</w:t>
            </w:r>
            <w:r w:rsidRPr="00980B8A">
              <w:rPr>
                <w:rFonts w:ascii="Traditional Arabic" w:hAnsi="Traditional Arabic"/>
                <w:sz w:val="30"/>
                <w:rtl/>
              </w:rPr>
              <w:t>-</w:t>
            </w:r>
            <w:r>
              <w:rPr>
                <w:rFonts w:ascii="Traditional Arabic" w:hAnsi="Traditional Arabic" w:hint="cs"/>
                <w:sz w:val="30"/>
                <w:rtl/>
              </w:rPr>
              <w:t>29</w:t>
            </w:r>
            <w:r w:rsidRPr="00980B8A">
              <w:rPr>
                <w:rFonts w:ascii="Traditional Arabic" w:hAnsi="Traditional Arabic"/>
                <w:sz w:val="30"/>
                <w:rtl/>
              </w:rPr>
              <w:t xml:space="preserve"> </w:t>
            </w:r>
            <w:r>
              <w:rPr>
                <w:rFonts w:ascii="Traditional Arabic" w:hAnsi="Traditional Arabic" w:hint="cs"/>
                <w:sz w:val="30"/>
                <w:rtl/>
              </w:rPr>
              <w:t>تشرين الثاني</w:t>
            </w:r>
            <w:r w:rsidRPr="00980B8A">
              <w:rPr>
                <w:rFonts w:ascii="Traditional Arabic" w:hAnsi="Traditional Arabic"/>
                <w:sz w:val="30"/>
                <w:rtl/>
              </w:rPr>
              <w:t>/</w:t>
            </w:r>
            <w:r>
              <w:rPr>
                <w:rFonts w:ascii="Traditional Arabic" w:hAnsi="Traditional Arabic" w:hint="cs"/>
                <w:sz w:val="30"/>
                <w:rtl/>
              </w:rPr>
              <w:t>نوفمب</w:t>
            </w:r>
            <w:r w:rsidRPr="00980B8A">
              <w:rPr>
                <w:rFonts w:ascii="Traditional Arabic" w:hAnsi="Traditional Arabic" w:hint="cs"/>
                <w:sz w:val="30"/>
                <w:rtl/>
              </w:rPr>
              <w:t>ر</w:t>
            </w:r>
            <w:r w:rsidRPr="00980B8A">
              <w:rPr>
                <w:rFonts w:ascii="Traditional Arabic" w:hAnsi="Traditional Arabic"/>
                <w:sz w:val="30"/>
                <w:rtl/>
              </w:rPr>
              <w:t xml:space="preserve"> 201</w:t>
            </w:r>
            <w:r>
              <w:rPr>
                <w:rFonts w:ascii="Traditional Arabic" w:hAnsi="Traditional Arabic" w:hint="cs"/>
                <w:sz w:val="30"/>
                <w:rtl/>
              </w:rPr>
              <w:t>9</w:t>
            </w:r>
          </w:p>
          <w:p w14:paraId="53CD9C06" w14:textId="1E03065B" w:rsidR="002625D8" w:rsidRDefault="002625D8" w:rsidP="002625D8">
            <w:pPr>
              <w:bidi/>
              <w:spacing w:line="360" w:lineRule="exact"/>
              <w:jc w:val="both"/>
              <w:rPr>
                <w:rFonts w:ascii="Traditional Arabic" w:hAnsi="Traditional Arabic" w:hint="cs"/>
                <w:noProof/>
                <w:sz w:val="28"/>
                <w:szCs w:val="28"/>
                <w:rtl/>
                <w:lang w:eastAsia="en-CA"/>
              </w:rPr>
            </w:pPr>
            <w:r w:rsidRPr="00FF3359">
              <w:rPr>
                <w:rFonts w:ascii="Traditional Arabic" w:hAnsi="Traditional Arabic" w:hint="cs"/>
                <w:sz w:val="28"/>
                <w:rtl/>
              </w:rPr>
              <w:t xml:space="preserve">البند </w:t>
            </w:r>
            <w:r w:rsidR="00045B48">
              <w:rPr>
                <w:rFonts w:asciiTheme="minorHAnsi" w:hAnsiTheme="minorHAnsi" w:hint="cs"/>
                <w:sz w:val="28"/>
                <w:rtl/>
              </w:rPr>
              <w:t>5 (ح)</w:t>
            </w:r>
            <w:r>
              <w:rPr>
                <w:rFonts w:asciiTheme="minorHAnsi" w:hAnsiTheme="minorHAnsi" w:hint="cs"/>
                <w:sz w:val="28"/>
                <w:rtl/>
              </w:rPr>
              <w:t xml:space="preserve"> </w:t>
            </w:r>
            <w:r w:rsidRPr="00FF3359">
              <w:rPr>
                <w:rFonts w:ascii="Traditional Arabic" w:hAnsi="Traditional Arabic" w:hint="cs"/>
                <w:sz w:val="28"/>
                <w:rtl/>
              </w:rPr>
              <w:t>من جدول الأعمال المؤقت</w:t>
            </w:r>
            <w:r w:rsidRPr="00262E14">
              <w:rPr>
                <w:sz w:val="28"/>
                <w:szCs w:val="28"/>
                <w:vertAlign w:val="superscript"/>
              </w:rPr>
              <w:footnoteReference w:customMarkFollows="1" w:id="1"/>
              <w:t>*</w:t>
            </w:r>
          </w:p>
          <w:p w14:paraId="4E399EE0" w14:textId="7A8B98AC" w:rsidR="002625D8" w:rsidRPr="002625D8" w:rsidRDefault="00045B48" w:rsidP="00045B48">
            <w:pPr>
              <w:bidi/>
              <w:spacing w:after="120" w:line="360" w:lineRule="exact"/>
              <w:ind w:right="2810"/>
              <w:jc w:val="both"/>
              <w:rPr>
                <w:rFonts w:ascii="Traditional Arabic" w:hAnsi="Traditional Arabic"/>
                <w:noProof/>
                <w:sz w:val="28"/>
                <w:szCs w:val="28"/>
                <w:rtl/>
                <w:lang w:eastAsia="en-CA"/>
              </w:rPr>
            </w:pPr>
            <w:r w:rsidRPr="003B778E">
              <w:rPr>
                <w:rFonts w:ascii="Traditional Arabic" w:hAnsi="Traditional Arabic"/>
                <w:bCs/>
                <w:sz w:val="28"/>
                <w:szCs w:val="28"/>
                <w:rtl/>
              </w:rPr>
              <w:t xml:space="preserve">مسائل تُعرض على مؤتمر الأطراف لكي ينظر فيها أو يتخذ إجراءً بشأنها: </w:t>
            </w:r>
            <w:r>
              <w:rPr>
                <w:rFonts w:ascii="Traditional Arabic" w:hAnsi="Traditional Arabic" w:hint="cs"/>
                <w:bCs/>
                <w:sz w:val="28"/>
                <w:szCs w:val="28"/>
                <w:rtl/>
              </w:rPr>
              <w:t>تقييم الفعالية</w:t>
            </w:r>
          </w:p>
        </w:tc>
      </w:tr>
    </w:tbl>
    <w:p w14:paraId="2E3C0838" w14:textId="77777777" w:rsidR="002D10EB" w:rsidRPr="00045B48" w:rsidRDefault="002D10EB" w:rsidP="00045B48">
      <w:pPr>
        <w:tabs>
          <w:tab w:val="left" w:pos="1699"/>
        </w:tabs>
        <w:bidi/>
        <w:spacing w:before="480" w:after="240" w:line="380" w:lineRule="exact"/>
        <w:ind w:left="1134"/>
        <w:jc w:val="both"/>
        <w:rPr>
          <w:b/>
          <w:bCs/>
          <w:sz w:val="34"/>
          <w:szCs w:val="34"/>
          <w:rtl/>
        </w:rPr>
      </w:pPr>
      <w:r w:rsidRPr="00045B48">
        <w:rPr>
          <w:b/>
          <w:bCs/>
          <w:sz w:val="34"/>
          <w:szCs w:val="34"/>
          <w:rtl/>
        </w:rPr>
        <w:t>تقرير فريق الخبراء التقني المخصص لتقييم الفعالية: الإطار المقترح لتقييم فعالية اتفاقية ميناماتا بشأن الزئبق</w:t>
      </w:r>
    </w:p>
    <w:p w14:paraId="50141194" w14:textId="77777777" w:rsidR="002D10EB" w:rsidRPr="00045B48" w:rsidRDefault="002D10EB" w:rsidP="00045B48">
      <w:pPr>
        <w:tabs>
          <w:tab w:val="left" w:pos="1699"/>
        </w:tabs>
        <w:bidi/>
        <w:spacing w:after="240" w:line="380" w:lineRule="exact"/>
        <w:ind w:left="1134"/>
        <w:jc w:val="both"/>
        <w:rPr>
          <w:b/>
          <w:bCs/>
          <w:sz w:val="32"/>
          <w:szCs w:val="32"/>
          <w:rtl/>
        </w:rPr>
      </w:pPr>
      <w:r w:rsidRPr="00045B48">
        <w:rPr>
          <w:b/>
          <w:bCs/>
          <w:sz w:val="32"/>
          <w:szCs w:val="32"/>
          <w:rtl/>
        </w:rPr>
        <w:t>مذكرة من الأمانة</w:t>
      </w:r>
    </w:p>
    <w:p w14:paraId="2CF33CB3" w14:textId="77777777" w:rsidR="002D10EB" w:rsidRPr="00EE715D" w:rsidRDefault="002D10EB" w:rsidP="002D10EB">
      <w:pPr>
        <w:tabs>
          <w:tab w:val="left" w:pos="1699"/>
        </w:tabs>
        <w:bidi/>
        <w:spacing w:before="120" w:after="120" w:line="380" w:lineRule="exact"/>
        <w:ind w:left="1134"/>
        <w:jc w:val="both"/>
        <w:rPr>
          <w:sz w:val="32"/>
          <w:szCs w:val="32"/>
          <w:rtl/>
        </w:rPr>
      </w:pPr>
      <w:r w:rsidRPr="00EE715D">
        <w:rPr>
          <w:rFonts w:hint="cs"/>
          <w:b/>
          <w:bCs/>
          <w:sz w:val="32"/>
          <w:szCs w:val="32"/>
          <w:rtl/>
        </w:rPr>
        <w:t>إضافة</w:t>
      </w:r>
    </w:p>
    <w:p w14:paraId="0A6C6204" w14:textId="4D1DEC49" w:rsidR="002D10EB" w:rsidRPr="00BB3D58" w:rsidRDefault="002D10EB" w:rsidP="002D10EB">
      <w:pPr>
        <w:tabs>
          <w:tab w:val="left" w:pos="1699"/>
        </w:tabs>
        <w:bidi/>
        <w:spacing w:before="120" w:after="120" w:line="380" w:lineRule="exact"/>
        <w:ind w:left="1134"/>
        <w:jc w:val="both"/>
        <w:rPr>
          <w:rtl/>
        </w:rPr>
      </w:pPr>
      <w:r w:rsidRPr="00BB3D58">
        <w:rPr>
          <w:rtl/>
        </w:rPr>
        <w:t>يتضمن مرفق هذه المذكرة التذييل الأول لتقرير فريق الخبراء التقني المخصص لتقييم الفعالية الوارد في الوثيقة</w:t>
      </w:r>
      <w:r w:rsidRPr="00BB3D58">
        <w:rPr>
          <w:rFonts w:hint="cs"/>
          <w:rtl/>
        </w:rPr>
        <w:t xml:space="preserve"> </w:t>
      </w:r>
      <w:r w:rsidRPr="00BB3D58">
        <w:t>UNEP/MC/COP.3/14</w:t>
      </w:r>
      <w:r w:rsidRPr="00BB3D58">
        <w:rPr>
          <w:rtl/>
        </w:rPr>
        <w:t>. وتجدر الإشارة أيضا</w:t>
      </w:r>
      <w:r w:rsidR="00EE715D">
        <w:rPr>
          <w:rFonts w:hint="cs"/>
          <w:rtl/>
        </w:rPr>
        <w:t>ً</w:t>
      </w:r>
      <w:r w:rsidRPr="00BB3D58">
        <w:rPr>
          <w:rtl/>
        </w:rPr>
        <w:t xml:space="preserve"> إلى أنه يمكن الاطلاع على المعلومات الإضافية المكملة لتقرير فريق الخبراء التقني المخصص في الوثيقة</w:t>
      </w:r>
      <w:r w:rsidRPr="00BB3D58">
        <w:rPr>
          <w:rFonts w:hint="cs"/>
          <w:rtl/>
        </w:rPr>
        <w:t xml:space="preserve"> </w:t>
      </w:r>
      <w:r w:rsidRPr="00BB3D58">
        <w:t>UNEP/MC/COP.3</w:t>
      </w:r>
      <w:r w:rsidR="00EE715D" w:rsidRPr="00BB3D58">
        <w:t>/</w:t>
      </w:r>
      <w:r w:rsidRPr="00BB3D58">
        <w:t>INF/15</w:t>
      </w:r>
      <w:r w:rsidRPr="00BB3D58">
        <w:rPr>
          <w:rtl/>
        </w:rPr>
        <w:t>.</w:t>
      </w:r>
    </w:p>
    <w:p w14:paraId="7AF8F5C3" w14:textId="77777777" w:rsidR="002D10EB" w:rsidRPr="00BB3D58" w:rsidRDefault="002D10EB" w:rsidP="002D10EB">
      <w:pPr>
        <w:tabs>
          <w:tab w:val="left" w:pos="1699"/>
        </w:tabs>
        <w:bidi/>
        <w:spacing w:before="120" w:after="120" w:line="380" w:lineRule="exact"/>
        <w:ind w:left="1134"/>
        <w:jc w:val="both"/>
        <w:rPr>
          <w:rtl/>
        </w:rPr>
      </w:pPr>
      <w:r w:rsidRPr="00BB3D58">
        <w:rPr>
          <w:rtl/>
        </w:rPr>
        <w:br w:type="page"/>
      </w:r>
    </w:p>
    <w:p w14:paraId="3BF93087" w14:textId="77777777" w:rsidR="002D10EB" w:rsidRPr="00045B48" w:rsidRDefault="002D10EB" w:rsidP="00EE715D">
      <w:pPr>
        <w:tabs>
          <w:tab w:val="left" w:pos="1699"/>
        </w:tabs>
        <w:bidi/>
        <w:spacing w:line="380" w:lineRule="exact"/>
        <w:jc w:val="both"/>
        <w:rPr>
          <w:b/>
          <w:bCs/>
          <w:sz w:val="34"/>
          <w:szCs w:val="34"/>
          <w:rtl/>
        </w:rPr>
      </w:pPr>
      <w:r w:rsidRPr="00045B48">
        <w:rPr>
          <w:b/>
          <w:bCs/>
          <w:sz w:val="34"/>
          <w:szCs w:val="34"/>
          <w:rtl/>
        </w:rPr>
        <w:lastRenderedPageBreak/>
        <w:t>المرفق</w:t>
      </w:r>
    </w:p>
    <w:p w14:paraId="5296108E" w14:textId="77777777" w:rsidR="00C61F8C" w:rsidRPr="00045B48" w:rsidRDefault="00C61F8C" w:rsidP="00EE715D">
      <w:pPr>
        <w:tabs>
          <w:tab w:val="left" w:pos="1699"/>
        </w:tabs>
        <w:bidi/>
        <w:spacing w:before="240" w:after="240" w:line="380" w:lineRule="exact"/>
        <w:ind w:left="1134"/>
        <w:jc w:val="both"/>
        <w:rPr>
          <w:b/>
          <w:bCs/>
          <w:sz w:val="34"/>
          <w:szCs w:val="34"/>
          <w:rtl/>
        </w:rPr>
      </w:pPr>
      <w:r w:rsidRPr="00045B48">
        <w:rPr>
          <w:b/>
          <w:bCs/>
          <w:sz w:val="34"/>
          <w:szCs w:val="34"/>
          <w:rtl/>
        </w:rPr>
        <w:t>تقرير فريق الخبراء التقني المخصص لتقييم الفعالية: الإطار المقترح لتقييم فعالية اتفاقية ميناماتا بشأن الزئبق</w:t>
      </w:r>
    </w:p>
    <w:p w14:paraId="61C77A17" w14:textId="3509546E" w:rsidR="002D10EB" w:rsidRPr="00045B48" w:rsidRDefault="002D10EB" w:rsidP="00045B48">
      <w:pPr>
        <w:tabs>
          <w:tab w:val="left" w:pos="1699"/>
        </w:tabs>
        <w:bidi/>
        <w:spacing w:before="120" w:after="120" w:line="380" w:lineRule="exact"/>
        <w:ind w:left="1134"/>
        <w:jc w:val="both"/>
        <w:rPr>
          <w:b/>
          <w:bCs/>
          <w:sz w:val="34"/>
          <w:szCs w:val="34"/>
          <w:rtl/>
        </w:rPr>
      </w:pPr>
      <w:r w:rsidRPr="00045B48">
        <w:rPr>
          <w:b/>
          <w:bCs/>
          <w:sz w:val="34"/>
          <w:szCs w:val="34"/>
          <w:rtl/>
        </w:rPr>
        <w:t>التذييل الأول</w:t>
      </w:r>
    </w:p>
    <w:p w14:paraId="3CA3B666" w14:textId="64FC3392" w:rsidR="002D10EB" w:rsidRPr="00EE715D" w:rsidRDefault="002D10EB" w:rsidP="002D10EB">
      <w:pPr>
        <w:tabs>
          <w:tab w:val="left" w:pos="1699"/>
        </w:tabs>
        <w:bidi/>
        <w:spacing w:before="120" w:after="120" w:line="380" w:lineRule="exact"/>
        <w:ind w:left="1134"/>
        <w:jc w:val="both"/>
        <w:rPr>
          <w:b/>
          <w:bCs/>
          <w:sz w:val="30"/>
          <w:rtl/>
        </w:rPr>
      </w:pPr>
      <w:r w:rsidRPr="00EE715D">
        <w:rPr>
          <w:b/>
          <w:bCs/>
          <w:sz w:val="30"/>
          <w:rtl/>
        </w:rPr>
        <w:t>معلومات تقنية عن الرصد</w:t>
      </w:r>
    </w:p>
    <w:p w14:paraId="6F992C10" w14:textId="0FCDEC7D" w:rsidR="002D10EB" w:rsidRPr="00045B48" w:rsidRDefault="002D10EB" w:rsidP="00045B48">
      <w:pPr>
        <w:tabs>
          <w:tab w:val="left" w:pos="1699"/>
        </w:tabs>
        <w:bidi/>
        <w:spacing w:before="120" w:after="120" w:line="380" w:lineRule="exact"/>
        <w:ind w:left="1134" w:hanging="852"/>
        <w:jc w:val="both"/>
        <w:rPr>
          <w:b/>
          <w:bCs/>
          <w:sz w:val="32"/>
          <w:szCs w:val="32"/>
          <w:rtl/>
        </w:rPr>
      </w:pPr>
      <w:r w:rsidRPr="00045B48">
        <w:rPr>
          <w:b/>
          <w:bCs/>
          <w:sz w:val="32"/>
          <w:szCs w:val="32"/>
          <w:rtl/>
        </w:rPr>
        <w:t>أولا</w:t>
      </w:r>
      <w:r w:rsidR="00045B48" w:rsidRPr="00045B48">
        <w:rPr>
          <w:rFonts w:hint="cs"/>
          <w:b/>
          <w:bCs/>
          <w:sz w:val="32"/>
          <w:szCs w:val="32"/>
          <w:rtl/>
        </w:rPr>
        <w:t>ً</w:t>
      </w:r>
      <w:r w:rsidRPr="00045B48">
        <w:rPr>
          <w:b/>
          <w:bCs/>
          <w:sz w:val="32"/>
          <w:szCs w:val="32"/>
          <w:rtl/>
        </w:rPr>
        <w:t>-</w:t>
      </w:r>
      <w:r w:rsidRPr="00045B48">
        <w:rPr>
          <w:b/>
          <w:bCs/>
          <w:sz w:val="32"/>
          <w:szCs w:val="32"/>
          <w:rtl/>
        </w:rPr>
        <w:tab/>
        <w:t>مقدمة</w:t>
      </w:r>
    </w:p>
    <w:p w14:paraId="623C46D0" w14:textId="34439160" w:rsidR="002D10EB" w:rsidRPr="0092308F" w:rsidRDefault="002D10EB" w:rsidP="00EE1414">
      <w:pPr>
        <w:pStyle w:val="ListParagraph"/>
        <w:numPr>
          <w:ilvl w:val="0"/>
          <w:numId w:val="21"/>
        </w:numPr>
        <w:tabs>
          <w:tab w:val="left" w:pos="1983"/>
        </w:tabs>
        <w:spacing w:after="120" w:line="400" w:lineRule="exact"/>
        <w:ind w:left="1132" w:firstLine="2"/>
        <w:contextualSpacing w:val="0"/>
        <w:jc w:val="both"/>
        <w:rPr>
          <w:rFonts w:ascii="Times New Roman" w:hAnsi="Times New Roman" w:cs="Traditional Arabic"/>
          <w:szCs w:val="30"/>
          <w:rtl/>
        </w:rPr>
      </w:pPr>
      <w:r w:rsidRPr="0092308F">
        <w:rPr>
          <w:rFonts w:ascii="Times New Roman" w:hAnsi="Times New Roman" w:cs="Traditional Arabic"/>
          <w:szCs w:val="30"/>
          <w:rtl/>
        </w:rPr>
        <w:t>يوجز هذا التذييل العمل بشأن ترتيبات الرصد العالمية التي اتخذها فريق الخبراء التقني المخصص لتقييم الفعالية في اجتماعين اثنين عقدا في آذار/مارس ٢٠١٨ ونيسان/أبريل ٢٠١٩، ومن خلال وسائل الاتصال الإلكترونية. ويبدأ الفرع الثاني بتحديد فئات بيانات الرصد المتاحة القابلة للمقارنة الأكثر فعالية في توفير المعلومات عن الاتجاهات العالمية، وبيانات رصد مستويات الزئبق في البيئة، والأوساط الحيوية والفئات السكانية الضعيفة التي يمكن استخدامها لتقييم أثر اتفاقية ميناماتا بشأن الزئبق فيما يتعلق بمستويات الزئبق واتجاهاته، وإمكانيات وقيود البيانات المحددة. أما الباب الثالث فيقيِّم كذلك مدى تلبية المعلومات المستعرضة لاحتياجات تقييم الفعالية، ويحدد الثغرات الرئيسية، ويبين الخيارات المتاحة لتعزيز القابلية للمقارنة واكتمال المعلومات، ويقارن هذه الخيارات على أساس الفعالية من حيث التكلفة والطابع العملي والجدوى والاستدامة والتغطية العالمية والقدرات الإقليمية، بغية تحديد الفرص المتاحة لإدخال تحسينات على الرصد في المستقبل. ويحدد الباب الرابع قدرات النمذجة المتاحة لتقييم التغيرات في مستويات الزئبق العالمية داخل مختلف الأوساط وعبرها، بينما يدرس الفرع الخامس الخيارات المتاحة لإنشاء خط أساس لبيانات الرصد ويحدد مصادر البيانات التي يمكن أن تستخدم لهذا الغرض. وبناء على هذه الاعتبارات، يقترح الفرع السادس ترتيبات للحصول على بيانات الرصد لتقييم الفعالية.</w:t>
      </w:r>
    </w:p>
    <w:p w14:paraId="3D759412" w14:textId="77777777" w:rsidR="002D10EB" w:rsidRPr="0092308F" w:rsidRDefault="002D10EB" w:rsidP="00EE1414">
      <w:pPr>
        <w:pStyle w:val="ListParagraph"/>
        <w:numPr>
          <w:ilvl w:val="0"/>
          <w:numId w:val="21"/>
        </w:numPr>
        <w:tabs>
          <w:tab w:val="left" w:pos="1983"/>
        </w:tabs>
        <w:spacing w:after="120" w:line="400" w:lineRule="exact"/>
        <w:ind w:left="1132" w:firstLine="2"/>
        <w:contextualSpacing w:val="0"/>
        <w:jc w:val="both"/>
        <w:rPr>
          <w:rFonts w:ascii="Times New Roman" w:hAnsi="Times New Roman" w:cs="Traditional Arabic"/>
          <w:szCs w:val="30"/>
          <w:rtl/>
        </w:rPr>
      </w:pPr>
      <w:r w:rsidRPr="0092308F">
        <w:rPr>
          <w:rFonts w:ascii="Times New Roman" w:hAnsi="Times New Roman" w:cs="Traditional Arabic"/>
          <w:szCs w:val="30"/>
          <w:rtl/>
        </w:rPr>
        <w:t xml:space="preserve">وترد في الوثيقة </w:t>
      </w:r>
      <w:r w:rsidRPr="0092308F">
        <w:rPr>
          <w:rFonts w:ascii="Times New Roman" w:hAnsi="Times New Roman" w:cs="Traditional Arabic"/>
          <w:szCs w:val="30"/>
        </w:rPr>
        <w:t>UNEP/MC/COP.3/INF/15</w:t>
      </w:r>
      <w:r w:rsidRPr="0092308F">
        <w:rPr>
          <w:rFonts w:ascii="Times New Roman" w:hAnsi="Times New Roman" w:cs="Traditional Arabic"/>
          <w:szCs w:val="30"/>
          <w:rtl/>
        </w:rPr>
        <w:t xml:space="preserve"> كمية كبيرة من المعلومات التقنية الأخرى ذات الصلة بالرصد التي تكمِّل الاقتراح الوارد في هذا التذييل، بما في ذلك لمحة عامة عن معلومات الرصد المتاحة.</w:t>
      </w:r>
    </w:p>
    <w:p w14:paraId="62BE4FB4" w14:textId="67394753" w:rsidR="002D10EB" w:rsidRPr="002B2446" w:rsidRDefault="002D10EB" w:rsidP="002B2446">
      <w:pPr>
        <w:tabs>
          <w:tab w:val="left" w:pos="1699"/>
        </w:tabs>
        <w:bidi/>
        <w:spacing w:before="120" w:after="120" w:line="380" w:lineRule="exact"/>
        <w:ind w:left="1134" w:hanging="852"/>
        <w:jc w:val="both"/>
        <w:rPr>
          <w:b/>
          <w:bCs/>
          <w:sz w:val="32"/>
          <w:szCs w:val="32"/>
          <w:rtl/>
        </w:rPr>
      </w:pPr>
      <w:r w:rsidRPr="002B2446">
        <w:rPr>
          <w:b/>
          <w:bCs/>
          <w:sz w:val="32"/>
          <w:szCs w:val="32"/>
          <w:rtl/>
        </w:rPr>
        <w:t>ثانيا</w:t>
      </w:r>
      <w:r w:rsidR="002B2446">
        <w:rPr>
          <w:rFonts w:hint="cs"/>
          <w:b/>
          <w:bCs/>
          <w:sz w:val="32"/>
          <w:szCs w:val="32"/>
          <w:rtl/>
        </w:rPr>
        <w:t>ً</w:t>
      </w:r>
      <w:r w:rsidRPr="002B2446">
        <w:rPr>
          <w:b/>
          <w:bCs/>
          <w:sz w:val="32"/>
          <w:szCs w:val="32"/>
          <w:rtl/>
        </w:rPr>
        <w:t>-</w:t>
      </w:r>
      <w:r w:rsidRPr="002B2446">
        <w:rPr>
          <w:b/>
          <w:bCs/>
          <w:sz w:val="32"/>
          <w:szCs w:val="32"/>
          <w:rtl/>
        </w:rPr>
        <w:tab/>
        <w:t>تحديد معلومات وبيانات الرصد</w:t>
      </w:r>
    </w:p>
    <w:p w14:paraId="3A048C13" w14:textId="1596AB1E" w:rsidR="002D10EB" w:rsidRPr="002B2446" w:rsidRDefault="002D10EB" w:rsidP="002B2446">
      <w:pPr>
        <w:tabs>
          <w:tab w:val="left" w:pos="1699"/>
        </w:tabs>
        <w:bidi/>
        <w:spacing w:before="120" w:after="120" w:line="380" w:lineRule="exact"/>
        <w:ind w:left="1134" w:hanging="852"/>
        <w:jc w:val="both"/>
        <w:rPr>
          <w:b/>
          <w:bCs/>
          <w:sz w:val="30"/>
          <w:rtl/>
        </w:rPr>
      </w:pPr>
      <w:r w:rsidRPr="002B2446">
        <w:rPr>
          <w:b/>
          <w:bCs/>
          <w:sz w:val="30"/>
          <w:rtl/>
        </w:rPr>
        <w:t>ألف-</w:t>
      </w:r>
      <w:r w:rsidRPr="002B2446">
        <w:rPr>
          <w:b/>
          <w:bCs/>
          <w:sz w:val="30"/>
          <w:rtl/>
        </w:rPr>
        <w:tab/>
        <w:t>الكيفية التي يمكن أن تسهم بها أنشطة الرصد في وضع إطار تقييم الفعالية</w:t>
      </w:r>
    </w:p>
    <w:p w14:paraId="5B7E8D04" w14:textId="412DE324" w:rsidR="002D10EB" w:rsidRPr="0092308F" w:rsidRDefault="002D10EB" w:rsidP="00EE1414">
      <w:pPr>
        <w:pStyle w:val="ListParagraph"/>
        <w:numPr>
          <w:ilvl w:val="0"/>
          <w:numId w:val="21"/>
        </w:numPr>
        <w:tabs>
          <w:tab w:val="left" w:pos="1983"/>
        </w:tabs>
        <w:spacing w:after="120" w:line="400" w:lineRule="exact"/>
        <w:ind w:left="1132" w:firstLine="2"/>
        <w:contextualSpacing w:val="0"/>
        <w:jc w:val="both"/>
        <w:rPr>
          <w:rFonts w:ascii="Times New Roman" w:hAnsi="Times New Roman" w:cs="Traditional Arabic"/>
          <w:szCs w:val="30"/>
          <w:rtl/>
        </w:rPr>
      </w:pPr>
      <w:r w:rsidRPr="0092308F">
        <w:rPr>
          <w:rFonts w:ascii="Times New Roman" w:hAnsi="Times New Roman" w:cs="Traditional Arabic"/>
          <w:szCs w:val="30"/>
          <w:rtl/>
        </w:rPr>
        <w:t>عند دراسة معلومات وبيانات الرصد نظر الفريق المخصص في المصفوفات المذكورة في المقرر</w:t>
      </w:r>
      <w:r w:rsidR="00EE715D">
        <w:rPr>
          <w:rFonts w:ascii="Times New Roman" w:hAnsi="Times New Roman" w:cs="Traditional Arabic"/>
          <w:szCs w:val="30"/>
          <w:rtl/>
        </w:rPr>
        <w:br/>
      </w:r>
      <w:r w:rsidRPr="0092308F">
        <w:rPr>
          <w:rFonts w:ascii="Times New Roman" w:hAnsi="Times New Roman" w:cs="Traditional Arabic"/>
          <w:szCs w:val="30"/>
          <w:rtl/>
        </w:rPr>
        <w:t xml:space="preserve">ا م-٢/١٠ </w:t>
      </w:r>
      <w:r w:rsidR="008D33EF">
        <w:rPr>
          <w:rFonts w:ascii="Times New Roman" w:hAnsi="Times New Roman" w:cs="Traditional Arabic" w:hint="cs"/>
          <w:szCs w:val="30"/>
          <w:rtl/>
        </w:rPr>
        <w:t xml:space="preserve">بشأن تقييم الفعالية: </w:t>
      </w:r>
      <w:r w:rsidRPr="0092308F">
        <w:rPr>
          <w:rFonts w:ascii="Times New Roman" w:hAnsi="Times New Roman" w:cs="Traditional Arabic"/>
          <w:szCs w:val="30"/>
          <w:rtl/>
        </w:rPr>
        <w:t>الهواء والمياه والكائنات الحية والبشر. وخلص الفريق إلى أن البيانات المتعلقة بمستويات الزئبق ومركباته في الهواء والبشر والأوساط الحيوية متاحة أو يمكن الحصول عليها وستكون قابلة للمقارنة على الصعيد العالمي. ويرى بعض الخبراء أن البيانات المتعلقة بالمياه أيضا</w:t>
      </w:r>
      <w:r w:rsidR="00EE715D">
        <w:rPr>
          <w:rFonts w:ascii="Times New Roman" w:hAnsi="Times New Roman" w:cs="Traditional Arabic" w:hint="cs"/>
          <w:szCs w:val="30"/>
          <w:rtl/>
        </w:rPr>
        <w:t>ً</w:t>
      </w:r>
      <w:r w:rsidRPr="0092308F">
        <w:rPr>
          <w:rFonts w:ascii="Times New Roman" w:hAnsi="Times New Roman" w:cs="Traditional Arabic"/>
          <w:szCs w:val="30"/>
          <w:rtl/>
        </w:rPr>
        <w:t xml:space="preserve"> متاحة إلى حد ما على الصعيد العالمي. وفي الأقسام الفرعية أدناه ترد مناقشات بشأن توفر بيانات الرصد لكل مكون بيولوجي وقابليتها للمقارنة.</w:t>
      </w:r>
    </w:p>
    <w:p w14:paraId="20F4C3AC" w14:textId="0E4D78BC" w:rsidR="002D10EB" w:rsidRPr="0092308F" w:rsidRDefault="002D10EB" w:rsidP="00EE1414">
      <w:pPr>
        <w:pStyle w:val="ListParagraph"/>
        <w:numPr>
          <w:ilvl w:val="0"/>
          <w:numId w:val="21"/>
        </w:numPr>
        <w:tabs>
          <w:tab w:val="left" w:pos="1983"/>
        </w:tabs>
        <w:spacing w:after="120" w:line="400" w:lineRule="exact"/>
        <w:ind w:left="1132" w:firstLine="2"/>
        <w:contextualSpacing w:val="0"/>
        <w:jc w:val="both"/>
        <w:rPr>
          <w:rFonts w:ascii="Times New Roman" w:hAnsi="Times New Roman" w:cs="Traditional Arabic"/>
          <w:szCs w:val="30"/>
          <w:rtl/>
        </w:rPr>
      </w:pPr>
      <w:r w:rsidRPr="0092308F">
        <w:rPr>
          <w:rFonts w:ascii="Times New Roman" w:hAnsi="Times New Roman" w:cs="Traditional Arabic"/>
          <w:szCs w:val="30"/>
          <w:rtl/>
        </w:rPr>
        <w:t>وترتبط مستويات الزئبق في الغلاف الجوي ارتباطا</w:t>
      </w:r>
      <w:r w:rsidR="00EE715D">
        <w:rPr>
          <w:rFonts w:ascii="Times New Roman" w:hAnsi="Times New Roman" w:cs="Traditional Arabic" w:hint="cs"/>
          <w:szCs w:val="30"/>
          <w:rtl/>
        </w:rPr>
        <w:t>ً</w:t>
      </w:r>
      <w:r w:rsidRPr="0092308F">
        <w:rPr>
          <w:rFonts w:ascii="Times New Roman" w:hAnsi="Times New Roman" w:cs="Traditional Arabic"/>
          <w:szCs w:val="30"/>
          <w:rtl/>
        </w:rPr>
        <w:t xml:space="preserve"> مباشرا</w:t>
      </w:r>
      <w:r w:rsidR="00EE715D">
        <w:rPr>
          <w:rFonts w:ascii="Times New Roman" w:hAnsi="Times New Roman" w:cs="Traditional Arabic" w:hint="cs"/>
          <w:szCs w:val="30"/>
          <w:rtl/>
        </w:rPr>
        <w:t>ً</w:t>
      </w:r>
      <w:r w:rsidRPr="0092308F">
        <w:rPr>
          <w:rFonts w:ascii="Times New Roman" w:hAnsi="Times New Roman" w:cs="Traditional Arabic"/>
          <w:szCs w:val="30"/>
          <w:rtl/>
        </w:rPr>
        <w:t xml:space="preserve"> بالانبعاثات من المصادر البشرية المحددة في الاتفاقية. وتسهم أنشطة الرصد الجوي في تقييم فعالية الاتفاقية من خلال الإشارة إلى ما إذا كانت مستويات الزئبق في الغلاف الجوي في زيادة أو انخفاض بسبب التغيرات الحاصلة في انبعاثات الزئبق، لتمكين النماذج من تحديد علاقات المصدر والمستقبل. وتسهم بيانات رصد الغلاف الجوي أيضا</w:t>
      </w:r>
      <w:r w:rsidR="00EE715D">
        <w:rPr>
          <w:rFonts w:ascii="Times New Roman" w:hAnsi="Times New Roman" w:cs="Traditional Arabic" w:hint="cs"/>
          <w:szCs w:val="30"/>
          <w:rtl/>
        </w:rPr>
        <w:t>ً</w:t>
      </w:r>
      <w:r w:rsidRPr="0092308F">
        <w:rPr>
          <w:rFonts w:ascii="Times New Roman" w:hAnsi="Times New Roman" w:cs="Traditional Arabic"/>
          <w:szCs w:val="30"/>
          <w:rtl/>
        </w:rPr>
        <w:t xml:space="preserve"> في قدرات التنبؤ لدى النماذج الإقليمية والعالمية </w:t>
      </w:r>
      <w:r w:rsidRPr="0092308F">
        <w:rPr>
          <w:rFonts w:ascii="Times New Roman" w:hAnsi="Times New Roman" w:cs="Traditional Arabic" w:hint="cs"/>
          <w:szCs w:val="30"/>
          <w:rtl/>
        </w:rPr>
        <w:t>ب</w:t>
      </w:r>
      <w:r w:rsidRPr="0092308F">
        <w:rPr>
          <w:rFonts w:ascii="Times New Roman" w:hAnsi="Times New Roman" w:cs="Traditional Arabic"/>
          <w:szCs w:val="30"/>
          <w:rtl/>
        </w:rPr>
        <w:t>تأثير الزئبق على البيئة، وهو أمر يمكن أن يتأثر أيضا</w:t>
      </w:r>
      <w:r w:rsidR="00EE715D">
        <w:rPr>
          <w:rFonts w:ascii="Times New Roman" w:hAnsi="Times New Roman" w:cs="Traditional Arabic" w:hint="cs"/>
          <w:szCs w:val="30"/>
          <w:rtl/>
        </w:rPr>
        <w:t>ً</w:t>
      </w:r>
      <w:r w:rsidRPr="0092308F">
        <w:rPr>
          <w:rFonts w:ascii="Times New Roman" w:hAnsi="Times New Roman" w:cs="Traditional Arabic"/>
          <w:szCs w:val="30"/>
          <w:rtl/>
        </w:rPr>
        <w:t xml:space="preserve"> بالمسائل الكيميائية الأخرى في الغلاف الجوي.</w:t>
      </w:r>
    </w:p>
    <w:p w14:paraId="69036291" w14:textId="7DA8F979" w:rsidR="002D10EB" w:rsidRPr="0092308F" w:rsidRDefault="002D10EB" w:rsidP="00EE1414">
      <w:pPr>
        <w:pStyle w:val="ListParagraph"/>
        <w:numPr>
          <w:ilvl w:val="0"/>
          <w:numId w:val="21"/>
        </w:numPr>
        <w:tabs>
          <w:tab w:val="left" w:pos="1983"/>
        </w:tabs>
        <w:spacing w:after="120" w:line="400" w:lineRule="exact"/>
        <w:ind w:left="1132" w:firstLine="2"/>
        <w:contextualSpacing w:val="0"/>
        <w:jc w:val="both"/>
        <w:rPr>
          <w:rFonts w:ascii="Times New Roman" w:hAnsi="Times New Roman" w:cs="Traditional Arabic"/>
          <w:szCs w:val="30"/>
          <w:rtl/>
        </w:rPr>
      </w:pPr>
      <w:r w:rsidRPr="0092308F">
        <w:rPr>
          <w:rFonts w:ascii="Times New Roman" w:hAnsi="Times New Roman" w:cs="Traditional Arabic"/>
          <w:szCs w:val="30"/>
          <w:rtl/>
        </w:rPr>
        <w:lastRenderedPageBreak/>
        <w:t>وفيما يتعلق بمساهمة الرصد الأحيائي البشري في تقييم الفعالية فإن لهذا الرصد ميزة تتمثل في توفير معلومات عن التعرض للزئبق من جميع أنواع المصادر، وإدماج نتائج مختلف أنواع تدابير الحد من المخاطر، وتوفير معلومات عن التوزيع الجغرافي، مما يمكن من تحديد المناطق والفئات السكانية التي تحتاج إلى دعم عاجل من حيث تدابير الحد من المخاطر.</w:t>
      </w:r>
    </w:p>
    <w:p w14:paraId="41E940A6" w14:textId="77777777" w:rsidR="002D10EB" w:rsidRPr="0092308F" w:rsidRDefault="002D10EB" w:rsidP="00EE1414">
      <w:pPr>
        <w:pStyle w:val="ListParagraph"/>
        <w:numPr>
          <w:ilvl w:val="0"/>
          <w:numId w:val="21"/>
        </w:numPr>
        <w:tabs>
          <w:tab w:val="left" w:pos="1983"/>
        </w:tabs>
        <w:spacing w:after="120" w:line="400" w:lineRule="exact"/>
        <w:ind w:left="1132" w:firstLine="2"/>
        <w:contextualSpacing w:val="0"/>
        <w:jc w:val="both"/>
        <w:rPr>
          <w:rFonts w:ascii="Times New Roman" w:hAnsi="Times New Roman" w:cs="Traditional Arabic"/>
          <w:szCs w:val="30"/>
          <w:rtl/>
        </w:rPr>
      </w:pPr>
      <w:r w:rsidRPr="0092308F">
        <w:rPr>
          <w:rFonts w:ascii="Times New Roman" w:hAnsi="Times New Roman" w:cs="Traditional Arabic"/>
          <w:szCs w:val="30"/>
          <w:rtl/>
        </w:rPr>
        <w:t>أما فيما يخص رصد الكائنات الحية فإن ميزته تتمثل في تتبع التغيرات في مستويات الزئبق البيئية على الصعيدين الإقليمي والعالمي مما يبين الآثار الإيكولوجية للزئبق وتعرض الإنسان له عن طريق الغذاء.</w:t>
      </w:r>
    </w:p>
    <w:p w14:paraId="2C61F054" w14:textId="2EFE652D" w:rsidR="002D10EB" w:rsidRPr="002B2446" w:rsidRDefault="002D10EB" w:rsidP="002B2446">
      <w:pPr>
        <w:tabs>
          <w:tab w:val="left" w:pos="1699"/>
        </w:tabs>
        <w:bidi/>
        <w:spacing w:before="120" w:after="120" w:line="380" w:lineRule="exact"/>
        <w:ind w:left="1134" w:hanging="852"/>
        <w:jc w:val="both"/>
        <w:rPr>
          <w:b/>
          <w:bCs/>
          <w:sz w:val="30"/>
          <w:rtl/>
        </w:rPr>
      </w:pPr>
      <w:r w:rsidRPr="002B2446">
        <w:rPr>
          <w:b/>
          <w:bCs/>
          <w:sz w:val="30"/>
          <w:rtl/>
        </w:rPr>
        <w:t>باء-</w:t>
      </w:r>
      <w:r w:rsidRPr="002B2446">
        <w:rPr>
          <w:b/>
          <w:bCs/>
          <w:sz w:val="30"/>
          <w:rtl/>
        </w:rPr>
        <w:tab/>
        <w:t>الهواء المحيط</w:t>
      </w:r>
    </w:p>
    <w:p w14:paraId="444DA00E" w14:textId="4D1D6D82" w:rsidR="002D10EB" w:rsidRPr="0092308F" w:rsidRDefault="002D10EB" w:rsidP="006104C4">
      <w:pPr>
        <w:pStyle w:val="ListParagraph"/>
        <w:numPr>
          <w:ilvl w:val="0"/>
          <w:numId w:val="21"/>
        </w:numPr>
        <w:tabs>
          <w:tab w:val="left" w:pos="1983"/>
        </w:tabs>
        <w:spacing w:after="120" w:line="400" w:lineRule="exact"/>
        <w:ind w:left="1132" w:firstLine="2"/>
        <w:contextualSpacing w:val="0"/>
        <w:jc w:val="lowKashida"/>
        <w:rPr>
          <w:rFonts w:ascii="Times New Roman" w:hAnsi="Times New Roman" w:cs="Traditional Arabic"/>
          <w:szCs w:val="30"/>
          <w:rtl/>
        </w:rPr>
      </w:pPr>
      <w:r w:rsidRPr="0092308F">
        <w:rPr>
          <w:rFonts w:ascii="Times New Roman" w:hAnsi="Times New Roman" w:cs="Traditional Arabic"/>
          <w:szCs w:val="30"/>
          <w:rtl/>
        </w:rPr>
        <w:t>قيست مستويات الزئبق في الهواء المحيط في بعض المواقع لفترة طويلة للغاية، وأسهمت البيانات الناتجة في النقاش بشأن الطابع العالمي لمسألة الزئبق. وقد جمع البياناتِ الحالية أصحابُ العديد من الشبكات الوطنية والعالمية باستخدام أساليب مختلفة لأخذ العينات. وجرى التسليم بأن كل البيانات المتاحة حاليا</w:t>
      </w:r>
      <w:r w:rsidR="00EE715D">
        <w:rPr>
          <w:rFonts w:ascii="Times New Roman" w:hAnsi="Times New Roman" w:cs="Traditional Arabic" w:hint="cs"/>
          <w:szCs w:val="30"/>
          <w:rtl/>
        </w:rPr>
        <w:t>ً</w:t>
      </w:r>
      <w:r w:rsidRPr="0092308F">
        <w:rPr>
          <w:rFonts w:ascii="Times New Roman" w:hAnsi="Times New Roman" w:cs="Traditional Arabic"/>
          <w:szCs w:val="30"/>
          <w:rtl/>
        </w:rPr>
        <w:t xml:space="preserve"> لا تتميز بالتغطية العالمية ولكن يمكن أن تكون هناك أساليب مناسبة للحصول على هذه البيانات العالمية (على النحو المحدد في </w:t>
      </w:r>
      <w:r w:rsidRPr="00EE715D">
        <w:rPr>
          <w:rFonts w:ascii="Times New Roman" w:hAnsi="Times New Roman" w:cs="Traditional Arabic"/>
          <w:i/>
          <w:iCs/>
          <w:szCs w:val="30"/>
          <w:rtl/>
        </w:rPr>
        <w:t>التقييم العالمي للزئبق ٢٠١٨</w:t>
      </w:r>
      <w:r w:rsidRPr="0092308F">
        <w:rPr>
          <w:rFonts w:ascii="Times New Roman" w:hAnsi="Times New Roman" w:cs="Traditional Arabic"/>
          <w:szCs w:val="30"/>
          <w:rtl/>
        </w:rPr>
        <w:t>)</w:t>
      </w:r>
      <w:r w:rsidR="001A7D20" w:rsidRPr="00D1471B">
        <w:rPr>
          <w:rFonts w:ascii="Traditional Arabic" w:hAnsi="Traditional Arabic" w:cs="Traditional Arabic" w:hint="cs"/>
          <w:sz w:val="30"/>
          <w:szCs w:val="30"/>
          <w:vertAlign w:val="superscript"/>
          <w:rtl/>
          <w:lang w:eastAsia="zh-TW"/>
        </w:rPr>
        <w:t>(</w:t>
      </w:r>
      <w:r w:rsidR="001A7D20" w:rsidRPr="00D1471B">
        <w:rPr>
          <w:rFonts w:ascii="Traditional Arabic" w:hAnsi="Traditional Arabic" w:cs="Traditional Arabic" w:hint="cs"/>
          <w:sz w:val="30"/>
          <w:szCs w:val="30"/>
          <w:vertAlign w:val="superscript"/>
          <w:rtl/>
          <w:lang w:eastAsia="zh-TW"/>
        </w:rPr>
        <w:footnoteReference w:id="2"/>
      </w:r>
      <w:r w:rsidR="001A7D20" w:rsidRPr="00D1471B">
        <w:rPr>
          <w:rFonts w:ascii="Traditional Arabic" w:hAnsi="Traditional Arabic" w:cs="Traditional Arabic" w:hint="cs"/>
          <w:sz w:val="30"/>
          <w:szCs w:val="30"/>
          <w:vertAlign w:val="superscript"/>
          <w:rtl/>
          <w:lang w:eastAsia="zh-TW"/>
        </w:rPr>
        <w:t>)</w:t>
      </w:r>
      <w:r w:rsidRPr="0092308F">
        <w:rPr>
          <w:rFonts w:ascii="Times New Roman" w:hAnsi="Times New Roman" w:cs="Traditional Arabic"/>
          <w:szCs w:val="30"/>
          <w:rtl/>
        </w:rPr>
        <w:t>. ويرد استعراض عام للشبكات القائمة في الوثيقة المرجعية</w:t>
      </w:r>
      <w:r w:rsidRPr="0092308F">
        <w:rPr>
          <w:rFonts w:ascii="Times New Roman" w:hAnsi="Times New Roman" w:cs="Traditional Arabic" w:hint="cs"/>
          <w:szCs w:val="30"/>
          <w:rtl/>
        </w:rPr>
        <w:t xml:space="preserve"> </w:t>
      </w:r>
      <w:r w:rsidRPr="0092308F">
        <w:rPr>
          <w:rFonts w:ascii="Times New Roman" w:hAnsi="Times New Roman" w:cs="Traditional Arabic"/>
          <w:szCs w:val="30"/>
        </w:rPr>
        <w:t>UNEP/MC/COP.3/INF/15</w:t>
      </w:r>
      <w:r w:rsidRPr="0092308F">
        <w:rPr>
          <w:rFonts w:ascii="Times New Roman" w:hAnsi="Times New Roman" w:cs="Traditional Arabic"/>
          <w:szCs w:val="30"/>
          <w:rtl/>
        </w:rPr>
        <w:t>.</w:t>
      </w:r>
    </w:p>
    <w:p w14:paraId="7102153F" w14:textId="77777777" w:rsidR="002D10EB" w:rsidRPr="0092308F" w:rsidRDefault="002D10EB" w:rsidP="00EE1414">
      <w:pPr>
        <w:pStyle w:val="ListParagraph"/>
        <w:numPr>
          <w:ilvl w:val="0"/>
          <w:numId w:val="21"/>
        </w:numPr>
        <w:tabs>
          <w:tab w:val="left" w:pos="1983"/>
        </w:tabs>
        <w:spacing w:after="120" w:line="400" w:lineRule="exact"/>
        <w:ind w:left="1132" w:firstLine="2"/>
        <w:contextualSpacing w:val="0"/>
        <w:jc w:val="both"/>
        <w:rPr>
          <w:rFonts w:ascii="Times New Roman" w:hAnsi="Times New Roman" w:cs="Traditional Arabic"/>
          <w:szCs w:val="30"/>
          <w:rtl/>
        </w:rPr>
      </w:pPr>
      <w:r w:rsidRPr="0092308F">
        <w:rPr>
          <w:rFonts w:ascii="Times New Roman" w:hAnsi="Times New Roman" w:cs="Traditional Arabic"/>
          <w:szCs w:val="30"/>
          <w:rtl/>
        </w:rPr>
        <w:t>وهناك عدة طرق لقياس الزئبق في الغلاف الجوي؛ وقد حُددت الطرق التي يحتمل أن تكون مناسبة للحصول على بيانات قابلة للمقارنة على الصعيد العالمي وجرى استعراضها. وتقيس هذه الطرق:</w:t>
      </w:r>
    </w:p>
    <w:p w14:paraId="77F5FBC2" w14:textId="460BE913" w:rsidR="002D10EB" w:rsidRPr="0092308F" w:rsidRDefault="002B2446" w:rsidP="002B2446">
      <w:pPr>
        <w:tabs>
          <w:tab w:val="left" w:pos="2692"/>
        </w:tabs>
        <w:bidi/>
        <w:spacing w:after="120" w:line="400" w:lineRule="exact"/>
        <w:ind w:left="1134" w:firstLine="849"/>
        <w:jc w:val="both"/>
        <w:rPr>
          <w:rtl/>
        </w:rPr>
      </w:pPr>
      <w:r>
        <w:rPr>
          <w:rFonts w:hint="cs"/>
          <w:rtl/>
        </w:rPr>
        <w:t>(أ)</w:t>
      </w:r>
      <w:r>
        <w:rPr>
          <w:rtl/>
        </w:rPr>
        <w:tab/>
      </w:r>
      <w:r w:rsidR="002D10EB" w:rsidRPr="0092308F">
        <w:rPr>
          <w:rtl/>
        </w:rPr>
        <w:t>تركيزات الزئبق الغازي الكلي أو الزئبق الغازي النقي في هواء المواقع الأساسية والمتأثرة؛</w:t>
      </w:r>
    </w:p>
    <w:p w14:paraId="32C834A4" w14:textId="23925643" w:rsidR="002D10EB" w:rsidRPr="0092308F" w:rsidRDefault="002B2446" w:rsidP="002B2446">
      <w:pPr>
        <w:tabs>
          <w:tab w:val="left" w:pos="2692"/>
        </w:tabs>
        <w:bidi/>
        <w:spacing w:after="120" w:line="400" w:lineRule="exact"/>
        <w:ind w:left="1134" w:firstLine="849"/>
        <w:jc w:val="both"/>
        <w:rPr>
          <w:rtl/>
        </w:rPr>
      </w:pPr>
      <w:r>
        <w:rPr>
          <w:rFonts w:hint="cs"/>
          <w:rtl/>
        </w:rPr>
        <w:t>(ب)</w:t>
      </w:r>
      <w:r>
        <w:rPr>
          <w:rtl/>
        </w:rPr>
        <w:tab/>
      </w:r>
      <w:r w:rsidR="002D10EB" w:rsidRPr="0092308F">
        <w:rPr>
          <w:rtl/>
        </w:rPr>
        <w:t>الترسبات الرطبة.</w:t>
      </w:r>
    </w:p>
    <w:p w14:paraId="45985876" w14:textId="2DDAC8C5" w:rsidR="002D10EB" w:rsidRPr="0092308F" w:rsidRDefault="002D10EB" w:rsidP="00EE1414">
      <w:pPr>
        <w:pStyle w:val="ListParagraph"/>
        <w:numPr>
          <w:ilvl w:val="0"/>
          <w:numId w:val="21"/>
        </w:numPr>
        <w:tabs>
          <w:tab w:val="left" w:pos="1983"/>
        </w:tabs>
        <w:spacing w:after="120" w:line="400" w:lineRule="exact"/>
        <w:ind w:left="1132" w:firstLine="2"/>
        <w:contextualSpacing w:val="0"/>
        <w:jc w:val="both"/>
        <w:rPr>
          <w:rFonts w:ascii="Times New Roman" w:hAnsi="Times New Roman" w:cs="Traditional Arabic"/>
          <w:szCs w:val="30"/>
          <w:rtl/>
        </w:rPr>
      </w:pPr>
      <w:r w:rsidRPr="0092308F">
        <w:rPr>
          <w:rFonts w:ascii="Times New Roman" w:hAnsi="Times New Roman" w:cs="Traditional Arabic"/>
          <w:szCs w:val="30"/>
          <w:rtl/>
        </w:rPr>
        <w:t>ويمكن قياس تركيزات الزئبق الغازي الكلي/الزئبق الغازي النقي باستخدام الرصد المستمر النشط والتقنيات اليدوية لأخذ عينات الهواء النشطة والخاملة. ويستخدم الرصد المستمر النشط في عدة مواقع بشبكات الرصد الإقليمية والعالمية القائمة لتحديد التركيزات المستمرة للزئبق الغازي الكلي/الزئبق الغازي النقي، بينما يستخدم أخذ العينات النشطة والخاملة يدوياً في الأماكن التي لا تتوفر فيها هياكل أساسية للرصد، ويعطي متوسط لتركيزات الزئبق الغازي الكلي في شكل متوسط شهري (أو متوسط لفترة تقل عن الشهر).</w:t>
      </w:r>
    </w:p>
    <w:p w14:paraId="00867B64" w14:textId="7CFEEA51" w:rsidR="002D10EB" w:rsidRPr="0092308F" w:rsidRDefault="002D10EB" w:rsidP="00EE1414">
      <w:pPr>
        <w:pStyle w:val="ListParagraph"/>
        <w:numPr>
          <w:ilvl w:val="0"/>
          <w:numId w:val="21"/>
        </w:numPr>
        <w:tabs>
          <w:tab w:val="left" w:pos="1983"/>
        </w:tabs>
        <w:spacing w:after="120" w:line="400" w:lineRule="exact"/>
        <w:ind w:left="1132" w:firstLine="2"/>
        <w:contextualSpacing w:val="0"/>
        <w:jc w:val="both"/>
        <w:rPr>
          <w:rFonts w:ascii="Times New Roman" w:hAnsi="Times New Roman" w:cs="Traditional Arabic"/>
          <w:szCs w:val="30"/>
          <w:rtl/>
        </w:rPr>
      </w:pPr>
      <w:r w:rsidRPr="0092308F">
        <w:rPr>
          <w:rFonts w:ascii="Times New Roman" w:hAnsi="Times New Roman" w:cs="Traditional Arabic"/>
          <w:szCs w:val="30"/>
          <w:rtl/>
        </w:rPr>
        <w:t>ويعتبر تدفق الترسب الجوي للزئبق هو مجموع الترسب الرطب والجاف للزئبق على السطح. ويقاس الترسب الرطب عن طريق جمع عينات مياه الأمطار، أما الترسب الجاف فإما أن يُستنبط بطريقة رياضية أو يقاس من حطام الأشجار. وتجمع العديد من الشبكات القائمة الطويلة الأجل عينات من الترسبات الرطبة ولكن، بسبب عدم وجود إجراءات موحدة قابلة للمقارنة فإن الترسب الجاف لا يقاس دائما</w:t>
      </w:r>
      <w:r w:rsidR="00EE715D">
        <w:rPr>
          <w:rFonts w:ascii="Times New Roman" w:hAnsi="Times New Roman" w:cs="Traditional Arabic" w:hint="cs"/>
          <w:szCs w:val="30"/>
          <w:rtl/>
        </w:rPr>
        <w:t>ً</w:t>
      </w:r>
      <w:r w:rsidRPr="0092308F">
        <w:rPr>
          <w:rFonts w:ascii="Times New Roman" w:hAnsi="Times New Roman" w:cs="Traditional Arabic"/>
          <w:szCs w:val="30"/>
          <w:rtl/>
        </w:rPr>
        <w:t>. وتستخدم كمية الزئبق الكلي المقيسة في عينات الترسب الجوي كأساس لحساب تدفق الترسب الجوي الكلي المرتبط بحدث تهطال معين (أمطار أو ثلوج).</w:t>
      </w:r>
    </w:p>
    <w:p w14:paraId="42385A9C" w14:textId="5A701A50" w:rsidR="002D10EB" w:rsidRPr="0092308F" w:rsidRDefault="002D10EB" w:rsidP="00EE1414">
      <w:pPr>
        <w:pStyle w:val="ListParagraph"/>
        <w:numPr>
          <w:ilvl w:val="0"/>
          <w:numId w:val="21"/>
        </w:numPr>
        <w:tabs>
          <w:tab w:val="left" w:pos="1983"/>
        </w:tabs>
        <w:spacing w:after="120" w:line="400" w:lineRule="exact"/>
        <w:ind w:left="1132" w:firstLine="2"/>
        <w:contextualSpacing w:val="0"/>
        <w:jc w:val="both"/>
        <w:rPr>
          <w:rFonts w:ascii="Times New Roman" w:hAnsi="Times New Roman" w:cs="Traditional Arabic"/>
          <w:szCs w:val="30"/>
          <w:rtl/>
        </w:rPr>
      </w:pPr>
      <w:r w:rsidRPr="0092308F">
        <w:rPr>
          <w:rFonts w:ascii="Times New Roman" w:hAnsi="Times New Roman" w:cs="Traditional Arabic" w:hint="cs"/>
          <w:szCs w:val="30"/>
          <w:rtl/>
        </w:rPr>
        <w:t>و</w:t>
      </w:r>
      <w:r w:rsidRPr="0092308F">
        <w:rPr>
          <w:rFonts w:ascii="Times New Roman" w:hAnsi="Times New Roman" w:cs="Traditional Arabic"/>
          <w:szCs w:val="30"/>
          <w:rtl/>
        </w:rPr>
        <w:t xml:space="preserve">هناك حاجة لنماذج معتمدة لقياس الزئبق في الغلاف الجوي من أجل تقييم علاقات المصدر والمستقبل وتقييم الأهمية النسبية لكل مصدر من مصادر الانبعاثات البشرية المنشأ في التوازن الكتلي العالمي للزئبق مع نظم انبعاثات الزئبق المتغيرة، وظروف الأرصاد الجوية، والتأثير المناخي المستحث. إن التغطية العالمية الجيدة فيما يخص </w:t>
      </w:r>
      <w:r w:rsidRPr="0092308F">
        <w:rPr>
          <w:rFonts w:ascii="Times New Roman" w:hAnsi="Times New Roman" w:cs="Traditional Arabic"/>
          <w:szCs w:val="30"/>
          <w:rtl/>
        </w:rPr>
        <w:lastRenderedPageBreak/>
        <w:t>بيانات رصد الزئبق في الهواء المحيط وعينات الرواسب هي أيضا</w:t>
      </w:r>
      <w:r w:rsidR="00EE715D">
        <w:rPr>
          <w:rFonts w:ascii="Times New Roman" w:hAnsi="Times New Roman" w:cs="Traditional Arabic" w:hint="cs"/>
          <w:szCs w:val="30"/>
          <w:rtl/>
        </w:rPr>
        <w:t>ً</w:t>
      </w:r>
      <w:r w:rsidRPr="0092308F">
        <w:rPr>
          <w:rFonts w:ascii="Times New Roman" w:hAnsi="Times New Roman" w:cs="Traditional Arabic"/>
          <w:szCs w:val="30"/>
          <w:rtl/>
        </w:rPr>
        <w:t xml:space="preserve"> ذات أهمية أساسية للتحقق من هذه النماذج الجوية. وترد المزيد من التفاصيل في الوثيقة </w:t>
      </w:r>
      <w:r w:rsidRPr="0092308F">
        <w:rPr>
          <w:rFonts w:ascii="Times New Roman" w:hAnsi="Times New Roman" w:cs="Traditional Arabic"/>
          <w:szCs w:val="30"/>
        </w:rPr>
        <w:t>UNEP/MC/COP.3/INF/15</w:t>
      </w:r>
      <w:r w:rsidRPr="0092308F">
        <w:rPr>
          <w:rFonts w:ascii="Times New Roman" w:hAnsi="Times New Roman" w:cs="Traditional Arabic"/>
          <w:szCs w:val="30"/>
          <w:rtl/>
        </w:rPr>
        <w:t>.</w:t>
      </w:r>
    </w:p>
    <w:p w14:paraId="06F8DDC1" w14:textId="7F2733B0" w:rsidR="002D10EB" w:rsidRPr="002B2446" w:rsidRDefault="002D10EB" w:rsidP="002B2446">
      <w:pPr>
        <w:tabs>
          <w:tab w:val="left" w:pos="1699"/>
        </w:tabs>
        <w:bidi/>
        <w:spacing w:before="120" w:after="120" w:line="380" w:lineRule="exact"/>
        <w:ind w:left="1134" w:hanging="852"/>
        <w:jc w:val="both"/>
        <w:rPr>
          <w:b/>
          <w:bCs/>
          <w:sz w:val="30"/>
          <w:rtl/>
        </w:rPr>
      </w:pPr>
      <w:r w:rsidRPr="002B2446">
        <w:rPr>
          <w:b/>
          <w:bCs/>
          <w:sz w:val="30"/>
          <w:rtl/>
        </w:rPr>
        <w:t>جيم-</w:t>
      </w:r>
      <w:r w:rsidRPr="002B2446">
        <w:rPr>
          <w:b/>
          <w:bCs/>
          <w:sz w:val="30"/>
          <w:rtl/>
        </w:rPr>
        <w:tab/>
        <w:t>التعرض البشري</w:t>
      </w:r>
    </w:p>
    <w:p w14:paraId="145FF435" w14:textId="19AE56B1" w:rsidR="002D10EB" w:rsidRPr="0092308F" w:rsidRDefault="002D10EB" w:rsidP="00EE1414">
      <w:pPr>
        <w:pStyle w:val="ListParagraph"/>
        <w:numPr>
          <w:ilvl w:val="0"/>
          <w:numId w:val="21"/>
        </w:numPr>
        <w:tabs>
          <w:tab w:val="left" w:pos="1983"/>
        </w:tabs>
        <w:spacing w:after="120" w:line="400" w:lineRule="exact"/>
        <w:ind w:left="1132" w:firstLine="2"/>
        <w:contextualSpacing w:val="0"/>
        <w:jc w:val="both"/>
        <w:rPr>
          <w:rFonts w:ascii="Times New Roman" w:hAnsi="Times New Roman" w:cs="Traditional Arabic"/>
          <w:szCs w:val="30"/>
          <w:rtl/>
        </w:rPr>
      </w:pPr>
      <w:r w:rsidRPr="0092308F">
        <w:rPr>
          <w:rFonts w:ascii="Times New Roman" w:hAnsi="Times New Roman" w:cs="Traditional Arabic"/>
          <w:szCs w:val="30"/>
          <w:rtl/>
        </w:rPr>
        <w:t xml:space="preserve">إن جميع الناس يتعرضون للزئبق إلى حد ما. وفي العديد من المجتمعات المحلية في جميع أنحاء العالم، من المحتمل أن يكون الاستهلاك الغذائي للأسماك والقشريات والثدييات البحرية والأغذية الأخرى أهم مصدر للتعرض لميثيل الزئبق. ويحدث التعرض </w:t>
      </w:r>
      <w:r w:rsidRPr="0092308F">
        <w:rPr>
          <w:rFonts w:ascii="Times New Roman" w:hAnsi="Times New Roman" w:cs="Traditional Arabic" w:hint="cs"/>
          <w:szCs w:val="30"/>
          <w:rtl/>
        </w:rPr>
        <w:t xml:space="preserve">للزئبق </w:t>
      </w:r>
      <w:r w:rsidRPr="0092308F">
        <w:rPr>
          <w:rFonts w:ascii="Times New Roman" w:hAnsi="Times New Roman" w:cs="Traditional Arabic"/>
          <w:szCs w:val="30"/>
          <w:rtl/>
        </w:rPr>
        <w:t>النقي وغير العضوي أساسا</w:t>
      </w:r>
      <w:r w:rsidR="00EE715D">
        <w:rPr>
          <w:rFonts w:ascii="Times New Roman" w:hAnsi="Times New Roman" w:cs="Traditional Arabic" w:hint="cs"/>
          <w:szCs w:val="30"/>
          <w:rtl/>
        </w:rPr>
        <w:t>ً</w:t>
      </w:r>
      <w:r w:rsidRPr="0092308F">
        <w:rPr>
          <w:rFonts w:ascii="Times New Roman" w:hAnsi="Times New Roman" w:cs="Traditional Arabic"/>
          <w:szCs w:val="30"/>
          <w:rtl/>
        </w:rPr>
        <w:t xml:space="preserve"> في الأوساط المهنية (بما في ذلك تعدين الذهب الحرفي والضيق النطاق) أو عن طريق ملامسة المنتجات المحتوية على الزئبق. ولا يزال هناك قلق بالغ بخصوص الفئات الضعيفة، بما في ذلك مختلف الشعوب الأصلية التي تتعرض للزئبق بشكل كبير عن طريق الغذاء أو من خلال التعرض المهني.</w:t>
      </w:r>
    </w:p>
    <w:p w14:paraId="4028467B" w14:textId="61D01F42" w:rsidR="002D10EB" w:rsidRPr="0092308F" w:rsidRDefault="002D10EB" w:rsidP="00EE1414">
      <w:pPr>
        <w:pStyle w:val="ListParagraph"/>
        <w:numPr>
          <w:ilvl w:val="0"/>
          <w:numId w:val="21"/>
        </w:numPr>
        <w:tabs>
          <w:tab w:val="left" w:pos="1983"/>
        </w:tabs>
        <w:spacing w:after="120" w:line="400" w:lineRule="exact"/>
        <w:ind w:left="1132" w:firstLine="2"/>
        <w:contextualSpacing w:val="0"/>
        <w:jc w:val="both"/>
        <w:rPr>
          <w:rFonts w:ascii="Times New Roman" w:hAnsi="Times New Roman" w:cs="Traditional Arabic"/>
          <w:szCs w:val="30"/>
          <w:rtl/>
        </w:rPr>
      </w:pPr>
      <w:r w:rsidRPr="0092308F">
        <w:rPr>
          <w:rFonts w:ascii="Times New Roman" w:hAnsi="Times New Roman" w:cs="Traditional Arabic"/>
          <w:szCs w:val="30"/>
          <w:rtl/>
        </w:rPr>
        <w:t>ويوفر الرصد الأحيائي البشري لتقييم تعرض عامة السكان للزئبق (أي المستوى الأساسي وليس مستوى ’’البؤرة الساخنة‘‘) معلومات عن الاتجاهات العالمية. وفيما يخص عامة السكان يوصى بتقييم التعرض قبل الولادة لأن الجنين هو الأكثر قابلية للتعرض لميثيل الزئبق</w:t>
      </w:r>
      <w:r w:rsidR="001A256D" w:rsidRPr="00D1471B">
        <w:rPr>
          <w:rFonts w:ascii="Traditional Arabic" w:hAnsi="Traditional Arabic" w:cs="Traditional Arabic" w:hint="cs"/>
          <w:sz w:val="30"/>
          <w:szCs w:val="30"/>
          <w:vertAlign w:val="superscript"/>
          <w:rtl/>
          <w:lang w:eastAsia="zh-TW"/>
        </w:rPr>
        <w:t>(</w:t>
      </w:r>
      <w:r w:rsidR="001A256D" w:rsidRPr="00D1471B">
        <w:rPr>
          <w:rFonts w:ascii="Traditional Arabic" w:hAnsi="Traditional Arabic" w:cs="Traditional Arabic" w:hint="cs"/>
          <w:sz w:val="30"/>
          <w:szCs w:val="30"/>
          <w:vertAlign w:val="superscript"/>
          <w:rtl/>
          <w:lang w:eastAsia="zh-TW"/>
        </w:rPr>
        <w:footnoteReference w:id="3"/>
      </w:r>
      <w:r w:rsidR="001A256D" w:rsidRPr="00D1471B">
        <w:rPr>
          <w:rFonts w:ascii="Traditional Arabic" w:hAnsi="Traditional Arabic" w:cs="Traditional Arabic" w:hint="cs"/>
          <w:sz w:val="30"/>
          <w:szCs w:val="30"/>
          <w:vertAlign w:val="superscript"/>
          <w:rtl/>
          <w:lang w:eastAsia="zh-TW"/>
        </w:rPr>
        <w:t>)</w:t>
      </w:r>
      <w:r w:rsidRPr="0092308F">
        <w:rPr>
          <w:rFonts w:ascii="Times New Roman" w:hAnsi="Times New Roman" w:cs="Traditional Arabic"/>
          <w:szCs w:val="30"/>
          <w:rtl/>
        </w:rPr>
        <w:t>.</w:t>
      </w:r>
    </w:p>
    <w:p w14:paraId="6424C37C" w14:textId="1D3A54B3" w:rsidR="002D10EB" w:rsidRPr="0092308F" w:rsidRDefault="002D10EB" w:rsidP="00EE1414">
      <w:pPr>
        <w:pStyle w:val="ListParagraph"/>
        <w:numPr>
          <w:ilvl w:val="0"/>
          <w:numId w:val="21"/>
        </w:numPr>
        <w:tabs>
          <w:tab w:val="left" w:pos="1983"/>
        </w:tabs>
        <w:spacing w:after="120" w:line="400" w:lineRule="exact"/>
        <w:ind w:left="1132" w:firstLine="2"/>
        <w:contextualSpacing w:val="0"/>
        <w:jc w:val="both"/>
        <w:rPr>
          <w:rFonts w:ascii="Times New Roman" w:hAnsi="Times New Roman" w:cs="Traditional Arabic"/>
          <w:szCs w:val="30"/>
          <w:rtl/>
        </w:rPr>
      </w:pPr>
      <w:r w:rsidRPr="0092308F">
        <w:rPr>
          <w:rFonts w:ascii="Times New Roman" w:hAnsi="Times New Roman" w:cs="Traditional Arabic"/>
          <w:szCs w:val="30"/>
          <w:rtl/>
        </w:rPr>
        <w:t>وهناك مؤشران بيولوجيان رئيسيان اثنان هما</w:t>
      </w:r>
      <w:r w:rsidR="001A256D" w:rsidRPr="00D1471B">
        <w:rPr>
          <w:rFonts w:ascii="Traditional Arabic" w:hAnsi="Traditional Arabic" w:cs="Traditional Arabic" w:hint="cs"/>
          <w:sz w:val="30"/>
          <w:szCs w:val="30"/>
          <w:vertAlign w:val="superscript"/>
          <w:rtl/>
          <w:lang w:eastAsia="zh-TW"/>
        </w:rPr>
        <w:t>(</w:t>
      </w:r>
      <w:r w:rsidR="001A256D" w:rsidRPr="00D1471B">
        <w:rPr>
          <w:rFonts w:ascii="Traditional Arabic" w:hAnsi="Traditional Arabic" w:cs="Traditional Arabic" w:hint="cs"/>
          <w:sz w:val="30"/>
          <w:szCs w:val="30"/>
          <w:vertAlign w:val="superscript"/>
          <w:rtl/>
          <w:lang w:eastAsia="zh-TW"/>
        </w:rPr>
        <w:footnoteReference w:id="4"/>
      </w:r>
      <w:r w:rsidR="001A256D" w:rsidRPr="00D1471B">
        <w:rPr>
          <w:rFonts w:ascii="Traditional Arabic" w:hAnsi="Traditional Arabic" w:cs="Traditional Arabic" w:hint="cs"/>
          <w:sz w:val="30"/>
          <w:szCs w:val="30"/>
          <w:vertAlign w:val="superscript"/>
          <w:rtl/>
          <w:lang w:eastAsia="zh-TW"/>
        </w:rPr>
        <w:t>)</w:t>
      </w:r>
      <w:r w:rsidRPr="0092308F">
        <w:rPr>
          <w:rFonts w:ascii="Times New Roman" w:hAnsi="Times New Roman" w:cs="Traditional Arabic"/>
          <w:szCs w:val="30"/>
          <w:rtl/>
        </w:rPr>
        <w:t>:</w:t>
      </w:r>
    </w:p>
    <w:p w14:paraId="716C4DFA" w14:textId="3BF9CB42" w:rsidR="002D10EB" w:rsidRPr="0092308F" w:rsidRDefault="00EE1414" w:rsidP="00EE1414">
      <w:pPr>
        <w:tabs>
          <w:tab w:val="left" w:pos="2550"/>
        </w:tabs>
        <w:bidi/>
        <w:spacing w:after="120" w:line="400" w:lineRule="exact"/>
        <w:ind w:left="1134" w:firstLine="849"/>
        <w:jc w:val="both"/>
        <w:rPr>
          <w:rtl/>
        </w:rPr>
      </w:pPr>
      <w:r>
        <w:rPr>
          <w:rFonts w:hint="cs"/>
          <w:rtl/>
        </w:rPr>
        <w:t>(أ)</w:t>
      </w:r>
      <w:r>
        <w:rPr>
          <w:rtl/>
        </w:rPr>
        <w:tab/>
      </w:r>
      <w:r w:rsidR="002D10EB" w:rsidRPr="0092308F">
        <w:rPr>
          <w:rtl/>
        </w:rPr>
        <w:t>الزئبق الكلي في شعر فروة رأس الأم (ضفائر الشعر بطول ٣سم بدايةً من فروة الرأس لقياس التعرض خلال الفصل الثالث من الحمل)؛</w:t>
      </w:r>
    </w:p>
    <w:p w14:paraId="62F8592B" w14:textId="2F892323" w:rsidR="002D10EB" w:rsidRPr="0092308F" w:rsidRDefault="00EE1414" w:rsidP="00EE1414">
      <w:pPr>
        <w:tabs>
          <w:tab w:val="left" w:pos="2550"/>
        </w:tabs>
        <w:bidi/>
        <w:spacing w:after="120" w:line="400" w:lineRule="exact"/>
        <w:ind w:left="1134" w:firstLine="849"/>
        <w:jc w:val="both"/>
        <w:rPr>
          <w:rtl/>
        </w:rPr>
      </w:pPr>
      <w:r>
        <w:rPr>
          <w:rFonts w:hint="cs"/>
          <w:rtl/>
        </w:rPr>
        <w:t>(ب)</w:t>
      </w:r>
      <w:r>
        <w:rPr>
          <w:rtl/>
        </w:rPr>
        <w:tab/>
      </w:r>
      <w:r w:rsidR="002D10EB" w:rsidRPr="0092308F">
        <w:rPr>
          <w:rtl/>
        </w:rPr>
        <w:t>الزئبق الكلي في دم الحبل الس</w:t>
      </w:r>
      <w:r w:rsidR="002D10EB" w:rsidRPr="0092308F">
        <w:rPr>
          <w:rFonts w:hint="cs"/>
          <w:rtl/>
        </w:rPr>
        <w:t>ُ</w:t>
      </w:r>
      <w:r w:rsidR="002D10EB" w:rsidRPr="0092308F">
        <w:rPr>
          <w:rtl/>
        </w:rPr>
        <w:t>ري.</w:t>
      </w:r>
    </w:p>
    <w:p w14:paraId="6C81AF72" w14:textId="77777777" w:rsidR="002D10EB" w:rsidRPr="0092308F" w:rsidRDefault="002D10EB" w:rsidP="00EE1414">
      <w:pPr>
        <w:pStyle w:val="ListParagraph"/>
        <w:numPr>
          <w:ilvl w:val="0"/>
          <w:numId w:val="21"/>
        </w:numPr>
        <w:tabs>
          <w:tab w:val="left" w:pos="1983"/>
        </w:tabs>
        <w:spacing w:after="120" w:line="400" w:lineRule="exact"/>
        <w:ind w:left="1132" w:firstLine="2"/>
        <w:contextualSpacing w:val="0"/>
        <w:jc w:val="both"/>
        <w:rPr>
          <w:rFonts w:ascii="Times New Roman" w:hAnsi="Times New Roman" w:cs="Traditional Arabic"/>
          <w:szCs w:val="30"/>
          <w:rtl/>
        </w:rPr>
      </w:pPr>
      <w:r w:rsidRPr="0092308F">
        <w:rPr>
          <w:rFonts w:ascii="Times New Roman" w:hAnsi="Times New Roman" w:cs="Traditional Arabic"/>
          <w:szCs w:val="30"/>
          <w:rtl/>
        </w:rPr>
        <w:t>إن شعر فروة الرأس هو المكون البيولوجي الأفضل لأنه يسهل الحصول عليه بسهولة باستخدام وسيلة غير تدخلية ولا يستلزم متطلبات معينة للنقل أو التخزين.</w:t>
      </w:r>
    </w:p>
    <w:p w14:paraId="463486AC" w14:textId="0D9678B7" w:rsidR="002D10EB" w:rsidRPr="0092308F" w:rsidRDefault="002D10EB" w:rsidP="00EE1414">
      <w:pPr>
        <w:pStyle w:val="ListParagraph"/>
        <w:numPr>
          <w:ilvl w:val="0"/>
          <w:numId w:val="21"/>
        </w:numPr>
        <w:tabs>
          <w:tab w:val="left" w:pos="1983"/>
        </w:tabs>
        <w:spacing w:after="120" w:line="400" w:lineRule="exact"/>
        <w:ind w:left="1132" w:firstLine="2"/>
        <w:contextualSpacing w:val="0"/>
        <w:jc w:val="both"/>
        <w:rPr>
          <w:rFonts w:ascii="Times New Roman" w:hAnsi="Times New Roman" w:cs="Traditional Arabic"/>
          <w:szCs w:val="30"/>
          <w:rtl/>
        </w:rPr>
      </w:pPr>
      <w:r w:rsidRPr="0092308F">
        <w:rPr>
          <w:rFonts w:ascii="Times New Roman" w:hAnsi="Times New Roman" w:cs="Traditional Arabic"/>
          <w:szCs w:val="30"/>
          <w:rtl/>
        </w:rPr>
        <w:t xml:space="preserve">ويمكن أن يكون دم الحبل السري المكون البديل للشعر. </w:t>
      </w:r>
      <w:r w:rsidRPr="0092308F">
        <w:rPr>
          <w:rFonts w:ascii="Times New Roman" w:hAnsi="Times New Roman" w:cs="Traditional Arabic" w:hint="cs"/>
          <w:szCs w:val="30"/>
          <w:rtl/>
        </w:rPr>
        <w:t>ويوفر</w:t>
      </w:r>
      <w:r w:rsidRPr="0092308F">
        <w:rPr>
          <w:rFonts w:ascii="Times New Roman" w:hAnsi="Times New Roman" w:cs="Traditional Arabic"/>
          <w:szCs w:val="30"/>
          <w:rtl/>
        </w:rPr>
        <w:t xml:space="preserve"> إدراج دم الحبل السري في دراسة استقصائية عددا</w:t>
      </w:r>
      <w:r w:rsidR="00EE715D">
        <w:rPr>
          <w:rFonts w:ascii="Times New Roman" w:hAnsi="Times New Roman" w:cs="Traditional Arabic" w:hint="cs"/>
          <w:szCs w:val="30"/>
          <w:rtl/>
        </w:rPr>
        <w:t>ً</w:t>
      </w:r>
      <w:r w:rsidRPr="0092308F">
        <w:rPr>
          <w:rFonts w:ascii="Times New Roman" w:hAnsi="Times New Roman" w:cs="Traditional Arabic"/>
          <w:szCs w:val="30"/>
          <w:rtl/>
        </w:rPr>
        <w:t xml:space="preserve"> من المزايا الإضافية، مثل توفير قياس أكثر موثوقية للتعرض للزئبق في فترة ما قبل الولادة وتعرض الأم للزئبق، مع استبعاد تأثير العوامل الخارجية (على سبيل المثال، التلوث الخارجي </w:t>
      </w:r>
      <w:r w:rsidRPr="0092308F">
        <w:rPr>
          <w:rFonts w:ascii="Times New Roman" w:hAnsi="Times New Roman" w:cs="Traditional Arabic" w:hint="cs"/>
          <w:szCs w:val="30"/>
          <w:rtl/>
        </w:rPr>
        <w:t>لل</w:t>
      </w:r>
      <w:r w:rsidRPr="0092308F">
        <w:rPr>
          <w:rFonts w:ascii="Times New Roman" w:hAnsi="Times New Roman" w:cs="Traditional Arabic"/>
          <w:szCs w:val="30"/>
          <w:rtl/>
        </w:rPr>
        <w:t>شعر بالزئبق، ومعالجة الشعر الدائمة التي تخفض مستوى الزئبق في الشعر)، وكذلك توفير مكون بيولوجي بديل للشعر في الأماكن التي يصعب فيها الحصول على عينات شعر بسبب الخصائص الثقافية والأخلاقية والدينية.</w:t>
      </w:r>
    </w:p>
    <w:p w14:paraId="681F61CD" w14:textId="60A1B1CF" w:rsidR="002D10EB" w:rsidRPr="0092308F" w:rsidRDefault="002D10EB" w:rsidP="00EE1414">
      <w:pPr>
        <w:pStyle w:val="ListParagraph"/>
        <w:numPr>
          <w:ilvl w:val="0"/>
          <w:numId w:val="21"/>
        </w:numPr>
        <w:tabs>
          <w:tab w:val="left" w:pos="1983"/>
        </w:tabs>
        <w:spacing w:after="120" w:line="400" w:lineRule="exact"/>
        <w:ind w:left="1132" w:firstLine="2"/>
        <w:contextualSpacing w:val="0"/>
        <w:jc w:val="both"/>
        <w:rPr>
          <w:rFonts w:ascii="Times New Roman" w:hAnsi="Times New Roman" w:cs="Traditional Arabic"/>
          <w:szCs w:val="30"/>
          <w:rtl/>
        </w:rPr>
      </w:pPr>
      <w:r w:rsidRPr="0092308F">
        <w:rPr>
          <w:rFonts w:ascii="Times New Roman" w:hAnsi="Times New Roman" w:cs="Traditional Arabic"/>
          <w:szCs w:val="30"/>
          <w:rtl/>
        </w:rPr>
        <w:t xml:space="preserve">وهناك معامِلات موثوقة، على الرغم من كونها متغيرة، </w:t>
      </w:r>
      <w:r w:rsidRPr="0092308F">
        <w:rPr>
          <w:rFonts w:ascii="Times New Roman" w:hAnsi="Times New Roman" w:cs="Traditional Arabic" w:hint="cs"/>
          <w:szCs w:val="30"/>
          <w:rtl/>
        </w:rPr>
        <w:t>ت</w:t>
      </w:r>
      <w:r w:rsidRPr="0092308F">
        <w:rPr>
          <w:rFonts w:ascii="Times New Roman" w:hAnsi="Times New Roman" w:cs="Traditional Arabic"/>
          <w:szCs w:val="30"/>
          <w:rtl/>
        </w:rPr>
        <w:t>تيح إمكانية مقارنة نتائج قياسات الزئبق في الشعر والدم ودم الحبل السري.</w:t>
      </w:r>
    </w:p>
    <w:p w14:paraId="16F7F634" w14:textId="6C1172D2" w:rsidR="002D10EB" w:rsidRPr="0092308F" w:rsidRDefault="002D10EB" w:rsidP="00EE1414">
      <w:pPr>
        <w:pStyle w:val="ListParagraph"/>
        <w:numPr>
          <w:ilvl w:val="0"/>
          <w:numId w:val="21"/>
        </w:numPr>
        <w:tabs>
          <w:tab w:val="left" w:pos="1983"/>
        </w:tabs>
        <w:spacing w:after="120" w:line="400" w:lineRule="exact"/>
        <w:ind w:left="1132" w:firstLine="2"/>
        <w:contextualSpacing w:val="0"/>
        <w:jc w:val="both"/>
        <w:rPr>
          <w:rFonts w:ascii="Times New Roman" w:hAnsi="Times New Roman" w:cs="Traditional Arabic"/>
          <w:szCs w:val="30"/>
          <w:rtl/>
        </w:rPr>
      </w:pPr>
      <w:r w:rsidRPr="0092308F">
        <w:rPr>
          <w:rFonts w:ascii="Times New Roman" w:hAnsi="Times New Roman" w:cs="Traditional Arabic"/>
          <w:szCs w:val="30"/>
          <w:rtl/>
        </w:rPr>
        <w:t xml:space="preserve">إن تقييم الزئبق الكلي كافٍ لتحديد التعرض ما </w:t>
      </w:r>
      <w:r w:rsidR="00EE715D">
        <w:rPr>
          <w:rFonts w:ascii="Times New Roman" w:hAnsi="Times New Roman" w:cs="Traditional Arabic" w:hint="cs"/>
          <w:szCs w:val="30"/>
          <w:rtl/>
        </w:rPr>
        <w:t xml:space="preserve">لم </w:t>
      </w:r>
      <w:r w:rsidRPr="0092308F">
        <w:rPr>
          <w:rFonts w:ascii="Times New Roman" w:hAnsi="Times New Roman" w:cs="Traditional Arabic"/>
          <w:szCs w:val="30"/>
          <w:rtl/>
        </w:rPr>
        <w:t>تكن هناك حاجة لتقييم التعرض الخارجي لشعر فروة الرأس.</w:t>
      </w:r>
    </w:p>
    <w:p w14:paraId="41ACDE9D" w14:textId="746ECD49" w:rsidR="002D10EB" w:rsidRPr="0092308F" w:rsidRDefault="002D10EB" w:rsidP="00EE1414">
      <w:pPr>
        <w:pStyle w:val="ListParagraph"/>
        <w:numPr>
          <w:ilvl w:val="0"/>
          <w:numId w:val="21"/>
        </w:numPr>
        <w:tabs>
          <w:tab w:val="left" w:pos="1983"/>
        </w:tabs>
        <w:spacing w:after="120" w:line="400" w:lineRule="exact"/>
        <w:ind w:left="1132" w:firstLine="2"/>
        <w:contextualSpacing w:val="0"/>
        <w:jc w:val="both"/>
        <w:rPr>
          <w:rFonts w:ascii="Times New Roman" w:hAnsi="Times New Roman" w:cs="Traditional Arabic"/>
          <w:szCs w:val="30"/>
          <w:rtl/>
        </w:rPr>
      </w:pPr>
      <w:r w:rsidRPr="0092308F">
        <w:rPr>
          <w:rFonts w:ascii="Times New Roman" w:hAnsi="Times New Roman" w:cs="Traditional Arabic"/>
          <w:szCs w:val="30"/>
          <w:rtl/>
        </w:rPr>
        <w:lastRenderedPageBreak/>
        <w:t>وإضافةً إلى تعرض عامة السكان يجوز للأطراف أن تجري الرصد البيولوجي في الفئات السكانية الضعيفة الأخرى، بما في ذلك الفئات المعرضة مهنيا</w:t>
      </w:r>
      <w:r w:rsidR="00EE715D">
        <w:rPr>
          <w:rFonts w:ascii="Times New Roman" w:hAnsi="Times New Roman" w:cs="Traditional Arabic" w:hint="cs"/>
          <w:szCs w:val="30"/>
          <w:rtl/>
        </w:rPr>
        <w:t>ً</w:t>
      </w:r>
      <w:r w:rsidRPr="0092308F">
        <w:rPr>
          <w:rFonts w:ascii="Times New Roman" w:hAnsi="Times New Roman" w:cs="Traditional Arabic"/>
          <w:szCs w:val="30"/>
          <w:rtl/>
        </w:rPr>
        <w:t>، وفي مناطق البؤر الساخنة. ويمكن أن توفر هذه البيانات معلومات إضافية قد تكون مفيدة في تقييم الفعالية (على سبيل المثال، عند تكرارها على مر الزمن عند نفس السكان).</w:t>
      </w:r>
    </w:p>
    <w:p w14:paraId="1FE50FF1" w14:textId="59C6520B" w:rsidR="002D10EB" w:rsidRPr="0092308F" w:rsidRDefault="002D10EB" w:rsidP="00EE1414">
      <w:pPr>
        <w:pStyle w:val="ListParagraph"/>
        <w:numPr>
          <w:ilvl w:val="0"/>
          <w:numId w:val="21"/>
        </w:numPr>
        <w:tabs>
          <w:tab w:val="left" w:pos="1983"/>
        </w:tabs>
        <w:spacing w:after="120" w:line="400" w:lineRule="exact"/>
        <w:ind w:left="1132" w:firstLine="2"/>
        <w:contextualSpacing w:val="0"/>
        <w:jc w:val="both"/>
        <w:rPr>
          <w:rFonts w:ascii="Times New Roman" w:hAnsi="Times New Roman" w:cs="Traditional Arabic"/>
          <w:szCs w:val="30"/>
          <w:rtl/>
        </w:rPr>
      </w:pPr>
      <w:r w:rsidRPr="0092308F">
        <w:rPr>
          <w:rFonts w:ascii="Times New Roman" w:hAnsi="Times New Roman" w:cs="Traditional Arabic"/>
          <w:szCs w:val="30"/>
          <w:rtl/>
        </w:rPr>
        <w:t xml:space="preserve">وقد حدد </w:t>
      </w:r>
      <w:r w:rsidRPr="00EE715D">
        <w:rPr>
          <w:rFonts w:ascii="Times New Roman" w:hAnsi="Times New Roman" w:cs="Traditional Arabic"/>
          <w:i/>
          <w:iCs/>
          <w:szCs w:val="30"/>
          <w:rtl/>
        </w:rPr>
        <w:t>التقييم العالمي للزئبق ٢٠١٨</w:t>
      </w:r>
      <w:r w:rsidRPr="0092308F">
        <w:rPr>
          <w:rFonts w:ascii="Times New Roman" w:hAnsi="Times New Roman" w:cs="Traditional Arabic"/>
          <w:szCs w:val="30"/>
          <w:rtl/>
        </w:rPr>
        <w:t xml:space="preserve"> بيانات التعرض للزئبق المتاحة حاليا</w:t>
      </w:r>
      <w:r w:rsidR="00EE715D">
        <w:rPr>
          <w:rFonts w:ascii="Times New Roman" w:hAnsi="Times New Roman" w:cs="Traditional Arabic" w:hint="cs"/>
          <w:szCs w:val="30"/>
          <w:rtl/>
        </w:rPr>
        <w:t>ً</w:t>
      </w:r>
      <w:r w:rsidRPr="0092308F">
        <w:rPr>
          <w:rFonts w:ascii="Times New Roman" w:hAnsi="Times New Roman" w:cs="Traditional Arabic"/>
          <w:szCs w:val="30"/>
          <w:rtl/>
        </w:rPr>
        <w:t xml:space="preserve"> في برامج الرصد الأحيائي البشري الإقليمية والوطنية، ودراسات الأتراب الطولية، والمعلومات الشاملة لعدة قطاعات الخاصة بفئات معينة من السكان، بما في ذلك الفئات ذات التعرض العالي. وكشف التقييم ما يلي:</w:t>
      </w:r>
    </w:p>
    <w:p w14:paraId="31A16166" w14:textId="2DCA4E8D" w:rsidR="002D10EB" w:rsidRPr="0092308F" w:rsidRDefault="00EE1414" w:rsidP="00EE1414">
      <w:pPr>
        <w:tabs>
          <w:tab w:val="left" w:pos="2550"/>
        </w:tabs>
        <w:bidi/>
        <w:spacing w:after="120" w:line="400" w:lineRule="exact"/>
        <w:ind w:left="1134" w:firstLine="849"/>
        <w:jc w:val="both"/>
        <w:rPr>
          <w:rtl/>
        </w:rPr>
      </w:pPr>
      <w:r>
        <w:rPr>
          <w:rFonts w:hint="cs"/>
          <w:rtl/>
        </w:rPr>
        <w:t>(أ)</w:t>
      </w:r>
      <w:r>
        <w:rPr>
          <w:rtl/>
        </w:rPr>
        <w:tab/>
      </w:r>
      <w:r w:rsidR="002D10EB" w:rsidRPr="0092308F">
        <w:rPr>
          <w:rtl/>
        </w:rPr>
        <w:t>بعض المعلومات المتاحة من برامج الرصد الأحيائي البشري الإقليمية والوطنية قد تكون قابلة للمقارنة (رهنا</w:t>
      </w:r>
      <w:r w:rsidR="00EE715D">
        <w:rPr>
          <w:rFonts w:hint="cs"/>
          <w:rtl/>
        </w:rPr>
        <w:t>ً</w:t>
      </w:r>
      <w:r w:rsidR="002D10EB" w:rsidRPr="0092308F">
        <w:rPr>
          <w:rtl/>
        </w:rPr>
        <w:t xml:space="preserve"> بالقدرة على تصنيف البيانات حسب نوع الجنس والعمر في إطار البرنامج). هذه البرامج ليست متاحة إلا في عدد قليل جدا</w:t>
      </w:r>
      <w:r w:rsidR="00EE715D">
        <w:rPr>
          <w:rFonts w:hint="cs"/>
          <w:rtl/>
        </w:rPr>
        <w:t>ً</w:t>
      </w:r>
      <w:r w:rsidR="002D10EB" w:rsidRPr="0092308F">
        <w:rPr>
          <w:rtl/>
        </w:rPr>
        <w:t xml:space="preserve"> من البلدان، ولا سيما في نصف الكرة الشمالي، فهي برامج مكلفة، وبالتالي غير مجدية عندما يكون الغرض الوحيد منها رصد التعرض للزئبق على الصعيد العالمي</w:t>
      </w:r>
      <w:r>
        <w:rPr>
          <w:rFonts w:hint="cs"/>
          <w:rtl/>
        </w:rPr>
        <w:t>؛</w:t>
      </w:r>
    </w:p>
    <w:p w14:paraId="17225F86" w14:textId="5B55F4E2" w:rsidR="002D10EB" w:rsidRPr="0092308F" w:rsidRDefault="00EE1414" w:rsidP="00EE1414">
      <w:pPr>
        <w:tabs>
          <w:tab w:val="left" w:pos="2550"/>
        </w:tabs>
        <w:bidi/>
        <w:spacing w:after="120" w:line="400" w:lineRule="exact"/>
        <w:ind w:left="1134" w:firstLine="849"/>
        <w:jc w:val="both"/>
        <w:rPr>
          <w:rtl/>
        </w:rPr>
      </w:pPr>
      <w:r>
        <w:rPr>
          <w:rFonts w:hint="cs"/>
          <w:rtl/>
        </w:rPr>
        <w:t>(ب)</w:t>
      </w:r>
      <w:r>
        <w:rPr>
          <w:rtl/>
        </w:rPr>
        <w:tab/>
      </w:r>
      <w:r w:rsidR="002D10EB" w:rsidRPr="0092308F">
        <w:rPr>
          <w:rtl/>
        </w:rPr>
        <w:t>توجد بيانات عالية الجودة وقابلة للمقارنة من دراسات الأتراب الطولية، بما في ذلك الدراسات على الفئات التي تستهلك كميات كبيرة من الأغذية البحرية و/أو أسماك المياه العذبة و/أو الثدييات البحرية. هذه البيانات متاحة فقط في عدد قليل من المواقع، وهي غير ممثِّلة على الصعيد العالمي</w:t>
      </w:r>
      <w:r>
        <w:rPr>
          <w:rFonts w:hint="cs"/>
          <w:rtl/>
        </w:rPr>
        <w:t>؛</w:t>
      </w:r>
    </w:p>
    <w:p w14:paraId="1CB74683" w14:textId="2FAD348C" w:rsidR="002D10EB" w:rsidRPr="0092308F" w:rsidRDefault="00EE1414" w:rsidP="00EE1414">
      <w:pPr>
        <w:tabs>
          <w:tab w:val="left" w:pos="2550"/>
        </w:tabs>
        <w:bidi/>
        <w:spacing w:after="120" w:line="400" w:lineRule="exact"/>
        <w:ind w:left="1134" w:firstLine="849"/>
        <w:jc w:val="both"/>
        <w:rPr>
          <w:rtl/>
        </w:rPr>
      </w:pPr>
      <w:r>
        <w:rPr>
          <w:rFonts w:hint="cs"/>
          <w:rtl/>
        </w:rPr>
        <w:t>(ج)</w:t>
      </w:r>
      <w:r>
        <w:rPr>
          <w:rtl/>
        </w:rPr>
        <w:tab/>
      </w:r>
      <w:r w:rsidR="002D10EB" w:rsidRPr="0092308F">
        <w:rPr>
          <w:rtl/>
        </w:rPr>
        <w:t xml:space="preserve">أنتج المشروع الممول من مرفق البيئة العالمية والمعنون ’’وضع خطة للرصد العالمي لتعرض البشر للزئبق وتركيزات الزئبق في البيئة‘‘ (انظر </w:t>
      </w:r>
      <w:r w:rsidR="002D10EB" w:rsidRPr="0092308F">
        <w:t>UNEP/MC/COP.3/INF/19</w:t>
      </w:r>
      <w:r w:rsidR="002D10EB" w:rsidRPr="0092308F">
        <w:rPr>
          <w:rtl/>
        </w:rPr>
        <w:t>) بيانات قابلة للمقارنة في عدد صغير إضافي من البلدان وذلك باستخدام بروتوكول منظمة الصحة العالمية لتقييم التعرض للزئبق في فترة ما قبل الولادة</w:t>
      </w:r>
      <w:r w:rsidR="001A256D" w:rsidRPr="00D1471B">
        <w:rPr>
          <w:rFonts w:ascii="Traditional Arabic" w:hAnsi="Traditional Arabic" w:hint="cs"/>
          <w:sz w:val="30"/>
          <w:vertAlign w:val="superscript"/>
          <w:rtl/>
          <w:lang w:eastAsia="zh-TW"/>
        </w:rPr>
        <w:t>(</w:t>
      </w:r>
      <w:r w:rsidR="001A256D" w:rsidRPr="00D1471B">
        <w:rPr>
          <w:rFonts w:ascii="Traditional Arabic" w:hAnsi="Traditional Arabic" w:hint="cs"/>
          <w:sz w:val="30"/>
          <w:vertAlign w:val="superscript"/>
          <w:rtl/>
          <w:lang w:eastAsia="zh-TW"/>
        </w:rPr>
        <w:footnoteReference w:id="5"/>
      </w:r>
      <w:r w:rsidR="001A256D" w:rsidRPr="00D1471B">
        <w:rPr>
          <w:rFonts w:ascii="Traditional Arabic" w:hAnsi="Traditional Arabic" w:hint="cs"/>
          <w:sz w:val="30"/>
          <w:vertAlign w:val="superscript"/>
          <w:rtl/>
          <w:lang w:eastAsia="zh-TW"/>
        </w:rPr>
        <w:t>)</w:t>
      </w:r>
      <w:r w:rsidR="002D10EB" w:rsidRPr="0092308F">
        <w:rPr>
          <w:rFonts w:hint="cs"/>
          <w:rtl/>
        </w:rPr>
        <w:t>.</w:t>
      </w:r>
    </w:p>
    <w:p w14:paraId="3E18D739" w14:textId="0BA07618" w:rsidR="002D10EB" w:rsidRPr="0092308F" w:rsidRDefault="002D10EB" w:rsidP="00EE1414">
      <w:pPr>
        <w:pStyle w:val="ListParagraph"/>
        <w:numPr>
          <w:ilvl w:val="0"/>
          <w:numId w:val="21"/>
        </w:numPr>
        <w:tabs>
          <w:tab w:val="left" w:pos="1983"/>
        </w:tabs>
        <w:spacing w:after="120" w:line="400" w:lineRule="exact"/>
        <w:ind w:left="1132" w:firstLine="2"/>
        <w:contextualSpacing w:val="0"/>
        <w:jc w:val="both"/>
        <w:rPr>
          <w:rFonts w:ascii="Times New Roman" w:hAnsi="Times New Roman" w:cs="Traditional Arabic"/>
          <w:szCs w:val="30"/>
          <w:rtl/>
        </w:rPr>
      </w:pPr>
      <w:r w:rsidRPr="0092308F">
        <w:rPr>
          <w:rFonts w:ascii="Times New Roman" w:hAnsi="Times New Roman" w:cs="Traditional Arabic"/>
          <w:szCs w:val="30"/>
          <w:rtl/>
        </w:rPr>
        <w:t>إن الرصد البيولوجي للزئبق الكلي في البول مهم للسكان ذوي التعرض العالي للزئبق النقي وغير العضوي، ولكنه غير مناسب لتقييم التعرض لميثيل الزئبق. وقد يكون هذا الرصد مفيداً لتقييم أثر إجراءات الرقابة التي تتخذها الأطراف فيما يتعلق بالتعرض للزئبق في مجتمعات التعدين.</w:t>
      </w:r>
    </w:p>
    <w:p w14:paraId="5A05720F" w14:textId="77777777" w:rsidR="002D10EB" w:rsidRPr="0092308F" w:rsidRDefault="002D10EB" w:rsidP="00EE1414">
      <w:pPr>
        <w:pStyle w:val="ListParagraph"/>
        <w:numPr>
          <w:ilvl w:val="0"/>
          <w:numId w:val="21"/>
        </w:numPr>
        <w:tabs>
          <w:tab w:val="left" w:pos="1983"/>
        </w:tabs>
        <w:spacing w:after="120" w:line="400" w:lineRule="exact"/>
        <w:ind w:left="1132" w:firstLine="2"/>
        <w:contextualSpacing w:val="0"/>
        <w:jc w:val="both"/>
        <w:rPr>
          <w:rFonts w:ascii="Times New Roman" w:hAnsi="Times New Roman" w:cs="Traditional Arabic"/>
          <w:szCs w:val="30"/>
          <w:rtl/>
        </w:rPr>
      </w:pPr>
      <w:r w:rsidRPr="0092308F">
        <w:rPr>
          <w:rFonts w:ascii="Times New Roman" w:hAnsi="Times New Roman" w:cs="Traditional Arabic"/>
          <w:szCs w:val="30"/>
          <w:rtl/>
        </w:rPr>
        <w:t>وينطوي الرصد الأحيائي البشري على عدد من المزايا فيما يتعلق بإثراء تقييم فعالية اتفاقية ميناماتا، بما في ذلك ما يلي:</w:t>
      </w:r>
    </w:p>
    <w:p w14:paraId="1DF586D0" w14:textId="3B22F14F" w:rsidR="002D10EB" w:rsidRPr="0092308F" w:rsidRDefault="00EE1414" w:rsidP="00EE1414">
      <w:pPr>
        <w:tabs>
          <w:tab w:val="left" w:pos="2550"/>
        </w:tabs>
        <w:bidi/>
        <w:spacing w:after="120" w:line="400" w:lineRule="exact"/>
        <w:ind w:left="1134" w:firstLine="849"/>
        <w:jc w:val="both"/>
        <w:rPr>
          <w:rtl/>
        </w:rPr>
      </w:pPr>
      <w:r>
        <w:rPr>
          <w:rFonts w:hint="cs"/>
          <w:rtl/>
        </w:rPr>
        <w:t>(أ)</w:t>
      </w:r>
      <w:r>
        <w:rPr>
          <w:rtl/>
        </w:rPr>
        <w:tab/>
      </w:r>
      <w:r w:rsidR="002D10EB" w:rsidRPr="0092308F">
        <w:rPr>
          <w:rtl/>
        </w:rPr>
        <w:t>أنه يتناول مباشرةً المسألة الأساسية المتمثلة فيما إذا كان ما يجري القيام به كافٍ لحماية الصحة البشرية (المادة ١ من الاتفاقية)؛</w:t>
      </w:r>
    </w:p>
    <w:p w14:paraId="6F419979" w14:textId="5998399F" w:rsidR="002D10EB" w:rsidRPr="0092308F" w:rsidRDefault="00EE1414" w:rsidP="00EE1414">
      <w:pPr>
        <w:tabs>
          <w:tab w:val="left" w:pos="2550"/>
        </w:tabs>
        <w:bidi/>
        <w:spacing w:after="120" w:line="400" w:lineRule="exact"/>
        <w:ind w:left="1134" w:firstLine="849"/>
        <w:jc w:val="both"/>
        <w:rPr>
          <w:rtl/>
        </w:rPr>
      </w:pPr>
      <w:r>
        <w:rPr>
          <w:rFonts w:hint="cs"/>
          <w:rtl/>
        </w:rPr>
        <w:t>(ب)</w:t>
      </w:r>
      <w:r>
        <w:rPr>
          <w:rtl/>
        </w:rPr>
        <w:tab/>
      </w:r>
      <w:r w:rsidR="002D10EB" w:rsidRPr="0092308F">
        <w:rPr>
          <w:rtl/>
        </w:rPr>
        <w:t>أنه يدمج المعلومات المتعلقة بالتعرض للزئبق من مصادر مختلفة؛</w:t>
      </w:r>
    </w:p>
    <w:p w14:paraId="42A9B4D6" w14:textId="3A99DEB1" w:rsidR="002D10EB" w:rsidRPr="0092308F" w:rsidRDefault="00EE1414" w:rsidP="00EE1414">
      <w:pPr>
        <w:tabs>
          <w:tab w:val="left" w:pos="2550"/>
        </w:tabs>
        <w:bidi/>
        <w:spacing w:after="120" w:line="400" w:lineRule="exact"/>
        <w:ind w:left="1134" w:firstLine="849"/>
        <w:jc w:val="both"/>
        <w:rPr>
          <w:rtl/>
        </w:rPr>
      </w:pPr>
      <w:r>
        <w:rPr>
          <w:rFonts w:hint="cs"/>
          <w:rtl/>
        </w:rPr>
        <w:t>(ج)</w:t>
      </w:r>
      <w:r>
        <w:rPr>
          <w:rtl/>
        </w:rPr>
        <w:tab/>
      </w:r>
      <w:r w:rsidR="002D10EB" w:rsidRPr="0092308F">
        <w:rPr>
          <w:rtl/>
        </w:rPr>
        <w:t>أنه يدمج الآثار المترتبة على مجموعة تدابير الحد من المخاطر المتخذة.</w:t>
      </w:r>
    </w:p>
    <w:p w14:paraId="038B5594" w14:textId="77777777" w:rsidR="002D10EB" w:rsidRPr="0092308F" w:rsidRDefault="002D10EB" w:rsidP="00EE715D">
      <w:pPr>
        <w:pStyle w:val="ListParagraph"/>
        <w:numPr>
          <w:ilvl w:val="0"/>
          <w:numId w:val="21"/>
        </w:numPr>
        <w:tabs>
          <w:tab w:val="left" w:pos="1983"/>
        </w:tabs>
        <w:spacing w:line="400" w:lineRule="exact"/>
        <w:ind w:left="1134" w:firstLine="0"/>
        <w:contextualSpacing w:val="0"/>
        <w:jc w:val="both"/>
        <w:rPr>
          <w:rFonts w:ascii="Times New Roman" w:hAnsi="Times New Roman" w:cs="Traditional Arabic"/>
          <w:szCs w:val="30"/>
          <w:rtl/>
        </w:rPr>
      </w:pPr>
      <w:r w:rsidRPr="0092308F">
        <w:rPr>
          <w:rFonts w:ascii="Times New Roman" w:hAnsi="Times New Roman" w:cs="Traditional Arabic"/>
          <w:szCs w:val="30"/>
          <w:rtl/>
        </w:rPr>
        <w:t>وعند استخدام بيانات الرصد الأحيائي البشري تجدر الإشارة إلى أن مستوى الزئبق لدى البشر يتأثر بالعديد من عوامل التشويش، مثل عادات استهلاك الأسماك (الأنواع والكميات)، والسن، والجنس، واستهلاك الكحول، والحالة الصحية، والحالة الاقتصادية.</w:t>
      </w:r>
    </w:p>
    <w:p w14:paraId="79A6FE00" w14:textId="77777777" w:rsidR="006104C4" w:rsidRDefault="006104C4" w:rsidP="00967766">
      <w:pPr>
        <w:bidi/>
        <w:rPr>
          <w:b/>
          <w:bCs/>
          <w:rtl/>
        </w:rPr>
      </w:pPr>
      <w:r>
        <w:rPr>
          <w:b/>
          <w:bCs/>
          <w:rtl/>
        </w:rPr>
        <w:br w:type="page"/>
      </w:r>
    </w:p>
    <w:p w14:paraId="135ECE75" w14:textId="6B24B0FE" w:rsidR="002D10EB" w:rsidRPr="00EE1414" w:rsidRDefault="002D10EB" w:rsidP="00EE1414">
      <w:pPr>
        <w:tabs>
          <w:tab w:val="left" w:pos="1699"/>
        </w:tabs>
        <w:bidi/>
        <w:spacing w:after="120" w:line="400" w:lineRule="exact"/>
        <w:ind w:left="1134" w:hanging="852"/>
        <w:jc w:val="both"/>
        <w:rPr>
          <w:b/>
          <w:bCs/>
          <w:rtl/>
        </w:rPr>
      </w:pPr>
      <w:r w:rsidRPr="00EE1414">
        <w:rPr>
          <w:b/>
          <w:bCs/>
          <w:rtl/>
        </w:rPr>
        <w:lastRenderedPageBreak/>
        <w:t>دال-</w:t>
      </w:r>
      <w:r w:rsidRPr="00EE1414">
        <w:rPr>
          <w:b/>
          <w:bCs/>
          <w:rtl/>
        </w:rPr>
        <w:tab/>
        <w:t>الأوساط الحيوية</w:t>
      </w:r>
    </w:p>
    <w:p w14:paraId="3723211E" w14:textId="1918B6C6" w:rsidR="002D10EB" w:rsidRPr="0092308F" w:rsidRDefault="002D10EB" w:rsidP="00EE1414">
      <w:pPr>
        <w:pStyle w:val="ListParagraph"/>
        <w:numPr>
          <w:ilvl w:val="0"/>
          <w:numId w:val="21"/>
        </w:numPr>
        <w:tabs>
          <w:tab w:val="left" w:pos="1983"/>
        </w:tabs>
        <w:spacing w:after="120" w:line="400" w:lineRule="exact"/>
        <w:ind w:left="1132" w:firstLine="2"/>
        <w:contextualSpacing w:val="0"/>
        <w:jc w:val="both"/>
        <w:rPr>
          <w:rFonts w:ascii="Times New Roman" w:hAnsi="Times New Roman" w:cs="Traditional Arabic"/>
          <w:szCs w:val="30"/>
          <w:rtl/>
        </w:rPr>
      </w:pPr>
      <w:r w:rsidRPr="0092308F">
        <w:rPr>
          <w:rFonts w:ascii="Times New Roman" w:hAnsi="Times New Roman" w:cs="Traditional Arabic"/>
          <w:szCs w:val="30"/>
          <w:rtl/>
        </w:rPr>
        <w:t>يمكن للعينات من الكائنات الحية أن توفر معلومات لنتائج مختلفة. وقد حُددت ثلاثة أنواع من النتائج فيما يتعلق برصد الكائنات الحية، هي التعرض البشري والصحة البيئية والاتجاهات الزمنية. وتتوفر على الصعيدين الإقليمي والعالمي بيانات أحيائية متعلقة بالزئبق كافية لتقييم التعرض البيئي والاتجاهات المكانية والزمانية في العديد من النظم الإيكولوجية والمواطن الحيوية ذات الأهمية الجغرافية، ولكن ليس فيها كلها. ويمكن أن يتعرض البشر لميثيل الزئبق عن طريق الغذاء من الأسماك والطيور والثدييات البحرية (حيث أن الأسماك هي المساهم الرئيسي أما الطيور فهي مساهم بسيط أو رئيسي حسب النظام الغذائي، بينما تشكل الثدييات البحرية مساهما</w:t>
      </w:r>
      <w:r w:rsidR="00EE715D">
        <w:rPr>
          <w:rFonts w:ascii="Times New Roman" w:hAnsi="Times New Roman" w:cs="Traditional Arabic" w:hint="cs"/>
          <w:szCs w:val="30"/>
          <w:rtl/>
        </w:rPr>
        <w:t>ً</w:t>
      </w:r>
      <w:r w:rsidRPr="0092308F">
        <w:rPr>
          <w:rFonts w:ascii="Times New Roman" w:hAnsi="Times New Roman" w:cs="Traditional Arabic"/>
          <w:szCs w:val="30"/>
          <w:rtl/>
        </w:rPr>
        <w:t xml:space="preserve"> رئيسيا</w:t>
      </w:r>
      <w:r w:rsidR="00EE715D">
        <w:rPr>
          <w:rFonts w:ascii="Times New Roman" w:hAnsi="Times New Roman" w:cs="Traditional Arabic" w:hint="cs"/>
          <w:szCs w:val="30"/>
          <w:rtl/>
        </w:rPr>
        <w:t>ً</w:t>
      </w:r>
      <w:r w:rsidRPr="0092308F">
        <w:rPr>
          <w:rFonts w:ascii="Times New Roman" w:hAnsi="Times New Roman" w:cs="Traditional Arabic"/>
          <w:szCs w:val="30"/>
          <w:rtl/>
        </w:rPr>
        <w:t xml:space="preserve"> في بعض النظم الغذائية).</w:t>
      </w:r>
    </w:p>
    <w:p w14:paraId="59BA41BB" w14:textId="77777777" w:rsidR="002D10EB" w:rsidRPr="0092308F" w:rsidRDefault="002D10EB" w:rsidP="00EE1414">
      <w:pPr>
        <w:pStyle w:val="ListParagraph"/>
        <w:numPr>
          <w:ilvl w:val="0"/>
          <w:numId w:val="21"/>
        </w:numPr>
        <w:spacing w:after="120" w:line="400" w:lineRule="exact"/>
        <w:ind w:left="1132" w:firstLine="2"/>
        <w:contextualSpacing w:val="0"/>
        <w:jc w:val="both"/>
        <w:rPr>
          <w:rFonts w:ascii="Times New Roman" w:hAnsi="Times New Roman" w:cs="Traditional Arabic"/>
          <w:szCs w:val="30"/>
          <w:rtl/>
        </w:rPr>
      </w:pPr>
      <w:r w:rsidRPr="0092308F">
        <w:rPr>
          <w:rFonts w:ascii="Times New Roman" w:hAnsi="Times New Roman" w:cs="Traditional Arabic"/>
          <w:szCs w:val="30"/>
          <w:rtl/>
        </w:rPr>
        <w:t>وتعتبر العينات التالية المأخوذة من أربع فئات رئيسية من المؤشرات البيولوجية (مجموعات تصنيفية) الأكثر أهمية ويكثر استخدامها لرصد ميثيل الزئبق:</w:t>
      </w:r>
    </w:p>
    <w:p w14:paraId="597887DC" w14:textId="70412533" w:rsidR="002D10EB" w:rsidRPr="0092308F" w:rsidRDefault="00EE1414" w:rsidP="00EE1414">
      <w:pPr>
        <w:tabs>
          <w:tab w:val="left" w:pos="2550"/>
        </w:tabs>
        <w:bidi/>
        <w:spacing w:after="120" w:line="400" w:lineRule="exact"/>
        <w:ind w:left="1132" w:firstLine="851"/>
        <w:jc w:val="both"/>
        <w:rPr>
          <w:rtl/>
        </w:rPr>
      </w:pPr>
      <w:r>
        <w:rPr>
          <w:rFonts w:hint="cs"/>
          <w:rtl/>
        </w:rPr>
        <w:t>(أ)</w:t>
      </w:r>
      <w:r>
        <w:rPr>
          <w:rtl/>
        </w:rPr>
        <w:tab/>
      </w:r>
      <w:r w:rsidR="002D10EB" w:rsidRPr="0092308F">
        <w:rPr>
          <w:rtl/>
        </w:rPr>
        <w:t>الأسماك: شرائح اللحم، الخزعات، القِطع الزعنفية، الدم؛</w:t>
      </w:r>
    </w:p>
    <w:p w14:paraId="0000F677" w14:textId="29316F60" w:rsidR="002D10EB" w:rsidRPr="0092308F" w:rsidRDefault="00EE1414" w:rsidP="00EE1414">
      <w:pPr>
        <w:tabs>
          <w:tab w:val="left" w:pos="2550"/>
        </w:tabs>
        <w:bidi/>
        <w:spacing w:after="120" w:line="400" w:lineRule="exact"/>
        <w:ind w:left="1132" w:firstLine="851"/>
        <w:jc w:val="both"/>
        <w:rPr>
          <w:rtl/>
        </w:rPr>
      </w:pPr>
      <w:r>
        <w:rPr>
          <w:rFonts w:hint="cs"/>
          <w:rtl/>
        </w:rPr>
        <w:t>(ب)</w:t>
      </w:r>
      <w:r>
        <w:rPr>
          <w:rtl/>
        </w:rPr>
        <w:tab/>
      </w:r>
      <w:r w:rsidR="002D10EB" w:rsidRPr="0092308F">
        <w:rPr>
          <w:rtl/>
        </w:rPr>
        <w:t>السلاحف البحرية: الصفائح القرنية، الدم، العضلات؛</w:t>
      </w:r>
    </w:p>
    <w:p w14:paraId="3FFBEA27" w14:textId="2E816B6E" w:rsidR="002D10EB" w:rsidRPr="0092308F" w:rsidRDefault="00EE1414" w:rsidP="00EE1414">
      <w:pPr>
        <w:tabs>
          <w:tab w:val="left" w:pos="2550"/>
        </w:tabs>
        <w:bidi/>
        <w:spacing w:after="120" w:line="400" w:lineRule="exact"/>
        <w:ind w:left="1132" w:firstLine="851"/>
        <w:jc w:val="both"/>
        <w:rPr>
          <w:rtl/>
        </w:rPr>
      </w:pPr>
      <w:r>
        <w:rPr>
          <w:rFonts w:hint="cs"/>
          <w:rtl/>
        </w:rPr>
        <w:t>(ج)</w:t>
      </w:r>
      <w:r>
        <w:rPr>
          <w:rtl/>
        </w:rPr>
        <w:tab/>
      </w:r>
      <w:r w:rsidR="002D10EB" w:rsidRPr="0092308F">
        <w:rPr>
          <w:rtl/>
        </w:rPr>
        <w:t>الطيور: الدم، الريش، البيض، العضلات، قشر البيض والأغشية، الكبد والكلى؛</w:t>
      </w:r>
    </w:p>
    <w:p w14:paraId="3E52B97B" w14:textId="2F9F0F2E" w:rsidR="002D10EB" w:rsidRPr="0092308F" w:rsidRDefault="00EE1414" w:rsidP="00EE1414">
      <w:pPr>
        <w:tabs>
          <w:tab w:val="left" w:pos="2550"/>
        </w:tabs>
        <w:bidi/>
        <w:spacing w:after="120" w:line="400" w:lineRule="exact"/>
        <w:ind w:left="1132" w:firstLine="851"/>
        <w:jc w:val="both"/>
        <w:rPr>
          <w:rtl/>
        </w:rPr>
      </w:pPr>
      <w:r>
        <w:rPr>
          <w:rFonts w:hint="cs"/>
          <w:rtl/>
        </w:rPr>
        <w:t>(د)</w:t>
      </w:r>
      <w:r>
        <w:rPr>
          <w:rtl/>
        </w:rPr>
        <w:tab/>
      </w:r>
      <w:r w:rsidR="002D10EB" w:rsidRPr="0092308F">
        <w:rPr>
          <w:rtl/>
        </w:rPr>
        <w:t>الثدييات</w:t>
      </w:r>
      <w:r w:rsidR="002D10EB" w:rsidRPr="0092308F">
        <w:rPr>
          <w:rFonts w:hint="cs"/>
          <w:rtl/>
        </w:rPr>
        <w:t>:</w:t>
      </w:r>
      <w:r w:rsidR="002D10EB" w:rsidRPr="0092308F">
        <w:rPr>
          <w:rtl/>
        </w:rPr>
        <w:t xml:space="preserve"> الجلد، الفراء أو الشعر، العضلات، الكبد والكلى.</w:t>
      </w:r>
    </w:p>
    <w:p w14:paraId="06A266C0" w14:textId="11C74CA5" w:rsidR="002D10EB" w:rsidRPr="0092308F" w:rsidRDefault="002D10EB" w:rsidP="00EE1414">
      <w:pPr>
        <w:pStyle w:val="ListParagraph"/>
        <w:numPr>
          <w:ilvl w:val="0"/>
          <w:numId w:val="21"/>
        </w:numPr>
        <w:tabs>
          <w:tab w:val="left" w:pos="1983"/>
        </w:tabs>
        <w:spacing w:after="120" w:line="400" w:lineRule="exact"/>
        <w:ind w:left="1132" w:firstLine="2"/>
        <w:contextualSpacing w:val="0"/>
        <w:jc w:val="both"/>
        <w:rPr>
          <w:rFonts w:ascii="Times New Roman" w:hAnsi="Times New Roman" w:cs="Traditional Arabic"/>
          <w:szCs w:val="30"/>
          <w:rtl/>
        </w:rPr>
      </w:pPr>
      <w:r w:rsidRPr="0092308F">
        <w:rPr>
          <w:rFonts w:ascii="Times New Roman" w:hAnsi="Times New Roman" w:cs="Traditional Arabic"/>
          <w:szCs w:val="30"/>
          <w:rtl/>
        </w:rPr>
        <w:t>ويوصى بأن تستخدم أنسجة العضلات لتقييم العينات من الأسماك والثدييات البحرية. أما فيما يخص الطيور فإنه يجب استخدام الدم للبيانات القصيرة الأجل (أي في غضون أيام من التعرض)؛ واستخدام العضلات أو البيض للبيانات المتوسطة الأجل (في غضون أسابيع إلى أشهر من التعرض) ويمكن استخدام الريش للبيانات الطويلة الأجل (في غضون أشهر إلى سنوات من التعرض). ويعتبر كافيا</w:t>
      </w:r>
      <w:r w:rsidR="00EE715D">
        <w:rPr>
          <w:rFonts w:ascii="Times New Roman" w:hAnsi="Times New Roman" w:cs="Traditional Arabic" w:hint="cs"/>
          <w:szCs w:val="30"/>
          <w:rtl/>
        </w:rPr>
        <w:t>ً</w:t>
      </w:r>
      <w:r w:rsidRPr="0092308F">
        <w:rPr>
          <w:rFonts w:ascii="Times New Roman" w:hAnsi="Times New Roman" w:cs="Traditional Arabic"/>
          <w:szCs w:val="30"/>
          <w:rtl/>
        </w:rPr>
        <w:t xml:space="preserve"> تقييمُ الزئبق الكلي في جميع الأنسجة (بافتراض أن متوسط مستوى ميثيل الزئبق أكبر من ٨٠ في المائة) باستخدام الوزن الرطب أو الوزن الجاف. وينبغي إسناد العينات جغرافياً، على أن يتفاوت مستوى التفاصيل المقدمة وفقا</w:t>
      </w:r>
      <w:r w:rsidR="00EE715D">
        <w:rPr>
          <w:rFonts w:ascii="Times New Roman" w:hAnsi="Times New Roman" w:cs="Traditional Arabic" w:hint="cs"/>
          <w:szCs w:val="30"/>
          <w:rtl/>
        </w:rPr>
        <w:t>ً</w:t>
      </w:r>
      <w:r w:rsidRPr="0092308F">
        <w:rPr>
          <w:rFonts w:ascii="Times New Roman" w:hAnsi="Times New Roman" w:cs="Traditional Arabic"/>
          <w:szCs w:val="30"/>
          <w:rtl/>
        </w:rPr>
        <w:t xml:space="preserve"> للهدف من العينات. وتتوفر إجراءات التشغيل الموحدة (مثلا</w:t>
      </w:r>
      <w:r w:rsidR="00EE715D">
        <w:rPr>
          <w:rFonts w:ascii="Times New Roman" w:hAnsi="Times New Roman" w:cs="Traditional Arabic" w:hint="cs"/>
          <w:szCs w:val="30"/>
          <w:rtl/>
        </w:rPr>
        <w:t>ً</w:t>
      </w:r>
      <w:r w:rsidRPr="0092308F">
        <w:rPr>
          <w:rFonts w:ascii="Times New Roman" w:hAnsi="Times New Roman" w:cs="Traditional Arabic"/>
          <w:szCs w:val="30"/>
          <w:rtl/>
        </w:rPr>
        <w:t xml:space="preserve"> عن طريق برامج الرصد الوطنية/الإقليمية)؛ بيد أن البروتوكولات الأخرى الأكثر عالميةً قد يتعين الاتفاق عليها لأخذ العينات التي لا تشملها هذه الإجراءات. وتمثل التحويلات بين الأنسجة عموما</w:t>
      </w:r>
      <w:r w:rsidR="00EE715D">
        <w:rPr>
          <w:rFonts w:ascii="Times New Roman" w:hAnsi="Times New Roman" w:cs="Traditional Arabic" w:hint="cs"/>
          <w:szCs w:val="30"/>
          <w:rtl/>
        </w:rPr>
        <w:t>ً</w:t>
      </w:r>
      <w:r w:rsidRPr="0092308F">
        <w:rPr>
          <w:rFonts w:ascii="Times New Roman" w:hAnsi="Times New Roman" w:cs="Traditional Arabic"/>
          <w:szCs w:val="30"/>
          <w:rtl/>
        </w:rPr>
        <w:t xml:space="preserve"> إحدى الوسائل الممكنة للحصول على </w:t>
      </w:r>
      <w:r w:rsidRPr="00EE715D">
        <w:rPr>
          <w:rFonts w:ascii="Traditional Arabic" w:hAnsi="Traditional Arabic" w:cs="Traditional Arabic"/>
          <w:sz w:val="30"/>
          <w:szCs w:val="30"/>
          <w:rtl/>
        </w:rPr>
        <w:t>تركيزات</w:t>
      </w:r>
      <w:r w:rsidRPr="0092308F">
        <w:rPr>
          <w:rFonts w:ascii="Times New Roman" w:hAnsi="Times New Roman" w:cs="Traditional Arabic"/>
          <w:szCs w:val="30"/>
          <w:rtl/>
        </w:rPr>
        <w:t xml:space="preserve"> الزئبق النسيجية الموحدة ومن ثم القابلة للمقارنة.</w:t>
      </w:r>
    </w:p>
    <w:p w14:paraId="1F4C76AB" w14:textId="3B61D7EC" w:rsidR="002D10EB" w:rsidRPr="0092308F" w:rsidRDefault="002D10EB" w:rsidP="00EE1414">
      <w:pPr>
        <w:pStyle w:val="ListParagraph"/>
        <w:numPr>
          <w:ilvl w:val="0"/>
          <w:numId w:val="21"/>
        </w:numPr>
        <w:tabs>
          <w:tab w:val="left" w:pos="1983"/>
        </w:tabs>
        <w:spacing w:after="120" w:line="400" w:lineRule="exact"/>
        <w:ind w:left="1132" w:firstLine="2"/>
        <w:contextualSpacing w:val="0"/>
        <w:jc w:val="both"/>
        <w:rPr>
          <w:rFonts w:ascii="Times New Roman" w:hAnsi="Times New Roman" w:cs="Traditional Arabic"/>
          <w:szCs w:val="30"/>
          <w:rtl/>
        </w:rPr>
      </w:pPr>
      <w:r w:rsidRPr="0092308F">
        <w:rPr>
          <w:rFonts w:ascii="Times New Roman" w:hAnsi="Times New Roman" w:cs="Traditional Arabic"/>
          <w:szCs w:val="30"/>
          <w:rtl/>
        </w:rPr>
        <w:t>وقد است</w:t>
      </w:r>
      <w:r w:rsidRPr="0092308F">
        <w:rPr>
          <w:rFonts w:ascii="Times New Roman" w:hAnsi="Times New Roman" w:cs="Traditional Arabic" w:hint="cs"/>
          <w:szCs w:val="30"/>
          <w:rtl/>
        </w:rPr>
        <w:t>َ</w:t>
      </w:r>
      <w:r w:rsidRPr="0092308F">
        <w:rPr>
          <w:rFonts w:ascii="Times New Roman" w:hAnsi="Times New Roman" w:cs="Traditional Arabic"/>
          <w:szCs w:val="30"/>
          <w:rtl/>
        </w:rPr>
        <w:t xml:space="preserve">خدم </w:t>
      </w:r>
      <w:r w:rsidRPr="00C44B45">
        <w:rPr>
          <w:rFonts w:ascii="Times New Roman" w:hAnsi="Times New Roman" w:cs="Traditional Arabic"/>
          <w:i/>
          <w:iCs/>
          <w:szCs w:val="30"/>
          <w:rtl/>
        </w:rPr>
        <w:t>التقييم العالمي للزئبق ٢٠١٨</w:t>
      </w:r>
      <w:r w:rsidRPr="0092308F">
        <w:rPr>
          <w:rFonts w:ascii="Times New Roman" w:hAnsi="Times New Roman" w:cs="Traditional Arabic"/>
          <w:szCs w:val="30"/>
          <w:rtl/>
        </w:rPr>
        <w:t xml:space="preserve"> بيانات الكائنات الحية من قاعدة بيانات الموجز التجميعي العالمي بشأن الزئبق في الكائنات الحية</w:t>
      </w:r>
      <w:r w:rsidR="001A256D" w:rsidRPr="00D1471B">
        <w:rPr>
          <w:rFonts w:ascii="Traditional Arabic" w:hAnsi="Traditional Arabic" w:cs="Traditional Arabic" w:hint="cs"/>
          <w:sz w:val="30"/>
          <w:szCs w:val="30"/>
          <w:vertAlign w:val="superscript"/>
          <w:rtl/>
          <w:lang w:eastAsia="zh-TW"/>
        </w:rPr>
        <w:t>(</w:t>
      </w:r>
      <w:r w:rsidR="001A256D" w:rsidRPr="00D1471B">
        <w:rPr>
          <w:rFonts w:ascii="Traditional Arabic" w:hAnsi="Traditional Arabic" w:cs="Traditional Arabic" w:hint="cs"/>
          <w:sz w:val="30"/>
          <w:szCs w:val="30"/>
          <w:vertAlign w:val="superscript"/>
          <w:rtl/>
          <w:lang w:eastAsia="zh-TW"/>
        </w:rPr>
        <w:footnoteReference w:id="6"/>
      </w:r>
      <w:r w:rsidR="001A256D" w:rsidRPr="00D1471B">
        <w:rPr>
          <w:rFonts w:ascii="Traditional Arabic" w:hAnsi="Traditional Arabic" w:cs="Traditional Arabic" w:hint="cs"/>
          <w:sz w:val="30"/>
          <w:szCs w:val="30"/>
          <w:vertAlign w:val="superscript"/>
          <w:rtl/>
          <w:lang w:eastAsia="zh-TW"/>
        </w:rPr>
        <w:t>)</w:t>
      </w:r>
      <w:r w:rsidRPr="0092308F">
        <w:rPr>
          <w:rFonts w:ascii="Times New Roman" w:hAnsi="Times New Roman" w:cs="Traditional Arabic"/>
          <w:szCs w:val="30"/>
          <w:rtl/>
        </w:rPr>
        <w:t>، الذي يشتمل على تفاصيل عن كل كائن حي أخذت منه عينات، وموقع أخذ العينات، وبيانات الإيكولوجية الأساسية. وجُمعت البيانات من عدد 1095 مرجعاً مختلفاً تمثل 119 بلداً، و2781 موقعاً فريداً، و840 458 عينة زئبق من فرادى كائنات حية يبلغ عددها الإجمالي 677 375 كائن حي. وتضمنت النماذج الواردة في قاعدة بيانات الموجز التجميعي العالمي بشأن الزئبق في الكائنات الحية مجموعات بيانات خاصة ببعض المناطق الجغرافية إضافةً إلى كم كبير من المعلومات الزمانية والمكانية، بما في ذلك مناطق بحيرات المياه العذبة في شمال الولايات المتحدة الأمريكية، ومعظم مساحة كندا، و</w:t>
      </w:r>
      <w:r w:rsidRPr="0092308F">
        <w:rPr>
          <w:rFonts w:ascii="Times New Roman" w:hAnsi="Times New Roman" w:cs="Traditional Arabic" w:hint="cs"/>
          <w:szCs w:val="30"/>
          <w:rtl/>
        </w:rPr>
        <w:t>الدول ال</w:t>
      </w:r>
      <w:r w:rsidRPr="0092308F">
        <w:rPr>
          <w:rFonts w:ascii="Times New Roman" w:hAnsi="Times New Roman" w:cs="Traditional Arabic"/>
          <w:szCs w:val="30"/>
          <w:rtl/>
        </w:rPr>
        <w:t>اسكندنافي</w:t>
      </w:r>
      <w:r w:rsidRPr="0092308F">
        <w:rPr>
          <w:rFonts w:ascii="Times New Roman" w:hAnsi="Times New Roman" w:cs="Traditional Arabic" w:hint="cs"/>
          <w:szCs w:val="30"/>
          <w:rtl/>
        </w:rPr>
        <w:t>ة</w:t>
      </w:r>
      <w:r w:rsidRPr="0092308F">
        <w:rPr>
          <w:rFonts w:ascii="Times New Roman" w:hAnsi="Times New Roman" w:cs="Traditional Arabic"/>
          <w:szCs w:val="30"/>
          <w:rtl/>
        </w:rPr>
        <w:t xml:space="preserve">. وتمثل هذه المناطق أكثر من ٠٠٠ ٥٠٠ عينة من عينات تركيزات الزئبق في الأسماك أخذت بجمع البيانات على مدى </w:t>
      </w:r>
      <w:r w:rsidRPr="0092308F">
        <w:rPr>
          <w:rFonts w:ascii="Times New Roman" w:hAnsi="Times New Roman" w:cs="Traditional Arabic"/>
          <w:szCs w:val="30"/>
          <w:rtl/>
        </w:rPr>
        <w:lastRenderedPageBreak/>
        <w:t>السنوات الخمسين الماضية - وبعضها موحدة للسماح بالمقارنة. ويمكن الاطلاع على المزيد من التفاصيل في الوثيقة</w:t>
      </w:r>
      <w:r w:rsidRPr="0092308F">
        <w:rPr>
          <w:rFonts w:ascii="Times New Roman" w:hAnsi="Times New Roman" w:cs="Traditional Arabic" w:hint="cs"/>
          <w:szCs w:val="30"/>
          <w:rtl/>
        </w:rPr>
        <w:t xml:space="preserve"> </w:t>
      </w:r>
      <w:r w:rsidRPr="0092308F">
        <w:rPr>
          <w:rFonts w:ascii="Times New Roman" w:hAnsi="Times New Roman" w:cs="Traditional Arabic"/>
          <w:szCs w:val="30"/>
        </w:rPr>
        <w:t>UNEP/MC</w:t>
      </w:r>
      <w:r w:rsidR="008D33EF">
        <w:rPr>
          <w:rFonts w:ascii="Times New Roman" w:hAnsi="Times New Roman" w:cs="Traditional Arabic"/>
          <w:szCs w:val="30"/>
        </w:rPr>
        <w:t>/</w:t>
      </w:r>
      <w:r w:rsidRPr="0092308F">
        <w:rPr>
          <w:rFonts w:ascii="Times New Roman" w:hAnsi="Times New Roman" w:cs="Traditional Arabic"/>
          <w:szCs w:val="30"/>
        </w:rPr>
        <w:t>COP.3/INF/15</w:t>
      </w:r>
      <w:r w:rsidRPr="0092308F">
        <w:rPr>
          <w:rFonts w:ascii="Times New Roman" w:hAnsi="Times New Roman" w:cs="Traditional Arabic"/>
          <w:szCs w:val="30"/>
          <w:rtl/>
        </w:rPr>
        <w:t>.</w:t>
      </w:r>
    </w:p>
    <w:p w14:paraId="53714A53" w14:textId="6AED19EA" w:rsidR="002D10EB" w:rsidRPr="0092308F" w:rsidRDefault="002D10EB" w:rsidP="00EE1414">
      <w:pPr>
        <w:pStyle w:val="ListParagraph"/>
        <w:numPr>
          <w:ilvl w:val="0"/>
          <w:numId w:val="21"/>
        </w:numPr>
        <w:tabs>
          <w:tab w:val="left" w:pos="1983"/>
        </w:tabs>
        <w:spacing w:after="120" w:line="400" w:lineRule="exact"/>
        <w:ind w:left="1132" w:firstLine="2"/>
        <w:contextualSpacing w:val="0"/>
        <w:jc w:val="both"/>
        <w:rPr>
          <w:rFonts w:ascii="Times New Roman" w:hAnsi="Times New Roman" w:cs="Traditional Arabic"/>
          <w:szCs w:val="30"/>
          <w:rtl/>
        </w:rPr>
      </w:pPr>
      <w:r w:rsidRPr="0092308F">
        <w:rPr>
          <w:rFonts w:ascii="Times New Roman" w:hAnsi="Times New Roman" w:cs="Traditional Arabic"/>
          <w:szCs w:val="30"/>
          <w:rtl/>
        </w:rPr>
        <w:t>وبغية التوضيح الافتراضي لكيفية تغير الاتجاهات الزمانية في تركيزات الزئبق في الأسماك تحت تأثير مختلف العوامل المحركة، بما في ذلك التغير البيئي/تغير المناخ والتغير في الترسبات، فإنه يتعين وضع مجموعة من الأهداف الدنيا المتعلقة بالمعلومات. ولكل موقع، ينبغي أن يشمل ذلك شكل تجمع المياه في البحيرة (أو النهر، أو المصب، أو البحر، وما إلى ذلك) وأنماط ترسب الملوثات، وتاريخ التلوث المحلي. وفيما يتعلق بكل نوع من أنواع الكائنات الحية (هنا يتمثل ذلك في الأسماك) فإن القدر الأدنى من البيانات ينبغي أن يتضمن الطول والوزن ونوع الجنس والنضج الجنسي. ويمكن أيضاً أن يشمل تحليل العينات (أي عضلات الأسماك) لتحديد تركيزات الزئبق الكلي، النظائر المستقرة (على الأقل النتروجين وربما الكربون أيضا</w:t>
      </w:r>
      <w:r w:rsidR="00BD3769">
        <w:rPr>
          <w:rFonts w:ascii="Times New Roman" w:hAnsi="Times New Roman" w:cs="Traditional Arabic" w:hint="cs"/>
          <w:szCs w:val="30"/>
          <w:rtl/>
        </w:rPr>
        <w:t>ً</w:t>
      </w:r>
      <w:r w:rsidRPr="0092308F">
        <w:rPr>
          <w:rFonts w:ascii="Times New Roman" w:hAnsi="Times New Roman" w:cs="Traditional Arabic"/>
          <w:szCs w:val="30"/>
          <w:rtl/>
        </w:rPr>
        <w:t>) بغية تحسين فهم عمليات الشبكة الغذائية. إن الكثير من هذه البارامترات غير متوفرة في قواعد البيانات الحالية. وعلى سبيل المثال فإن التغيرات من سنة إلى أخرى وضمن السنة الواحدة تكون في كثير من الأحيان أكبر بكثير من الاتجاهات الطويلة الأجل، مما يجعل من الصعب ربط التغيرات في الاتجاه الزماني بالعوامل البيئية المحركة الكبيرة (بما في ذلك الترسب). ويتعين الأخذ في الاعتبار التباين المكاني ضمن الاتجاهات الزمنية عند تقييم فعالية الاتفاقية في السنوات القادمة. وحتى يتسنى توثيق التغيرات المحتملة في الاتجاهات الزمانية فإنه يتعين خفض التفاوت ضمن السنة الواحدة عن طريق تحسين ضبط البيانات، بما في ذلك توفير المزيد من البيانات والمعلومات عن البحيرات وجمع البيانات من نفس البحيرة على مر الزمن.</w:t>
      </w:r>
    </w:p>
    <w:p w14:paraId="3C3D2194" w14:textId="6C1D7020" w:rsidR="002D10EB" w:rsidRPr="00EE1414" w:rsidRDefault="002D10EB" w:rsidP="00EE1414">
      <w:pPr>
        <w:tabs>
          <w:tab w:val="left" w:pos="1699"/>
        </w:tabs>
        <w:bidi/>
        <w:spacing w:after="120" w:line="400" w:lineRule="exact"/>
        <w:ind w:left="1134" w:hanging="852"/>
        <w:jc w:val="both"/>
        <w:rPr>
          <w:b/>
          <w:bCs/>
          <w:rtl/>
        </w:rPr>
      </w:pPr>
      <w:r w:rsidRPr="00EE1414">
        <w:rPr>
          <w:b/>
          <w:bCs/>
          <w:rtl/>
        </w:rPr>
        <w:t>هاء-</w:t>
      </w:r>
      <w:r w:rsidRPr="00EE1414">
        <w:rPr>
          <w:b/>
          <w:bCs/>
          <w:rtl/>
        </w:rPr>
        <w:tab/>
        <w:t>المياه والتربة</w:t>
      </w:r>
    </w:p>
    <w:p w14:paraId="103DF2ED" w14:textId="452A51E1" w:rsidR="002D10EB" w:rsidRPr="0092308F" w:rsidRDefault="002D10EB" w:rsidP="0092308F">
      <w:pPr>
        <w:pStyle w:val="ListParagraph"/>
        <w:numPr>
          <w:ilvl w:val="0"/>
          <w:numId w:val="21"/>
        </w:numPr>
        <w:tabs>
          <w:tab w:val="left" w:pos="1841"/>
        </w:tabs>
        <w:spacing w:after="120" w:line="400" w:lineRule="exact"/>
        <w:ind w:left="1132" w:firstLine="2"/>
        <w:contextualSpacing w:val="0"/>
        <w:jc w:val="both"/>
        <w:rPr>
          <w:rFonts w:ascii="Times New Roman" w:hAnsi="Times New Roman" w:cs="Traditional Arabic"/>
          <w:szCs w:val="30"/>
          <w:rtl/>
        </w:rPr>
      </w:pPr>
      <w:r w:rsidRPr="0092308F">
        <w:rPr>
          <w:rFonts w:ascii="Times New Roman" w:hAnsi="Times New Roman" w:cs="Traditional Arabic"/>
          <w:szCs w:val="30"/>
          <w:rtl/>
        </w:rPr>
        <w:t>ت</w:t>
      </w:r>
      <w:r w:rsidRPr="0092308F">
        <w:rPr>
          <w:rFonts w:ascii="Times New Roman" w:hAnsi="Times New Roman" w:cs="Traditional Arabic" w:hint="cs"/>
          <w:szCs w:val="30"/>
          <w:rtl/>
        </w:rPr>
        <w:t>ُ</w:t>
      </w:r>
      <w:r w:rsidRPr="0092308F">
        <w:rPr>
          <w:rFonts w:ascii="Times New Roman" w:hAnsi="Times New Roman" w:cs="Traditional Arabic"/>
          <w:szCs w:val="30"/>
          <w:rtl/>
        </w:rPr>
        <w:t>جمع مستويات الزئبق ومركبات الزئبق في المياه في إطار مسائل نوعية المياه في عدد من البلدان. هذه البيانات قد تكون مفيدة في تتبع الزئبق الناتج عن الأنشطة المحلية التي تطلق الزئبق وفي نمذجة حركة الزئبق في البيئة المائية، إلا أن بيانات الرصد من الأنهار والمناطق الساحلية لن تعطي مؤشرا</w:t>
      </w:r>
      <w:r w:rsidR="00BD3769">
        <w:rPr>
          <w:rFonts w:ascii="Times New Roman" w:hAnsi="Times New Roman" w:cs="Traditional Arabic" w:hint="cs"/>
          <w:szCs w:val="30"/>
          <w:rtl/>
        </w:rPr>
        <w:t>ً</w:t>
      </w:r>
      <w:r w:rsidRPr="0092308F">
        <w:rPr>
          <w:rFonts w:ascii="Times New Roman" w:hAnsi="Times New Roman" w:cs="Traditional Arabic"/>
          <w:szCs w:val="30"/>
          <w:rtl/>
        </w:rPr>
        <w:t xml:space="preserve"> على الاتجاهات العالمية العامة. بيد أن مستويات الزئبق في مياه المحيطات يمكن أن تكون قابلة للمقارنة على الصعيد العالمي وأن تسهم في فهم الدورة العالمية للزئبق. وتَجمع هذه البيانات الشبكات</w:t>
      </w:r>
      <w:r w:rsidRPr="0092308F">
        <w:rPr>
          <w:rFonts w:ascii="Times New Roman" w:hAnsi="Times New Roman" w:cs="Traditional Arabic" w:hint="cs"/>
          <w:szCs w:val="30"/>
          <w:rtl/>
        </w:rPr>
        <w:t>ُ</w:t>
      </w:r>
      <w:r w:rsidRPr="0092308F">
        <w:rPr>
          <w:rFonts w:ascii="Times New Roman" w:hAnsi="Times New Roman" w:cs="Traditional Arabic"/>
          <w:szCs w:val="30"/>
          <w:rtl/>
        </w:rPr>
        <w:t xml:space="preserve"> القائمة وبرامج البحوث المخصصة ولكنها لا ت</w:t>
      </w:r>
      <w:r w:rsidRPr="0092308F">
        <w:rPr>
          <w:rFonts w:ascii="Times New Roman" w:hAnsi="Times New Roman" w:cs="Traditional Arabic" w:hint="cs"/>
          <w:szCs w:val="30"/>
          <w:rtl/>
        </w:rPr>
        <w:t>ُ</w:t>
      </w:r>
      <w:r w:rsidRPr="0092308F">
        <w:rPr>
          <w:rFonts w:ascii="Times New Roman" w:hAnsi="Times New Roman" w:cs="Traditional Arabic"/>
          <w:szCs w:val="30"/>
          <w:rtl/>
        </w:rPr>
        <w:t>جمع حاليا</w:t>
      </w:r>
      <w:r w:rsidR="00BD3769">
        <w:rPr>
          <w:rFonts w:ascii="Times New Roman" w:hAnsi="Times New Roman" w:cs="Traditional Arabic" w:hint="cs"/>
          <w:szCs w:val="30"/>
          <w:rtl/>
        </w:rPr>
        <w:t>ً</w:t>
      </w:r>
      <w:r w:rsidRPr="0092308F">
        <w:rPr>
          <w:rFonts w:ascii="Times New Roman" w:hAnsi="Times New Roman" w:cs="Traditional Arabic"/>
          <w:szCs w:val="30"/>
          <w:rtl/>
        </w:rPr>
        <w:t xml:space="preserve"> عن طريق برامج رصد مخصصة طويلة الأجل.</w:t>
      </w:r>
    </w:p>
    <w:p w14:paraId="339D1E81" w14:textId="0393F451" w:rsidR="002D10EB" w:rsidRPr="0092308F" w:rsidRDefault="002D10EB" w:rsidP="0092308F">
      <w:pPr>
        <w:pStyle w:val="ListParagraph"/>
        <w:numPr>
          <w:ilvl w:val="0"/>
          <w:numId w:val="21"/>
        </w:numPr>
        <w:tabs>
          <w:tab w:val="left" w:pos="1841"/>
        </w:tabs>
        <w:spacing w:after="120" w:line="400" w:lineRule="exact"/>
        <w:ind w:left="1132" w:firstLine="2"/>
        <w:contextualSpacing w:val="0"/>
        <w:jc w:val="both"/>
        <w:rPr>
          <w:rFonts w:ascii="Times New Roman" w:hAnsi="Times New Roman" w:cs="Traditional Arabic"/>
          <w:szCs w:val="30"/>
          <w:rtl/>
        </w:rPr>
      </w:pPr>
      <w:r w:rsidRPr="0092308F">
        <w:rPr>
          <w:rFonts w:ascii="Times New Roman" w:hAnsi="Times New Roman" w:cs="Traditional Arabic"/>
          <w:szCs w:val="30"/>
          <w:rtl/>
        </w:rPr>
        <w:t>ويمكن أن تكون عينات التربة مفيدة جدا</w:t>
      </w:r>
      <w:r w:rsidR="00BD3769">
        <w:rPr>
          <w:rFonts w:ascii="Times New Roman" w:hAnsi="Times New Roman" w:cs="Traditional Arabic" w:hint="cs"/>
          <w:szCs w:val="30"/>
          <w:rtl/>
        </w:rPr>
        <w:t>ً</w:t>
      </w:r>
      <w:r w:rsidRPr="0092308F">
        <w:rPr>
          <w:rFonts w:ascii="Times New Roman" w:hAnsi="Times New Roman" w:cs="Traditional Arabic"/>
          <w:szCs w:val="30"/>
          <w:rtl/>
        </w:rPr>
        <w:t xml:space="preserve"> في تقييم تلوث موقع معين إلا أن القابلية للمقارنة على الصعيد العالمي قد لا تكون ممكنة بالنظر إلى الاختلافات في أنواع التربة وما إلى ذلك. إن البيانات عن مستويات الزئبق في الرواسب ترتبط بشكل كبير بمستويات الزئبق ذات الصلة في الأوساط الأحيائية؛ بيد أن عينات الرواسب لا تعتبر حالياً قيد الاستخدام على نطاق واسع أو قابلة للمقارنة بسهولة على الصعيد العالمي.</w:t>
      </w:r>
    </w:p>
    <w:p w14:paraId="2DA7FB61" w14:textId="3A1A3722" w:rsidR="002D10EB" w:rsidRPr="00C44B45" w:rsidRDefault="002D10EB" w:rsidP="00EE1414">
      <w:pPr>
        <w:tabs>
          <w:tab w:val="left" w:pos="1699"/>
        </w:tabs>
        <w:bidi/>
        <w:spacing w:after="120" w:line="400" w:lineRule="exact"/>
        <w:ind w:left="1134" w:hanging="852"/>
        <w:jc w:val="both"/>
        <w:rPr>
          <w:b/>
          <w:bCs/>
          <w:sz w:val="32"/>
          <w:szCs w:val="32"/>
          <w:rtl/>
        </w:rPr>
      </w:pPr>
      <w:r w:rsidRPr="00C44B45">
        <w:rPr>
          <w:b/>
          <w:bCs/>
          <w:sz w:val="32"/>
          <w:szCs w:val="32"/>
          <w:rtl/>
        </w:rPr>
        <w:t>ثالثا</w:t>
      </w:r>
      <w:r w:rsidR="00C44B45">
        <w:rPr>
          <w:rFonts w:hint="cs"/>
          <w:b/>
          <w:bCs/>
          <w:sz w:val="32"/>
          <w:szCs w:val="32"/>
          <w:rtl/>
        </w:rPr>
        <w:t>ً</w:t>
      </w:r>
      <w:r w:rsidRPr="00C44B45">
        <w:rPr>
          <w:b/>
          <w:bCs/>
          <w:sz w:val="32"/>
          <w:szCs w:val="32"/>
          <w:rtl/>
        </w:rPr>
        <w:t>-</w:t>
      </w:r>
      <w:r w:rsidRPr="00C44B45">
        <w:rPr>
          <w:b/>
          <w:bCs/>
          <w:sz w:val="32"/>
          <w:szCs w:val="32"/>
          <w:rtl/>
        </w:rPr>
        <w:tab/>
        <w:t>القابلية للمقارنة والثغرات والخيارات المتاحة لسد الثغرات</w:t>
      </w:r>
    </w:p>
    <w:p w14:paraId="20637AC7" w14:textId="73DE817B" w:rsidR="002D10EB" w:rsidRPr="00EE1414" w:rsidRDefault="002D10EB" w:rsidP="00EE1414">
      <w:pPr>
        <w:tabs>
          <w:tab w:val="left" w:pos="1699"/>
        </w:tabs>
        <w:bidi/>
        <w:spacing w:after="120" w:line="400" w:lineRule="exact"/>
        <w:ind w:left="1134" w:hanging="852"/>
        <w:jc w:val="both"/>
        <w:rPr>
          <w:b/>
          <w:bCs/>
          <w:rtl/>
        </w:rPr>
      </w:pPr>
      <w:r w:rsidRPr="00EE1414">
        <w:rPr>
          <w:b/>
          <w:bCs/>
          <w:rtl/>
        </w:rPr>
        <w:t>ألف-</w:t>
      </w:r>
      <w:r w:rsidRPr="00EE1414">
        <w:rPr>
          <w:b/>
          <w:bCs/>
          <w:rtl/>
        </w:rPr>
        <w:tab/>
        <w:t>الهواء المحيط</w:t>
      </w:r>
    </w:p>
    <w:p w14:paraId="2369E329" w14:textId="131910FA" w:rsidR="002D10EB" w:rsidRPr="0092308F" w:rsidRDefault="002D10EB" w:rsidP="0092308F">
      <w:pPr>
        <w:pStyle w:val="ListParagraph"/>
        <w:numPr>
          <w:ilvl w:val="0"/>
          <w:numId w:val="21"/>
        </w:numPr>
        <w:tabs>
          <w:tab w:val="left" w:pos="1841"/>
        </w:tabs>
        <w:spacing w:after="120" w:line="400" w:lineRule="exact"/>
        <w:ind w:left="1132" w:firstLine="2"/>
        <w:contextualSpacing w:val="0"/>
        <w:jc w:val="both"/>
        <w:rPr>
          <w:rFonts w:ascii="Times New Roman" w:hAnsi="Times New Roman" w:cs="Traditional Arabic"/>
          <w:szCs w:val="30"/>
          <w:rtl/>
        </w:rPr>
      </w:pPr>
      <w:r w:rsidRPr="0092308F">
        <w:rPr>
          <w:rFonts w:ascii="Times New Roman" w:hAnsi="Times New Roman" w:cs="Traditional Arabic"/>
          <w:szCs w:val="30"/>
          <w:rtl/>
        </w:rPr>
        <w:t xml:space="preserve">الشكل </w:t>
      </w:r>
      <w:r w:rsidR="00B4641D">
        <w:rPr>
          <w:rFonts w:ascii="Times New Roman" w:hAnsi="Times New Roman" w:cs="Traditional Arabic" w:hint="cs"/>
          <w:szCs w:val="30"/>
          <w:rtl/>
        </w:rPr>
        <w:t xml:space="preserve">أدناه </w:t>
      </w:r>
      <w:r w:rsidR="00B4641D" w:rsidRPr="0092308F">
        <w:rPr>
          <w:rFonts w:ascii="Times New Roman" w:hAnsi="Times New Roman" w:cs="Traditional Arabic"/>
          <w:szCs w:val="30"/>
          <w:rtl/>
        </w:rPr>
        <w:t>يبين</w:t>
      </w:r>
      <w:r w:rsidRPr="0092308F">
        <w:rPr>
          <w:rFonts w:ascii="Times New Roman" w:hAnsi="Times New Roman" w:cs="Traditional Arabic"/>
          <w:szCs w:val="30"/>
          <w:rtl/>
        </w:rPr>
        <w:t xml:space="preserve"> الجهود الحالية لرصد الزئبق الغازي الكلي/الزئبق </w:t>
      </w:r>
      <w:r w:rsidR="00B4641D" w:rsidRPr="0092308F">
        <w:rPr>
          <w:rFonts w:ascii="Times New Roman" w:hAnsi="Times New Roman" w:cs="Traditional Arabic"/>
          <w:szCs w:val="30"/>
          <w:rtl/>
        </w:rPr>
        <w:t xml:space="preserve">الغازي </w:t>
      </w:r>
      <w:r w:rsidRPr="0092308F">
        <w:rPr>
          <w:rFonts w:ascii="Times New Roman" w:hAnsi="Times New Roman" w:cs="Traditional Arabic"/>
          <w:szCs w:val="30"/>
          <w:rtl/>
        </w:rPr>
        <w:t>النقي. ومن هذا الشكل، يمكن ملاحظة أنه يمكن سد الثغرات في المعلومات عن الزئبق الغازي الكلي/الزئبق الغازي النقي من خلال توسيع نطاق الشبكات الحالية التي ترصد الزئبق في الغلاف الجوي. وتشمل عمليات توسعة النطاق هذه مناطق في أمريكا الجنوبية، وأفريقيا، ومنطقة البحر الكاريبي، وأجزاء من آسيا، والاتحاد الروسي، وأوقيانوسيا.</w:t>
      </w:r>
    </w:p>
    <w:p w14:paraId="19B2E522" w14:textId="77777777" w:rsidR="00C44B45" w:rsidRDefault="00C44B45" w:rsidP="00C44B45">
      <w:pPr>
        <w:bidi/>
        <w:rPr>
          <w:rtl/>
        </w:rPr>
      </w:pPr>
      <w:r>
        <w:rPr>
          <w:rtl/>
        </w:rPr>
        <w:br w:type="page"/>
      </w:r>
    </w:p>
    <w:p w14:paraId="303C5E95" w14:textId="4FCDE54C" w:rsidR="002D10EB" w:rsidRPr="00C44B45" w:rsidRDefault="002D10EB" w:rsidP="00C44B45">
      <w:pPr>
        <w:tabs>
          <w:tab w:val="left" w:pos="1699"/>
        </w:tabs>
        <w:bidi/>
        <w:spacing w:after="120" w:line="400" w:lineRule="exact"/>
        <w:ind w:left="-2"/>
        <w:jc w:val="both"/>
        <w:rPr>
          <w:sz w:val="34"/>
          <w:szCs w:val="34"/>
          <w:rtl/>
        </w:rPr>
      </w:pPr>
      <w:r w:rsidRPr="00C44B45">
        <w:rPr>
          <w:sz w:val="34"/>
          <w:szCs w:val="34"/>
          <w:rtl/>
        </w:rPr>
        <w:lastRenderedPageBreak/>
        <w:t>الشكل</w:t>
      </w:r>
    </w:p>
    <w:p w14:paraId="170546EF" w14:textId="77777777" w:rsidR="002D10EB" w:rsidRPr="00C44B45" w:rsidRDefault="002D10EB" w:rsidP="00C44B45">
      <w:pPr>
        <w:tabs>
          <w:tab w:val="left" w:pos="1699"/>
        </w:tabs>
        <w:bidi/>
        <w:spacing w:after="120" w:line="400" w:lineRule="exact"/>
        <w:ind w:left="-2"/>
        <w:jc w:val="both"/>
        <w:rPr>
          <w:b/>
          <w:bCs/>
          <w:sz w:val="32"/>
          <w:szCs w:val="32"/>
          <w:rtl/>
        </w:rPr>
      </w:pPr>
      <w:r w:rsidRPr="00C44B45">
        <w:rPr>
          <w:b/>
          <w:bCs/>
          <w:sz w:val="32"/>
          <w:szCs w:val="32"/>
          <w:rtl/>
        </w:rPr>
        <w:t>شبكات الرصد القائمة التي تقيس تركيزات الزئبق في الهواء</w:t>
      </w:r>
    </w:p>
    <w:p w14:paraId="407EF945" w14:textId="1643DDEE" w:rsidR="002D10EB" w:rsidRDefault="002D10EB" w:rsidP="002D10EB">
      <w:pPr>
        <w:pBdr>
          <w:top w:val="nil"/>
          <w:left w:val="nil"/>
          <w:bottom w:val="nil"/>
          <w:right w:val="nil"/>
          <w:between w:val="nil"/>
          <w:bar w:val="nil"/>
        </w:pBdr>
        <w:shd w:val="clear" w:color="auto" w:fill="FFFFFF"/>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520"/>
        </w:tabs>
        <w:bidi/>
        <w:jc w:val="both"/>
        <w:rPr>
          <w:rFonts w:ascii="Traditional Arabic" w:hAnsi="Traditional Arabic"/>
          <w:sz w:val="30"/>
          <w:bdr w:val="nil"/>
          <w:rtl/>
          <w:lang w:val="en-GB"/>
        </w:rPr>
      </w:pPr>
      <w:r w:rsidRPr="00D56F90">
        <w:rPr>
          <w:rFonts w:ascii="Traditional Arabic" w:hAnsi="Traditional Arabic"/>
          <w:noProof/>
          <w:sz w:val="30"/>
          <w:bdr w:val="nil"/>
          <w:rtl/>
        </w:rPr>
        <w:drawing>
          <wp:inline distT="0" distB="0" distL="0" distR="0" wp14:anchorId="30164F94" wp14:editId="62F7B283">
            <wp:extent cx="5943600" cy="5079365"/>
            <wp:effectExtent l="0" t="0" r="0" b="0"/>
            <wp:docPr id="1073741827" name="officeArt object" descr="Picture 1"/>
            <wp:cNvGraphicFramePr/>
            <a:graphic xmlns:a="http://schemas.openxmlformats.org/drawingml/2006/main">
              <a:graphicData uri="http://schemas.openxmlformats.org/drawingml/2006/picture">
                <pic:pic xmlns:pic="http://schemas.openxmlformats.org/drawingml/2006/picture">
                  <pic:nvPicPr>
                    <pic:cNvPr id="1073741827" name="Picture 1" descr="Picture 1"/>
                    <pic:cNvPicPr>
                      <a:picLocks noChangeAspect="1"/>
                    </pic:cNvPicPr>
                  </pic:nvPicPr>
                  <pic:blipFill>
                    <a:blip r:embed="rId10"/>
                    <a:stretch>
                      <a:fillRect/>
                    </a:stretch>
                  </pic:blipFill>
                  <pic:spPr>
                    <a:xfrm>
                      <a:off x="0" y="0"/>
                      <a:ext cx="5943600" cy="5079365"/>
                    </a:xfrm>
                    <a:prstGeom prst="rect">
                      <a:avLst/>
                    </a:prstGeom>
                    <a:ln w="12700" cap="flat">
                      <a:noFill/>
                      <a:miter lim="400000"/>
                    </a:ln>
                    <a:effectLst/>
                  </pic:spPr>
                </pic:pic>
              </a:graphicData>
            </a:graphic>
          </wp:inline>
        </w:drawing>
      </w:r>
    </w:p>
    <w:tbl>
      <w:tblPr>
        <w:tblStyle w:val="TableGrid"/>
        <w:bidiVisual/>
        <w:tblW w:w="0" w:type="auto"/>
        <w:jc w:val="center"/>
        <w:tblLook w:val="04A0" w:firstRow="1" w:lastRow="0" w:firstColumn="1" w:lastColumn="0" w:noHBand="0" w:noVBand="1"/>
      </w:tblPr>
      <w:tblGrid>
        <w:gridCol w:w="5717"/>
        <w:gridCol w:w="3490"/>
      </w:tblGrid>
      <w:tr w:rsidR="002D10EB" w:rsidRPr="00D552B7" w14:paraId="4A2441F6" w14:textId="77777777" w:rsidTr="00C44B45">
        <w:trPr>
          <w:jc w:val="center"/>
        </w:trPr>
        <w:tc>
          <w:tcPr>
            <w:tcW w:w="5717" w:type="dxa"/>
          </w:tcPr>
          <w:p w14:paraId="622D999E" w14:textId="01D4A288" w:rsidR="002D10EB" w:rsidRPr="00C44B45" w:rsidRDefault="002D10EB" w:rsidP="00C44B45">
            <w:pPr>
              <w:bidi/>
              <w:spacing w:line="320" w:lineRule="exact"/>
              <w:jc w:val="both"/>
              <w:rPr>
                <w:rFonts w:ascii="Traditional Arabic" w:hAnsi="Traditional Arabic" w:cs="Traditional Arabic"/>
                <w:sz w:val="24"/>
                <w:szCs w:val="24"/>
                <w:bdr w:val="nil"/>
                <w:rtl/>
              </w:rPr>
            </w:pPr>
            <w:r w:rsidRPr="00C44B45">
              <w:rPr>
                <w:rFonts w:ascii="Traditional Arabic" w:hAnsi="Traditional Arabic" w:cs="Traditional Arabic"/>
                <w:sz w:val="24"/>
                <w:szCs w:val="24"/>
                <w:bdr w:val="nil"/>
                <w:rtl/>
              </w:rPr>
              <w:t xml:space="preserve">الشبكات </w:t>
            </w:r>
            <w:r w:rsidR="00A7062B">
              <w:rPr>
                <w:rFonts w:ascii="Traditional Arabic" w:hAnsi="Traditional Arabic" w:cs="Traditional Arabic" w:hint="cs"/>
                <w:sz w:val="24"/>
                <w:szCs w:val="24"/>
                <w:bdr w:val="nil"/>
                <w:rtl/>
              </w:rPr>
              <w:t>الدولية</w:t>
            </w:r>
          </w:p>
        </w:tc>
        <w:tc>
          <w:tcPr>
            <w:tcW w:w="3490" w:type="dxa"/>
          </w:tcPr>
          <w:p w14:paraId="0A6B1C2B" w14:textId="77777777" w:rsidR="002D10EB" w:rsidRPr="00C44B45" w:rsidRDefault="002D10EB" w:rsidP="00C44B45">
            <w:pPr>
              <w:spacing w:line="320" w:lineRule="exact"/>
              <w:jc w:val="both"/>
              <w:rPr>
                <w:rFonts w:asciiTheme="majorBidi" w:hAnsiTheme="majorBidi" w:cstheme="majorBidi"/>
                <w:sz w:val="18"/>
                <w:szCs w:val="18"/>
                <w:bdr w:val="nil"/>
                <w:rtl/>
              </w:rPr>
            </w:pPr>
            <w:r w:rsidRPr="00C44B45">
              <w:rPr>
                <w:rFonts w:asciiTheme="majorBidi" w:hAnsiTheme="majorBidi" w:cstheme="majorBidi"/>
                <w:sz w:val="18"/>
                <w:szCs w:val="18"/>
                <w:bdr w:val="nil"/>
              </w:rPr>
              <w:t xml:space="preserve">International networks </w:t>
            </w:r>
          </w:p>
        </w:tc>
      </w:tr>
      <w:tr w:rsidR="002D10EB" w:rsidRPr="00D552B7" w14:paraId="11A21035" w14:textId="77777777" w:rsidTr="00C44B45">
        <w:trPr>
          <w:jc w:val="center"/>
        </w:trPr>
        <w:tc>
          <w:tcPr>
            <w:tcW w:w="5717" w:type="dxa"/>
          </w:tcPr>
          <w:p w14:paraId="6C0357E0" w14:textId="77777777" w:rsidR="002D10EB" w:rsidRPr="00C44B45" w:rsidRDefault="002D10EB" w:rsidP="00C44B45">
            <w:pPr>
              <w:bidi/>
              <w:spacing w:line="320" w:lineRule="exact"/>
              <w:jc w:val="both"/>
              <w:rPr>
                <w:rFonts w:ascii="Traditional Arabic" w:hAnsi="Traditional Arabic" w:cs="Traditional Arabic"/>
                <w:sz w:val="24"/>
                <w:szCs w:val="24"/>
                <w:bdr w:val="nil"/>
                <w:rtl/>
              </w:rPr>
            </w:pPr>
            <w:r w:rsidRPr="00C44B45">
              <w:rPr>
                <w:rFonts w:ascii="Traditional Arabic" w:hAnsi="Traditional Arabic" w:cs="Traditional Arabic"/>
                <w:sz w:val="24"/>
                <w:szCs w:val="24"/>
                <w:bdr w:val="nil"/>
                <w:rtl/>
              </w:rPr>
              <w:t>الشبكات الوطنية</w:t>
            </w:r>
          </w:p>
        </w:tc>
        <w:tc>
          <w:tcPr>
            <w:tcW w:w="3490" w:type="dxa"/>
          </w:tcPr>
          <w:p w14:paraId="574F2096" w14:textId="77777777" w:rsidR="002D10EB" w:rsidRPr="00C44B45" w:rsidRDefault="002D10EB" w:rsidP="00C44B45">
            <w:pPr>
              <w:spacing w:line="320" w:lineRule="exact"/>
              <w:jc w:val="both"/>
              <w:rPr>
                <w:rFonts w:asciiTheme="majorBidi" w:hAnsiTheme="majorBidi" w:cstheme="majorBidi"/>
                <w:sz w:val="18"/>
                <w:szCs w:val="18"/>
                <w:bdr w:val="nil"/>
                <w:rtl/>
              </w:rPr>
            </w:pPr>
            <w:r w:rsidRPr="00C44B45">
              <w:rPr>
                <w:rFonts w:asciiTheme="majorBidi" w:hAnsiTheme="majorBidi" w:cstheme="majorBidi"/>
                <w:sz w:val="18"/>
                <w:szCs w:val="18"/>
                <w:bdr w:val="nil"/>
              </w:rPr>
              <w:t>National networks</w:t>
            </w:r>
          </w:p>
        </w:tc>
      </w:tr>
      <w:tr w:rsidR="002D10EB" w:rsidRPr="00D552B7" w14:paraId="5E2CF4B0" w14:textId="77777777" w:rsidTr="00C44B45">
        <w:trPr>
          <w:jc w:val="center"/>
        </w:trPr>
        <w:tc>
          <w:tcPr>
            <w:tcW w:w="5717" w:type="dxa"/>
          </w:tcPr>
          <w:p w14:paraId="11548272" w14:textId="77777777" w:rsidR="002D10EB" w:rsidRPr="00C44B45" w:rsidRDefault="002D10EB" w:rsidP="00C44B45">
            <w:pPr>
              <w:bidi/>
              <w:spacing w:line="320" w:lineRule="exact"/>
              <w:jc w:val="both"/>
              <w:rPr>
                <w:rFonts w:ascii="Traditional Arabic" w:hAnsi="Traditional Arabic" w:cs="Traditional Arabic"/>
                <w:sz w:val="24"/>
                <w:szCs w:val="24"/>
                <w:bdr w:val="nil"/>
                <w:rtl/>
              </w:rPr>
            </w:pPr>
            <w:r w:rsidRPr="00C44B45">
              <w:rPr>
                <w:rFonts w:ascii="Traditional Arabic" w:hAnsi="Traditional Arabic" w:cs="Traditional Arabic"/>
                <w:sz w:val="24"/>
                <w:szCs w:val="24"/>
                <w:bdr w:val="nil"/>
                <w:rtl/>
              </w:rPr>
              <w:t>برنامج رصد وتقييم القطب الشمالي</w:t>
            </w:r>
          </w:p>
        </w:tc>
        <w:tc>
          <w:tcPr>
            <w:tcW w:w="3490" w:type="dxa"/>
          </w:tcPr>
          <w:p w14:paraId="721D03F0" w14:textId="77777777" w:rsidR="002D10EB" w:rsidRPr="00C44B45" w:rsidRDefault="002D10EB" w:rsidP="00C44B45">
            <w:pPr>
              <w:spacing w:line="320" w:lineRule="exact"/>
              <w:jc w:val="both"/>
              <w:rPr>
                <w:rFonts w:asciiTheme="majorBidi" w:hAnsiTheme="majorBidi" w:cstheme="majorBidi"/>
                <w:sz w:val="18"/>
                <w:szCs w:val="18"/>
                <w:bdr w:val="nil"/>
                <w:rtl/>
              </w:rPr>
            </w:pPr>
            <w:r w:rsidRPr="00C44B45">
              <w:rPr>
                <w:rFonts w:asciiTheme="majorBidi" w:hAnsiTheme="majorBidi" w:cstheme="majorBidi"/>
                <w:sz w:val="18"/>
                <w:szCs w:val="18"/>
              </w:rPr>
              <w:t>AMAP</w:t>
            </w:r>
          </w:p>
        </w:tc>
      </w:tr>
      <w:tr w:rsidR="002D10EB" w:rsidRPr="00D552B7" w14:paraId="01792E29" w14:textId="77777777" w:rsidTr="00C44B45">
        <w:trPr>
          <w:jc w:val="center"/>
        </w:trPr>
        <w:tc>
          <w:tcPr>
            <w:tcW w:w="5717" w:type="dxa"/>
          </w:tcPr>
          <w:p w14:paraId="7DB3F05B" w14:textId="77777777" w:rsidR="002D10EB" w:rsidRPr="00C44B45" w:rsidRDefault="002D10EB" w:rsidP="00C44B45">
            <w:pPr>
              <w:bidi/>
              <w:spacing w:line="320" w:lineRule="exact"/>
              <w:jc w:val="both"/>
              <w:rPr>
                <w:rFonts w:ascii="Traditional Arabic" w:hAnsi="Traditional Arabic" w:cs="Traditional Arabic"/>
                <w:sz w:val="24"/>
                <w:szCs w:val="24"/>
                <w:bdr w:val="nil"/>
                <w:rtl/>
              </w:rPr>
            </w:pPr>
            <w:r w:rsidRPr="00C44B45">
              <w:rPr>
                <w:rFonts w:ascii="Traditional Arabic" w:hAnsi="Traditional Arabic" w:cs="Traditional Arabic"/>
                <w:sz w:val="24"/>
                <w:szCs w:val="24"/>
                <w:bdr w:val="nil"/>
                <w:rtl/>
              </w:rPr>
              <w:t xml:space="preserve">البرنامج الأوروبي للرصد والتقييم </w:t>
            </w:r>
          </w:p>
        </w:tc>
        <w:tc>
          <w:tcPr>
            <w:tcW w:w="3490" w:type="dxa"/>
          </w:tcPr>
          <w:p w14:paraId="7B18CCE4" w14:textId="77777777" w:rsidR="002D10EB" w:rsidRPr="00C44B45" w:rsidRDefault="002D10EB" w:rsidP="00C44B45">
            <w:pPr>
              <w:spacing w:line="320" w:lineRule="exact"/>
              <w:jc w:val="both"/>
              <w:rPr>
                <w:rFonts w:asciiTheme="majorBidi" w:hAnsiTheme="majorBidi" w:cstheme="majorBidi"/>
                <w:sz w:val="18"/>
                <w:szCs w:val="18"/>
                <w:bdr w:val="nil"/>
                <w:rtl/>
              </w:rPr>
            </w:pPr>
            <w:r w:rsidRPr="00C44B45">
              <w:rPr>
                <w:rFonts w:asciiTheme="majorBidi" w:hAnsiTheme="majorBidi" w:cstheme="majorBidi"/>
                <w:sz w:val="18"/>
                <w:szCs w:val="18"/>
              </w:rPr>
              <w:t>EMEP</w:t>
            </w:r>
          </w:p>
        </w:tc>
      </w:tr>
      <w:tr w:rsidR="002D10EB" w:rsidRPr="00D552B7" w14:paraId="2FF050D5" w14:textId="77777777" w:rsidTr="00C44B45">
        <w:trPr>
          <w:jc w:val="center"/>
        </w:trPr>
        <w:tc>
          <w:tcPr>
            <w:tcW w:w="5717" w:type="dxa"/>
          </w:tcPr>
          <w:p w14:paraId="20EC7A97" w14:textId="77777777" w:rsidR="002D10EB" w:rsidRPr="00C44B45" w:rsidRDefault="002D10EB" w:rsidP="00C44B45">
            <w:pPr>
              <w:bidi/>
              <w:spacing w:line="320" w:lineRule="exact"/>
              <w:jc w:val="both"/>
              <w:rPr>
                <w:rFonts w:ascii="Traditional Arabic" w:hAnsi="Traditional Arabic" w:cs="Traditional Arabic"/>
                <w:sz w:val="24"/>
                <w:szCs w:val="24"/>
                <w:bdr w:val="nil"/>
                <w:rtl/>
              </w:rPr>
            </w:pPr>
            <w:r w:rsidRPr="00C44B45">
              <w:rPr>
                <w:rFonts w:ascii="Traditional Arabic" w:hAnsi="Traditional Arabic" w:cs="Traditional Arabic"/>
                <w:sz w:val="24"/>
                <w:szCs w:val="24"/>
                <w:bdr w:val="nil"/>
                <w:rtl/>
              </w:rPr>
              <w:t>النظام العالمي لمراقبة للزئبق</w:t>
            </w:r>
          </w:p>
        </w:tc>
        <w:tc>
          <w:tcPr>
            <w:tcW w:w="3490" w:type="dxa"/>
          </w:tcPr>
          <w:p w14:paraId="2B27C654" w14:textId="77777777" w:rsidR="002D10EB" w:rsidRPr="00C44B45" w:rsidRDefault="002D10EB" w:rsidP="00C44B45">
            <w:pPr>
              <w:spacing w:line="320" w:lineRule="exact"/>
              <w:jc w:val="both"/>
              <w:rPr>
                <w:rFonts w:asciiTheme="majorBidi" w:hAnsiTheme="majorBidi" w:cstheme="majorBidi"/>
                <w:sz w:val="18"/>
                <w:szCs w:val="18"/>
                <w:bdr w:val="nil"/>
                <w:rtl/>
              </w:rPr>
            </w:pPr>
            <w:r w:rsidRPr="00C44B45">
              <w:rPr>
                <w:rFonts w:asciiTheme="majorBidi" w:hAnsiTheme="majorBidi" w:cstheme="majorBidi"/>
                <w:sz w:val="18"/>
                <w:szCs w:val="18"/>
              </w:rPr>
              <w:t>GMOS</w:t>
            </w:r>
          </w:p>
        </w:tc>
      </w:tr>
      <w:tr w:rsidR="002D10EB" w:rsidRPr="00D552B7" w14:paraId="05489EC8" w14:textId="77777777" w:rsidTr="00C44B45">
        <w:trPr>
          <w:jc w:val="center"/>
        </w:trPr>
        <w:tc>
          <w:tcPr>
            <w:tcW w:w="5717" w:type="dxa"/>
          </w:tcPr>
          <w:p w14:paraId="3159C213" w14:textId="77777777" w:rsidR="002D10EB" w:rsidRPr="00C44B45" w:rsidRDefault="002D10EB" w:rsidP="00C44B45">
            <w:pPr>
              <w:bidi/>
              <w:spacing w:line="320" w:lineRule="exact"/>
              <w:jc w:val="both"/>
              <w:rPr>
                <w:rFonts w:ascii="Traditional Arabic" w:hAnsi="Traditional Arabic" w:cs="Traditional Arabic"/>
                <w:sz w:val="24"/>
                <w:szCs w:val="24"/>
                <w:bdr w:val="nil"/>
                <w:rtl/>
              </w:rPr>
            </w:pPr>
            <w:r w:rsidRPr="00C44B45">
              <w:rPr>
                <w:rFonts w:ascii="Traditional Arabic" w:hAnsi="Traditional Arabic" w:cs="Traditional Arabic"/>
                <w:sz w:val="24"/>
                <w:szCs w:val="24"/>
                <w:bdr w:val="nil"/>
                <w:rtl/>
              </w:rPr>
              <w:t>شبكة ترسب الزئبق (كندا والولايات المتحدة)</w:t>
            </w:r>
          </w:p>
        </w:tc>
        <w:tc>
          <w:tcPr>
            <w:tcW w:w="3490" w:type="dxa"/>
          </w:tcPr>
          <w:p w14:paraId="5B77280F" w14:textId="77777777" w:rsidR="002D10EB" w:rsidRPr="00C44B45" w:rsidRDefault="002D10EB" w:rsidP="00C44B45">
            <w:pPr>
              <w:spacing w:line="320" w:lineRule="exact"/>
              <w:jc w:val="both"/>
              <w:rPr>
                <w:rFonts w:asciiTheme="majorBidi" w:hAnsiTheme="majorBidi" w:cstheme="majorBidi"/>
                <w:sz w:val="18"/>
                <w:szCs w:val="18"/>
                <w:bdr w:val="nil"/>
              </w:rPr>
            </w:pPr>
            <w:r w:rsidRPr="00C44B45">
              <w:rPr>
                <w:rFonts w:asciiTheme="majorBidi" w:hAnsiTheme="majorBidi" w:cstheme="majorBidi"/>
                <w:sz w:val="18"/>
                <w:szCs w:val="18"/>
              </w:rPr>
              <w:t>MDN</w:t>
            </w:r>
            <w:r w:rsidRPr="00C44B45">
              <w:rPr>
                <w:rFonts w:asciiTheme="majorBidi" w:hAnsiTheme="majorBidi" w:cstheme="majorBidi"/>
                <w:sz w:val="18"/>
                <w:szCs w:val="18"/>
                <w:bdr w:val="nil"/>
              </w:rPr>
              <w:t xml:space="preserve"> (Canada and Unites States)</w:t>
            </w:r>
          </w:p>
        </w:tc>
      </w:tr>
      <w:tr w:rsidR="002D10EB" w:rsidRPr="00D552B7" w14:paraId="05A57177" w14:textId="77777777" w:rsidTr="00C44B45">
        <w:trPr>
          <w:jc w:val="center"/>
        </w:trPr>
        <w:tc>
          <w:tcPr>
            <w:tcW w:w="5717" w:type="dxa"/>
          </w:tcPr>
          <w:p w14:paraId="4E0019D9" w14:textId="77777777" w:rsidR="002D10EB" w:rsidRPr="00C44B45" w:rsidRDefault="002D10EB" w:rsidP="00C44B45">
            <w:pPr>
              <w:bidi/>
              <w:spacing w:line="320" w:lineRule="exact"/>
              <w:jc w:val="both"/>
              <w:rPr>
                <w:rFonts w:ascii="Traditional Arabic" w:hAnsi="Traditional Arabic" w:cs="Traditional Arabic"/>
                <w:sz w:val="24"/>
                <w:szCs w:val="24"/>
                <w:bdr w:val="nil"/>
                <w:rtl/>
              </w:rPr>
            </w:pPr>
            <w:r w:rsidRPr="00C44B45">
              <w:rPr>
                <w:rFonts w:ascii="Traditional Arabic" w:hAnsi="Traditional Arabic" w:cs="Traditional Arabic"/>
                <w:sz w:val="24"/>
                <w:szCs w:val="24"/>
                <w:bdr w:val="nil"/>
                <w:rtl/>
              </w:rPr>
              <w:t>رصد الهواء على المدى البعيد</w:t>
            </w:r>
          </w:p>
          <w:p w14:paraId="74EC86B3" w14:textId="77777777" w:rsidR="002D10EB" w:rsidRPr="00C44B45" w:rsidRDefault="002D10EB" w:rsidP="00C44B45">
            <w:pPr>
              <w:bidi/>
              <w:spacing w:line="320" w:lineRule="exact"/>
              <w:jc w:val="both"/>
              <w:rPr>
                <w:rFonts w:ascii="Traditional Arabic" w:hAnsi="Traditional Arabic" w:cs="Traditional Arabic"/>
                <w:sz w:val="24"/>
                <w:szCs w:val="24"/>
                <w:bdr w:val="nil"/>
                <w:rtl/>
              </w:rPr>
            </w:pPr>
            <w:r w:rsidRPr="00C44B45">
              <w:rPr>
                <w:rFonts w:ascii="Traditional Arabic" w:hAnsi="Traditional Arabic" w:cs="Traditional Arabic"/>
                <w:sz w:val="24"/>
                <w:szCs w:val="24"/>
                <w:bdr w:val="nil"/>
                <w:rtl/>
              </w:rPr>
              <w:t>(على فترات تزيد مدة كل منها عن 10 سنوات)</w:t>
            </w:r>
          </w:p>
        </w:tc>
        <w:tc>
          <w:tcPr>
            <w:tcW w:w="3490" w:type="dxa"/>
          </w:tcPr>
          <w:p w14:paraId="30F87E4F" w14:textId="77777777" w:rsidR="002D10EB" w:rsidRPr="00C44B45" w:rsidRDefault="002D10EB" w:rsidP="00C44B45">
            <w:pPr>
              <w:spacing w:line="320" w:lineRule="exact"/>
              <w:jc w:val="both"/>
              <w:rPr>
                <w:rFonts w:asciiTheme="majorBidi" w:hAnsiTheme="majorBidi" w:cstheme="majorBidi"/>
                <w:sz w:val="18"/>
                <w:szCs w:val="18"/>
                <w:bdr w:val="nil"/>
              </w:rPr>
            </w:pPr>
            <w:r w:rsidRPr="00C44B45">
              <w:rPr>
                <w:rFonts w:asciiTheme="majorBidi" w:hAnsiTheme="majorBidi" w:cstheme="majorBidi"/>
                <w:sz w:val="18"/>
                <w:szCs w:val="18"/>
                <w:bdr w:val="nil"/>
              </w:rPr>
              <w:t>Long term air monitoring</w:t>
            </w:r>
          </w:p>
          <w:p w14:paraId="48126B26" w14:textId="77777777" w:rsidR="002D10EB" w:rsidRPr="00C44B45" w:rsidRDefault="002D10EB" w:rsidP="00C44B45">
            <w:pPr>
              <w:spacing w:line="320" w:lineRule="exact"/>
              <w:jc w:val="both"/>
              <w:rPr>
                <w:rFonts w:asciiTheme="majorBidi" w:hAnsiTheme="majorBidi" w:cstheme="majorBidi"/>
                <w:sz w:val="18"/>
                <w:szCs w:val="18"/>
                <w:bdr w:val="nil"/>
              </w:rPr>
            </w:pPr>
            <w:r w:rsidRPr="00C44B45">
              <w:rPr>
                <w:rFonts w:asciiTheme="majorBidi" w:hAnsiTheme="majorBidi" w:cstheme="majorBidi"/>
                <w:sz w:val="18"/>
                <w:szCs w:val="18"/>
                <w:bdr w:val="nil"/>
              </w:rPr>
              <w:t>(</w:t>
            </w:r>
            <w:r w:rsidRPr="00C44B45">
              <w:rPr>
                <w:rFonts w:asciiTheme="majorBidi" w:hAnsiTheme="majorBidi" w:cstheme="majorBidi"/>
                <w:sz w:val="18"/>
                <w:szCs w:val="18"/>
                <w:bdr w:val="nil"/>
                <w:rtl/>
              </w:rPr>
              <w:t>&lt;</w:t>
            </w:r>
            <w:r w:rsidRPr="00C44B45">
              <w:rPr>
                <w:rFonts w:asciiTheme="majorBidi" w:hAnsiTheme="majorBidi" w:cstheme="majorBidi"/>
                <w:sz w:val="18"/>
                <w:szCs w:val="18"/>
                <w:bdr w:val="nil"/>
              </w:rPr>
              <w:t xml:space="preserve">10-year-time-series) </w:t>
            </w:r>
          </w:p>
        </w:tc>
      </w:tr>
      <w:tr w:rsidR="002D10EB" w:rsidRPr="00D552B7" w14:paraId="7BD8BB45" w14:textId="77777777" w:rsidTr="00C44B45">
        <w:trPr>
          <w:jc w:val="center"/>
        </w:trPr>
        <w:tc>
          <w:tcPr>
            <w:tcW w:w="5717" w:type="dxa"/>
          </w:tcPr>
          <w:p w14:paraId="36FEA1D8" w14:textId="77777777" w:rsidR="002D10EB" w:rsidRPr="00C44B45" w:rsidRDefault="002D10EB" w:rsidP="00C44B45">
            <w:pPr>
              <w:bidi/>
              <w:spacing w:line="320" w:lineRule="exact"/>
              <w:jc w:val="both"/>
              <w:rPr>
                <w:rFonts w:ascii="Traditional Arabic" w:hAnsi="Traditional Arabic" w:cs="Traditional Arabic"/>
                <w:sz w:val="24"/>
                <w:szCs w:val="24"/>
                <w:bdr w:val="nil"/>
                <w:rtl/>
              </w:rPr>
            </w:pPr>
            <w:r w:rsidRPr="00C44B45">
              <w:rPr>
                <w:rFonts w:ascii="Traditional Arabic" w:hAnsi="Traditional Arabic" w:cs="Traditional Arabic"/>
                <w:sz w:val="24"/>
                <w:szCs w:val="24"/>
                <w:bdr w:val="nil"/>
                <w:rtl/>
              </w:rPr>
              <w:t xml:space="preserve">أستراليا </w:t>
            </w:r>
          </w:p>
        </w:tc>
        <w:tc>
          <w:tcPr>
            <w:tcW w:w="3490" w:type="dxa"/>
          </w:tcPr>
          <w:p w14:paraId="6193BD79" w14:textId="77777777" w:rsidR="002D10EB" w:rsidRPr="00C44B45" w:rsidRDefault="002D10EB" w:rsidP="00C44B45">
            <w:pPr>
              <w:spacing w:line="320" w:lineRule="exact"/>
              <w:jc w:val="both"/>
              <w:rPr>
                <w:rFonts w:asciiTheme="majorBidi" w:hAnsiTheme="majorBidi" w:cstheme="majorBidi"/>
                <w:sz w:val="18"/>
                <w:szCs w:val="18"/>
                <w:bdr w:val="nil"/>
              </w:rPr>
            </w:pPr>
            <w:r w:rsidRPr="00C44B45">
              <w:rPr>
                <w:rFonts w:asciiTheme="majorBidi" w:hAnsiTheme="majorBidi" w:cstheme="majorBidi"/>
                <w:sz w:val="18"/>
                <w:szCs w:val="18"/>
                <w:bdr w:val="nil"/>
              </w:rPr>
              <w:t xml:space="preserve">Australia </w:t>
            </w:r>
          </w:p>
        </w:tc>
      </w:tr>
      <w:tr w:rsidR="002D10EB" w:rsidRPr="00D552B7" w14:paraId="43BF9028" w14:textId="77777777" w:rsidTr="00C44B45">
        <w:trPr>
          <w:jc w:val="center"/>
        </w:trPr>
        <w:tc>
          <w:tcPr>
            <w:tcW w:w="5717" w:type="dxa"/>
          </w:tcPr>
          <w:p w14:paraId="449550FC" w14:textId="77777777" w:rsidR="002D10EB" w:rsidRPr="00C44B45" w:rsidRDefault="002D10EB" w:rsidP="00C44B45">
            <w:pPr>
              <w:bidi/>
              <w:spacing w:line="320" w:lineRule="exact"/>
              <w:jc w:val="both"/>
              <w:rPr>
                <w:rFonts w:ascii="Traditional Arabic" w:hAnsi="Traditional Arabic" w:cs="Traditional Arabic"/>
                <w:sz w:val="24"/>
                <w:szCs w:val="24"/>
                <w:bdr w:val="nil"/>
                <w:rtl/>
              </w:rPr>
            </w:pPr>
            <w:r w:rsidRPr="00C44B45">
              <w:rPr>
                <w:rFonts w:ascii="Traditional Arabic" w:hAnsi="Traditional Arabic" w:cs="Traditional Arabic"/>
                <w:sz w:val="24"/>
                <w:szCs w:val="24"/>
                <w:bdr w:val="nil"/>
                <w:rtl/>
              </w:rPr>
              <w:t>الصين</w:t>
            </w:r>
          </w:p>
        </w:tc>
        <w:tc>
          <w:tcPr>
            <w:tcW w:w="3490" w:type="dxa"/>
          </w:tcPr>
          <w:p w14:paraId="2F50A465" w14:textId="77777777" w:rsidR="002D10EB" w:rsidRPr="00C44B45" w:rsidRDefault="002D10EB" w:rsidP="00C44B45">
            <w:pPr>
              <w:spacing w:line="320" w:lineRule="exact"/>
              <w:jc w:val="both"/>
              <w:rPr>
                <w:rFonts w:asciiTheme="majorBidi" w:hAnsiTheme="majorBidi" w:cstheme="majorBidi"/>
                <w:sz w:val="18"/>
                <w:szCs w:val="18"/>
                <w:bdr w:val="nil"/>
              </w:rPr>
            </w:pPr>
            <w:r w:rsidRPr="00C44B45">
              <w:rPr>
                <w:rFonts w:asciiTheme="majorBidi" w:hAnsiTheme="majorBidi" w:cstheme="majorBidi"/>
                <w:sz w:val="18"/>
                <w:szCs w:val="18"/>
                <w:bdr w:val="nil"/>
              </w:rPr>
              <w:t>China</w:t>
            </w:r>
          </w:p>
        </w:tc>
      </w:tr>
      <w:tr w:rsidR="002D10EB" w:rsidRPr="00D552B7" w14:paraId="416FBD3E" w14:textId="77777777" w:rsidTr="00C44B45">
        <w:trPr>
          <w:jc w:val="center"/>
        </w:trPr>
        <w:tc>
          <w:tcPr>
            <w:tcW w:w="5717" w:type="dxa"/>
          </w:tcPr>
          <w:p w14:paraId="270A23BA" w14:textId="77777777" w:rsidR="002D10EB" w:rsidRPr="00C44B45" w:rsidRDefault="002D10EB" w:rsidP="00C44B45">
            <w:pPr>
              <w:bidi/>
              <w:spacing w:line="320" w:lineRule="exact"/>
              <w:jc w:val="both"/>
              <w:rPr>
                <w:rFonts w:ascii="Traditional Arabic" w:hAnsi="Traditional Arabic" w:cs="Traditional Arabic"/>
                <w:sz w:val="24"/>
                <w:szCs w:val="24"/>
                <w:bdr w:val="nil"/>
                <w:rtl/>
              </w:rPr>
            </w:pPr>
            <w:r w:rsidRPr="00C44B45">
              <w:rPr>
                <w:rFonts w:ascii="Traditional Arabic" w:hAnsi="Traditional Arabic" w:cs="Traditional Arabic"/>
                <w:sz w:val="24"/>
                <w:szCs w:val="24"/>
                <w:bdr w:val="nil"/>
                <w:rtl/>
              </w:rPr>
              <w:t>جمهورية كوريا</w:t>
            </w:r>
          </w:p>
        </w:tc>
        <w:tc>
          <w:tcPr>
            <w:tcW w:w="3490" w:type="dxa"/>
          </w:tcPr>
          <w:p w14:paraId="4B095E34" w14:textId="77777777" w:rsidR="002D10EB" w:rsidRPr="00C44B45" w:rsidRDefault="002D10EB" w:rsidP="00C44B45">
            <w:pPr>
              <w:spacing w:line="320" w:lineRule="exact"/>
              <w:jc w:val="both"/>
              <w:rPr>
                <w:rFonts w:asciiTheme="majorBidi" w:hAnsiTheme="majorBidi" w:cstheme="majorBidi"/>
                <w:sz w:val="18"/>
                <w:szCs w:val="18"/>
                <w:bdr w:val="nil"/>
              </w:rPr>
            </w:pPr>
            <w:r w:rsidRPr="00C44B45">
              <w:rPr>
                <w:rFonts w:asciiTheme="majorBidi" w:hAnsiTheme="majorBidi" w:cstheme="majorBidi"/>
                <w:sz w:val="18"/>
                <w:szCs w:val="18"/>
                <w:bdr w:val="nil"/>
              </w:rPr>
              <w:t>Republic of Korea</w:t>
            </w:r>
          </w:p>
        </w:tc>
      </w:tr>
      <w:tr w:rsidR="002D10EB" w:rsidRPr="00D552B7" w14:paraId="7E36E4D3" w14:textId="77777777" w:rsidTr="00C44B45">
        <w:trPr>
          <w:jc w:val="center"/>
        </w:trPr>
        <w:tc>
          <w:tcPr>
            <w:tcW w:w="5717" w:type="dxa"/>
          </w:tcPr>
          <w:p w14:paraId="76BBD0E2" w14:textId="77777777" w:rsidR="002D10EB" w:rsidRPr="00C44B45" w:rsidRDefault="002D10EB" w:rsidP="00C44B45">
            <w:pPr>
              <w:bidi/>
              <w:spacing w:line="320" w:lineRule="exact"/>
              <w:jc w:val="both"/>
              <w:rPr>
                <w:rFonts w:ascii="Traditional Arabic" w:hAnsi="Traditional Arabic" w:cs="Traditional Arabic"/>
                <w:sz w:val="24"/>
                <w:szCs w:val="24"/>
                <w:bdr w:val="nil"/>
                <w:rtl/>
              </w:rPr>
            </w:pPr>
            <w:r w:rsidRPr="00C44B45">
              <w:rPr>
                <w:rFonts w:ascii="Traditional Arabic" w:hAnsi="Traditional Arabic" w:cs="Traditional Arabic"/>
                <w:sz w:val="24"/>
                <w:szCs w:val="24"/>
                <w:bdr w:val="nil"/>
                <w:rtl/>
              </w:rPr>
              <w:t>كندا</w:t>
            </w:r>
          </w:p>
        </w:tc>
        <w:tc>
          <w:tcPr>
            <w:tcW w:w="3490" w:type="dxa"/>
          </w:tcPr>
          <w:p w14:paraId="1E495462" w14:textId="77777777" w:rsidR="002D10EB" w:rsidRPr="00C44B45" w:rsidRDefault="002D10EB" w:rsidP="00C44B45">
            <w:pPr>
              <w:spacing w:line="320" w:lineRule="exact"/>
              <w:jc w:val="both"/>
              <w:rPr>
                <w:rFonts w:asciiTheme="majorBidi" w:hAnsiTheme="majorBidi" w:cstheme="majorBidi"/>
                <w:sz w:val="18"/>
                <w:szCs w:val="18"/>
                <w:bdr w:val="nil"/>
              </w:rPr>
            </w:pPr>
            <w:r w:rsidRPr="00C44B45">
              <w:rPr>
                <w:rFonts w:asciiTheme="majorBidi" w:hAnsiTheme="majorBidi" w:cstheme="majorBidi"/>
                <w:sz w:val="18"/>
                <w:szCs w:val="18"/>
                <w:bdr w:val="nil"/>
              </w:rPr>
              <w:t>Canada</w:t>
            </w:r>
          </w:p>
        </w:tc>
      </w:tr>
      <w:tr w:rsidR="002D10EB" w:rsidRPr="00D552B7" w14:paraId="3451F8E9" w14:textId="77777777" w:rsidTr="00C44B45">
        <w:trPr>
          <w:jc w:val="center"/>
        </w:trPr>
        <w:tc>
          <w:tcPr>
            <w:tcW w:w="5717" w:type="dxa"/>
          </w:tcPr>
          <w:p w14:paraId="1AF57FD2" w14:textId="77777777" w:rsidR="002D10EB" w:rsidRPr="00C44B45" w:rsidRDefault="002D10EB" w:rsidP="00C44B45">
            <w:pPr>
              <w:bidi/>
              <w:spacing w:line="320" w:lineRule="exact"/>
              <w:jc w:val="both"/>
              <w:rPr>
                <w:rFonts w:ascii="Traditional Arabic" w:hAnsi="Traditional Arabic" w:cs="Traditional Arabic"/>
                <w:sz w:val="24"/>
                <w:szCs w:val="24"/>
                <w:bdr w:val="nil"/>
                <w:rtl/>
              </w:rPr>
            </w:pPr>
            <w:r w:rsidRPr="00C44B45">
              <w:rPr>
                <w:rFonts w:ascii="Traditional Arabic" w:hAnsi="Traditional Arabic" w:cs="Traditional Arabic"/>
                <w:sz w:val="24"/>
                <w:szCs w:val="24"/>
                <w:bdr w:val="nil"/>
                <w:rtl/>
              </w:rPr>
              <w:t xml:space="preserve">اليابان </w:t>
            </w:r>
          </w:p>
        </w:tc>
        <w:tc>
          <w:tcPr>
            <w:tcW w:w="3490" w:type="dxa"/>
          </w:tcPr>
          <w:p w14:paraId="573556DB" w14:textId="77777777" w:rsidR="002D10EB" w:rsidRPr="00C44B45" w:rsidRDefault="002D10EB" w:rsidP="00C44B45">
            <w:pPr>
              <w:spacing w:line="320" w:lineRule="exact"/>
              <w:jc w:val="both"/>
              <w:rPr>
                <w:rFonts w:asciiTheme="majorBidi" w:hAnsiTheme="majorBidi" w:cstheme="majorBidi"/>
                <w:sz w:val="18"/>
                <w:szCs w:val="18"/>
                <w:bdr w:val="nil"/>
              </w:rPr>
            </w:pPr>
            <w:r w:rsidRPr="00C44B45">
              <w:rPr>
                <w:rFonts w:asciiTheme="majorBidi" w:hAnsiTheme="majorBidi" w:cstheme="majorBidi"/>
                <w:sz w:val="18"/>
                <w:szCs w:val="18"/>
                <w:bdr w:val="nil"/>
              </w:rPr>
              <w:t xml:space="preserve">Japan </w:t>
            </w:r>
          </w:p>
        </w:tc>
      </w:tr>
      <w:tr w:rsidR="002D10EB" w:rsidRPr="00D552B7" w14:paraId="2BE55491" w14:textId="77777777" w:rsidTr="00C44B45">
        <w:trPr>
          <w:jc w:val="center"/>
        </w:trPr>
        <w:tc>
          <w:tcPr>
            <w:tcW w:w="5717" w:type="dxa"/>
          </w:tcPr>
          <w:p w14:paraId="47C6C4F5" w14:textId="77777777" w:rsidR="002D10EB" w:rsidRPr="00C44B45" w:rsidRDefault="002D10EB" w:rsidP="00C44B45">
            <w:pPr>
              <w:bidi/>
              <w:spacing w:line="320" w:lineRule="exact"/>
              <w:jc w:val="both"/>
              <w:rPr>
                <w:rFonts w:ascii="Traditional Arabic" w:hAnsi="Traditional Arabic" w:cs="Traditional Arabic"/>
                <w:sz w:val="24"/>
                <w:szCs w:val="24"/>
                <w:bdr w:val="nil"/>
                <w:rtl/>
              </w:rPr>
            </w:pPr>
            <w:r w:rsidRPr="00C44B45">
              <w:rPr>
                <w:rFonts w:ascii="Traditional Arabic" w:hAnsi="Traditional Arabic" w:cs="Traditional Arabic"/>
                <w:sz w:val="24"/>
                <w:szCs w:val="24"/>
                <w:bdr w:val="nil"/>
                <w:rtl/>
              </w:rPr>
              <w:t>المكسيك</w:t>
            </w:r>
          </w:p>
        </w:tc>
        <w:tc>
          <w:tcPr>
            <w:tcW w:w="3490" w:type="dxa"/>
          </w:tcPr>
          <w:p w14:paraId="2F7EBB54" w14:textId="77777777" w:rsidR="002D10EB" w:rsidRPr="00C44B45" w:rsidRDefault="002D10EB" w:rsidP="00C44B45">
            <w:pPr>
              <w:spacing w:line="320" w:lineRule="exact"/>
              <w:jc w:val="both"/>
              <w:rPr>
                <w:rFonts w:asciiTheme="majorBidi" w:hAnsiTheme="majorBidi" w:cstheme="majorBidi"/>
                <w:sz w:val="18"/>
                <w:szCs w:val="18"/>
                <w:bdr w:val="nil"/>
              </w:rPr>
            </w:pPr>
            <w:r w:rsidRPr="00C44B45">
              <w:rPr>
                <w:rFonts w:asciiTheme="majorBidi" w:hAnsiTheme="majorBidi" w:cstheme="majorBidi"/>
                <w:sz w:val="18"/>
                <w:szCs w:val="18"/>
                <w:bdr w:val="nil"/>
              </w:rPr>
              <w:t xml:space="preserve">Mexico </w:t>
            </w:r>
          </w:p>
        </w:tc>
      </w:tr>
      <w:tr w:rsidR="002D10EB" w:rsidRPr="00D552B7" w14:paraId="653B132D" w14:textId="77777777" w:rsidTr="00C44B45">
        <w:trPr>
          <w:jc w:val="center"/>
        </w:trPr>
        <w:tc>
          <w:tcPr>
            <w:tcW w:w="5717" w:type="dxa"/>
          </w:tcPr>
          <w:p w14:paraId="17EA0A5B" w14:textId="4D69F9E2" w:rsidR="002D10EB" w:rsidRPr="00C44B45" w:rsidRDefault="002D10EB" w:rsidP="00C44B45">
            <w:pPr>
              <w:bidi/>
              <w:spacing w:line="320" w:lineRule="exact"/>
              <w:jc w:val="both"/>
              <w:rPr>
                <w:rFonts w:ascii="Traditional Arabic" w:hAnsi="Traditional Arabic" w:cs="Traditional Arabic"/>
                <w:sz w:val="24"/>
                <w:szCs w:val="24"/>
                <w:bdr w:val="nil"/>
                <w:rtl/>
              </w:rPr>
            </w:pPr>
            <w:r w:rsidRPr="00C44B45">
              <w:rPr>
                <w:rFonts w:ascii="Traditional Arabic" w:hAnsi="Traditional Arabic" w:cs="Traditional Arabic"/>
                <w:sz w:val="24"/>
                <w:szCs w:val="24"/>
                <w:bdr w:val="nil"/>
                <w:rtl/>
              </w:rPr>
              <w:t>أنتاركتيكا</w:t>
            </w:r>
          </w:p>
        </w:tc>
        <w:tc>
          <w:tcPr>
            <w:tcW w:w="3490" w:type="dxa"/>
          </w:tcPr>
          <w:p w14:paraId="089C0A12" w14:textId="77777777" w:rsidR="002D10EB" w:rsidRPr="00C44B45" w:rsidRDefault="002D10EB" w:rsidP="00C44B45">
            <w:pPr>
              <w:spacing w:line="320" w:lineRule="exact"/>
              <w:jc w:val="both"/>
              <w:rPr>
                <w:rFonts w:asciiTheme="majorBidi" w:hAnsiTheme="majorBidi" w:cstheme="majorBidi"/>
                <w:sz w:val="18"/>
                <w:szCs w:val="18"/>
                <w:bdr w:val="nil"/>
              </w:rPr>
            </w:pPr>
            <w:r w:rsidRPr="00C44B45">
              <w:rPr>
                <w:rFonts w:asciiTheme="majorBidi" w:hAnsiTheme="majorBidi" w:cstheme="majorBidi"/>
                <w:sz w:val="18"/>
                <w:szCs w:val="18"/>
                <w:bdr w:val="nil"/>
              </w:rPr>
              <w:t>Antarctic</w:t>
            </w:r>
          </w:p>
        </w:tc>
      </w:tr>
      <w:tr w:rsidR="002D10EB" w:rsidRPr="00D552B7" w14:paraId="254E31E4" w14:textId="77777777" w:rsidTr="00C44B45">
        <w:trPr>
          <w:jc w:val="center"/>
        </w:trPr>
        <w:tc>
          <w:tcPr>
            <w:tcW w:w="5717" w:type="dxa"/>
          </w:tcPr>
          <w:p w14:paraId="265B9FDB" w14:textId="77777777" w:rsidR="002D10EB" w:rsidRPr="00C44B45" w:rsidRDefault="002D10EB" w:rsidP="00C44B45">
            <w:pPr>
              <w:bidi/>
              <w:spacing w:line="320" w:lineRule="exact"/>
              <w:jc w:val="both"/>
              <w:rPr>
                <w:rFonts w:ascii="Traditional Arabic" w:hAnsi="Traditional Arabic" w:cs="Traditional Arabic"/>
                <w:sz w:val="24"/>
                <w:szCs w:val="24"/>
                <w:bdr w:val="nil"/>
                <w:rtl/>
              </w:rPr>
            </w:pPr>
            <w:r w:rsidRPr="00C44B45">
              <w:rPr>
                <w:rFonts w:ascii="Traditional Arabic" w:hAnsi="Traditional Arabic" w:cs="Traditional Arabic"/>
                <w:sz w:val="24"/>
                <w:szCs w:val="24"/>
                <w:bdr w:val="nil"/>
                <w:rtl/>
              </w:rPr>
              <w:t>أخرى</w:t>
            </w:r>
          </w:p>
        </w:tc>
        <w:tc>
          <w:tcPr>
            <w:tcW w:w="3490" w:type="dxa"/>
          </w:tcPr>
          <w:p w14:paraId="24106DBA" w14:textId="77777777" w:rsidR="002D10EB" w:rsidRPr="00C44B45" w:rsidRDefault="002D10EB" w:rsidP="00C44B45">
            <w:pPr>
              <w:spacing w:line="320" w:lineRule="exact"/>
              <w:jc w:val="both"/>
              <w:rPr>
                <w:rFonts w:asciiTheme="majorBidi" w:hAnsiTheme="majorBidi" w:cstheme="majorBidi"/>
                <w:sz w:val="18"/>
                <w:szCs w:val="18"/>
                <w:bdr w:val="nil"/>
              </w:rPr>
            </w:pPr>
            <w:r w:rsidRPr="00C44B45">
              <w:rPr>
                <w:rFonts w:asciiTheme="majorBidi" w:hAnsiTheme="majorBidi" w:cstheme="majorBidi"/>
                <w:sz w:val="18"/>
                <w:szCs w:val="18"/>
                <w:bdr w:val="nil"/>
              </w:rPr>
              <w:t xml:space="preserve">Other </w:t>
            </w:r>
          </w:p>
        </w:tc>
      </w:tr>
    </w:tbl>
    <w:p w14:paraId="43DCCFF2" w14:textId="77777777" w:rsidR="002D10EB" w:rsidRPr="0092308F" w:rsidRDefault="002D10EB" w:rsidP="00C5089C">
      <w:pPr>
        <w:pStyle w:val="ListParagraph"/>
        <w:numPr>
          <w:ilvl w:val="0"/>
          <w:numId w:val="21"/>
        </w:numPr>
        <w:tabs>
          <w:tab w:val="left" w:pos="1983"/>
        </w:tabs>
        <w:spacing w:after="120" w:line="400" w:lineRule="exact"/>
        <w:ind w:left="1132" w:firstLine="2"/>
        <w:contextualSpacing w:val="0"/>
        <w:jc w:val="both"/>
        <w:rPr>
          <w:rFonts w:ascii="Times New Roman" w:hAnsi="Times New Roman" w:cs="Traditional Arabic"/>
          <w:szCs w:val="30"/>
          <w:rtl/>
        </w:rPr>
      </w:pPr>
      <w:r w:rsidRPr="0092308F">
        <w:rPr>
          <w:rFonts w:ascii="Times New Roman" w:hAnsi="Times New Roman" w:cs="Traditional Arabic"/>
          <w:szCs w:val="30"/>
          <w:rtl/>
        </w:rPr>
        <w:lastRenderedPageBreak/>
        <w:t>وتُقترح النهج التالية لسد الثغرات:</w:t>
      </w:r>
    </w:p>
    <w:p w14:paraId="092241C5" w14:textId="7C5D0E29" w:rsidR="002D10EB" w:rsidRPr="0092308F" w:rsidRDefault="00863837" w:rsidP="00863837">
      <w:pPr>
        <w:tabs>
          <w:tab w:val="left" w:pos="2550"/>
        </w:tabs>
        <w:bidi/>
        <w:spacing w:after="120" w:line="400" w:lineRule="exact"/>
        <w:ind w:left="1134" w:firstLine="849"/>
        <w:jc w:val="both"/>
        <w:rPr>
          <w:rtl/>
        </w:rPr>
      </w:pPr>
      <w:r>
        <w:rPr>
          <w:rFonts w:hint="cs"/>
          <w:rtl/>
        </w:rPr>
        <w:t>(أ)</w:t>
      </w:r>
      <w:r>
        <w:rPr>
          <w:rtl/>
        </w:rPr>
        <w:tab/>
      </w:r>
      <w:r w:rsidR="002D10EB" w:rsidRPr="0092308F">
        <w:rPr>
          <w:rtl/>
        </w:rPr>
        <w:t>ربط الرصد الحالي للزئبق الغازي الكلي/الزئبق الغازي النقي مع التكنولوجيا الجديدة (بما في ذلك أخذ عينات الزئبق الخاملة والنشطة)؛</w:t>
      </w:r>
    </w:p>
    <w:p w14:paraId="0241E7A8" w14:textId="76F27F60" w:rsidR="002D10EB" w:rsidRPr="0092308F" w:rsidRDefault="00863837" w:rsidP="00863837">
      <w:pPr>
        <w:tabs>
          <w:tab w:val="left" w:pos="2550"/>
        </w:tabs>
        <w:bidi/>
        <w:spacing w:after="120" w:line="400" w:lineRule="exact"/>
        <w:ind w:left="1134" w:firstLine="849"/>
        <w:jc w:val="both"/>
        <w:rPr>
          <w:rtl/>
        </w:rPr>
      </w:pPr>
      <w:r>
        <w:rPr>
          <w:rFonts w:hint="cs"/>
          <w:rtl/>
        </w:rPr>
        <w:t>(ب)</w:t>
      </w:r>
      <w:r>
        <w:rPr>
          <w:rtl/>
        </w:rPr>
        <w:tab/>
      </w:r>
      <w:r w:rsidR="002D10EB" w:rsidRPr="0092308F">
        <w:rPr>
          <w:rtl/>
        </w:rPr>
        <w:t>توسيع نطاق شبكات الرصد الحالية، كلما أمكن ذلك، من أجل سد الثغرات في البيانات؛</w:t>
      </w:r>
    </w:p>
    <w:p w14:paraId="3560B747" w14:textId="5E107727" w:rsidR="002D10EB" w:rsidRPr="0092308F" w:rsidRDefault="00863837" w:rsidP="00863837">
      <w:pPr>
        <w:tabs>
          <w:tab w:val="left" w:pos="2550"/>
        </w:tabs>
        <w:bidi/>
        <w:spacing w:after="120" w:line="400" w:lineRule="exact"/>
        <w:ind w:left="1134" w:firstLine="849"/>
        <w:jc w:val="both"/>
        <w:rPr>
          <w:rtl/>
        </w:rPr>
      </w:pPr>
      <w:r>
        <w:rPr>
          <w:rFonts w:hint="cs"/>
          <w:rtl/>
        </w:rPr>
        <w:t>(د)</w:t>
      </w:r>
      <w:r>
        <w:rPr>
          <w:rtl/>
        </w:rPr>
        <w:tab/>
      </w:r>
      <w:r w:rsidR="002D10EB" w:rsidRPr="0092308F">
        <w:rPr>
          <w:rFonts w:hint="cs"/>
          <w:rtl/>
        </w:rPr>
        <w:t xml:space="preserve">تطبيق </w:t>
      </w:r>
      <w:r w:rsidR="002D10EB" w:rsidRPr="0092308F">
        <w:rPr>
          <w:rtl/>
        </w:rPr>
        <w:t>الإجراءات الموحدة المستخدمة حاليا</w:t>
      </w:r>
      <w:r w:rsidR="00BD3769">
        <w:rPr>
          <w:rFonts w:hint="cs"/>
          <w:rtl/>
        </w:rPr>
        <w:t>ً</w:t>
      </w:r>
      <w:r w:rsidR="002D10EB" w:rsidRPr="0092308F">
        <w:rPr>
          <w:rtl/>
        </w:rPr>
        <w:t xml:space="preserve"> لجمع البيانات ومعالجتها، حيثما أمكن؛</w:t>
      </w:r>
    </w:p>
    <w:p w14:paraId="5A63EED1" w14:textId="616EA159" w:rsidR="002D10EB" w:rsidRPr="0092308F" w:rsidRDefault="00863837" w:rsidP="00863837">
      <w:pPr>
        <w:tabs>
          <w:tab w:val="left" w:pos="2550"/>
        </w:tabs>
        <w:bidi/>
        <w:spacing w:after="120" w:line="400" w:lineRule="exact"/>
        <w:ind w:left="1134" w:firstLine="849"/>
        <w:jc w:val="both"/>
        <w:rPr>
          <w:rtl/>
        </w:rPr>
      </w:pPr>
      <w:r>
        <w:rPr>
          <w:rFonts w:hint="cs"/>
          <w:rtl/>
        </w:rPr>
        <w:t>(د)</w:t>
      </w:r>
      <w:r>
        <w:rPr>
          <w:rtl/>
        </w:rPr>
        <w:tab/>
      </w:r>
      <w:r w:rsidR="002D10EB" w:rsidRPr="0092308F">
        <w:rPr>
          <w:rtl/>
        </w:rPr>
        <w:t>المقارنة بين تكنولوجيا القياس ومعالجة البيانات في جميع الشبكات؛</w:t>
      </w:r>
    </w:p>
    <w:p w14:paraId="46CDB878" w14:textId="6C30C7FE" w:rsidR="002D10EB" w:rsidRPr="0092308F" w:rsidRDefault="00863837" w:rsidP="00863837">
      <w:pPr>
        <w:tabs>
          <w:tab w:val="left" w:pos="2550"/>
        </w:tabs>
        <w:bidi/>
        <w:spacing w:after="120" w:line="400" w:lineRule="exact"/>
        <w:ind w:left="1134" w:firstLine="849"/>
        <w:jc w:val="both"/>
        <w:rPr>
          <w:rtl/>
        </w:rPr>
      </w:pPr>
      <w:r>
        <w:rPr>
          <w:rFonts w:hint="cs"/>
          <w:rtl/>
        </w:rPr>
        <w:t>(ه)</w:t>
      </w:r>
      <w:r>
        <w:rPr>
          <w:rtl/>
        </w:rPr>
        <w:tab/>
      </w:r>
      <w:r w:rsidR="002D10EB" w:rsidRPr="0092308F">
        <w:rPr>
          <w:rtl/>
        </w:rPr>
        <w:t>سد ثغرات البيانات الجغرافية باستخدام أساليب أخذ العينات اليدوية الخاملة أو النشطة؛</w:t>
      </w:r>
    </w:p>
    <w:p w14:paraId="5D2AA6B0" w14:textId="3A3185D7" w:rsidR="002D10EB" w:rsidRPr="0092308F" w:rsidRDefault="00BD3769" w:rsidP="00863837">
      <w:pPr>
        <w:tabs>
          <w:tab w:val="left" w:pos="2550"/>
        </w:tabs>
        <w:bidi/>
        <w:spacing w:after="120" w:line="400" w:lineRule="exact"/>
        <w:ind w:left="1134" w:firstLine="849"/>
        <w:jc w:val="both"/>
        <w:rPr>
          <w:rtl/>
        </w:rPr>
      </w:pPr>
      <w:r>
        <w:rPr>
          <w:rFonts w:hint="cs"/>
          <w:rtl/>
        </w:rPr>
        <w:t>(و)</w:t>
      </w:r>
      <w:r>
        <w:rPr>
          <w:rtl/>
        </w:rPr>
        <w:tab/>
      </w:r>
      <w:r w:rsidR="002D10EB" w:rsidRPr="0092308F">
        <w:rPr>
          <w:rtl/>
        </w:rPr>
        <w:t>الدمج، إذا أمكن، بين قياسات الهواء اليدوية النشطة أو الخاملة وقياسات الترسب النشطة والرطبة/الجافة؛</w:t>
      </w:r>
    </w:p>
    <w:p w14:paraId="484998A3" w14:textId="286E7497" w:rsidR="002D10EB" w:rsidRPr="0092308F" w:rsidRDefault="00863837" w:rsidP="00863837">
      <w:pPr>
        <w:tabs>
          <w:tab w:val="left" w:pos="2550"/>
        </w:tabs>
        <w:bidi/>
        <w:spacing w:after="120" w:line="400" w:lineRule="exact"/>
        <w:ind w:left="1134" w:firstLine="849"/>
        <w:jc w:val="both"/>
        <w:rPr>
          <w:rtl/>
        </w:rPr>
      </w:pPr>
      <w:r>
        <w:rPr>
          <w:rFonts w:hint="cs"/>
          <w:rtl/>
        </w:rPr>
        <w:t>(ز)</w:t>
      </w:r>
      <w:r>
        <w:rPr>
          <w:rtl/>
        </w:rPr>
        <w:tab/>
      </w:r>
      <w:r w:rsidR="002D10EB" w:rsidRPr="0092308F">
        <w:rPr>
          <w:rtl/>
        </w:rPr>
        <w:t>أخذ عينات كل ثلاثة أشهر على الأقل (مع حساب المتوسط لها بعد إضافتها إلى بيانات العينات النشطة أو إدماجها على مدار ثلاثة أشهر مع العينات الخاملة) بهدف تقييم التغيرات الموسمية؛</w:t>
      </w:r>
    </w:p>
    <w:p w14:paraId="4A7171DE" w14:textId="6993AD5C" w:rsidR="002D10EB" w:rsidRPr="0092308F" w:rsidRDefault="00863837" w:rsidP="00863837">
      <w:pPr>
        <w:tabs>
          <w:tab w:val="left" w:pos="2550"/>
        </w:tabs>
        <w:bidi/>
        <w:spacing w:after="120" w:line="400" w:lineRule="exact"/>
        <w:ind w:left="1134" w:firstLine="849"/>
        <w:jc w:val="both"/>
        <w:rPr>
          <w:rtl/>
        </w:rPr>
      </w:pPr>
      <w:r>
        <w:rPr>
          <w:rFonts w:hint="cs"/>
          <w:rtl/>
        </w:rPr>
        <w:t>(ح)</w:t>
      </w:r>
      <w:r>
        <w:rPr>
          <w:rtl/>
        </w:rPr>
        <w:tab/>
      </w:r>
      <w:r w:rsidR="002D10EB" w:rsidRPr="0092308F">
        <w:rPr>
          <w:rtl/>
        </w:rPr>
        <w:t xml:space="preserve">عند اختيار مواقع جديدة لأخذ العينات تُحدَّد الأولويات فيما يتعلق بسد الثغرات في المعلومات والبيانات المحددة في </w:t>
      </w:r>
      <w:r w:rsidR="002D10EB" w:rsidRPr="00BD3769">
        <w:rPr>
          <w:i/>
          <w:iCs/>
          <w:rtl/>
        </w:rPr>
        <w:t>التقييم العالمي للزئبق 2018</w:t>
      </w:r>
      <w:r w:rsidR="002D10EB" w:rsidRPr="0092308F">
        <w:rPr>
          <w:rtl/>
        </w:rPr>
        <w:t xml:space="preserve"> وغيره من المؤلفات.</w:t>
      </w:r>
    </w:p>
    <w:p w14:paraId="7D2A2484" w14:textId="77777777" w:rsidR="002D10EB" w:rsidRPr="0092308F" w:rsidRDefault="002D10EB" w:rsidP="0092308F">
      <w:pPr>
        <w:pStyle w:val="ListParagraph"/>
        <w:numPr>
          <w:ilvl w:val="0"/>
          <w:numId w:val="21"/>
        </w:numPr>
        <w:tabs>
          <w:tab w:val="left" w:pos="1841"/>
        </w:tabs>
        <w:spacing w:after="120" w:line="400" w:lineRule="exact"/>
        <w:ind w:left="1132" w:firstLine="2"/>
        <w:contextualSpacing w:val="0"/>
        <w:jc w:val="both"/>
        <w:rPr>
          <w:rFonts w:ascii="Times New Roman" w:hAnsi="Times New Roman" w:cs="Traditional Arabic"/>
          <w:szCs w:val="30"/>
          <w:rtl/>
        </w:rPr>
      </w:pPr>
      <w:r w:rsidRPr="0092308F">
        <w:rPr>
          <w:rFonts w:ascii="Times New Roman" w:hAnsi="Times New Roman" w:cs="Traditional Arabic"/>
          <w:szCs w:val="30"/>
          <w:rtl/>
        </w:rPr>
        <w:t xml:space="preserve">ويوصى بأن يسمح وضع الاستراتيجيات المستقبلية الرامية إلى سد الثغرات الجغرافية الزئبق في بيانات رصد الزئبق في الغلاف الجوي بتشغيل زهاء 30 موقعاً من مواقع الرصد، مع أخذ عينات الهواء النشطة أو الخاملة في كل منطقة من المناطق الجغرافية الشاسعة، مثل أفريقيا وأمريكا اللاتينية والاتحاد الروسي، </w:t>
      </w:r>
      <w:r w:rsidRPr="0092308F">
        <w:rPr>
          <w:rFonts w:ascii="Times New Roman" w:hAnsi="Times New Roman" w:cs="Traditional Arabic" w:hint="cs"/>
          <w:szCs w:val="30"/>
          <w:rtl/>
        </w:rPr>
        <w:t>من</w:t>
      </w:r>
      <w:r w:rsidRPr="0092308F">
        <w:rPr>
          <w:rFonts w:ascii="Times New Roman" w:hAnsi="Times New Roman" w:cs="Traditional Arabic"/>
          <w:szCs w:val="30"/>
          <w:rtl/>
        </w:rPr>
        <w:t xml:space="preserve"> مواقع يمكن أن توفر معلومات عن تركيزات الزئبق الأساسية الإقليمية/المحلية. إن عدد المواقع المقترح هو للاستدلال فقط؛ فوجود عدد أكبر من المواقع التي تستخدم الأخذ اليدوي لعينات الهواء النشطة أو الخاملة سيتيح بالتأكيد تحسين التوزيع والتمثيل الجغرافيين لنظم الانبعاثات الإقليمية/المحلية، والأرصاد الجوية، وأنماط الانتقال/الترسب. ويمكن الاطلاع على تحليل لتكاليف رصد الهواء، بما في ذلك أخذ العينات المقترح، في الجزء الأول، الفرع 4 من الوثيقة</w:t>
      </w:r>
      <w:r w:rsidRPr="0092308F">
        <w:rPr>
          <w:rFonts w:ascii="Times New Roman" w:hAnsi="Times New Roman" w:cs="Traditional Arabic" w:hint="cs"/>
          <w:szCs w:val="30"/>
          <w:rtl/>
        </w:rPr>
        <w:t xml:space="preserve"> </w:t>
      </w:r>
      <w:r w:rsidRPr="0092308F">
        <w:rPr>
          <w:rFonts w:ascii="Times New Roman" w:hAnsi="Times New Roman" w:cs="Traditional Arabic"/>
          <w:szCs w:val="30"/>
        </w:rPr>
        <w:t>UNEP/MC/COP.3/INF/15</w:t>
      </w:r>
      <w:r w:rsidRPr="0092308F">
        <w:rPr>
          <w:rFonts w:ascii="Times New Roman" w:hAnsi="Times New Roman" w:cs="Traditional Arabic"/>
          <w:szCs w:val="30"/>
          <w:rtl/>
        </w:rPr>
        <w:t>.</w:t>
      </w:r>
    </w:p>
    <w:p w14:paraId="54C7D81C" w14:textId="7E321546" w:rsidR="002D10EB" w:rsidRPr="00EE1414" w:rsidRDefault="002D10EB" w:rsidP="00EE1414">
      <w:pPr>
        <w:tabs>
          <w:tab w:val="left" w:pos="1699"/>
        </w:tabs>
        <w:bidi/>
        <w:spacing w:after="120" w:line="400" w:lineRule="exact"/>
        <w:ind w:left="1134" w:hanging="852"/>
        <w:jc w:val="both"/>
        <w:rPr>
          <w:b/>
          <w:bCs/>
          <w:rtl/>
        </w:rPr>
      </w:pPr>
      <w:r w:rsidRPr="00EE1414">
        <w:rPr>
          <w:b/>
          <w:bCs/>
          <w:rtl/>
        </w:rPr>
        <w:t>باء-</w:t>
      </w:r>
      <w:r w:rsidRPr="00EE1414">
        <w:rPr>
          <w:b/>
          <w:bCs/>
          <w:rtl/>
        </w:rPr>
        <w:tab/>
        <w:t>التعرض البشري</w:t>
      </w:r>
    </w:p>
    <w:p w14:paraId="11BA8344" w14:textId="18E84F8A" w:rsidR="002D10EB" w:rsidRPr="0092308F" w:rsidRDefault="002D10EB" w:rsidP="0092308F">
      <w:pPr>
        <w:pStyle w:val="ListParagraph"/>
        <w:numPr>
          <w:ilvl w:val="0"/>
          <w:numId w:val="21"/>
        </w:numPr>
        <w:tabs>
          <w:tab w:val="left" w:pos="1841"/>
        </w:tabs>
        <w:spacing w:after="120" w:line="400" w:lineRule="exact"/>
        <w:ind w:left="1132" w:firstLine="2"/>
        <w:contextualSpacing w:val="0"/>
        <w:jc w:val="both"/>
        <w:rPr>
          <w:rFonts w:ascii="Times New Roman" w:hAnsi="Times New Roman" w:cs="Traditional Arabic"/>
          <w:szCs w:val="30"/>
          <w:rtl/>
        </w:rPr>
      </w:pPr>
      <w:r w:rsidRPr="0092308F">
        <w:rPr>
          <w:rFonts w:ascii="Times New Roman" w:hAnsi="Times New Roman" w:cs="Traditional Arabic"/>
          <w:szCs w:val="30"/>
          <w:rtl/>
        </w:rPr>
        <w:t>يوصى بتطبيق الدراسات التي تستخدم بروتوكول منظمة الصحة العالمية لتقييم التعرض لميثيل الزئبق في فترة ما قبل الولادة لسد الثغرات في البيانات والحصول على الصورة العالمية اللازمة لتقييم الفعالية</w:t>
      </w:r>
      <w:r w:rsidR="001A256D" w:rsidRPr="00D1471B">
        <w:rPr>
          <w:rFonts w:ascii="Traditional Arabic" w:hAnsi="Traditional Arabic" w:cs="Traditional Arabic" w:hint="cs"/>
          <w:sz w:val="30"/>
          <w:szCs w:val="30"/>
          <w:vertAlign w:val="superscript"/>
          <w:rtl/>
          <w:lang w:eastAsia="zh-TW"/>
        </w:rPr>
        <w:t>(</w:t>
      </w:r>
      <w:r w:rsidR="001A256D" w:rsidRPr="00D1471B">
        <w:rPr>
          <w:rFonts w:ascii="Traditional Arabic" w:hAnsi="Traditional Arabic" w:cs="Traditional Arabic" w:hint="cs"/>
          <w:sz w:val="30"/>
          <w:szCs w:val="30"/>
          <w:vertAlign w:val="superscript"/>
          <w:rtl/>
          <w:lang w:eastAsia="zh-TW"/>
        </w:rPr>
        <w:footnoteReference w:id="7"/>
      </w:r>
      <w:r w:rsidR="001A256D" w:rsidRPr="00D1471B">
        <w:rPr>
          <w:rFonts w:ascii="Traditional Arabic" w:hAnsi="Traditional Arabic" w:cs="Traditional Arabic" w:hint="cs"/>
          <w:sz w:val="30"/>
          <w:szCs w:val="30"/>
          <w:vertAlign w:val="superscript"/>
          <w:rtl/>
          <w:lang w:eastAsia="zh-TW"/>
        </w:rPr>
        <w:t>)</w:t>
      </w:r>
      <w:r w:rsidRPr="0092308F">
        <w:rPr>
          <w:rFonts w:ascii="Times New Roman" w:hAnsi="Times New Roman" w:cs="Traditional Arabic"/>
          <w:szCs w:val="30"/>
          <w:rtl/>
        </w:rPr>
        <w:t>. إن استخدام بروتوكول منظمة الصحة العالمية سوف يسمح بجمع بيانات قابلة للمقارنة (مثل عينات من الشعر من 250 شخصا</w:t>
      </w:r>
      <w:r w:rsidR="00BD3769">
        <w:rPr>
          <w:rFonts w:ascii="Times New Roman" w:hAnsi="Times New Roman" w:cs="Traditional Arabic" w:hint="cs"/>
          <w:szCs w:val="30"/>
          <w:rtl/>
        </w:rPr>
        <w:t>ً</w:t>
      </w:r>
      <w:r w:rsidRPr="0092308F">
        <w:rPr>
          <w:rFonts w:ascii="Times New Roman" w:hAnsi="Times New Roman" w:cs="Traditional Arabic"/>
          <w:szCs w:val="30"/>
          <w:rtl/>
        </w:rPr>
        <w:t xml:space="preserve"> لكل موقع دراسة، مع وجود الحد الأدنى من التنوع الموصى به). هذه الدراسات ستكون ذات منحى قطري؛ وسيكون من الضروري الحصول على موافقة أخلاقية محلية (مثلاً من مجلس استعراض مؤسسي)، كما أن الدراسات ستُجرَى في إطار النظام الصحي الوطني؛ ومن ثم ستكون موافقة البلد مؤكدة. وسيمتلك كل بلد البيانات الخاصة به وسيكون تقديم النتائج طوعياً.</w:t>
      </w:r>
    </w:p>
    <w:p w14:paraId="3B4A7A0E" w14:textId="23403115" w:rsidR="002D10EB" w:rsidRPr="0092308F" w:rsidRDefault="002D10EB" w:rsidP="0092308F">
      <w:pPr>
        <w:pStyle w:val="ListParagraph"/>
        <w:numPr>
          <w:ilvl w:val="0"/>
          <w:numId w:val="21"/>
        </w:numPr>
        <w:tabs>
          <w:tab w:val="left" w:pos="1841"/>
        </w:tabs>
        <w:spacing w:after="120" w:line="400" w:lineRule="exact"/>
        <w:ind w:left="1132" w:firstLine="2"/>
        <w:contextualSpacing w:val="0"/>
        <w:jc w:val="both"/>
        <w:rPr>
          <w:rFonts w:ascii="Times New Roman" w:hAnsi="Times New Roman" w:cs="Traditional Arabic"/>
          <w:szCs w:val="30"/>
          <w:rtl/>
        </w:rPr>
      </w:pPr>
      <w:r w:rsidRPr="0092308F">
        <w:rPr>
          <w:rFonts w:ascii="Times New Roman" w:hAnsi="Times New Roman" w:cs="Traditional Arabic"/>
          <w:szCs w:val="30"/>
          <w:rtl/>
        </w:rPr>
        <w:lastRenderedPageBreak/>
        <w:t>وتدعو الفقرة ١ (د) من المادة ١٧ من الاتفاقية الأطراف إلى تيسير تبادل المعلومات الوبائية المتعلقة بالآثار الصحية المرتبطة بالتعرض للزئبق ومركباته، وذلك بالتعاون الوثيق مع منظمة الصحة العالمية والمنظمات الأخرى ذات الصلة، حسب الاقتضاء. وتمشيا</w:t>
      </w:r>
      <w:r w:rsidR="00BD3769">
        <w:rPr>
          <w:rFonts w:ascii="Times New Roman" w:hAnsi="Times New Roman" w:cs="Traditional Arabic" w:hint="cs"/>
          <w:szCs w:val="30"/>
          <w:rtl/>
        </w:rPr>
        <w:t>ً</w:t>
      </w:r>
      <w:r w:rsidRPr="0092308F">
        <w:rPr>
          <w:rFonts w:ascii="Times New Roman" w:hAnsi="Times New Roman" w:cs="Traditional Arabic"/>
          <w:szCs w:val="30"/>
          <w:rtl/>
        </w:rPr>
        <w:t xml:space="preserve"> مع هذه المادة من الاتفاقية يتعين جمع وتبادل البيانات عن مستويات الزئبق التي يتم الحصول عليها عن طريق الرصد البيولوجي البشري.</w:t>
      </w:r>
    </w:p>
    <w:p w14:paraId="33394753" w14:textId="6423B50F" w:rsidR="002D10EB" w:rsidRPr="0092308F" w:rsidRDefault="002D10EB" w:rsidP="0092308F">
      <w:pPr>
        <w:pStyle w:val="ListParagraph"/>
        <w:numPr>
          <w:ilvl w:val="0"/>
          <w:numId w:val="21"/>
        </w:numPr>
        <w:tabs>
          <w:tab w:val="left" w:pos="1841"/>
        </w:tabs>
        <w:spacing w:after="120" w:line="400" w:lineRule="exact"/>
        <w:ind w:left="1132" w:firstLine="2"/>
        <w:contextualSpacing w:val="0"/>
        <w:jc w:val="both"/>
        <w:rPr>
          <w:rFonts w:ascii="Times New Roman" w:hAnsi="Times New Roman" w:cs="Traditional Arabic"/>
          <w:szCs w:val="30"/>
          <w:rtl/>
        </w:rPr>
      </w:pPr>
      <w:r w:rsidRPr="0092308F">
        <w:rPr>
          <w:rFonts w:ascii="Times New Roman" w:hAnsi="Times New Roman" w:cs="Traditional Arabic"/>
          <w:szCs w:val="30"/>
          <w:rtl/>
        </w:rPr>
        <w:t>ولتيسير توليد بيانات ومعلومات عن الاتجاهات ذات تمثيل عالمي عن طريق الرصد البيولوجي البشري، ستكون أكثر أهمية لتقييم الفعالية، فإنه يتعين أن يظل فريق الرصد المنشأ بموجب ترتيبات الرصد العالمية لتقييم الفعالية على علم بالدراسات المقررة والمنفذة.</w:t>
      </w:r>
    </w:p>
    <w:p w14:paraId="377205A2" w14:textId="7DC6E547" w:rsidR="002D10EB" w:rsidRPr="0092308F" w:rsidRDefault="002D10EB" w:rsidP="0092308F">
      <w:pPr>
        <w:pStyle w:val="ListParagraph"/>
        <w:numPr>
          <w:ilvl w:val="0"/>
          <w:numId w:val="21"/>
        </w:numPr>
        <w:tabs>
          <w:tab w:val="left" w:pos="1841"/>
        </w:tabs>
        <w:spacing w:after="120" w:line="400" w:lineRule="exact"/>
        <w:ind w:left="1132" w:firstLine="2"/>
        <w:contextualSpacing w:val="0"/>
        <w:jc w:val="both"/>
        <w:rPr>
          <w:rFonts w:ascii="Times New Roman" w:hAnsi="Times New Roman" w:cs="Traditional Arabic"/>
          <w:szCs w:val="30"/>
          <w:rtl/>
        </w:rPr>
      </w:pPr>
      <w:r w:rsidRPr="0092308F">
        <w:rPr>
          <w:rFonts w:ascii="Times New Roman" w:hAnsi="Times New Roman" w:cs="Traditional Arabic"/>
          <w:szCs w:val="30"/>
          <w:rtl/>
        </w:rPr>
        <w:t>إن المسائل المتعلقة بجودة البيانات مضمنة في بروتوكول منظمة الصحة العالمية. ويتعين أن تكون نتائج القياس قابلة للمقارنة من الناحية التحليلية بين المختبرات/الدراسات. ولضمان القابلية للمقارنة يتعين أن تطبق كل دراسة استقصائية وطنية إجراءات التشغيل الموحدة المنسقة وإجراءات أخذ العينات وأساليب التحليل التي طورتها منظمة الصحة العالمية وأن تضع إجراءات لضمان الجودة ومراقبة النوعية تغطي مرحلة ما قبل التحليل. ومن شأن توفر المواد المرجعية الملائمة (عينات بها مستوى معين من الزئبق) أن يدعم ضمان الجودة داخلياً</w:t>
      </w:r>
      <w:r w:rsidR="001A256D" w:rsidRPr="00D1471B">
        <w:rPr>
          <w:rFonts w:ascii="Traditional Arabic" w:hAnsi="Traditional Arabic" w:cs="Traditional Arabic" w:hint="cs"/>
          <w:sz w:val="30"/>
          <w:szCs w:val="30"/>
          <w:vertAlign w:val="superscript"/>
          <w:rtl/>
          <w:lang w:eastAsia="zh-TW"/>
        </w:rPr>
        <w:t>(</w:t>
      </w:r>
      <w:r w:rsidR="001A256D" w:rsidRPr="00D1471B">
        <w:rPr>
          <w:rFonts w:ascii="Traditional Arabic" w:hAnsi="Traditional Arabic" w:cs="Traditional Arabic" w:hint="cs"/>
          <w:sz w:val="30"/>
          <w:szCs w:val="30"/>
          <w:vertAlign w:val="superscript"/>
          <w:rtl/>
          <w:lang w:eastAsia="zh-TW"/>
        </w:rPr>
        <w:footnoteReference w:id="8"/>
      </w:r>
      <w:r w:rsidR="001A256D" w:rsidRPr="00D1471B">
        <w:rPr>
          <w:rFonts w:ascii="Traditional Arabic" w:hAnsi="Traditional Arabic" w:cs="Traditional Arabic" w:hint="cs"/>
          <w:sz w:val="30"/>
          <w:szCs w:val="30"/>
          <w:vertAlign w:val="superscript"/>
          <w:rtl/>
          <w:lang w:eastAsia="zh-TW"/>
        </w:rPr>
        <w:t>)</w:t>
      </w:r>
      <w:r w:rsidRPr="0092308F">
        <w:rPr>
          <w:rFonts w:ascii="Times New Roman" w:hAnsi="Times New Roman" w:cs="Traditional Arabic"/>
          <w:szCs w:val="30"/>
          <w:rtl/>
        </w:rPr>
        <w:t>. أما ضمان الجودة خارجياً فينبغي أن يتم من خلال دراسات مقارنة دولية فيما بين المختبرات. وسيساعد تنسيق الدراسات على كفالة التدابير الملائمة لمراقبة لجودة.</w:t>
      </w:r>
    </w:p>
    <w:p w14:paraId="2C4EE075" w14:textId="6F4515CF" w:rsidR="002D10EB" w:rsidRPr="0092308F" w:rsidRDefault="002D10EB" w:rsidP="0092308F">
      <w:pPr>
        <w:pStyle w:val="ListParagraph"/>
        <w:numPr>
          <w:ilvl w:val="0"/>
          <w:numId w:val="21"/>
        </w:numPr>
        <w:tabs>
          <w:tab w:val="left" w:pos="1841"/>
        </w:tabs>
        <w:spacing w:after="120" w:line="400" w:lineRule="exact"/>
        <w:ind w:left="1132" w:firstLine="2"/>
        <w:contextualSpacing w:val="0"/>
        <w:jc w:val="both"/>
        <w:rPr>
          <w:rFonts w:ascii="Times New Roman" w:hAnsi="Times New Roman" w:cs="Traditional Arabic"/>
          <w:szCs w:val="30"/>
          <w:rtl/>
        </w:rPr>
      </w:pPr>
      <w:r w:rsidRPr="0092308F">
        <w:rPr>
          <w:rFonts w:ascii="Times New Roman" w:hAnsi="Times New Roman" w:cs="Traditional Arabic"/>
          <w:szCs w:val="30"/>
          <w:rtl/>
        </w:rPr>
        <w:t>ويشمل بروتوكول منظمة الصحة العالمية أيضا</w:t>
      </w:r>
      <w:r w:rsidR="00BD3769">
        <w:rPr>
          <w:rFonts w:ascii="Times New Roman" w:hAnsi="Times New Roman" w:cs="Traditional Arabic" w:hint="cs"/>
          <w:szCs w:val="30"/>
          <w:rtl/>
        </w:rPr>
        <w:t>ً</w:t>
      </w:r>
      <w:r w:rsidRPr="0092308F">
        <w:rPr>
          <w:rFonts w:ascii="Times New Roman" w:hAnsi="Times New Roman" w:cs="Traditional Arabic"/>
          <w:szCs w:val="30"/>
          <w:rtl/>
        </w:rPr>
        <w:t xml:space="preserve"> إدارة البيانات والتحليل ومسائل التقييم، بما في ذلك ما إذا كان ينبغي القيام بذلك على الصعيد الوطني و/أو الدولي. ويوصي البروتوكول بأن تجري الدول المشاركة تحليلات إحصائية على الصعيد الوطني وأن تقدم بيانات مجهولة المصدر إلى قاعدة بيانات مركزية للتحليل الإحصائي. والهدف من التحليل الإحصائي على الصعيد الدولي هو تقييم الروابط بين قيم المؤشر البيولوجي والمنبئات مثل العمر ونوع الجنس وعادات استهلاك الأسماك (التي تجمع عن طريق استبيان) في مجموعة البيانات مجمعة. ويعالج بروتوكول منظمة الصحة العالمية أيضاً المسائل المتصلة بالإبلاغ عن البيانات بينما تعالج تقييمات الصحة البشرية لبرنامج رصد وتقييم القطب الشمالي قضايا الشعوب الأصلية</w:t>
      </w:r>
      <w:r w:rsidR="00AD051A">
        <w:rPr>
          <w:rFonts w:ascii="Times New Roman" w:hAnsi="Times New Roman" w:cs="Traditional Arabic" w:hint="cs"/>
          <w:szCs w:val="30"/>
          <w:rtl/>
        </w:rPr>
        <w:t xml:space="preserve"> في المنطقة القطبية الشمالية</w:t>
      </w:r>
      <w:r w:rsidRPr="0092308F">
        <w:rPr>
          <w:rFonts w:ascii="Times New Roman" w:hAnsi="Times New Roman" w:cs="Traditional Arabic"/>
          <w:szCs w:val="30"/>
          <w:rtl/>
        </w:rPr>
        <w:t xml:space="preserve"> على وجه الخصوص. وتشمل مسائل الإبلاغ</w:t>
      </w:r>
      <w:r w:rsidR="00BD3769">
        <w:rPr>
          <w:rFonts w:ascii="Times New Roman" w:hAnsi="Times New Roman" w:cs="Traditional Arabic" w:hint="cs"/>
          <w:szCs w:val="30"/>
          <w:rtl/>
        </w:rPr>
        <w:t>،</w:t>
      </w:r>
      <w:r w:rsidRPr="0092308F">
        <w:rPr>
          <w:rFonts w:ascii="Times New Roman" w:hAnsi="Times New Roman" w:cs="Traditional Arabic"/>
          <w:szCs w:val="30"/>
          <w:rtl/>
        </w:rPr>
        <w:t xml:space="preserve"> الإبلاغ عن النتائج داخل البلد، أي إبلاغ الأفراد المشاركين في الدراسة وواضعي السياسات. وتجدر الإشارة إلى أن بعض البلدان قد تكون لديها بالفعل مبادئ توجيهية وطنية متعلقة بالإبلاغ عن النتائج.</w:t>
      </w:r>
    </w:p>
    <w:p w14:paraId="6905C2B7" w14:textId="68AC4161" w:rsidR="002D10EB" w:rsidRPr="0092308F" w:rsidRDefault="002D10EB" w:rsidP="0092308F">
      <w:pPr>
        <w:pStyle w:val="ListParagraph"/>
        <w:numPr>
          <w:ilvl w:val="0"/>
          <w:numId w:val="21"/>
        </w:numPr>
        <w:tabs>
          <w:tab w:val="left" w:pos="1841"/>
        </w:tabs>
        <w:spacing w:after="120" w:line="400" w:lineRule="exact"/>
        <w:ind w:left="1132" w:firstLine="2"/>
        <w:contextualSpacing w:val="0"/>
        <w:jc w:val="both"/>
        <w:rPr>
          <w:rFonts w:ascii="Times New Roman" w:hAnsi="Times New Roman" w:cs="Traditional Arabic"/>
          <w:szCs w:val="30"/>
          <w:rtl/>
        </w:rPr>
      </w:pPr>
      <w:r w:rsidRPr="0092308F">
        <w:rPr>
          <w:rFonts w:ascii="Times New Roman" w:hAnsi="Times New Roman" w:cs="Traditional Arabic"/>
          <w:szCs w:val="30"/>
          <w:rtl/>
        </w:rPr>
        <w:t>لقد أظهر المشروع الممول من مرفق البيئة العالمية ’’وضع خطة للرصد العالمي لتعرض البشر للزئبق وتركيزات الزئبق في البيئة‘‘</w:t>
      </w:r>
      <w:r w:rsidRPr="0092308F">
        <w:rPr>
          <w:rFonts w:ascii="Times New Roman" w:hAnsi="Times New Roman" w:cs="Traditional Arabic"/>
          <w:szCs w:val="30"/>
        </w:rPr>
        <w:t xml:space="preserve">(UNEP/MC/COP.3/INF/19) </w:t>
      </w:r>
      <w:r w:rsidRPr="0092308F">
        <w:rPr>
          <w:rFonts w:ascii="Times New Roman" w:hAnsi="Times New Roman" w:cs="Traditional Arabic" w:hint="cs"/>
          <w:szCs w:val="30"/>
          <w:rtl/>
        </w:rPr>
        <w:t xml:space="preserve"> </w:t>
      </w:r>
      <w:r w:rsidRPr="0092308F">
        <w:rPr>
          <w:rFonts w:ascii="Times New Roman" w:hAnsi="Times New Roman" w:cs="Traditional Arabic"/>
          <w:szCs w:val="30"/>
          <w:rtl/>
        </w:rPr>
        <w:t>أن توليد البيانات باستخدام بروتوكول منظمة الصحة العالمية في البلدان النامية فعالٌ من حيث التكلفة وعمليٌ ومجدٍ. وقد تمكن المشروع من بناء القدرات المحلية لإجراء الدراسات ذات الصلة، وهو أمر يمكن تكراره على مر الزمن وفي طائفة من المواقع لسد الثغرات.</w:t>
      </w:r>
    </w:p>
    <w:p w14:paraId="1D0BDAFF" w14:textId="35F08F0A" w:rsidR="002D10EB" w:rsidRPr="00EE1414" w:rsidRDefault="002D10EB" w:rsidP="00EE1414">
      <w:pPr>
        <w:tabs>
          <w:tab w:val="left" w:pos="1699"/>
        </w:tabs>
        <w:bidi/>
        <w:spacing w:after="120" w:line="400" w:lineRule="exact"/>
        <w:ind w:left="1134" w:hanging="852"/>
        <w:jc w:val="both"/>
        <w:rPr>
          <w:b/>
          <w:bCs/>
          <w:rtl/>
        </w:rPr>
      </w:pPr>
      <w:r w:rsidRPr="00EE1414">
        <w:rPr>
          <w:b/>
          <w:bCs/>
          <w:rtl/>
        </w:rPr>
        <w:t>جيم-</w:t>
      </w:r>
      <w:r w:rsidRPr="00EE1414">
        <w:rPr>
          <w:b/>
          <w:bCs/>
          <w:rtl/>
        </w:rPr>
        <w:tab/>
        <w:t>الأوساط الحيوية</w:t>
      </w:r>
    </w:p>
    <w:p w14:paraId="6ADD2D6B" w14:textId="0832763A" w:rsidR="002D10EB" w:rsidRPr="0092308F" w:rsidRDefault="002D10EB" w:rsidP="00863837">
      <w:pPr>
        <w:pStyle w:val="ListParagraph"/>
        <w:numPr>
          <w:ilvl w:val="0"/>
          <w:numId w:val="21"/>
        </w:numPr>
        <w:tabs>
          <w:tab w:val="left" w:pos="1841"/>
        </w:tabs>
        <w:spacing w:after="120" w:line="400" w:lineRule="exact"/>
        <w:ind w:left="1132" w:firstLine="2"/>
        <w:contextualSpacing w:val="0"/>
        <w:jc w:val="both"/>
        <w:rPr>
          <w:rFonts w:ascii="Times New Roman" w:hAnsi="Times New Roman" w:cs="Traditional Arabic"/>
          <w:szCs w:val="30"/>
          <w:rtl/>
        </w:rPr>
      </w:pPr>
      <w:r w:rsidRPr="0092308F">
        <w:rPr>
          <w:rFonts w:ascii="Times New Roman" w:hAnsi="Times New Roman" w:cs="Traditional Arabic"/>
          <w:szCs w:val="30"/>
          <w:rtl/>
        </w:rPr>
        <w:t>هناك إقرار بتوفر قدر كبير من البيانات المنشورة عن مستويات الزئبق في الكائنات الحية، فضلا</w:t>
      </w:r>
      <w:r w:rsidR="00BD3769">
        <w:rPr>
          <w:rFonts w:ascii="Times New Roman" w:hAnsi="Times New Roman" w:cs="Traditional Arabic" w:hint="cs"/>
          <w:szCs w:val="30"/>
          <w:rtl/>
        </w:rPr>
        <w:t>ً</w:t>
      </w:r>
      <w:r w:rsidRPr="0092308F">
        <w:rPr>
          <w:rFonts w:ascii="Times New Roman" w:hAnsi="Times New Roman" w:cs="Traditional Arabic"/>
          <w:szCs w:val="30"/>
          <w:rtl/>
        </w:rPr>
        <w:t xml:space="preserve"> عن البيانات غير المنشورة المجموعة للأغراض التجارية والحكومية. بيد أنه من غير الواضح إلى أي مدى تعكس البيانات المنشورة وغيرها من البيانات المعلومات الأساسية عن تركيزات الزئبق، أو ما إذا كانت البيانات الموجودة تركز على المناطق التي يتوقع ارتفاع تركيزات الزئبق فيها. ووفق ما سبق بيانه فإن مجموعات البيانات الكبيرة عن تركيز الزئبق </w:t>
      </w:r>
      <w:r w:rsidRPr="0092308F">
        <w:rPr>
          <w:rFonts w:ascii="Times New Roman" w:hAnsi="Times New Roman" w:cs="Traditional Arabic"/>
          <w:szCs w:val="30"/>
          <w:rtl/>
        </w:rPr>
        <w:lastRenderedPageBreak/>
        <w:t>في الكائنات الحية المستقاة من شمال الولايات المتحدة الأمريكية وكندا والدول الاسكندنافية كشفت أن مستويات الزئبق في أسماك المياه العذبة من البحيرات التي تتأثر بمصادر الزئبق المحلية استجابت للتنظيم والإدارة. وهناك حاجة لمواصلة العمل التقييمي بشأن البيانات القائمة بهدف جمع كل بيانات الزئبق في الكائنات الحية ذات التمثيل العالمي المتاحة حاليا</w:t>
      </w:r>
      <w:r w:rsidR="00BD3769">
        <w:rPr>
          <w:rFonts w:ascii="Times New Roman" w:hAnsi="Times New Roman" w:cs="Traditional Arabic" w:hint="cs"/>
          <w:szCs w:val="30"/>
          <w:rtl/>
        </w:rPr>
        <w:t>ً</w:t>
      </w:r>
      <w:r w:rsidRPr="0092308F">
        <w:rPr>
          <w:rFonts w:ascii="Times New Roman" w:hAnsi="Times New Roman" w:cs="Traditional Arabic"/>
          <w:szCs w:val="30"/>
          <w:rtl/>
        </w:rPr>
        <w:t>، لتقييم أي البيانات ذات صلة وقابل للمقارنة والمواءمة. وكانت هذه العملية قد بدأت بمجموعة بيانات الموجز التجميعي العالمي بشأن الزئبق في الكائنات الحية مما سيسمح بتحديد أوضح للثغرات في البيانات الجغرافية والتصنيفية.</w:t>
      </w:r>
    </w:p>
    <w:p w14:paraId="42245855" w14:textId="573FC044" w:rsidR="002D10EB" w:rsidRPr="0092308F" w:rsidRDefault="002D10EB" w:rsidP="0092308F">
      <w:pPr>
        <w:pStyle w:val="ListParagraph"/>
        <w:numPr>
          <w:ilvl w:val="0"/>
          <w:numId w:val="21"/>
        </w:numPr>
        <w:tabs>
          <w:tab w:val="left" w:pos="1841"/>
        </w:tabs>
        <w:spacing w:after="120" w:line="400" w:lineRule="exact"/>
        <w:ind w:left="1132" w:firstLine="2"/>
        <w:contextualSpacing w:val="0"/>
        <w:jc w:val="both"/>
        <w:rPr>
          <w:rFonts w:ascii="Times New Roman" w:hAnsi="Times New Roman" w:cs="Traditional Arabic"/>
          <w:szCs w:val="30"/>
          <w:rtl/>
        </w:rPr>
      </w:pPr>
      <w:r w:rsidRPr="0092308F">
        <w:rPr>
          <w:rFonts w:ascii="Times New Roman" w:hAnsi="Times New Roman" w:cs="Traditional Arabic"/>
          <w:szCs w:val="30"/>
          <w:rtl/>
        </w:rPr>
        <w:t xml:space="preserve">إن برنامج رصد وتقييم القطب الشمالي هو أحد أفضل الأمثلة على كيفية تشغيل برنامج ميداني طويل المدى للرصد البيولوجي للزئبق لصالح الصحة البشرية </w:t>
      </w:r>
      <w:r w:rsidRPr="0092308F">
        <w:rPr>
          <w:rFonts w:ascii="Times New Roman" w:hAnsi="Times New Roman" w:cs="Traditional Arabic" w:hint="cs"/>
          <w:szCs w:val="30"/>
          <w:rtl/>
        </w:rPr>
        <w:t>والإيكولوجية</w:t>
      </w:r>
      <w:r w:rsidR="001A256D" w:rsidRPr="00D1471B">
        <w:rPr>
          <w:rFonts w:ascii="Traditional Arabic" w:hAnsi="Traditional Arabic" w:cs="Traditional Arabic" w:hint="cs"/>
          <w:sz w:val="30"/>
          <w:szCs w:val="30"/>
          <w:vertAlign w:val="superscript"/>
          <w:rtl/>
          <w:lang w:eastAsia="zh-TW"/>
        </w:rPr>
        <w:t>(</w:t>
      </w:r>
      <w:r w:rsidR="001A256D" w:rsidRPr="00D1471B">
        <w:rPr>
          <w:rFonts w:ascii="Traditional Arabic" w:hAnsi="Traditional Arabic" w:cs="Traditional Arabic" w:hint="cs"/>
          <w:sz w:val="30"/>
          <w:szCs w:val="30"/>
          <w:vertAlign w:val="superscript"/>
          <w:rtl/>
          <w:lang w:eastAsia="zh-TW"/>
        </w:rPr>
        <w:footnoteReference w:id="9"/>
      </w:r>
      <w:r w:rsidR="001A256D" w:rsidRPr="00D1471B">
        <w:rPr>
          <w:rFonts w:ascii="Traditional Arabic" w:hAnsi="Traditional Arabic" w:cs="Traditional Arabic" w:hint="cs"/>
          <w:sz w:val="30"/>
          <w:szCs w:val="30"/>
          <w:vertAlign w:val="superscript"/>
          <w:rtl/>
          <w:lang w:eastAsia="zh-TW"/>
        </w:rPr>
        <w:t>)</w:t>
      </w:r>
      <w:r w:rsidRPr="0092308F">
        <w:rPr>
          <w:rFonts w:ascii="Times New Roman" w:hAnsi="Times New Roman" w:cs="Traditional Arabic"/>
          <w:szCs w:val="30"/>
          <w:rtl/>
        </w:rPr>
        <w:t>. ويمتلك النظام العالمي لرصد البيئة - برنامج رصد تلوث الأغذية وتقييمه، المعروف عموما</w:t>
      </w:r>
      <w:r w:rsidR="00BD3769">
        <w:rPr>
          <w:rFonts w:ascii="Times New Roman" w:hAnsi="Times New Roman" w:cs="Traditional Arabic" w:hint="cs"/>
          <w:szCs w:val="30"/>
          <w:rtl/>
        </w:rPr>
        <w:t>ً</w:t>
      </w:r>
      <w:r w:rsidRPr="0092308F">
        <w:rPr>
          <w:rFonts w:ascii="Times New Roman" w:hAnsi="Times New Roman" w:cs="Traditional Arabic"/>
          <w:szCs w:val="30"/>
          <w:rtl/>
        </w:rPr>
        <w:t xml:space="preserve"> باسم النظام العالمي لرصد البيئة/الغذاء، واحدا</w:t>
      </w:r>
      <w:r w:rsidR="00BD3769">
        <w:rPr>
          <w:rFonts w:ascii="Times New Roman" w:hAnsi="Times New Roman" w:cs="Traditional Arabic" w:hint="cs"/>
          <w:szCs w:val="30"/>
          <w:rtl/>
        </w:rPr>
        <w:t>ً</w:t>
      </w:r>
      <w:r w:rsidRPr="0092308F">
        <w:rPr>
          <w:rFonts w:ascii="Times New Roman" w:hAnsi="Times New Roman" w:cs="Traditional Arabic"/>
          <w:szCs w:val="30"/>
          <w:rtl/>
        </w:rPr>
        <w:t xml:space="preserve"> من أفضل النظم العالمية لجمع بيانات الزئبق في الأسماك، من خلال شبكته من المراكز المتعاونة والمؤسسات الوطنية المعترف بها.</w:t>
      </w:r>
    </w:p>
    <w:p w14:paraId="075D9577" w14:textId="3EC8BC67" w:rsidR="002D10EB" w:rsidRPr="00EE1414" w:rsidRDefault="002D10EB" w:rsidP="00EE1414">
      <w:pPr>
        <w:tabs>
          <w:tab w:val="left" w:pos="1699"/>
        </w:tabs>
        <w:bidi/>
        <w:spacing w:after="120" w:line="400" w:lineRule="exact"/>
        <w:ind w:left="1134" w:hanging="852"/>
        <w:jc w:val="both"/>
        <w:rPr>
          <w:b/>
          <w:bCs/>
          <w:rtl/>
        </w:rPr>
      </w:pPr>
      <w:r w:rsidRPr="00EE1414">
        <w:rPr>
          <w:b/>
          <w:bCs/>
          <w:rtl/>
        </w:rPr>
        <w:t>دال-</w:t>
      </w:r>
      <w:r w:rsidRPr="00EE1414">
        <w:rPr>
          <w:b/>
          <w:bCs/>
          <w:rtl/>
        </w:rPr>
        <w:tab/>
        <w:t>تحليل التكاليف</w:t>
      </w:r>
    </w:p>
    <w:p w14:paraId="2C3BAEE1" w14:textId="43BFD88E" w:rsidR="002D10EB" w:rsidRPr="0092308F" w:rsidRDefault="002D10EB" w:rsidP="0092308F">
      <w:pPr>
        <w:pStyle w:val="ListParagraph"/>
        <w:numPr>
          <w:ilvl w:val="0"/>
          <w:numId w:val="21"/>
        </w:numPr>
        <w:tabs>
          <w:tab w:val="left" w:pos="1841"/>
        </w:tabs>
        <w:spacing w:after="120" w:line="400" w:lineRule="exact"/>
        <w:ind w:left="1132" w:firstLine="2"/>
        <w:contextualSpacing w:val="0"/>
        <w:jc w:val="both"/>
        <w:rPr>
          <w:rFonts w:ascii="Times New Roman" w:hAnsi="Times New Roman" w:cs="Traditional Arabic"/>
          <w:szCs w:val="30"/>
          <w:rtl/>
        </w:rPr>
      </w:pPr>
      <w:r w:rsidRPr="0092308F">
        <w:rPr>
          <w:rFonts w:ascii="Times New Roman" w:hAnsi="Times New Roman" w:cs="Traditional Arabic"/>
          <w:szCs w:val="30"/>
          <w:rtl/>
        </w:rPr>
        <w:t xml:space="preserve">يرد في الوثيقة </w:t>
      </w:r>
      <w:r w:rsidRPr="0092308F">
        <w:rPr>
          <w:rFonts w:ascii="Times New Roman" w:hAnsi="Times New Roman" w:cs="Traditional Arabic"/>
          <w:szCs w:val="30"/>
        </w:rPr>
        <w:t>UNEP/MC/COP.3/INF/15</w:t>
      </w:r>
      <w:r w:rsidRPr="0092308F">
        <w:rPr>
          <w:rFonts w:ascii="Times New Roman" w:hAnsi="Times New Roman" w:cs="Traditional Arabic" w:hint="cs"/>
          <w:szCs w:val="30"/>
          <w:rtl/>
        </w:rPr>
        <w:t xml:space="preserve"> </w:t>
      </w:r>
      <w:r w:rsidRPr="0092308F">
        <w:rPr>
          <w:rFonts w:ascii="Times New Roman" w:hAnsi="Times New Roman" w:cs="Traditional Arabic"/>
          <w:szCs w:val="30"/>
          <w:rtl/>
        </w:rPr>
        <w:t>جدول يلخص تكاليف الأساليب المستخدمة حاليا</w:t>
      </w:r>
      <w:r w:rsidR="00BD3769">
        <w:rPr>
          <w:rFonts w:ascii="Times New Roman" w:hAnsi="Times New Roman" w:cs="Traditional Arabic" w:hint="cs"/>
          <w:szCs w:val="30"/>
          <w:rtl/>
        </w:rPr>
        <w:t>ً</w:t>
      </w:r>
      <w:r w:rsidRPr="0092308F">
        <w:rPr>
          <w:rFonts w:ascii="Times New Roman" w:hAnsi="Times New Roman" w:cs="Traditional Arabic"/>
          <w:szCs w:val="30"/>
          <w:rtl/>
        </w:rPr>
        <w:t xml:space="preserve"> لرصد الهواء والبشر والأوساط الأحيائية والمياه، والطابع العملي لهذه الأساليب وجدواها واستدامتها وقابليتها للمقارنة وتغطيتها.</w:t>
      </w:r>
    </w:p>
    <w:p w14:paraId="08B0AD82" w14:textId="48389C15" w:rsidR="002D10EB" w:rsidRPr="00EE1414" w:rsidRDefault="002D10EB" w:rsidP="00EE1414">
      <w:pPr>
        <w:tabs>
          <w:tab w:val="left" w:pos="1699"/>
        </w:tabs>
        <w:bidi/>
        <w:spacing w:after="120" w:line="400" w:lineRule="exact"/>
        <w:ind w:left="1134" w:hanging="852"/>
        <w:jc w:val="both"/>
        <w:rPr>
          <w:b/>
          <w:bCs/>
          <w:sz w:val="32"/>
          <w:szCs w:val="32"/>
          <w:rtl/>
        </w:rPr>
      </w:pPr>
      <w:r w:rsidRPr="00EE1414">
        <w:rPr>
          <w:b/>
          <w:bCs/>
          <w:sz w:val="32"/>
          <w:szCs w:val="32"/>
          <w:rtl/>
        </w:rPr>
        <w:t>رابعا</w:t>
      </w:r>
      <w:r w:rsidR="00EE1414">
        <w:rPr>
          <w:rFonts w:hint="cs"/>
          <w:b/>
          <w:bCs/>
          <w:sz w:val="32"/>
          <w:szCs w:val="32"/>
          <w:rtl/>
        </w:rPr>
        <w:t>ً</w:t>
      </w:r>
      <w:r w:rsidRPr="00EE1414">
        <w:rPr>
          <w:b/>
          <w:bCs/>
          <w:sz w:val="32"/>
          <w:szCs w:val="32"/>
          <w:rtl/>
        </w:rPr>
        <w:t>-</w:t>
      </w:r>
      <w:r w:rsidRPr="00EE1414">
        <w:rPr>
          <w:b/>
          <w:bCs/>
          <w:sz w:val="32"/>
          <w:szCs w:val="32"/>
          <w:rtl/>
        </w:rPr>
        <w:tab/>
        <w:t>إمكانات النمذجة المتاحة لتقييم التغيرات في مستويات الزئبق العالمية داخل الأوساط وعبرها</w:t>
      </w:r>
      <w:bookmarkStart w:id="1" w:name="_Hlk15566111"/>
    </w:p>
    <w:p w14:paraId="7CFCF771" w14:textId="31E38FFC" w:rsidR="002D10EB" w:rsidRPr="0092308F" w:rsidRDefault="002D10EB" w:rsidP="0092308F">
      <w:pPr>
        <w:pStyle w:val="ListParagraph"/>
        <w:numPr>
          <w:ilvl w:val="0"/>
          <w:numId w:val="21"/>
        </w:numPr>
        <w:tabs>
          <w:tab w:val="left" w:pos="1841"/>
        </w:tabs>
        <w:spacing w:after="120" w:line="400" w:lineRule="exact"/>
        <w:ind w:left="1132" w:firstLine="2"/>
        <w:contextualSpacing w:val="0"/>
        <w:jc w:val="both"/>
        <w:rPr>
          <w:rFonts w:ascii="Times New Roman" w:hAnsi="Times New Roman" w:cs="Traditional Arabic"/>
          <w:szCs w:val="30"/>
          <w:rtl/>
        </w:rPr>
      </w:pPr>
      <w:r w:rsidRPr="0092308F">
        <w:rPr>
          <w:rFonts w:ascii="Times New Roman" w:hAnsi="Times New Roman" w:cs="Traditional Arabic"/>
          <w:szCs w:val="30"/>
          <w:rtl/>
        </w:rPr>
        <w:t xml:space="preserve">يوجز الجدول </w:t>
      </w:r>
      <w:r w:rsidR="00C01056">
        <w:rPr>
          <w:rFonts w:ascii="Times New Roman" w:hAnsi="Times New Roman" w:cs="Traditional Arabic" w:hint="cs"/>
          <w:szCs w:val="30"/>
          <w:rtl/>
        </w:rPr>
        <w:t>أدناه</w:t>
      </w:r>
      <w:r w:rsidRPr="0092308F">
        <w:rPr>
          <w:rFonts w:ascii="Times New Roman" w:hAnsi="Times New Roman" w:cs="Traditional Arabic"/>
          <w:szCs w:val="30"/>
          <w:rtl/>
        </w:rPr>
        <w:t xml:space="preserve"> قدرات النماذج على تقييم التغيرات في مستويات الزئبق العالمية داخل الأوساط وعبرها. وتتفاوت نماذج الأوساط المختلفة (الهواء والماء والأرض والكائنات الحية) في قدراتها على محاكاة حركة الزئبق في هذه الأوساط وفي حالة تطورها. وقد خضعت نماذج الغلاف الجوي للتقييم على نطاق واسع ويمكن تطبيقها لتقييم التدرج المكاني في تركيزات الزئبق في الغلاف الجوي والترسب</w:t>
      </w:r>
      <w:r w:rsidRPr="0092308F">
        <w:rPr>
          <w:rFonts w:ascii="Times New Roman" w:hAnsi="Times New Roman" w:cs="Traditional Arabic" w:hint="cs"/>
          <w:szCs w:val="30"/>
          <w:rtl/>
        </w:rPr>
        <w:t>ات</w:t>
      </w:r>
      <w:r w:rsidRPr="0092308F">
        <w:rPr>
          <w:rFonts w:ascii="Times New Roman" w:hAnsi="Times New Roman" w:cs="Traditional Arabic"/>
          <w:szCs w:val="30"/>
          <w:rtl/>
        </w:rPr>
        <w:t xml:space="preserve"> والتغيرات الزمانية، شريطة توفر بيانات عالية الجودة ذات إسناد جغرافي عن الانبعاثات. وعلى النقيض من ذلك فإن نماذج الأوساط الأخرى، مثل الأرض، لا تزال تستخدم أساسا</w:t>
      </w:r>
      <w:r w:rsidR="00BD3769">
        <w:rPr>
          <w:rFonts w:ascii="Times New Roman" w:hAnsi="Times New Roman" w:cs="Traditional Arabic" w:hint="cs"/>
          <w:szCs w:val="30"/>
          <w:rtl/>
        </w:rPr>
        <w:t>ً</w:t>
      </w:r>
      <w:r w:rsidRPr="0092308F">
        <w:rPr>
          <w:rFonts w:ascii="Times New Roman" w:hAnsi="Times New Roman" w:cs="Traditional Arabic"/>
          <w:szCs w:val="30"/>
          <w:rtl/>
        </w:rPr>
        <w:t xml:space="preserve"> في التطبيقات البحثية. ويمكن الاطلاع على المزيد من التوضيحات، بما في ذلك إشارات مرجعية إلى نماذج محددة متاحة وعينة من التمثيل الجغرافي للحسابات من النماذج الحالية، في الوثيقة</w:t>
      </w:r>
      <w:r w:rsidRPr="0092308F">
        <w:rPr>
          <w:rFonts w:ascii="Times New Roman" w:hAnsi="Times New Roman" w:cs="Traditional Arabic" w:hint="cs"/>
          <w:szCs w:val="30"/>
          <w:rtl/>
        </w:rPr>
        <w:t xml:space="preserve"> </w:t>
      </w:r>
      <w:r w:rsidRPr="0092308F">
        <w:rPr>
          <w:rFonts w:ascii="Times New Roman" w:hAnsi="Times New Roman" w:cs="Traditional Arabic"/>
          <w:szCs w:val="30"/>
        </w:rPr>
        <w:t>UNEP/MC/COP.3/INF/15</w:t>
      </w:r>
      <w:r w:rsidRPr="0092308F">
        <w:rPr>
          <w:rFonts w:ascii="Times New Roman" w:hAnsi="Times New Roman" w:cs="Traditional Arabic"/>
          <w:szCs w:val="30"/>
          <w:rtl/>
        </w:rPr>
        <w:t>.</w:t>
      </w:r>
      <w:bookmarkEnd w:id="1"/>
    </w:p>
    <w:p w14:paraId="0FAD9221" w14:textId="77777777" w:rsidR="002D10EB" w:rsidRPr="0092308F" w:rsidRDefault="002D10EB" w:rsidP="0092308F">
      <w:pPr>
        <w:pStyle w:val="ListParagraph"/>
        <w:numPr>
          <w:ilvl w:val="0"/>
          <w:numId w:val="21"/>
        </w:numPr>
        <w:tabs>
          <w:tab w:val="left" w:pos="1841"/>
        </w:tabs>
        <w:spacing w:after="120" w:line="400" w:lineRule="exact"/>
        <w:ind w:left="1132" w:firstLine="2"/>
        <w:contextualSpacing w:val="0"/>
        <w:jc w:val="both"/>
        <w:rPr>
          <w:rFonts w:ascii="Times New Roman" w:hAnsi="Times New Roman" w:cs="Traditional Arabic"/>
          <w:szCs w:val="30"/>
          <w:rtl/>
        </w:rPr>
      </w:pPr>
      <w:r w:rsidRPr="0092308F">
        <w:rPr>
          <w:rFonts w:ascii="Times New Roman" w:hAnsi="Times New Roman" w:cs="Traditional Arabic" w:hint="cs"/>
          <w:szCs w:val="30"/>
          <w:rtl/>
        </w:rPr>
        <w:t>و</w:t>
      </w:r>
      <w:r w:rsidRPr="0092308F">
        <w:rPr>
          <w:rFonts w:ascii="Times New Roman" w:hAnsi="Times New Roman" w:cs="Traditional Arabic"/>
          <w:szCs w:val="30"/>
          <w:rtl/>
        </w:rPr>
        <w:t xml:space="preserve">يمكن أن توضح أطر النمذجة المتكاملة المسارات التي تصل عن طريقها الإطلاقات الأولية من الزئبق في الغلاف الجوي والأرض والمياه إلى الأسماك والأحياء البرية وكذلك الحال فيما يخص ميثيل الزئبق، </w:t>
      </w:r>
      <w:r w:rsidRPr="0092308F">
        <w:rPr>
          <w:rFonts w:ascii="Times New Roman" w:hAnsi="Times New Roman" w:cs="Traditional Arabic" w:hint="cs"/>
          <w:szCs w:val="30"/>
          <w:rtl/>
        </w:rPr>
        <w:t>إضافةً إلى</w:t>
      </w:r>
      <w:r w:rsidRPr="0092308F">
        <w:rPr>
          <w:rFonts w:ascii="Times New Roman" w:hAnsi="Times New Roman" w:cs="Traditional Arabic"/>
          <w:szCs w:val="30"/>
          <w:rtl/>
        </w:rPr>
        <w:t xml:space="preserve"> تعرض بعض المجتمعات البشرية المستهلكة للأسماك للزئبق. إن أطر النماذج المتكاملة هي في الوقت الحاضر قيد الإعداد وهي متاحة في شكل ناتج بحثي. ولم يسبق أن طبقت أو قورنت النماذج المتكاملة في جهود التقييم العالمي. وقد نشر</w:t>
      </w:r>
      <w:r w:rsidRPr="0092308F">
        <w:rPr>
          <w:rFonts w:ascii="Times New Roman" w:hAnsi="Times New Roman" w:cs="Traditional Arabic" w:hint="cs"/>
          <w:szCs w:val="30"/>
          <w:rtl/>
        </w:rPr>
        <w:t>ت</w:t>
      </w:r>
      <w:r w:rsidRPr="0092308F">
        <w:rPr>
          <w:rFonts w:ascii="Times New Roman" w:hAnsi="Times New Roman" w:cs="Traditional Arabic"/>
          <w:szCs w:val="30"/>
          <w:rtl/>
        </w:rPr>
        <w:t xml:space="preserve"> القليل من الأفرقة البحثية نماذج جوية-محيطية وجوية-برية مشتركة في المصنفات التي خضعت لاستعراض النظراء، ومن خلال تقييم إضافي للنماذج فإن التحديثات ستكون متاحة للشروع في إجراء تحليلات ذات صلة بالسياسات بحلول عام 2023. كذلك تتوفر نماذج للتراكم البيولوجي لميثيل الزئبق في الشبكات الغذائية من أفرقة </w:t>
      </w:r>
      <w:r w:rsidRPr="0092308F">
        <w:rPr>
          <w:rFonts w:ascii="Times New Roman" w:hAnsi="Times New Roman" w:cs="Traditional Arabic"/>
          <w:szCs w:val="30"/>
          <w:rtl/>
        </w:rPr>
        <w:lastRenderedPageBreak/>
        <w:t>مختارة وهذه يمكن استخدامها لوصف نطاق أنماط التراكم على نطاق النظم الإيكولوجية (البحيرات والأراضي الرطبة ومصاب الأنهار والمواقع الملوثة) وللشبكات الغذائية البحرية على الصعيد العالمي. والرابط الأصعب في أطر النماذج المتكاملة هو ذلك المتصل بالتعرض البشري والنتائج الصحية، بسبب تنوع الخيارات الغذائية وأنماط استهلاك الغذاء والتغير الفردي في حركة السموم الذي يؤثر على امتصاص ميثيل الزئبق والقضاء عليه. إن جميع عناصر أطر النماذج المتكاملة هذه تتطور بشكل سريع في الأوساط العلمية.</w:t>
      </w:r>
    </w:p>
    <w:p w14:paraId="10CBBB02" w14:textId="483B8F46" w:rsidR="002D10EB" w:rsidRPr="004056AF" w:rsidRDefault="002D10EB" w:rsidP="004056AF">
      <w:pPr>
        <w:tabs>
          <w:tab w:val="left" w:pos="1699"/>
        </w:tabs>
        <w:bidi/>
        <w:spacing w:line="400" w:lineRule="exact"/>
        <w:jc w:val="both"/>
        <w:textDirection w:val="tbRlV"/>
        <w:rPr>
          <w:rFonts w:hint="cs"/>
          <w:lang w:val="en-GB" w:bidi="en-GB"/>
        </w:rPr>
      </w:pPr>
      <w:r w:rsidRPr="0092308F">
        <w:rPr>
          <w:rtl/>
        </w:rPr>
        <w:t>الجدول</w:t>
      </w:r>
    </w:p>
    <w:p w14:paraId="72D1E5FC" w14:textId="7F692A2D" w:rsidR="002D10EB" w:rsidRPr="004056AF" w:rsidRDefault="002D10EB" w:rsidP="00682D01">
      <w:pPr>
        <w:tabs>
          <w:tab w:val="left" w:pos="1699"/>
        </w:tabs>
        <w:bidi/>
        <w:spacing w:after="120" w:line="400" w:lineRule="exact"/>
        <w:ind w:left="-2"/>
        <w:jc w:val="both"/>
        <w:textDirection w:val="tbRlV"/>
        <w:rPr>
          <w:rFonts w:hint="cs"/>
          <w:b/>
          <w:bCs/>
          <w:lang w:val="en-GB" w:bidi="en-GB"/>
        </w:rPr>
      </w:pPr>
      <w:r w:rsidRPr="004056AF">
        <w:rPr>
          <w:b/>
          <w:bCs/>
          <w:rtl/>
        </w:rPr>
        <w:t>موجز لقدرات النمذجة المتاحة لفرادى الأوساط</w:t>
      </w:r>
    </w:p>
    <w:tbl>
      <w:tblPr>
        <w:bidiVisual/>
        <w:tblW w:w="9501" w:type="dxa"/>
        <w:jc w:val="right"/>
        <w:shd w:val="clear" w:color="auto" w:fill="CED7E7"/>
        <w:tblLayout w:type="fixed"/>
        <w:tblLook w:val="04A0" w:firstRow="1" w:lastRow="0" w:firstColumn="1" w:lastColumn="0" w:noHBand="0" w:noVBand="1"/>
      </w:tblPr>
      <w:tblGrid>
        <w:gridCol w:w="2412"/>
        <w:gridCol w:w="2977"/>
        <w:gridCol w:w="1843"/>
        <w:gridCol w:w="2269"/>
      </w:tblGrid>
      <w:tr w:rsidR="002D10EB" w:rsidRPr="00D56F90" w14:paraId="472C0C9E" w14:textId="77777777" w:rsidTr="00682D01">
        <w:trPr>
          <w:trHeight w:val="57"/>
          <w:tblHeader/>
          <w:jc w:val="right"/>
        </w:trPr>
        <w:tc>
          <w:tcPr>
            <w:tcW w:w="2412" w:type="dxa"/>
            <w:tcBorders>
              <w:top w:val="single" w:sz="4" w:space="0" w:color="auto"/>
              <w:bottom w:val="single" w:sz="12" w:space="0" w:color="auto"/>
            </w:tcBorders>
            <w:shd w:val="clear" w:color="auto" w:fill="auto"/>
            <w:tcMar>
              <w:top w:w="80" w:type="dxa"/>
              <w:left w:w="80" w:type="dxa"/>
              <w:bottom w:w="80" w:type="dxa"/>
              <w:right w:w="80" w:type="dxa"/>
            </w:tcMar>
          </w:tcPr>
          <w:p w14:paraId="7970DF77" w14:textId="77777777" w:rsidR="002D10EB" w:rsidRPr="0094799A" w:rsidRDefault="002D10EB" w:rsidP="00682D01">
            <w:pPr>
              <w:pBdr>
                <w:top w:val="nil"/>
                <w:left w:val="nil"/>
                <w:bottom w:val="nil"/>
                <w:right w:val="nil"/>
                <w:between w:val="nil"/>
                <w:bar w:val="nil"/>
              </w:pBdr>
              <w:shd w:val="clear" w:color="auto" w:fill="FFFFFF"/>
              <w:bidi/>
              <w:spacing w:before="40" w:after="40" w:line="300" w:lineRule="exact"/>
              <w:ind w:left="57" w:right="57"/>
              <w:jc w:val="both"/>
              <w:textDirection w:val="tbRlV"/>
              <w:rPr>
                <w:rFonts w:ascii="Traditional Arabic" w:hAnsi="Traditional Arabic"/>
                <w:i/>
                <w:sz w:val="24"/>
                <w:szCs w:val="24"/>
                <w:bdr w:val="nil"/>
                <w:lang w:val="en-GB" w:eastAsia="zh-TW" w:bidi="en-GB"/>
              </w:rPr>
            </w:pPr>
            <w:r w:rsidRPr="00D56F90">
              <w:rPr>
                <w:rFonts w:ascii="Traditional Arabic" w:hAnsi="Traditional Arabic"/>
                <w:i/>
                <w:iCs/>
                <w:sz w:val="24"/>
                <w:szCs w:val="24"/>
                <w:bdr w:val="nil"/>
                <w:rtl/>
              </w:rPr>
              <w:t>الوسط/التوفر</w:t>
            </w:r>
          </w:p>
        </w:tc>
        <w:tc>
          <w:tcPr>
            <w:tcW w:w="2977" w:type="dxa"/>
            <w:tcBorders>
              <w:top w:val="single" w:sz="4" w:space="0" w:color="auto"/>
              <w:bottom w:val="single" w:sz="12" w:space="0" w:color="auto"/>
            </w:tcBorders>
            <w:shd w:val="clear" w:color="auto" w:fill="auto"/>
            <w:tcMar>
              <w:top w:w="80" w:type="dxa"/>
              <w:left w:w="80" w:type="dxa"/>
              <w:bottom w:w="80" w:type="dxa"/>
              <w:right w:w="80" w:type="dxa"/>
            </w:tcMar>
          </w:tcPr>
          <w:p w14:paraId="7A39E039" w14:textId="77777777" w:rsidR="002D10EB" w:rsidRPr="00D56F90" w:rsidRDefault="002D10EB" w:rsidP="00682D01">
            <w:pPr>
              <w:pBdr>
                <w:top w:val="nil"/>
                <w:left w:val="nil"/>
                <w:bottom w:val="nil"/>
                <w:right w:val="nil"/>
                <w:between w:val="nil"/>
                <w:bar w:val="nil"/>
              </w:pBdr>
              <w:shd w:val="clear" w:color="auto" w:fill="FFFFFF"/>
              <w:bidi/>
              <w:spacing w:before="40" w:after="40" w:line="300" w:lineRule="exact"/>
              <w:ind w:left="57" w:right="57"/>
              <w:jc w:val="both"/>
              <w:textDirection w:val="tbRlV"/>
              <w:rPr>
                <w:rFonts w:ascii="Traditional Arabic" w:hAnsi="Traditional Arabic"/>
                <w:i/>
                <w:sz w:val="24"/>
                <w:szCs w:val="24"/>
                <w:bdr w:val="nil"/>
                <w:rtl/>
                <w:lang w:val="ar-SA" w:eastAsia="zh-TW" w:bidi="en-GB"/>
              </w:rPr>
            </w:pPr>
            <w:r w:rsidRPr="00D56F90">
              <w:rPr>
                <w:rFonts w:ascii="Traditional Arabic" w:hAnsi="Traditional Arabic"/>
                <w:i/>
                <w:iCs/>
                <w:sz w:val="24"/>
                <w:szCs w:val="24"/>
                <w:bdr w:val="nil"/>
                <w:rtl/>
              </w:rPr>
              <w:t>المؤشرات اللازمة لمدخلات النموذج</w:t>
            </w:r>
          </w:p>
        </w:tc>
        <w:tc>
          <w:tcPr>
            <w:tcW w:w="1843" w:type="dxa"/>
            <w:tcBorders>
              <w:top w:val="single" w:sz="4" w:space="0" w:color="auto"/>
              <w:bottom w:val="single" w:sz="12" w:space="0" w:color="auto"/>
            </w:tcBorders>
            <w:shd w:val="clear" w:color="auto" w:fill="auto"/>
            <w:tcMar>
              <w:top w:w="80" w:type="dxa"/>
              <w:left w:w="80" w:type="dxa"/>
              <w:bottom w:w="80" w:type="dxa"/>
              <w:right w:w="80" w:type="dxa"/>
            </w:tcMar>
          </w:tcPr>
          <w:p w14:paraId="195BDEA0" w14:textId="77777777" w:rsidR="002D10EB" w:rsidRPr="00D56F90" w:rsidRDefault="002D10EB" w:rsidP="00682D01">
            <w:pPr>
              <w:pBdr>
                <w:top w:val="nil"/>
                <w:left w:val="nil"/>
                <w:bottom w:val="nil"/>
                <w:right w:val="nil"/>
                <w:between w:val="nil"/>
                <w:bar w:val="nil"/>
              </w:pBdr>
              <w:shd w:val="clear" w:color="auto" w:fill="FFFFFF"/>
              <w:bidi/>
              <w:spacing w:before="40" w:after="40" w:line="300" w:lineRule="exact"/>
              <w:ind w:left="57" w:right="57"/>
              <w:jc w:val="both"/>
              <w:textDirection w:val="tbRlV"/>
              <w:rPr>
                <w:rFonts w:ascii="Traditional Arabic" w:hAnsi="Traditional Arabic"/>
                <w:i/>
                <w:sz w:val="24"/>
                <w:szCs w:val="24"/>
                <w:bdr w:val="nil"/>
                <w:rtl/>
                <w:lang w:val="ar-SA" w:eastAsia="zh-TW" w:bidi="en-GB"/>
              </w:rPr>
            </w:pPr>
            <w:r w:rsidRPr="00D56F90">
              <w:rPr>
                <w:rFonts w:ascii="Traditional Arabic" w:hAnsi="Traditional Arabic"/>
                <w:i/>
                <w:iCs/>
                <w:sz w:val="24"/>
                <w:szCs w:val="24"/>
                <w:bdr w:val="nil"/>
                <w:rtl/>
              </w:rPr>
              <w:t>الناتج المقدم</w:t>
            </w:r>
          </w:p>
        </w:tc>
        <w:tc>
          <w:tcPr>
            <w:tcW w:w="2269" w:type="dxa"/>
            <w:tcBorders>
              <w:top w:val="single" w:sz="4" w:space="0" w:color="auto"/>
              <w:bottom w:val="single" w:sz="12" w:space="0" w:color="auto"/>
            </w:tcBorders>
            <w:shd w:val="clear" w:color="auto" w:fill="auto"/>
            <w:tcMar>
              <w:top w:w="80" w:type="dxa"/>
              <w:left w:w="80" w:type="dxa"/>
              <w:bottom w:w="80" w:type="dxa"/>
              <w:right w:w="80" w:type="dxa"/>
            </w:tcMar>
          </w:tcPr>
          <w:p w14:paraId="74785399" w14:textId="77777777" w:rsidR="002D10EB" w:rsidRPr="00D56F90" w:rsidRDefault="002D10EB" w:rsidP="00682D01">
            <w:pPr>
              <w:pBdr>
                <w:top w:val="nil"/>
                <w:left w:val="nil"/>
                <w:bottom w:val="nil"/>
                <w:right w:val="nil"/>
                <w:between w:val="nil"/>
                <w:bar w:val="nil"/>
              </w:pBdr>
              <w:shd w:val="clear" w:color="auto" w:fill="FFFFFF"/>
              <w:bidi/>
              <w:spacing w:before="40" w:after="40" w:line="300" w:lineRule="exact"/>
              <w:ind w:left="57" w:right="57"/>
              <w:jc w:val="both"/>
              <w:textDirection w:val="tbRlV"/>
              <w:rPr>
                <w:rFonts w:ascii="Traditional Arabic" w:hAnsi="Traditional Arabic"/>
                <w:i/>
                <w:sz w:val="24"/>
                <w:szCs w:val="24"/>
                <w:bdr w:val="nil"/>
                <w:rtl/>
                <w:lang w:val="ar-SA" w:eastAsia="zh-TW" w:bidi="en-GB"/>
              </w:rPr>
            </w:pPr>
            <w:r w:rsidRPr="00D56F90">
              <w:rPr>
                <w:rFonts w:ascii="Traditional Arabic" w:hAnsi="Traditional Arabic"/>
                <w:i/>
                <w:iCs/>
                <w:sz w:val="24"/>
                <w:szCs w:val="24"/>
                <w:bdr w:val="nil"/>
                <w:rtl/>
              </w:rPr>
              <w:t>الثغرات التي لا يزال يتعين سدها</w:t>
            </w:r>
          </w:p>
        </w:tc>
      </w:tr>
      <w:tr w:rsidR="002D10EB" w:rsidRPr="00D56F90" w14:paraId="3C4442BE" w14:textId="77777777" w:rsidTr="00682D01">
        <w:trPr>
          <w:trHeight w:val="57"/>
          <w:jc w:val="right"/>
        </w:trPr>
        <w:tc>
          <w:tcPr>
            <w:tcW w:w="2412" w:type="dxa"/>
            <w:tcBorders>
              <w:top w:val="single" w:sz="12" w:space="0" w:color="auto"/>
              <w:bottom w:val="single" w:sz="4" w:space="0" w:color="auto"/>
            </w:tcBorders>
            <w:shd w:val="clear" w:color="auto" w:fill="auto"/>
            <w:tcMar>
              <w:top w:w="80" w:type="dxa"/>
              <w:left w:w="80" w:type="dxa"/>
              <w:bottom w:w="80" w:type="dxa"/>
              <w:right w:w="80" w:type="dxa"/>
            </w:tcMar>
          </w:tcPr>
          <w:p w14:paraId="7FECE2EF" w14:textId="77777777" w:rsidR="002D10EB" w:rsidRPr="00775E51" w:rsidRDefault="002D10EB" w:rsidP="00682D01">
            <w:pPr>
              <w:pBdr>
                <w:top w:val="nil"/>
                <w:left w:val="nil"/>
                <w:bottom w:val="nil"/>
                <w:right w:val="nil"/>
                <w:between w:val="nil"/>
                <w:bar w:val="nil"/>
              </w:pBdr>
              <w:shd w:val="clear" w:color="auto" w:fill="FFFFFF"/>
              <w:bidi/>
              <w:spacing w:before="40" w:after="40" w:line="300" w:lineRule="exact"/>
              <w:ind w:left="57" w:right="57"/>
              <w:jc w:val="both"/>
              <w:textDirection w:val="tbRlV"/>
              <w:rPr>
                <w:rFonts w:ascii="Traditional Arabic" w:hAnsi="Traditional Arabic"/>
                <w:b/>
                <w:sz w:val="24"/>
                <w:szCs w:val="24"/>
                <w:bdr w:val="nil"/>
                <w:lang w:val="en-GB" w:eastAsia="zh-TW" w:bidi="en-GB"/>
              </w:rPr>
            </w:pPr>
            <w:r w:rsidRPr="00D56F90">
              <w:rPr>
                <w:rFonts w:ascii="Traditional Arabic" w:hAnsi="Traditional Arabic"/>
                <w:b/>
                <w:bCs/>
                <w:sz w:val="24"/>
                <w:szCs w:val="24"/>
                <w:bdr w:val="nil"/>
                <w:rtl/>
              </w:rPr>
              <w:t>النمذجة الاجتماعية والاقتصادية: متوفرة إلى حد ما</w:t>
            </w:r>
          </w:p>
          <w:p w14:paraId="3DCAED5A" w14:textId="77777777" w:rsidR="002D10EB" w:rsidRPr="00D56F90" w:rsidRDefault="002D10EB" w:rsidP="00682D01">
            <w:pPr>
              <w:pBdr>
                <w:top w:val="nil"/>
                <w:left w:val="nil"/>
                <w:bottom w:val="nil"/>
                <w:right w:val="nil"/>
                <w:between w:val="nil"/>
                <w:bar w:val="nil"/>
              </w:pBdr>
              <w:shd w:val="clear" w:color="auto" w:fill="FFFFFF"/>
              <w:bidi/>
              <w:spacing w:before="40" w:after="40" w:line="300" w:lineRule="exact"/>
              <w:ind w:left="57" w:right="57"/>
              <w:jc w:val="both"/>
              <w:textDirection w:val="tbRlV"/>
              <w:rPr>
                <w:rFonts w:ascii="Traditional Arabic" w:hAnsi="Traditional Arabic"/>
                <w:sz w:val="24"/>
                <w:szCs w:val="24"/>
                <w:bdr w:val="nil"/>
                <w:rtl/>
                <w:lang w:val="ar-SA" w:eastAsia="zh-TW" w:bidi="en-GB"/>
              </w:rPr>
            </w:pPr>
            <w:r w:rsidRPr="00D56F90">
              <w:rPr>
                <w:rFonts w:ascii="Traditional Arabic" w:hAnsi="Traditional Arabic"/>
                <w:sz w:val="24"/>
                <w:szCs w:val="24"/>
                <w:bdr w:val="nil"/>
                <w:rtl/>
              </w:rPr>
              <w:t>نماذج الانبعاثات العالمية (تنبؤ حتى عام 2050)</w:t>
            </w:r>
          </w:p>
        </w:tc>
        <w:tc>
          <w:tcPr>
            <w:tcW w:w="2977" w:type="dxa"/>
            <w:tcBorders>
              <w:top w:val="single" w:sz="12" w:space="0" w:color="auto"/>
              <w:bottom w:val="single" w:sz="4" w:space="0" w:color="auto"/>
            </w:tcBorders>
            <w:shd w:val="clear" w:color="auto" w:fill="auto"/>
            <w:tcMar>
              <w:top w:w="80" w:type="dxa"/>
              <w:left w:w="80" w:type="dxa"/>
              <w:bottom w:w="80" w:type="dxa"/>
              <w:right w:w="80" w:type="dxa"/>
            </w:tcMar>
          </w:tcPr>
          <w:p w14:paraId="2D00595B" w14:textId="77777777" w:rsidR="002D10EB" w:rsidRPr="00775E51" w:rsidRDefault="002D10EB" w:rsidP="004056AF">
            <w:pPr>
              <w:pBdr>
                <w:top w:val="nil"/>
                <w:left w:val="nil"/>
                <w:bottom w:val="nil"/>
                <w:right w:val="nil"/>
                <w:between w:val="nil"/>
                <w:bar w:val="nil"/>
              </w:pBdr>
              <w:shd w:val="clear" w:color="auto" w:fill="FFFFFF"/>
              <w:bidi/>
              <w:spacing w:before="40" w:after="80" w:line="300" w:lineRule="exact"/>
              <w:ind w:left="57" w:right="57"/>
              <w:jc w:val="both"/>
              <w:textDirection w:val="tbRlV"/>
              <w:rPr>
                <w:rFonts w:ascii="Traditional Arabic" w:hAnsi="Traditional Arabic"/>
                <w:sz w:val="24"/>
                <w:szCs w:val="24"/>
                <w:bdr w:val="nil"/>
                <w:lang w:val="en-GB" w:eastAsia="zh-TW" w:bidi="en-GB"/>
              </w:rPr>
            </w:pPr>
            <w:r w:rsidRPr="002A6B65">
              <w:rPr>
                <w:rFonts w:ascii="Traditional Arabic" w:hAnsi="Traditional Arabic"/>
                <w:b/>
                <w:bCs/>
                <w:sz w:val="24"/>
                <w:szCs w:val="24"/>
                <w:bdr w:val="nil"/>
                <w:rtl/>
              </w:rPr>
              <w:t>المدخلات:</w:t>
            </w:r>
            <w:r w:rsidRPr="00D56F90">
              <w:rPr>
                <w:rFonts w:ascii="Traditional Arabic" w:hAnsi="Traditional Arabic"/>
                <w:sz w:val="24"/>
                <w:szCs w:val="24"/>
                <w:bdr w:val="nil"/>
                <w:rtl/>
              </w:rPr>
              <w:t xml:space="preserve"> بيانات الأنشطة الاجتماعية والاقتصادية (الإنتاج، السكان، الناتج المحلي الإجمالي)، تدفق المواد ومواصفات السياسات</w:t>
            </w:r>
          </w:p>
          <w:p w14:paraId="6050D4CD" w14:textId="77777777" w:rsidR="002D10EB" w:rsidRPr="00D56F90" w:rsidRDefault="002D10EB" w:rsidP="00682D01">
            <w:pPr>
              <w:pBdr>
                <w:top w:val="nil"/>
                <w:left w:val="nil"/>
                <w:bottom w:val="nil"/>
                <w:right w:val="nil"/>
                <w:between w:val="nil"/>
                <w:bar w:val="nil"/>
              </w:pBdr>
              <w:shd w:val="clear" w:color="auto" w:fill="FFFFFF"/>
              <w:bidi/>
              <w:spacing w:before="40" w:after="40" w:line="300" w:lineRule="exact"/>
              <w:ind w:left="57" w:right="57"/>
              <w:jc w:val="both"/>
              <w:textDirection w:val="tbRlV"/>
              <w:rPr>
                <w:rFonts w:ascii="Traditional Arabic" w:hAnsi="Traditional Arabic"/>
                <w:sz w:val="24"/>
                <w:szCs w:val="24"/>
                <w:bdr w:val="nil"/>
                <w:rtl/>
                <w:lang w:val="ar-SA" w:eastAsia="zh-TW" w:bidi="en-GB"/>
              </w:rPr>
            </w:pPr>
            <w:r w:rsidRPr="002A6B65">
              <w:rPr>
                <w:rFonts w:ascii="Traditional Arabic" w:hAnsi="Traditional Arabic"/>
                <w:b/>
                <w:bCs/>
                <w:sz w:val="24"/>
                <w:szCs w:val="24"/>
                <w:bdr w:val="nil"/>
                <w:rtl/>
              </w:rPr>
              <w:t>التقييم:</w:t>
            </w:r>
            <w:r w:rsidRPr="00D56F90">
              <w:rPr>
                <w:rFonts w:ascii="Traditional Arabic" w:hAnsi="Traditional Arabic"/>
                <w:sz w:val="24"/>
                <w:szCs w:val="24"/>
                <w:bdr w:val="nil"/>
                <w:rtl/>
              </w:rPr>
              <w:t xml:space="preserve"> المقارنة والأداء السابق، تدفق المواد البشرية المنشأ</w:t>
            </w:r>
          </w:p>
        </w:tc>
        <w:tc>
          <w:tcPr>
            <w:tcW w:w="1843" w:type="dxa"/>
            <w:tcBorders>
              <w:top w:val="single" w:sz="12" w:space="0" w:color="auto"/>
              <w:bottom w:val="single" w:sz="4" w:space="0" w:color="auto"/>
            </w:tcBorders>
            <w:shd w:val="clear" w:color="auto" w:fill="auto"/>
            <w:tcMar>
              <w:top w:w="80" w:type="dxa"/>
              <w:left w:w="80" w:type="dxa"/>
              <w:bottom w:w="80" w:type="dxa"/>
              <w:right w:w="80" w:type="dxa"/>
            </w:tcMar>
          </w:tcPr>
          <w:p w14:paraId="1800B543" w14:textId="4E06759D" w:rsidR="002D10EB" w:rsidRPr="00775E51" w:rsidRDefault="00C01056" w:rsidP="00682D01">
            <w:pPr>
              <w:pBdr>
                <w:top w:val="nil"/>
                <w:left w:val="nil"/>
                <w:bottom w:val="nil"/>
                <w:right w:val="nil"/>
                <w:between w:val="nil"/>
                <w:bar w:val="nil"/>
              </w:pBdr>
              <w:shd w:val="clear" w:color="auto" w:fill="FFFFFF"/>
              <w:bidi/>
              <w:spacing w:before="40" w:after="40" w:line="300" w:lineRule="exact"/>
              <w:ind w:left="57" w:right="57"/>
              <w:jc w:val="both"/>
              <w:textDirection w:val="tbRlV"/>
              <w:rPr>
                <w:rFonts w:ascii="Traditional Arabic" w:hAnsi="Traditional Arabic"/>
                <w:sz w:val="24"/>
                <w:szCs w:val="24"/>
                <w:bdr w:val="nil"/>
                <w:lang w:val="en-GB" w:eastAsia="zh-TW" w:bidi="en-GB"/>
              </w:rPr>
            </w:pPr>
            <w:r>
              <w:rPr>
                <w:rFonts w:ascii="Traditional Arabic" w:hAnsi="Traditional Arabic" w:hint="cs"/>
                <w:sz w:val="24"/>
                <w:szCs w:val="24"/>
                <w:bdr w:val="nil"/>
                <w:rtl/>
              </w:rPr>
              <w:t>الطلب العالمي</w:t>
            </w:r>
            <w:r w:rsidR="002D10EB" w:rsidRPr="00D56F90">
              <w:rPr>
                <w:rFonts w:ascii="Traditional Arabic" w:hAnsi="Traditional Arabic"/>
                <w:sz w:val="24"/>
                <w:szCs w:val="24"/>
                <w:bdr w:val="nil"/>
                <w:rtl/>
              </w:rPr>
              <w:t>، سيناريوهات الانبعاثات والإطلاقات</w:t>
            </w:r>
          </w:p>
        </w:tc>
        <w:tc>
          <w:tcPr>
            <w:tcW w:w="2269" w:type="dxa"/>
            <w:tcBorders>
              <w:top w:val="single" w:sz="12" w:space="0" w:color="auto"/>
              <w:bottom w:val="single" w:sz="4" w:space="0" w:color="auto"/>
            </w:tcBorders>
            <w:shd w:val="clear" w:color="auto" w:fill="auto"/>
            <w:tcMar>
              <w:top w:w="80" w:type="dxa"/>
              <w:left w:w="80" w:type="dxa"/>
              <w:bottom w:w="80" w:type="dxa"/>
              <w:right w:w="80" w:type="dxa"/>
            </w:tcMar>
          </w:tcPr>
          <w:p w14:paraId="6E3682C9" w14:textId="77777777" w:rsidR="002D10EB" w:rsidRPr="00D56F90" w:rsidRDefault="002D10EB" w:rsidP="00682D01">
            <w:pPr>
              <w:pBdr>
                <w:top w:val="nil"/>
                <w:left w:val="nil"/>
                <w:bottom w:val="nil"/>
                <w:right w:val="nil"/>
                <w:between w:val="nil"/>
                <w:bar w:val="nil"/>
              </w:pBdr>
              <w:shd w:val="clear" w:color="auto" w:fill="FFFFFF"/>
              <w:bidi/>
              <w:spacing w:before="40" w:after="40" w:line="300" w:lineRule="exact"/>
              <w:ind w:left="57" w:right="57"/>
              <w:jc w:val="both"/>
              <w:textDirection w:val="tbRlV"/>
              <w:rPr>
                <w:rFonts w:ascii="Traditional Arabic" w:hAnsi="Traditional Arabic"/>
                <w:sz w:val="24"/>
                <w:szCs w:val="24"/>
                <w:bdr w:val="nil"/>
                <w:rtl/>
                <w:lang w:val="ar-SA" w:eastAsia="zh-TW" w:bidi="en-GB"/>
              </w:rPr>
            </w:pPr>
            <w:r w:rsidRPr="00D56F90">
              <w:rPr>
                <w:rFonts w:ascii="Traditional Arabic" w:hAnsi="Traditional Arabic"/>
                <w:sz w:val="24"/>
                <w:szCs w:val="24"/>
                <w:bdr w:val="nil"/>
                <w:rtl/>
              </w:rPr>
              <w:t xml:space="preserve">تنقيح عوامل انبعاثات الزئبق (الإقليمية </w:t>
            </w:r>
            <w:proofErr w:type="spellStart"/>
            <w:r w:rsidRPr="00D56F90">
              <w:rPr>
                <w:rFonts w:ascii="Traditional Arabic" w:hAnsi="Traditional Arabic"/>
                <w:sz w:val="24"/>
                <w:szCs w:val="24"/>
                <w:bdr w:val="nil"/>
                <w:rtl/>
              </w:rPr>
              <w:t>والموقعية</w:t>
            </w:r>
            <w:proofErr w:type="spellEnd"/>
            <w:r w:rsidRPr="00D56F90">
              <w:rPr>
                <w:rFonts w:ascii="Traditional Arabic" w:hAnsi="Traditional Arabic"/>
                <w:sz w:val="24"/>
                <w:szCs w:val="24"/>
                <w:bdr w:val="nil"/>
                <w:rtl/>
              </w:rPr>
              <w:t xml:space="preserve"> وما إلى ذلك)، جمع البيانات عن محتوى الزئبق في السلع الأساسية، استكشاف الاتساق في جميع القطاعات والسياسات غير المتعلقة بالزئبق (مثل قطاع الطاقة)</w:t>
            </w:r>
          </w:p>
        </w:tc>
      </w:tr>
      <w:tr w:rsidR="002D10EB" w:rsidRPr="00D56F90" w14:paraId="347404AF" w14:textId="77777777" w:rsidTr="00682D01">
        <w:trPr>
          <w:trHeight w:val="57"/>
          <w:jc w:val="right"/>
        </w:trPr>
        <w:tc>
          <w:tcPr>
            <w:tcW w:w="2412" w:type="dxa"/>
            <w:tcBorders>
              <w:top w:val="single" w:sz="4" w:space="0" w:color="auto"/>
              <w:bottom w:val="single" w:sz="4" w:space="0" w:color="auto"/>
            </w:tcBorders>
            <w:shd w:val="clear" w:color="auto" w:fill="auto"/>
            <w:tcMar>
              <w:top w:w="80" w:type="dxa"/>
              <w:left w:w="80" w:type="dxa"/>
              <w:bottom w:w="80" w:type="dxa"/>
              <w:right w:w="80" w:type="dxa"/>
            </w:tcMar>
          </w:tcPr>
          <w:p w14:paraId="21C15841" w14:textId="77777777" w:rsidR="002D10EB" w:rsidRPr="00D56F90" w:rsidRDefault="002D10EB" w:rsidP="00682D01">
            <w:pPr>
              <w:pBdr>
                <w:top w:val="nil"/>
                <w:left w:val="nil"/>
                <w:bottom w:val="nil"/>
                <w:right w:val="nil"/>
                <w:between w:val="nil"/>
                <w:bar w:val="nil"/>
              </w:pBdr>
              <w:shd w:val="clear" w:color="auto" w:fill="FFFFFF"/>
              <w:bidi/>
              <w:spacing w:before="40" w:after="40" w:line="300" w:lineRule="exact"/>
              <w:ind w:left="57" w:right="57"/>
              <w:jc w:val="both"/>
              <w:textDirection w:val="tbRlV"/>
              <w:rPr>
                <w:rFonts w:ascii="Traditional Arabic" w:hAnsi="Traditional Arabic"/>
                <w:b/>
                <w:sz w:val="24"/>
                <w:szCs w:val="24"/>
                <w:bdr w:val="nil"/>
                <w:rtl/>
                <w:lang w:val="ar-SA" w:eastAsia="zh-TW" w:bidi="en-GB"/>
              </w:rPr>
            </w:pPr>
            <w:r w:rsidRPr="00D56F90">
              <w:rPr>
                <w:rFonts w:ascii="Traditional Arabic" w:hAnsi="Traditional Arabic"/>
                <w:b/>
                <w:bCs/>
                <w:sz w:val="24"/>
                <w:szCs w:val="24"/>
                <w:bdr w:val="nil"/>
                <w:rtl/>
              </w:rPr>
              <w:t>الهواء: متوفر على نطاق واسع</w:t>
            </w:r>
          </w:p>
        </w:tc>
        <w:tc>
          <w:tcPr>
            <w:tcW w:w="2977" w:type="dxa"/>
            <w:tcBorders>
              <w:top w:val="single" w:sz="4" w:space="0" w:color="auto"/>
              <w:bottom w:val="single" w:sz="4" w:space="0" w:color="auto"/>
            </w:tcBorders>
            <w:shd w:val="clear" w:color="auto" w:fill="auto"/>
            <w:tcMar>
              <w:top w:w="80" w:type="dxa"/>
              <w:left w:w="80" w:type="dxa"/>
              <w:bottom w:w="80" w:type="dxa"/>
              <w:right w:w="80" w:type="dxa"/>
            </w:tcMar>
          </w:tcPr>
          <w:p w14:paraId="1163784D" w14:textId="77777777" w:rsidR="002D10EB" w:rsidRPr="00D56F90" w:rsidRDefault="002D10EB" w:rsidP="004056AF">
            <w:pPr>
              <w:pBdr>
                <w:top w:val="nil"/>
                <w:left w:val="nil"/>
                <w:bottom w:val="nil"/>
                <w:right w:val="nil"/>
                <w:between w:val="nil"/>
                <w:bar w:val="nil"/>
              </w:pBdr>
              <w:shd w:val="clear" w:color="auto" w:fill="FFFFFF"/>
              <w:bidi/>
              <w:spacing w:before="40" w:after="40" w:line="300" w:lineRule="exact"/>
              <w:ind w:left="57" w:right="57"/>
              <w:textDirection w:val="tbRlV"/>
              <w:rPr>
                <w:rFonts w:ascii="Traditional Arabic" w:hAnsi="Traditional Arabic"/>
                <w:sz w:val="24"/>
                <w:szCs w:val="24"/>
                <w:bdr w:val="nil"/>
                <w:rtl/>
                <w:lang w:val="ar-SA" w:eastAsia="zh-TW" w:bidi="en-GB"/>
              </w:rPr>
            </w:pPr>
            <w:r w:rsidRPr="002A6B65">
              <w:rPr>
                <w:rFonts w:ascii="Traditional Arabic" w:hAnsi="Traditional Arabic"/>
                <w:b/>
                <w:bCs/>
                <w:sz w:val="24"/>
                <w:szCs w:val="24"/>
                <w:bdr w:val="nil"/>
                <w:rtl/>
              </w:rPr>
              <w:t>المدخلات:</w:t>
            </w:r>
            <w:r w:rsidRPr="00D56F90">
              <w:rPr>
                <w:rFonts w:ascii="Traditional Arabic" w:hAnsi="Traditional Arabic"/>
                <w:sz w:val="24"/>
                <w:szCs w:val="24"/>
                <w:bdr w:val="nil"/>
                <w:rtl/>
              </w:rPr>
              <w:t xml:space="preserve"> الانبعاثات العالمية</w:t>
            </w:r>
          </w:p>
          <w:p w14:paraId="2E7702BD" w14:textId="77777777" w:rsidR="002D10EB" w:rsidRPr="00D56F90" w:rsidRDefault="002D10EB" w:rsidP="004056AF">
            <w:pPr>
              <w:pBdr>
                <w:top w:val="nil"/>
                <w:left w:val="nil"/>
                <w:bottom w:val="nil"/>
                <w:right w:val="nil"/>
                <w:between w:val="nil"/>
                <w:bar w:val="nil"/>
              </w:pBdr>
              <w:shd w:val="clear" w:color="auto" w:fill="FFFFFF"/>
              <w:bidi/>
              <w:spacing w:before="40" w:after="40" w:line="300" w:lineRule="exact"/>
              <w:ind w:left="57" w:right="57"/>
              <w:textDirection w:val="tbRlV"/>
              <w:rPr>
                <w:rFonts w:ascii="Traditional Arabic" w:hAnsi="Traditional Arabic"/>
                <w:sz w:val="24"/>
                <w:szCs w:val="24"/>
                <w:bdr w:val="nil"/>
                <w:rtl/>
                <w:lang w:val="ar-SA" w:eastAsia="zh-TW" w:bidi="en-GB"/>
              </w:rPr>
            </w:pPr>
            <w:r w:rsidRPr="002A6B65">
              <w:rPr>
                <w:rFonts w:ascii="Traditional Arabic" w:hAnsi="Traditional Arabic"/>
                <w:b/>
                <w:bCs/>
                <w:sz w:val="24"/>
                <w:szCs w:val="24"/>
                <w:bdr w:val="nil"/>
                <w:rtl/>
              </w:rPr>
              <w:t>التقييم:</w:t>
            </w:r>
            <w:r w:rsidRPr="00D56F90">
              <w:rPr>
                <w:rFonts w:ascii="Traditional Arabic" w:hAnsi="Traditional Arabic"/>
                <w:sz w:val="24"/>
                <w:szCs w:val="24"/>
                <w:bdr w:val="nil"/>
                <w:rtl/>
              </w:rPr>
              <w:t xml:space="preserve"> قياسات الغلاف الجوي؛ بيانات الترسب الرطب والجاف</w:t>
            </w:r>
          </w:p>
        </w:tc>
        <w:tc>
          <w:tcPr>
            <w:tcW w:w="1843" w:type="dxa"/>
            <w:tcBorders>
              <w:top w:val="single" w:sz="4" w:space="0" w:color="auto"/>
              <w:bottom w:val="single" w:sz="4" w:space="0" w:color="auto"/>
            </w:tcBorders>
            <w:shd w:val="clear" w:color="auto" w:fill="auto"/>
            <w:tcMar>
              <w:top w:w="80" w:type="dxa"/>
              <w:left w:w="80" w:type="dxa"/>
              <w:bottom w:w="80" w:type="dxa"/>
              <w:right w:w="80" w:type="dxa"/>
            </w:tcMar>
          </w:tcPr>
          <w:p w14:paraId="26B0DA36" w14:textId="77777777" w:rsidR="002D10EB" w:rsidRPr="002A6B65" w:rsidRDefault="002D10EB" w:rsidP="00682D01">
            <w:pPr>
              <w:pBdr>
                <w:top w:val="nil"/>
                <w:left w:val="nil"/>
                <w:bottom w:val="nil"/>
                <w:right w:val="nil"/>
                <w:between w:val="nil"/>
                <w:bar w:val="nil"/>
              </w:pBdr>
              <w:shd w:val="clear" w:color="auto" w:fill="FFFFFF"/>
              <w:bidi/>
              <w:spacing w:before="40" w:after="40" w:line="300" w:lineRule="exact"/>
              <w:ind w:left="57" w:right="57"/>
              <w:jc w:val="both"/>
              <w:textDirection w:val="tbRlV"/>
              <w:rPr>
                <w:rFonts w:ascii="Traditional Arabic" w:hAnsi="Traditional Arabic"/>
                <w:sz w:val="24"/>
                <w:szCs w:val="24"/>
                <w:bdr w:val="nil"/>
                <w:lang w:val="en-GB" w:eastAsia="zh-TW" w:bidi="en-GB"/>
              </w:rPr>
            </w:pPr>
            <w:r w:rsidRPr="00D56F90">
              <w:rPr>
                <w:rFonts w:ascii="Traditional Arabic" w:hAnsi="Traditional Arabic"/>
                <w:sz w:val="24"/>
                <w:szCs w:val="24"/>
                <w:bdr w:val="nil"/>
                <w:rtl/>
              </w:rPr>
              <w:t>التركيز في الغلاف الجوي؛ الترسب؛</w:t>
            </w:r>
          </w:p>
          <w:p w14:paraId="69B02361" w14:textId="63E20B01" w:rsidR="002D10EB" w:rsidRPr="00D56F90" w:rsidRDefault="002D10EB" w:rsidP="00682D01">
            <w:pPr>
              <w:pBdr>
                <w:top w:val="nil"/>
                <w:left w:val="nil"/>
                <w:bottom w:val="nil"/>
                <w:right w:val="nil"/>
                <w:between w:val="nil"/>
                <w:bar w:val="nil"/>
              </w:pBdr>
              <w:shd w:val="clear" w:color="auto" w:fill="FFFFFF"/>
              <w:bidi/>
              <w:spacing w:before="40" w:after="40" w:line="300" w:lineRule="exact"/>
              <w:ind w:left="57" w:right="57"/>
              <w:jc w:val="both"/>
              <w:textDirection w:val="tbRlV"/>
              <w:rPr>
                <w:rFonts w:ascii="Traditional Arabic" w:hAnsi="Traditional Arabic"/>
                <w:sz w:val="24"/>
                <w:szCs w:val="24"/>
                <w:bdr w:val="nil"/>
                <w:rtl/>
                <w:lang w:val="ar-SA" w:eastAsia="zh-TW" w:bidi="en-GB"/>
              </w:rPr>
            </w:pPr>
            <w:r w:rsidRPr="00D56F90">
              <w:rPr>
                <w:rFonts w:ascii="Traditional Arabic" w:hAnsi="Traditional Arabic"/>
                <w:sz w:val="24"/>
                <w:szCs w:val="24"/>
                <w:bdr w:val="nil"/>
                <w:rtl/>
              </w:rPr>
              <w:t>التغيرات الزمانية؛</w:t>
            </w:r>
          </w:p>
          <w:p w14:paraId="254A314F" w14:textId="77777777" w:rsidR="002D10EB" w:rsidRPr="004056AF" w:rsidRDefault="002D10EB" w:rsidP="002A6B65">
            <w:pPr>
              <w:pBdr>
                <w:top w:val="nil"/>
                <w:left w:val="nil"/>
                <w:bottom w:val="nil"/>
                <w:right w:val="nil"/>
                <w:between w:val="nil"/>
                <w:bar w:val="nil"/>
              </w:pBdr>
              <w:shd w:val="clear" w:color="auto" w:fill="FFFFFF"/>
              <w:bidi/>
              <w:spacing w:before="40" w:after="40" w:line="300" w:lineRule="exact"/>
              <w:ind w:left="57" w:right="57"/>
              <w:textDirection w:val="tbRlV"/>
              <w:rPr>
                <w:rFonts w:ascii="Traditional Arabic" w:hAnsi="Traditional Arabic"/>
                <w:sz w:val="24"/>
                <w:szCs w:val="24"/>
                <w:bdr w:val="nil"/>
                <w:lang w:val="en-GB" w:eastAsia="zh-TW" w:bidi="en-GB"/>
              </w:rPr>
            </w:pPr>
            <w:r w:rsidRPr="00D56F90">
              <w:rPr>
                <w:rFonts w:ascii="Traditional Arabic" w:hAnsi="Traditional Arabic"/>
                <w:sz w:val="24"/>
                <w:szCs w:val="24"/>
                <w:bdr w:val="nil"/>
                <w:rtl/>
              </w:rPr>
              <w:t>الإسناد حسب المنطقة المصدرية</w:t>
            </w:r>
          </w:p>
        </w:tc>
        <w:tc>
          <w:tcPr>
            <w:tcW w:w="2269" w:type="dxa"/>
            <w:tcBorders>
              <w:top w:val="single" w:sz="4" w:space="0" w:color="auto"/>
              <w:bottom w:val="single" w:sz="4" w:space="0" w:color="auto"/>
            </w:tcBorders>
            <w:shd w:val="clear" w:color="auto" w:fill="auto"/>
            <w:tcMar>
              <w:top w:w="80" w:type="dxa"/>
              <w:left w:w="80" w:type="dxa"/>
              <w:bottom w:w="80" w:type="dxa"/>
              <w:right w:w="80" w:type="dxa"/>
            </w:tcMar>
          </w:tcPr>
          <w:p w14:paraId="2A525AD9" w14:textId="77777777" w:rsidR="002D10EB" w:rsidRPr="00D56F90" w:rsidRDefault="002D10EB" w:rsidP="002A6B65">
            <w:pPr>
              <w:pBdr>
                <w:top w:val="nil"/>
                <w:left w:val="nil"/>
                <w:bottom w:val="nil"/>
                <w:right w:val="nil"/>
                <w:between w:val="nil"/>
                <w:bar w:val="nil"/>
              </w:pBdr>
              <w:shd w:val="clear" w:color="auto" w:fill="FFFFFF"/>
              <w:bidi/>
              <w:spacing w:before="40" w:after="40" w:line="300" w:lineRule="exact"/>
              <w:ind w:left="57" w:right="57"/>
              <w:textDirection w:val="tbRlV"/>
              <w:rPr>
                <w:rFonts w:ascii="Traditional Arabic" w:hAnsi="Traditional Arabic"/>
                <w:sz w:val="24"/>
                <w:szCs w:val="24"/>
                <w:bdr w:val="nil"/>
                <w:rtl/>
                <w:lang w:val="ar-SA" w:eastAsia="zh-TW" w:bidi="en-GB"/>
              </w:rPr>
            </w:pPr>
            <w:r w:rsidRPr="00D56F90">
              <w:rPr>
                <w:rFonts w:ascii="Traditional Arabic" w:hAnsi="Traditional Arabic"/>
                <w:sz w:val="24"/>
                <w:szCs w:val="24"/>
                <w:bdr w:val="nil"/>
                <w:rtl/>
              </w:rPr>
              <w:t>إنشاء قوائم جرد متوائمة للانبعاثات</w:t>
            </w:r>
          </w:p>
        </w:tc>
      </w:tr>
      <w:tr w:rsidR="002D10EB" w:rsidRPr="00D56F90" w14:paraId="5E621785" w14:textId="77777777" w:rsidTr="00682D01">
        <w:trPr>
          <w:trHeight w:val="57"/>
          <w:jc w:val="right"/>
        </w:trPr>
        <w:tc>
          <w:tcPr>
            <w:tcW w:w="2412" w:type="dxa"/>
            <w:tcBorders>
              <w:top w:val="single" w:sz="4" w:space="0" w:color="auto"/>
              <w:bottom w:val="single" w:sz="4" w:space="0" w:color="auto"/>
            </w:tcBorders>
            <w:shd w:val="clear" w:color="auto" w:fill="auto"/>
            <w:tcMar>
              <w:top w:w="80" w:type="dxa"/>
              <w:left w:w="80" w:type="dxa"/>
              <w:bottom w:w="80" w:type="dxa"/>
              <w:right w:w="80" w:type="dxa"/>
            </w:tcMar>
          </w:tcPr>
          <w:p w14:paraId="61E47CD9" w14:textId="77777777" w:rsidR="002D10EB" w:rsidRPr="002A6B65" w:rsidRDefault="002D10EB" w:rsidP="002A6B65">
            <w:pPr>
              <w:pBdr>
                <w:top w:val="nil"/>
                <w:left w:val="nil"/>
                <w:bottom w:val="nil"/>
                <w:right w:val="nil"/>
                <w:between w:val="nil"/>
                <w:bar w:val="nil"/>
              </w:pBdr>
              <w:shd w:val="clear" w:color="auto" w:fill="FFFFFF"/>
              <w:bidi/>
              <w:spacing w:before="40" w:after="40" w:line="300" w:lineRule="exact"/>
              <w:ind w:left="57" w:right="57"/>
              <w:textDirection w:val="tbRlV"/>
              <w:rPr>
                <w:rFonts w:ascii="Traditional Arabic" w:hAnsi="Traditional Arabic"/>
                <w:b/>
                <w:sz w:val="24"/>
                <w:szCs w:val="24"/>
                <w:bdr w:val="nil"/>
                <w:lang w:val="en-GB" w:eastAsia="zh-TW" w:bidi="en-GB"/>
              </w:rPr>
            </w:pPr>
            <w:r w:rsidRPr="00D56F90">
              <w:rPr>
                <w:rFonts w:ascii="Traditional Arabic" w:hAnsi="Traditional Arabic"/>
                <w:b/>
                <w:bCs/>
                <w:sz w:val="24"/>
                <w:szCs w:val="24"/>
                <w:bdr w:val="nil"/>
                <w:rtl/>
              </w:rPr>
              <w:t xml:space="preserve">المياه: </w:t>
            </w:r>
            <w:r w:rsidRPr="00971D53">
              <w:rPr>
                <w:rFonts w:ascii="Traditional Arabic" w:hAnsi="Traditional Arabic"/>
                <w:b/>
                <w:bCs/>
                <w:sz w:val="24"/>
                <w:szCs w:val="24"/>
                <w:bdr w:val="nil"/>
                <w:rtl/>
              </w:rPr>
              <w:t>ناتج</w:t>
            </w:r>
            <w:r w:rsidRPr="00D56F90">
              <w:rPr>
                <w:rFonts w:ascii="Traditional Arabic" w:hAnsi="Traditional Arabic"/>
                <w:sz w:val="24"/>
                <w:szCs w:val="24"/>
                <w:bdr w:val="nil"/>
                <w:rtl/>
              </w:rPr>
              <w:t xml:space="preserve"> </w:t>
            </w:r>
            <w:r w:rsidRPr="00D56F90">
              <w:rPr>
                <w:rFonts w:ascii="Traditional Arabic" w:hAnsi="Traditional Arabic"/>
                <w:b/>
                <w:bCs/>
                <w:sz w:val="24"/>
                <w:szCs w:val="24"/>
                <w:bdr w:val="nil"/>
                <w:rtl/>
              </w:rPr>
              <w:t xml:space="preserve">البحوث – </w:t>
            </w:r>
            <w:r>
              <w:rPr>
                <w:rFonts w:ascii="Traditional Arabic" w:hAnsi="Traditional Arabic" w:hint="cs"/>
                <w:b/>
                <w:bCs/>
                <w:sz w:val="24"/>
                <w:szCs w:val="24"/>
                <w:bdr w:val="nil"/>
                <w:rtl/>
              </w:rPr>
              <w:t>متوفر</w:t>
            </w:r>
            <w:r w:rsidRPr="00D56F90">
              <w:rPr>
                <w:rFonts w:ascii="Traditional Arabic" w:hAnsi="Traditional Arabic"/>
                <w:b/>
                <w:bCs/>
                <w:sz w:val="24"/>
                <w:szCs w:val="24"/>
                <w:bdr w:val="nil"/>
                <w:rtl/>
              </w:rPr>
              <w:t xml:space="preserve"> إلى حد ما</w:t>
            </w:r>
          </w:p>
          <w:p w14:paraId="1596716B" w14:textId="77777777" w:rsidR="002D10EB" w:rsidRPr="00D56F90" w:rsidRDefault="002D10EB" w:rsidP="00682D01">
            <w:pPr>
              <w:pBdr>
                <w:top w:val="nil"/>
                <w:left w:val="nil"/>
                <w:bottom w:val="nil"/>
                <w:right w:val="nil"/>
                <w:between w:val="nil"/>
                <w:bar w:val="nil"/>
              </w:pBdr>
              <w:shd w:val="clear" w:color="auto" w:fill="FFFFFF"/>
              <w:bidi/>
              <w:spacing w:before="40" w:after="40" w:line="300" w:lineRule="exact"/>
              <w:ind w:left="57" w:right="57"/>
              <w:jc w:val="both"/>
              <w:textDirection w:val="tbRlV"/>
              <w:rPr>
                <w:rFonts w:ascii="Traditional Arabic" w:hAnsi="Traditional Arabic"/>
                <w:i/>
                <w:sz w:val="24"/>
                <w:szCs w:val="24"/>
                <w:bdr w:val="nil"/>
                <w:rtl/>
                <w:lang w:val="ar-SA" w:eastAsia="zh-TW" w:bidi="en-GB"/>
              </w:rPr>
            </w:pPr>
            <w:r w:rsidRPr="00D56F90">
              <w:rPr>
                <w:rFonts w:ascii="Traditional Arabic" w:hAnsi="Traditional Arabic"/>
                <w:i/>
                <w:iCs/>
                <w:sz w:val="24"/>
                <w:szCs w:val="24"/>
                <w:bdr w:val="nil"/>
                <w:rtl/>
              </w:rPr>
              <w:t>المحيطات العالمية:</w:t>
            </w:r>
          </w:p>
          <w:p w14:paraId="4789CE84" w14:textId="77777777" w:rsidR="002D10EB" w:rsidRPr="004056AF" w:rsidRDefault="002D10EB" w:rsidP="002A6B65">
            <w:pPr>
              <w:pBdr>
                <w:top w:val="nil"/>
                <w:left w:val="nil"/>
                <w:bottom w:val="nil"/>
                <w:right w:val="nil"/>
                <w:between w:val="nil"/>
                <w:bar w:val="nil"/>
              </w:pBdr>
              <w:shd w:val="clear" w:color="auto" w:fill="FFFFFF"/>
              <w:bidi/>
              <w:spacing w:before="40" w:after="40" w:line="300" w:lineRule="exact"/>
              <w:ind w:left="57" w:right="57"/>
              <w:textDirection w:val="tbRlV"/>
              <w:rPr>
                <w:rFonts w:ascii="Traditional Arabic" w:hAnsi="Traditional Arabic"/>
                <w:sz w:val="24"/>
                <w:szCs w:val="24"/>
                <w:bdr w:val="nil"/>
                <w:lang w:val="en-GB" w:eastAsia="zh-TW" w:bidi="en-GB"/>
              </w:rPr>
            </w:pPr>
            <w:r w:rsidRPr="00D56F90">
              <w:rPr>
                <w:rFonts w:ascii="Traditional Arabic" w:hAnsi="Traditional Arabic"/>
                <w:sz w:val="24"/>
                <w:szCs w:val="24"/>
                <w:bdr w:val="nil"/>
                <w:rtl/>
              </w:rPr>
              <w:t xml:space="preserve">نماذج المحيطات العالمية (نموذج الدوران العام الذي طوره معهد ماساتشوستس للتكنولوجيا </w:t>
            </w:r>
            <w:r w:rsidRPr="0094799A">
              <w:rPr>
                <w:rFonts w:asciiTheme="majorBidi" w:hAnsiTheme="majorBidi" w:cstheme="majorBidi"/>
                <w:sz w:val="16"/>
                <w:szCs w:val="16"/>
                <w:bdr w:val="nil"/>
                <w:rtl/>
              </w:rPr>
              <w:t>(</w:t>
            </w:r>
            <w:proofErr w:type="spellStart"/>
            <w:r w:rsidRPr="0094799A">
              <w:rPr>
                <w:rFonts w:asciiTheme="majorBidi" w:hAnsiTheme="majorBidi" w:cstheme="majorBidi"/>
                <w:sz w:val="16"/>
                <w:szCs w:val="16"/>
                <w:bdr w:val="nil"/>
                <w:rtl/>
              </w:rPr>
              <w:t>MITgcm</w:t>
            </w:r>
            <w:proofErr w:type="spellEnd"/>
            <w:r w:rsidRPr="0094799A">
              <w:rPr>
                <w:rFonts w:asciiTheme="majorBidi" w:hAnsiTheme="majorBidi" w:cstheme="majorBidi"/>
                <w:sz w:val="16"/>
                <w:szCs w:val="16"/>
                <w:bdr w:val="nil"/>
                <w:rtl/>
              </w:rPr>
              <w:t>)</w:t>
            </w:r>
            <w:r w:rsidRPr="00D56F90">
              <w:rPr>
                <w:rFonts w:ascii="Traditional Arabic" w:hAnsi="Traditional Arabic"/>
                <w:sz w:val="24"/>
                <w:szCs w:val="24"/>
                <w:bdr w:val="nil"/>
                <w:rtl/>
              </w:rPr>
              <w:t xml:space="preserve">، نواة النمذجة الأوروبية للمحيطات </w:t>
            </w:r>
            <w:r w:rsidRPr="00E12FEC">
              <w:rPr>
                <w:rFonts w:asciiTheme="majorBidi" w:hAnsiTheme="majorBidi" w:cstheme="majorBidi"/>
                <w:sz w:val="18"/>
                <w:szCs w:val="18"/>
                <w:bdr w:val="nil"/>
                <w:rtl/>
              </w:rPr>
              <w:t>(NEMO))</w:t>
            </w:r>
          </w:p>
          <w:p w14:paraId="6A0BE335" w14:textId="6D133E72" w:rsidR="002D10EB" w:rsidRPr="00D56F90" w:rsidRDefault="002D10EB" w:rsidP="00682D01">
            <w:pPr>
              <w:pBdr>
                <w:top w:val="nil"/>
                <w:left w:val="nil"/>
                <w:bottom w:val="nil"/>
                <w:right w:val="nil"/>
                <w:between w:val="nil"/>
                <w:bar w:val="nil"/>
              </w:pBdr>
              <w:shd w:val="clear" w:color="auto" w:fill="FFFFFF"/>
              <w:bidi/>
              <w:spacing w:before="40" w:after="40" w:line="300" w:lineRule="exact"/>
              <w:ind w:left="57" w:right="57"/>
              <w:jc w:val="both"/>
              <w:textDirection w:val="tbRlV"/>
              <w:rPr>
                <w:rFonts w:ascii="Traditional Arabic" w:hAnsi="Traditional Arabic"/>
                <w:i/>
                <w:sz w:val="24"/>
                <w:szCs w:val="24"/>
                <w:bdr w:val="nil"/>
                <w:rtl/>
                <w:lang w:val="ar-SA" w:eastAsia="zh-TW" w:bidi="en-GB"/>
              </w:rPr>
            </w:pPr>
            <w:r w:rsidRPr="00D56F90">
              <w:rPr>
                <w:rFonts w:ascii="Traditional Arabic" w:hAnsi="Traditional Arabic"/>
                <w:i/>
                <w:iCs/>
                <w:sz w:val="24"/>
                <w:szCs w:val="24"/>
                <w:bdr w:val="nil"/>
                <w:rtl/>
              </w:rPr>
              <w:t>مصاب الأنهار (</w:t>
            </w:r>
            <w:r w:rsidRPr="004056AF">
              <w:rPr>
                <w:i/>
                <w:iCs/>
                <w:sz w:val="24"/>
                <w:szCs w:val="24"/>
                <w:rtl/>
              </w:rPr>
              <w:t>محددة الموقع</w:t>
            </w:r>
            <w:r w:rsidRPr="00D56F90">
              <w:rPr>
                <w:rFonts w:ascii="Traditional Arabic" w:hAnsi="Traditional Arabic"/>
                <w:i/>
                <w:iCs/>
                <w:sz w:val="24"/>
                <w:szCs w:val="24"/>
                <w:bdr w:val="nil"/>
                <w:rtl/>
              </w:rPr>
              <w:t>)؛</w:t>
            </w:r>
            <w:r w:rsidRPr="00D56F90">
              <w:rPr>
                <w:rFonts w:ascii="Traditional Arabic" w:hAnsi="Traditional Arabic"/>
                <w:sz w:val="24"/>
                <w:szCs w:val="24"/>
                <w:bdr w:val="nil"/>
                <w:rtl/>
              </w:rPr>
              <w:t xml:space="preserve"> </w:t>
            </w:r>
            <w:r w:rsidRPr="00D56F90">
              <w:rPr>
                <w:rFonts w:ascii="Traditional Arabic" w:hAnsi="Traditional Arabic"/>
                <w:i/>
                <w:iCs/>
                <w:sz w:val="24"/>
                <w:szCs w:val="24"/>
                <w:bdr w:val="nil"/>
                <w:rtl/>
              </w:rPr>
              <w:t>المياه العذبة</w:t>
            </w:r>
            <w:r w:rsidR="00C01056">
              <w:rPr>
                <w:rFonts w:ascii="Traditional Arabic" w:hAnsi="Traditional Arabic" w:hint="cs"/>
                <w:i/>
                <w:iCs/>
                <w:sz w:val="24"/>
                <w:szCs w:val="24"/>
                <w:bdr w:val="nil"/>
                <w:rtl/>
              </w:rPr>
              <w:t xml:space="preserve"> و</w:t>
            </w:r>
            <w:r w:rsidRPr="00D56F90">
              <w:rPr>
                <w:rFonts w:ascii="Traditional Arabic" w:hAnsi="Traditional Arabic"/>
                <w:i/>
                <w:iCs/>
                <w:sz w:val="24"/>
                <w:szCs w:val="24"/>
                <w:bdr w:val="nil"/>
                <w:rtl/>
              </w:rPr>
              <w:t>الأنهار (محددة</w:t>
            </w:r>
            <w:r w:rsidRPr="00D56F90">
              <w:rPr>
                <w:rFonts w:ascii="Traditional Arabic" w:hAnsi="Traditional Arabic"/>
                <w:sz w:val="24"/>
                <w:szCs w:val="24"/>
                <w:bdr w:val="nil"/>
                <w:rtl/>
              </w:rPr>
              <w:t xml:space="preserve"> الموقع</w:t>
            </w:r>
            <w:r w:rsidRPr="00D56F90">
              <w:rPr>
                <w:rFonts w:ascii="Traditional Arabic" w:hAnsi="Traditional Arabic"/>
                <w:i/>
                <w:iCs/>
                <w:sz w:val="24"/>
                <w:szCs w:val="24"/>
                <w:bdr w:val="nil"/>
                <w:rtl/>
              </w:rPr>
              <w:t>)</w:t>
            </w:r>
          </w:p>
        </w:tc>
        <w:tc>
          <w:tcPr>
            <w:tcW w:w="2977" w:type="dxa"/>
            <w:tcBorders>
              <w:top w:val="single" w:sz="4" w:space="0" w:color="auto"/>
              <w:bottom w:val="single" w:sz="4" w:space="0" w:color="auto"/>
            </w:tcBorders>
            <w:shd w:val="clear" w:color="auto" w:fill="auto"/>
            <w:tcMar>
              <w:top w:w="80" w:type="dxa"/>
              <w:left w:w="80" w:type="dxa"/>
              <w:bottom w:w="80" w:type="dxa"/>
              <w:right w:w="80" w:type="dxa"/>
            </w:tcMar>
          </w:tcPr>
          <w:p w14:paraId="65185054" w14:textId="46C421C5" w:rsidR="002D10EB" w:rsidRPr="002A6B65" w:rsidRDefault="002D10EB" w:rsidP="004056AF">
            <w:pPr>
              <w:pBdr>
                <w:top w:val="nil"/>
                <w:left w:val="nil"/>
                <w:bottom w:val="nil"/>
                <w:right w:val="nil"/>
                <w:between w:val="nil"/>
                <w:bar w:val="nil"/>
              </w:pBdr>
              <w:shd w:val="clear" w:color="auto" w:fill="FFFFFF"/>
              <w:bidi/>
              <w:spacing w:before="40" w:after="120" w:line="300" w:lineRule="exact"/>
              <w:ind w:left="57" w:right="57"/>
              <w:jc w:val="both"/>
              <w:textDirection w:val="tbRlV"/>
              <w:rPr>
                <w:rFonts w:ascii="Traditional Arabic" w:hAnsi="Traditional Arabic"/>
                <w:sz w:val="24"/>
                <w:szCs w:val="24"/>
                <w:bdr w:val="nil"/>
                <w:lang w:val="en-GB" w:eastAsia="zh-TW" w:bidi="en-GB"/>
              </w:rPr>
            </w:pPr>
            <w:r w:rsidRPr="00682D01">
              <w:rPr>
                <w:rFonts w:ascii="Traditional Arabic" w:hAnsi="Traditional Arabic"/>
                <w:b/>
                <w:bCs/>
                <w:sz w:val="24"/>
                <w:szCs w:val="24"/>
                <w:bdr w:val="nil"/>
                <w:rtl/>
              </w:rPr>
              <w:t>المدخلات:</w:t>
            </w:r>
            <w:r w:rsidRPr="00D56F90">
              <w:rPr>
                <w:rFonts w:ascii="Traditional Arabic" w:hAnsi="Traditional Arabic"/>
                <w:sz w:val="24"/>
                <w:szCs w:val="24"/>
                <w:bdr w:val="nil"/>
                <w:rtl/>
              </w:rPr>
              <w:t xml:space="preserve"> مدخلات بشأن تركيزات الزئبق الجوي العالمي محددة مكانيا</w:t>
            </w:r>
            <w:r w:rsidR="004056AF">
              <w:rPr>
                <w:rFonts w:ascii="Traditional Arabic" w:hAnsi="Traditional Arabic" w:hint="cs"/>
                <w:sz w:val="24"/>
                <w:szCs w:val="24"/>
                <w:bdr w:val="nil"/>
                <w:rtl/>
              </w:rPr>
              <w:t>ً</w:t>
            </w:r>
            <w:r w:rsidRPr="00D56F90">
              <w:rPr>
                <w:rFonts w:ascii="Traditional Arabic" w:hAnsi="Traditional Arabic"/>
                <w:sz w:val="24"/>
                <w:szCs w:val="24"/>
                <w:bdr w:val="nil"/>
                <w:rtl/>
              </w:rPr>
              <w:t xml:space="preserve"> (</w:t>
            </w:r>
            <w:proofErr w:type="spellStart"/>
            <w:r w:rsidRPr="00D56F90">
              <w:rPr>
                <w:rFonts w:ascii="Traditional Arabic" w:hAnsi="Traditional Arabic"/>
                <w:sz w:val="24"/>
                <w:szCs w:val="24"/>
                <w:bdr w:val="nil"/>
                <w:rtl/>
              </w:rPr>
              <w:t>رطبة+جافة</w:t>
            </w:r>
            <w:proofErr w:type="spellEnd"/>
            <w:r w:rsidRPr="00D56F90">
              <w:rPr>
                <w:rFonts w:ascii="Traditional Arabic" w:hAnsi="Traditional Arabic"/>
                <w:sz w:val="24"/>
                <w:szCs w:val="24"/>
                <w:bdr w:val="nil"/>
                <w:rtl/>
              </w:rPr>
              <w:t>)</w:t>
            </w:r>
            <w:r w:rsidR="004056AF">
              <w:rPr>
                <w:rFonts w:ascii="Traditional Arabic" w:hAnsi="Traditional Arabic"/>
                <w:sz w:val="24"/>
                <w:szCs w:val="24"/>
                <w:bdr w:val="nil"/>
                <w:rtl/>
              </w:rPr>
              <w:br/>
            </w:r>
            <w:r w:rsidR="004056AF">
              <w:rPr>
                <w:rFonts w:ascii="Traditional Arabic" w:hAnsi="Traditional Arabic" w:hint="cs"/>
                <w:sz w:val="24"/>
                <w:szCs w:val="24"/>
                <w:bdr w:val="nil"/>
                <w:rtl/>
              </w:rPr>
              <w:t>-</w:t>
            </w:r>
            <w:r w:rsidRPr="00D56F90">
              <w:rPr>
                <w:rFonts w:ascii="Traditional Arabic" w:hAnsi="Traditional Arabic"/>
                <w:sz w:val="24"/>
                <w:szCs w:val="24"/>
                <w:bdr w:val="nil"/>
                <w:rtl/>
              </w:rPr>
              <w:t xml:space="preserve"> تركيزات الزئبق وميثيل الزئبق في الأنهار (على الصعيد العالمي)</w:t>
            </w:r>
          </w:p>
          <w:p w14:paraId="3ED6C0F2" w14:textId="592BDB3B" w:rsidR="002D10EB" w:rsidRPr="004056AF" w:rsidRDefault="002D10EB" w:rsidP="004056AF">
            <w:pPr>
              <w:pBdr>
                <w:top w:val="nil"/>
                <w:left w:val="nil"/>
                <w:bottom w:val="nil"/>
                <w:right w:val="nil"/>
                <w:between w:val="nil"/>
                <w:bar w:val="nil"/>
              </w:pBdr>
              <w:shd w:val="clear" w:color="auto" w:fill="FFFFFF"/>
              <w:bidi/>
              <w:spacing w:before="40" w:after="40" w:line="300" w:lineRule="exact"/>
              <w:ind w:left="57" w:right="57"/>
              <w:textDirection w:val="tbRlV"/>
              <w:rPr>
                <w:rFonts w:ascii="Traditional Arabic" w:hAnsi="Traditional Arabic" w:hint="cs"/>
                <w:sz w:val="24"/>
                <w:szCs w:val="24"/>
                <w:bdr w:val="nil"/>
                <w:lang w:val="en-GB" w:eastAsia="zh-TW" w:bidi="en-GB"/>
              </w:rPr>
            </w:pPr>
            <w:r w:rsidRPr="00682D01">
              <w:rPr>
                <w:rFonts w:ascii="Traditional Arabic" w:hAnsi="Traditional Arabic"/>
                <w:b/>
                <w:bCs/>
                <w:sz w:val="24"/>
                <w:szCs w:val="24"/>
                <w:bdr w:val="nil"/>
                <w:rtl/>
              </w:rPr>
              <w:t>التقييم:</w:t>
            </w:r>
            <w:r w:rsidRPr="00D56F90">
              <w:rPr>
                <w:rFonts w:ascii="Traditional Arabic" w:hAnsi="Traditional Arabic"/>
                <w:sz w:val="24"/>
                <w:szCs w:val="24"/>
                <w:bdr w:val="nil"/>
                <w:rtl/>
              </w:rPr>
              <w:t xml:space="preserve"> تركيزات ميثيل الزئبق والزئبق الكلي </w:t>
            </w:r>
            <w:proofErr w:type="spellStart"/>
            <w:r w:rsidRPr="00D56F90">
              <w:rPr>
                <w:rFonts w:ascii="Traditional Arabic" w:hAnsi="Traditional Arabic"/>
                <w:sz w:val="24"/>
                <w:szCs w:val="24"/>
                <w:bdr w:val="nil"/>
                <w:rtl/>
              </w:rPr>
              <w:t>المقيسة</w:t>
            </w:r>
            <w:proofErr w:type="spellEnd"/>
            <w:r w:rsidRPr="00D56F90">
              <w:rPr>
                <w:rFonts w:ascii="Traditional Arabic" w:hAnsi="Traditional Arabic"/>
                <w:sz w:val="24"/>
                <w:szCs w:val="24"/>
                <w:bdr w:val="nil"/>
                <w:rtl/>
              </w:rPr>
              <w:t xml:space="preserve"> في مياه البحر؛</w:t>
            </w:r>
          </w:p>
          <w:p w14:paraId="4FB4CCAB" w14:textId="77777777" w:rsidR="002D10EB" w:rsidRPr="00D56F90" w:rsidRDefault="002D10EB" w:rsidP="004056AF">
            <w:pPr>
              <w:pBdr>
                <w:top w:val="nil"/>
                <w:left w:val="nil"/>
                <w:bottom w:val="nil"/>
                <w:right w:val="nil"/>
                <w:between w:val="nil"/>
                <w:bar w:val="nil"/>
              </w:pBdr>
              <w:shd w:val="clear" w:color="auto" w:fill="FFFFFF"/>
              <w:bidi/>
              <w:spacing w:before="40" w:after="40" w:line="300" w:lineRule="exact"/>
              <w:ind w:left="57" w:right="57"/>
              <w:textDirection w:val="tbRlV"/>
              <w:rPr>
                <w:rFonts w:ascii="Traditional Arabic" w:hAnsi="Traditional Arabic"/>
                <w:sz w:val="24"/>
                <w:szCs w:val="24"/>
                <w:bdr w:val="nil"/>
                <w:rtl/>
                <w:lang w:val="ar-SA" w:eastAsia="zh-TW" w:bidi="en-GB"/>
              </w:rPr>
            </w:pPr>
            <w:r w:rsidRPr="00D56F90">
              <w:rPr>
                <w:rFonts w:ascii="Traditional Arabic" w:hAnsi="Traditional Arabic"/>
                <w:sz w:val="24"/>
                <w:szCs w:val="24"/>
                <w:bdr w:val="nil"/>
                <w:rtl/>
              </w:rPr>
              <w:t xml:space="preserve">تجمع هذه التركيزات عن طريق الشبكات </w:t>
            </w:r>
            <w:r w:rsidRPr="0094799A">
              <w:rPr>
                <w:rFonts w:asciiTheme="majorBidi" w:hAnsiTheme="majorBidi" w:cstheme="majorBidi"/>
                <w:sz w:val="16"/>
                <w:szCs w:val="16"/>
                <w:bdr w:val="nil"/>
                <w:rtl/>
              </w:rPr>
              <w:t>(GEOTRACES/CLIVAR)</w:t>
            </w:r>
            <w:r w:rsidRPr="00D56F90">
              <w:rPr>
                <w:rFonts w:ascii="Traditional Arabic" w:hAnsi="Traditional Arabic"/>
                <w:sz w:val="24"/>
                <w:szCs w:val="24"/>
                <w:bdr w:val="nil"/>
                <w:rtl/>
              </w:rPr>
              <w:t xml:space="preserve"> </w:t>
            </w:r>
          </w:p>
        </w:tc>
        <w:tc>
          <w:tcPr>
            <w:tcW w:w="1843" w:type="dxa"/>
            <w:tcBorders>
              <w:top w:val="single" w:sz="4" w:space="0" w:color="auto"/>
              <w:bottom w:val="single" w:sz="4" w:space="0" w:color="auto"/>
            </w:tcBorders>
            <w:shd w:val="clear" w:color="auto" w:fill="auto"/>
            <w:tcMar>
              <w:top w:w="80" w:type="dxa"/>
              <w:left w:w="80" w:type="dxa"/>
              <w:bottom w:w="80" w:type="dxa"/>
              <w:right w:w="80" w:type="dxa"/>
            </w:tcMar>
          </w:tcPr>
          <w:p w14:paraId="661CA445" w14:textId="77777777" w:rsidR="002D10EB" w:rsidRPr="0094799A" w:rsidRDefault="002D10EB" w:rsidP="004056AF">
            <w:pPr>
              <w:pBdr>
                <w:top w:val="nil"/>
                <w:left w:val="nil"/>
                <w:bottom w:val="nil"/>
                <w:right w:val="nil"/>
                <w:between w:val="nil"/>
                <w:bar w:val="nil"/>
              </w:pBdr>
              <w:shd w:val="clear" w:color="auto" w:fill="FFFFFF"/>
              <w:bidi/>
              <w:spacing w:before="40" w:after="80" w:line="300" w:lineRule="exact"/>
              <w:ind w:left="57" w:right="57"/>
              <w:jc w:val="both"/>
              <w:textDirection w:val="tbRlV"/>
              <w:rPr>
                <w:rFonts w:ascii="Traditional Arabic" w:hAnsi="Traditional Arabic"/>
                <w:sz w:val="24"/>
                <w:szCs w:val="24"/>
                <w:bdr w:val="nil"/>
                <w:lang w:val="en-GB" w:eastAsia="zh-TW" w:bidi="en-GB"/>
              </w:rPr>
            </w:pPr>
            <w:r w:rsidRPr="00D56F90">
              <w:rPr>
                <w:rFonts w:ascii="Traditional Arabic" w:hAnsi="Traditional Arabic"/>
                <w:sz w:val="24"/>
                <w:szCs w:val="24"/>
                <w:bdr w:val="nil"/>
                <w:rtl/>
              </w:rPr>
              <w:t>تركيز ميثيل الزئبق في مياه المحيطات العالمية</w:t>
            </w:r>
          </w:p>
          <w:p w14:paraId="140FEA24" w14:textId="289245C0" w:rsidR="002D10EB" w:rsidRPr="004056AF" w:rsidRDefault="002D10EB" w:rsidP="004056AF">
            <w:pPr>
              <w:pBdr>
                <w:top w:val="nil"/>
                <w:left w:val="nil"/>
                <w:bottom w:val="nil"/>
                <w:right w:val="nil"/>
                <w:between w:val="nil"/>
                <w:bar w:val="nil"/>
              </w:pBdr>
              <w:shd w:val="clear" w:color="auto" w:fill="FFFFFF"/>
              <w:bidi/>
              <w:spacing w:before="40" w:after="80" w:line="300" w:lineRule="exact"/>
              <w:ind w:left="57" w:right="57"/>
              <w:jc w:val="both"/>
              <w:textDirection w:val="tbRlV"/>
              <w:rPr>
                <w:rFonts w:ascii="Traditional Arabic" w:hAnsi="Traditional Arabic"/>
                <w:sz w:val="24"/>
                <w:szCs w:val="24"/>
                <w:bdr w:val="nil"/>
                <w:lang w:val="en-GB" w:eastAsia="zh-TW" w:bidi="en-GB"/>
              </w:rPr>
            </w:pPr>
            <w:r w:rsidRPr="00D56F90">
              <w:rPr>
                <w:rFonts w:ascii="Traditional Arabic" w:hAnsi="Traditional Arabic"/>
                <w:sz w:val="24"/>
                <w:szCs w:val="24"/>
                <w:bdr w:val="nil"/>
                <w:rtl/>
              </w:rPr>
              <w:t>تركيزات الزئبق الكلي في مياه البحر على الصعيد العالمي في سطوح</w:t>
            </w:r>
            <w:r w:rsidR="00C01056">
              <w:rPr>
                <w:rFonts w:ascii="Traditional Arabic" w:hAnsi="Traditional Arabic" w:hint="cs"/>
                <w:sz w:val="24"/>
                <w:szCs w:val="24"/>
                <w:bdr w:val="nil"/>
                <w:rtl/>
              </w:rPr>
              <w:t xml:space="preserve"> و</w:t>
            </w:r>
            <w:r w:rsidRPr="00D56F90">
              <w:rPr>
                <w:rFonts w:ascii="Traditional Arabic" w:hAnsi="Traditional Arabic"/>
                <w:sz w:val="24"/>
                <w:szCs w:val="24"/>
                <w:bdr w:val="nil"/>
                <w:rtl/>
              </w:rPr>
              <w:t>أعماق المحيطات</w:t>
            </w:r>
          </w:p>
          <w:p w14:paraId="39C16603" w14:textId="77777777" w:rsidR="002D10EB" w:rsidRPr="00D56F90" w:rsidRDefault="002D10EB" w:rsidP="00682D01">
            <w:pPr>
              <w:pBdr>
                <w:top w:val="nil"/>
                <w:left w:val="nil"/>
                <w:bottom w:val="nil"/>
                <w:right w:val="nil"/>
                <w:between w:val="nil"/>
                <w:bar w:val="nil"/>
              </w:pBdr>
              <w:shd w:val="clear" w:color="auto" w:fill="FFFFFF"/>
              <w:bidi/>
              <w:spacing w:before="40" w:after="40" w:line="300" w:lineRule="exact"/>
              <w:ind w:left="57" w:right="57"/>
              <w:jc w:val="both"/>
              <w:textDirection w:val="tbRlV"/>
              <w:rPr>
                <w:rFonts w:ascii="Traditional Arabic" w:hAnsi="Traditional Arabic"/>
                <w:sz w:val="24"/>
                <w:szCs w:val="24"/>
                <w:bdr w:val="nil"/>
                <w:rtl/>
                <w:lang w:val="ar-SA" w:eastAsia="zh-TW" w:bidi="en-GB"/>
              </w:rPr>
            </w:pPr>
            <w:r w:rsidRPr="00D56F90">
              <w:rPr>
                <w:rFonts w:ascii="Traditional Arabic" w:hAnsi="Traditional Arabic"/>
                <w:sz w:val="24"/>
                <w:szCs w:val="24"/>
                <w:bdr w:val="nil"/>
                <w:rtl/>
              </w:rPr>
              <w:t>التغيرات الزمانية</w:t>
            </w:r>
          </w:p>
        </w:tc>
        <w:tc>
          <w:tcPr>
            <w:tcW w:w="2269" w:type="dxa"/>
            <w:tcBorders>
              <w:top w:val="single" w:sz="4" w:space="0" w:color="auto"/>
              <w:bottom w:val="single" w:sz="4" w:space="0" w:color="auto"/>
            </w:tcBorders>
            <w:shd w:val="clear" w:color="auto" w:fill="auto"/>
            <w:tcMar>
              <w:top w:w="80" w:type="dxa"/>
              <w:left w:w="80" w:type="dxa"/>
              <w:bottom w:w="80" w:type="dxa"/>
              <w:right w:w="80" w:type="dxa"/>
            </w:tcMar>
          </w:tcPr>
          <w:p w14:paraId="23BEEAC6" w14:textId="0425F1DE" w:rsidR="002D10EB" w:rsidRPr="00D56F90" w:rsidRDefault="002D10EB" w:rsidP="004056AF">
            <w:pPr>
              <w:pBdr>
                <w:top w:val="nil"/>
                <w:left w:val="nil"/>
                <w:bottom w:val="nil"/>
                <w:right w:val="nil"/>
                <w:between w:val="nil"/>
                <w:bar w:val="nil"/>
              </w:pBdr>
              <w:shd w:val="clear" w:color="auto" w:fill="FFFFFF"/>
              <w:bidi/>
              <w:spacing w:before="40" w:after="120" w:line="300" w:lineRule="exact"/>
              <w:ind w:left="57" w:right="57"/>
              <w:jc w:val="both"/>
              <w:textDirection w:val="tbRlV"/>
              <w:rPr>
                <w:rFonts w:ascii="Traditional Arabic" w:hAnsi="Traditional Arabic" w:hint="cs"/>
                <w:sz w:val="24"/>
                <w:szCs w:val="24"/>
                <w:bdr w:val="nil"/>
                <w:rtl/>
                <w:lang w:val="en-GB"/>
              </w:rPr>
            </w:pPr>
            <w:r w:rsidRPr="00D56F90">
              <w:rPr>
                <w:rFonts w:ascii="Traditional Arabic" w:hAnsi="Traditional Arabic"/>
                <w:sz w:val="24"/>
                <w:szCs w:val="24"/>
                <w:bdr w:val="nil"/>
                <w:rtl/>
              </w:rPr>
              <w:t>بيانات أشكال الزئبق في مياه البحر نادرة إلى حد ما ولكن آخذة في التحسن</w:t>
            </w:r>
          </w:p>
          <w:p w14:paraId="6E4168E5" w14:textId="77777777" w:rsidR="002D10EB" w:rsidRPr="00D56F90" w:rsidRDefault="002D10EB" w:rsidP="00682D01">
            <w:pPr>
              <w:pBdr>
                <w:top w:val="nil"/>
                <w:left w:val="nil"/>
                <w:bottom w:val="nil"/>
                <w:right w:val="nil"/>
                <w:between w:val="nil"/>
                <w:bar w:val="nil"/>
              </w:pBdr>
              <w:shd w:val="clear" w:color="auto" w:fill="FFFFFF"/>
              <w:bidi/>
              <w:spacing w:before="40" w:after="40" w:line="300" w:lineRule="exact"/>
              <w:ind w:left="57" w:right="57"/>
              <w:jc w:val="both"/>
              <w:textDirection w:val="tbRlV"/>
              <w:rPr>
                <w:rFonts w:ascii="Traditional Arabic" w:hAnsi="Traditional Arabic"/>
                <w:sz w:val="24"/>
                <w:szCs w:val="24"/>
                <w:bdr w:val="nil"/>
                <w:rtl/>
                <w:lang w:val="ar-SA" w:eastAsia="zh-TW" w:bidi="en-GB"/>
              </w:rPr>
            </w:pPr>
            <w:r w:rsidRPr="00D56F90">
              <w:rPr>
                <w:rFonts w:ascii="Traditional Arabic" w:hAnsi="Traditional Arabic"/>
                <w:sz w:val="24"/>
                <w:szCs w:val="24"/>
                <w:bdr w:val="nil"/>
                <w:rtl/>
              </w:rPr>
              <w:t>البيانات المتعلقة بالزئبق وميثيل الزئبق في الأنهار العالمية ناقصة إلى حد كبير</w:t>
            </w:r>
          </w:p>
        </w:tc>
      </w:tr>
      <w:tr w:rsidR="002D10EB" w:rsidRPr="00D56F90" w14:paraId="52B17143" w14:textId="77777777" w:rsidTr="00682D01">
        <w:trPr>
          <w:trHeight w:val="57"/>
          <w:jc w:val="right"/>
        </w:trPr>
        <w:tc>
          <w:tcPr>
            <w:tcW w:w="2412" w:type="dxa"/>
            <w:tcBorders>
              <w:top w:val="single" w:sz="4" w:space="0" w:color="auto"/>
              <w:bottom w:val="single" w:sz="4" w:space="0" w:color="auto"/>
            </w:tcBorders>
            <w:shd w:val="clear" w:color="auto" w:fill="auto"/>
            <w:tcMar>
              <w:top w:w="80" w:type="dxa"/>
              <w:left w:w="80" w:type="dxa"/>
              <w:bottom w:w="80" w:type="dxa"/>
              <w:right w:w="80" w:type="dxa"/>
            </w:tcMar>
          </w:tcPr>
          <w:p w14:paraId="742D2CBE" w14:textId="141F9162" w:rsidR="002D10EB" w:rsidRPr="00D56F90" w:rsidRDefault="002D10EB" w:rsidP="00682D01">
            <w:pPr>
              <w:pBdr>
                <w:top w:val="nil"/>
                <w:left w:val="nil"/>
                <w:bottom w:val="nil"/>
                <w:right w:val="nil"/>
                <w:between w:val="nil"/>
                <w:bar w:val="nil"/>
              </w:pBdr>
              <w:shd w:val="clear" w:color="auto" w:fill="FFFFFF"/>
              <w:bidi/>
              <w:spacing w:before="40" w:after="40" w:line="300" w:lineRule="exact"/>
              <w:ind w:left="57" w:right="57"/>
              <w:jc w:val="both"/>
              <w:textDirection w:val="tbRlV"/>
              <w:rPr>
                <w:rFonts w:ascii="Traditional Arabic" w:hAnsi="Traditional Arabic"/>
                <w:b/>
                <w:sz w:val="24"/>
                <w:szCs w:val="24"/>
                <w:bdr w:val="nil"/>
                <w:rtl/>
                <w:lang w:val="ar-SA" w:eastAsia="zh-TW" w:bidi="en-GB"/>
              </w:rPr>
            </w:pPr>
            <w:r w:rsidRPr="00D56F90">
              <w:rPr>
                <w:rFonts w:ascii="Traditional Arabic" w:hAnsi="Traditional Arabic"/>
                <w:b/>
                <w:bCs/>
                <w:sz w:val="24"/>
                <w:szCs w:val="24"/>
                <w:bdr w:val="nil"/>
                <w:rtl/>
              </w:rPr>
              <w:t>التربة</w:t>
            </w:r>
            <w:r w:rsidR="00C01056">
              <w:rPr>
                <w:rFonts w:ascii="Traditional Arabic" w:hAnsi="Traditional Arabic" w:hint="cs"/>
                <w:b/>
                <w:bCs/>
                <w:sz w:val="24"/>
                <w:szCs w:val="24"/>
                <w:bdr w:val="nil"/>
                <w:rtl/>
              </w:rPr>
              <w:t xml:space="preserve"> و</w:t>
            </w:r>
            <w:r w:rsidRPr="00D56F90">
              <w:rPr>
                <w:rFonts w:ascii="Traditional Arabic" w:hAnsi="Traditional Arabic"/>
                <w:b/>
                <w:bCs/>
                <w:sz w:val="24"/>
                <w:szCs w:val="24"/>
                <w:bdr w:val="nil"/>
                <w:rtl/>
              </w:rPr>
              <w:t xml:space="preserve">الأراضي: ناتج البحوث – </w:t>
            </w:r>
            <w:r>
              <w:rPr>
                <w:rFonts w:ascii="Traditional Arabic" w:hAnsi="Traditional Arabic" w:hint="cs"/>
                <w:b/>
                <w:bCs/>
                <w:sz w:val="24"/>
                <w:szCs w:val="24"/>
                <w:bdr w:val="nil"/>
                <w:rtl/>
              </w:rPr>
              <w:t>متوفر</w:t>
            </w:r>
            <w:r w:rsidRPr="00D56F90">
              <w:rPr>
                <w:rFonts w:ascii="Traditional Arabic" w:hAnsi="Traditional Arabic"/>
                <w:b/>
                <w:bCs/>
                <w:sz w:val="24"/>
                <w:szCs w:val="24"/>
                <w:bdr w:val="nil"/>
                <w:rtl/>
              </w:rPr>
              <w:t xml:space="preserve"> إلى حد ما</w:t>
            </w:r>
          </w:p>
          <w:p w14:paraId="041A76A7" w14:textId="77777777" w:rsidR="002D10EB" w:rsidRPr="002A6B65" w:rsidRDefault="002D10EB" w:rsidP="00682D01">
            <w:pPr>
              <w:pBdr>
                <w:top w:val="nil"/>
                <w:left w:val="nil"/>
                <w:bottom w:val="nil"/>
                <w:right w:val="nil"/>
                <w:between w:val="nil"/>
                <w:bar w:val="nil"/>
              </w:pBdr>
              <w:shd w:val="clear" w:color="auto" w:fill="FFFFFF"/>
              <w:bidi/>
              <w:spacing w:before="40" w:after="40" w:line="300" w:lineRule="exact"/>
              <w:ind w:left="57" w:right="57"/>
              <w:jc w:val="both"/>
              <w:textDirection w:val="tbRlV"/>
              <w:rPr>
                <w:rFonts w:ascii="Traditional Arabic" w:hAnsi="Traditional Arabic"/>
                <w:i/>
                <w:sz w:val="24"/>
                <w:szCs w:val="24"/>
                <w:bdr w:val="nil"/>
                <w:lang w:val="en-GB" w:eastAsia="zh-TW" w:bidi="en-GB"/>
              </w:rPr>
            </w:pPr>
            <w:r w:rsidRPr="00D56F90">
              <w:rPr>
                <w:rFonts w:ascii="Traditional Arabic" w:hAnsi="Traditional Arabic"/>
                <w:i/>
                <w:iCs/>
                <w:sz w:val="24"/>
                <w:szCs w:val="24"/>
                <w:bdr w:val="nil"/>
                <w:rtl/>
              </w:rPr>
              <w:t>التربة العالمية:</w:t>
            </w:r>
          </w:p>
          <w:p w14:paraId="0646A170" w14:textId="77777777" w:rsidR="002D10EB" w:rsidRPr="00D56F90" w:rsidRDefault="002D10EB" w:rsidP="00682D01">
            <w:pPr>
              <w:pBdr>
                <w:top w:val="nil"/>
                <w:left w:val="nil"/>
                <w:bottom w:val="nil"/>
                <w:right w:val="nil"/>
                <w:between w:val="nil"/>
                <w:bar w:val="nil"/>
              </w:pBdr>
              <w:shd w:val="clear" w:color="auto" w:fill="FFFFFF"/>
              <w:bidi/>
              <w:spacing w:before="40" w:after="40" w:line="300" w:lineRule="exact"/>
              <w:ind w:left="57" w:right="57"/>
              <w:jc w:val="both"/>
              <w:textDirection w:val="tbRlV"/>
              <w:rPr>
                <w:rFonts w:ascii="Traditional Arabic" w:hAnsi="Traditional Arabic"/>
                <w:sz w:val="24"/>
                <w:szCs w:val="24"/>
                <w:bdr w:val="nil"/>
                <w:rtl/>
                <w:lang w:val="ar-SA" w:eastAsia="zh-TW" w:bidi="en-GB"/>
              </w:rPr>
            </w:pPr>
            <w:r w:rsidRPr="00D56F90">
              <w:rPr>
                <w:rFonts w:ascii="Traditional Arabic" w:hAnsi="Traditional Arabic"/>
                <w:sz w:val="24"/>
                <w:szCs w:val="24"/>
                <w:bdr w:val="nil"/>
                <w:rtl/>
              </w:rPr>
              <w:t>نموذج الزئبق الأرضي العالمي</w:t>
            </w:r>
          </w:p>
          <w:p w14:paraId="084B9D5F" w14:textId="77777777" w:rsidR="002D10EB" w:rsidRPr="00D56F90" w:rsidRDefault="002D10EB" w:rsidP="00682D01">
            <w:pPr>
              <w:pBdr>
                <w:top w:val="nil"/>
                <w:left w:val="nil"/>
                <w:bottom w:val="nil"/>
                <w:right w:val="nil"/>
                <w:between w:val="nil"/>
                <w:bar w:val="nil"/>
              </w:pBdr>
              <w:shd w:val="clear" w:color="auto" w:fill="FFFFFF"/>
              <w:bidi/>
              <w:spacing w:before="40" w:after="40" w:line="300" w:lineRule="exact"/>
              <w:ind w:left="57" w:right="57"/>
              <w:jc w:val="both"/>
              <w:textDirection w:val="tbRlV"/>
              <w:rPr>
                <w:rFonts w:ascii="Traditional Arabic" w:hAnsi="Traditional Arabic"/>
                <w:sz w:val="24"/>
                <w:szCs w:val="24"/>
                <w:bdr w:val="nil"/>
                <w:rtl/>
                <w:lang w:val="ar-SA" w:eastAsia="zh-TW" w:bidi="en-GB"/>
              </w:rPr>
            </w:pPr>
            <w:r w:rsidRPr="00D56F90">
              <w:rPr>
                <w:rFonts w:ascii="Traditional Arabic" w:hAnsi="Traditional Arabic"/>
                <w:sz w:val="24"/>
                <w:szCs w:val="24"/>
                <w:bdr w:val="nil"/>
                <w:rtl/>
              </w:rPr>
              <w:t>مواقع تعدين الذهب الحرفي والضيق النطاق/المواقع الملوثة (لم تدمج بعد في النماذج العالمية ولكن ستكون مفيدة)</w:t>
            </w:r>
          </w:p>
        </w:tc>
        <w:tc>
          <w:tcPr>
            <w:tcW w:w="2977" w:type="dxa"/>
            <w:tcBorders>
              <w:top w:val="single" w:sz="4" w:space="0" w:color="auto"/>
              <w:bottom w:val="single" w:sz="4" w:space="0" w:color="auto"/>
            </w:tcBorders>
            <w:shd w:val="clear" w:color="auto" w:fill="auto"/>
            <w:tcMar>
              <w:top w:w="80" w:type="dxa"/>
              <w:left w:w="80" w:type="dxa"/>
              <w:bottom w:w="80" w:type="dxa"/>
              <w:right w:w="80" w:type="dxa"/>
            </w:tcMar>
          </w:tcPr>
          <w:p w14:paraId="57E0F577" w14:textId="77777777" w:rsidR="002D10EB" w:rsidRPr="00D56F90" w:rsidRDefault="002D10EB" w:rsidP="004056AF">
            <w:pPr>
              <w:pBdr>
                <w:top w:val="nil"/>
                <w:left w:val="nil"/>
                <w:bottom w:val="nil"/>
                <w:right w:val="nil"/>
                <w:between w:val="nil"/>
                <w:bar w:val="nil"/>
              </w:pBdr>
              <w:shd w:val="clear" w:color="auto" w:fill="FFFFFF"/>
              <w:bidi/>
              <w:spacing w:before="40" w:after="40" w:line="300" w:lineRule="exact"/>
              <w:ind w:left="57" w:right="57"/>
              <w:textDirection w:val="tbRlV"/>
              <w:rPr>
                <w:rFonts w:ascii="Traditional Arabic" w:hAnsi="Traditional Arabic"/>
                <w:sz w:val="24"/>
                <w:szCs w:val="24"/>
                <w:bdr w:val="nil"/>
                <w:rtl/>
                <w:lang w:val="ar-SA" w:eastAsia="zh-TW" w:bidi="en-GB"/>
              </w:rPr>
            </w:pPr>
            <w:r w:rsidRPr="002A6B65">
              <w:rPr>
                <w:rFonts w:ascii="Traditional Arabic" w:hAnsi="Traditional Arabic"/>
                <w:b/>
                <w:bCs/>
                <w:sz w:val="24"/>
                <w:szCs w:val="24"/>
                <w:bdr w:val="nil"/>
                <w:rtl/>
              </w:rPr>
              <w:t>المدخلات:</w:t>
            </w:r>
            <w:r w:rsidRPr="00D56F90">
              <w:rPr>
                <w:rFonts w:ascii="Traditional Arabic" w:hAnsi="Traditional Arabic"/>
                <w:sz w:val="24"/>
                <w:szCs w:val="24"/>
                <w:bdr w:val="nil"/>
                <w:rtl/>
              </w:rPr>
              <w:t xml:space="preserve"> الترسب في الغلاف الجوي (مدخلات النموذج)</w:t>
            </w:r>
          </w:p>
          <w:p w14:paraId="6C35B9A8" w14:textId="1DDB4368" w:rsidR="002D10EB" w:rsidRPr="00775E51" w:rsidRDefault="002D10EB" w:rsidP="00682D01">
            <w:pPr>
              <w:pBdr>
                <w:top w:val="nil"/>
                <w:left w:val="nil"/>
                <w:bottom w:val="nil"/>
                <w:right w:val="nil"/>
                <w:between w:val="nil"/>
                <w:bar w:val="nil"/>
              </w:pBdr>
              <w:shd w:val="clear" w:color="auto" w:fill="FFFFFF"/>
              <w:bidi/>
              <w:spacing w:before="40" w:after="40" w:line="300" w:lineRule="exact"/>
              <w:ind w:left="57" w:right="57"/>
              <w:jc w:val="both"/>
              <w:textDirection w:val="tbRlV"/>
              <w:rPr>
                <w:rFonts w:ascii="Traditional Arabic" w:hAnsi="Traditional Arabic"/>
                <w:sz w:val="24"/>
                <w:szCs w:val="24"/>
                <w:bdr w:val="nil"/>
                <w:lang w:val="en-GB" w:eastAsia="zh-TW"/>
              </w:rPr>
            </w:pPr>
            <w:r w:rsidRPr="00D56F90">
              <w:rPr>
                <w:rFonts w:ascii="Traditional Arabic" w:hAnsi="Traditional Arabic"/>
                <w:sz w:val="24"/>
                <w:szCs w:val="24"/>
                <w:bdr w:val="nil"/>
                <w:rtl/>
              </w:rPr>
              <w:t>إطلاقات الانبعاثات إلى الأرض</w:t>
            </w:r>
            <w:r w:rsidR="00C01056">
              <w:rPr>
                <w:rFonts w:ascii="Traditional Arabic" w:hAnsi="Traditional Arabic" w:hint="cs"/>
                <w:sz w:val="24"/>
                <w:szCs w:val="24"/>
                <w:bdr w:val="nil"/>
                <w:rtl/>
              </w:rPr>
              <w:t xml:space="preserve"> و</w:t>
            </w:r>
            <w:r w:rsidRPr="00D56F90">
              <w:rPr>
                <w:rFonts w:ascii="Traditional Arabic" w:hAnsi="Traditional Arabic"/>
                <w:sz w:val="24"/>
                <w:szCs w:val="24"/>
                <w:bdr w:val="nil"/>
                <w:rtl/>
              </w:rPr>
              <w:t>المياه (ميز مكاني بدائي للغاية ورديء)</w:t>
            </w:r>
          </w:p>
          <w:p w14:paraId="499C0729" w14:textId="3918B419" w:rsidR="002D10EB" w:rsidRPr="002A6B65" w:rsidRDefault="002D10EB" w:rsidP="00682D01">
            <w:pPr>
              <w:pBdr>
                <w:top w:val="nil"/>
                <w:left w:val="nil"/>
                <w:bottom w:val="nil"/>
                <w:right w:val="nil"/>
                <w:between w:val="nil"/>
                <w:bar w:val="nil"/>
              </w:pBdr>
              <w:shd w:val="clear" w:color="auto" w:fill="FFFFFF"/>
              <w:bidi/>
              <w:spacing w:before="40" w:after="40" w:line="300" w:lineRule="exact"/>
              <w:ind w:left="57" w:right="57"/>
              <w:jc w:val="both"/>
              <w:textDirection w:val="tbRlV"/>
              <w:rPr>
                <w:rFonts w:ascii="Traditional Arabic" w:hAnsi="Traditional Arabic"/>
                <w:sz w:val="24"/>
                <w:szCs w:val="24"/>
                <w:bdr w:val="nil"/>
                <w:lang w:val="en-GB" w:eastAsia="zh-TW" w:bidi="en-GB"/>
              </w:rPr>
            </w:pPr>
            <w:r w:rsidRPr="00D56F90">
              <w:rPr>
                <w:rFonts w:ascii="Traditional Arabic" w:hAnsi="Traditional Arabic"/>
                <w:sz w:val="24"/>
                <w:szCs w:val="24"/>
                <w:bdr w:val="nil"/>
                <w:rtl/>
              </w:rPr>
              <w:t>القليل من البيانات عن مياه الجريان السطحي من المواقع الملوثة</w:t>
            </w:r>
          </w:p>
          <w:p w14:paraId="7A38CE67" w14:textId="77777777" w:rsidR="002D10EB" w:rsidRPr="00D56F90" w:rsidRDefault="002D10EB" w:rsidP="00682D01">
            <w:pPr>
              <w:pBdr>
                <w:top w:val="nil"/>
                <w:left w:val="nil"/>
                <w:bottom w:val="nil"/>
                <w:right w:val="nil"/>
                <w:between w:val="nil"/>
                <w:bar w:val="nil"/>
              </w:pBdr>
              <w:shd w:val="clear" w:color="auto" w:fill="FFFFFF"/>
              <w:bidi/>
              <w:spacing w:before="40" w:after="40" w:line="300" w:lineRule="exact"/>
              <w:ind w:left="57" w:right="57"/>
              <w:jc w:val="both"/>
              <w:textDirection w:val="tbRlV"/>
              <w:rPr>
                <w:rFonts w:ascii="Traditional Arabic" w:hAnsi="Traditional Arabic"/>
                <w:sz w:val="24"/>
                <w:szCs w:val="24"/>
                <w:bdr w:val="nil"/>
                <w:rtl/>
                <w:lang w:val="ar-SA" w:eastAsia="zh-TW" w:bidi="en-GB"/>
              </w:rPr>
            </w:pPr>
            <w:r w:rsidRPr="00D56F90">
              <w:rPr>
                <w:rFonts w:ascii="Traditional Arabic" w:hAnsi="Traditional Arabic"/>
                <w:sz w:val="24"/>
                <w:szCs w:val="24"/>
                <w:bdr w:val="nil"/>
                <w:rtl/>
              </w:rPr>
              <w:t xml:space="preserve">بيانات عالمية عن الغطاء الأرضي ومدخلات عن الغلاف الجوي </w:t>
            </w:r>
          </w:p>
          <w:p w14:paraId="451BB397" w14:textId="77777777" w:rsidR="002D10EB" w:rsidRPr="00D56F90" w:rsidRDefault="002D10EB" w:rsidP="00682D01">
            <w:pPr>
              <w:pBdr>
                <w:top w:val="nil"/>
                <w:left w:val="nil"/>
                <w:bottom w:val="nil"/>
                <w:right w:val="nil"/>
                <w:between w:val="nil"/>
                <w:bar w:val="nil"/>
              </w:pBdr>
              <w:shd w:val="clear" w:color="auto" w:fill="FFFFFF"/>
              <w:bidi/>
              <w:spacing w:before="40" w:after="40" w:line="300" w:lineRule="exact"/>
              <w:ind w:left="57" w:right="57"/>
              <w:jc w:val="both"/>
              <w:textDirection w:val="tbRlV"/>
              <w:rPr>
                <w:rFonts w:ascii="Traditional Arabic" w:hAnsi="Traditional Arabic"/>
                <w:sz w:val="24"/>
                <w:szCs w:val="24"/>
                <w:bdr w:val="nil"/>
                <w:rtl/>
                <w:lang w:val="ar-SA" w:eastAsia="zh-TW" w:bidi="en-GB"/>
              </w:rPr>
            </w:pPr>
            <w:r w:rsidRPr="002A6B65">
              <w:rPr>
                <w:rFonts w:ascii="Traditional Arabic" w:hAnsi="Traditional Arabic"/>
                <w:b/>
                <w:bCs/>
                <w:sz w:val="24"/>
                <w:szCs w:val="24"/>
                <w:bdr w:val="nil"/>
                <w:rtl/>
              </w:rPr>
              <w:lastRenderedPageBreak/>
              <w:t>التقييم:</w:t>
            </w:r>
            <w:r w:rsidRPr="00D56F90">
              <w:rPr>
                <w:rFonts w:ascii="Traditional Arabic" w:hAnsi="Traditional Arabic"/>
                <w:sz w:val="24"/>
                <w:szCs w:val="24"/>
                <w:bdr w:val="nil"/>
                <w:rtl/>
              </w:rPr>
              <w:t xml:space="preserve"> بيانات عن الزئبق في التربة (بيانات جيدة لأمريكا الشمالية وأجزاء من أوروبا)</w:t>
            </w:r>
          </w:p>
        </w:tc>
        <w:tc>
          <w:tcPr>
            <w:tcW w:w="1843" w:type="dxa"/>
            <w:tcBorders>
              <w:top w:val="single" w:sz="4" w:space="0" w:color="auto"/>
              <w:bottom w:val="single" w:sz="4" w:space="0" w:color="auto"/>
            </w:tcBorders>
            <w:shd w:val="clear" w:color="auto" w:fill="auto"/>
            <w:tcMar>
              <w:top w:w="80" w:type="dxa"/>
              <w:left w:w="80" w:type="dxa"/>
              <w:bottom w:w="80" w:type="dxa"/>
              <w:right w:w="80" w:type="dxa"/>
            </w:tcMar>
          </w:tcPr>
          <w:p w14:paraId="52C58118" w14:textId="77777777" w:rsidR="002D10EB" w:rsidRPr="004056AF" w:rsidRDefault="002D10EB" w:rsidP="004056AF">
            <w:pPr>
              <w:pBdr>
                <w:top w:val="nil"/>
                <w:left w:val="nil"/>
                <w:bottom w:val="nil"/>
                <w:right w:val="nil"/>
                <w:between w:val="nil"/>
                <w:bar w:val="nil"/>
              </w:pBdr>
              <w:shd w:val="clear" w:color="auto" w:fill="FFFFFF"/>
              <w:bidi/>
              <w:spacing w:after="60" w:line="300" w:lineRule="exact"/>
              <w:ind w:left="57" w:right="57"/>
              <w:jc w:val="both"/>
              <w:textDirection w:val="tbRlV"/>
              <w:rPr>
                <w:rFonts w:ascii="Traditional Arabic" w:hAnsi="Traditional Arabic"/>
                <w:sz w:val="24"/>
                <w:szCs w:val="24"/>
                <w:bdr w:val="nil"/>
                <w:lang w:val="en-GB" w:eastAsia="zh-TW" w:bidi="en-GB"/>
              </w:rPr>
            </w:pPr>
            <w:r w:rsidRPr="00D56F90">
              <w:rPr>
                <w:rFonts w:ascii="Traditional Arabic" w:hAnsi="Traditional Arabic"/>
                <w:sz w:val="24"/>
                <w:szCs w:val="24"/>
                <w:bdr w:val="nil"/>
                <w:rtl/>
              </w:rPr>
              <w:lastRenderedPageBreak/>
              <w:t>تركيزات الزئبق في التربة على الصعيد العالمي</w:t>
            </w:r>
          </w:p>
          <w:p w14:paraId="6F427C81" w14:textId="2528D064" w:rsidR="002D10EB" w:rsidRPr="004056AF" w:rsidRDefault="002D10EB" w:rsidP="004056AF">
            <w:pPr>
              <w:pBdr>
                <w:top w:val="nil"/>
                <w:left w:val="nil"/>
                <w:bottom w:val="nil"/>
                <w:right w:val="nil"/>
                <w:between w:val="nil"/>
                <w:bar w:val="nil"/>
              </w:pBdr>
              <w:shd w:val="clear" w:color="auto" w:fill="FFFFFF"/>
              <w:bidi/>
              <w:spacing w:after="60" w:line="300" w:lineRule="exact"/>
              <w:ind w:left="57" w:right="57"/>
              <w:textDirection w:val="tbRlV"/>
              <w:rPr>
                <w:rFonts w:ascii="Traditional Arabic" w:hAnsi="Traditional Arabic" w:hint="cs"/>
                <w:sz w:val="24"/>
                <w:szCs w:val="24"/>
                <w:bdr w:val="nil"/>
                <w:lang w:val="en-GB" w:eastAsia="zh-TW" w:bidi="en-GB"/>
              </w:rPr>
            </w:pPr>
            <w:r w:rsidRPr="00D56F90">
              <w:rPr>
                <w:rFonts w:ascii="Traditional Arabic" w:hAnsi="Traditional Arabic"/>
                <w:sz w:val="24"/>
                <w:szCs w:val="24"/>
                <w:bdr w:val="nil"/>
                <w:rtl/>
              </w:rPr>
              <w:t>الزئبق في الأنهار على مستوى العالم</w:t>
            </w:r>
          </w:p>
          <w:p w14:paraId="34FDF403" w14:textId="7390EE5D" w:rsidR="002D10EB" w:rsidRPr="00D56F90" w:rsidRDefault="002D10EB" w:rsidP="00682D01">
            <w:pPr>
              <w:pBdr>
                <w:top w:val="nil"/>
                <w:left w:val="nil"/>
                <w:bottom w:val="nil"/>
                <w:right w:val="nil"/>
                <w:between w:val="nil"/>
                <w:bar w:val="nil"/>
              </w:pBdr>
              <w:shd w:val="clear" w:color="auto" w:fill="FFFFFF"/>
              <w:bidi/>
              <w:spacing w:before="40" w:after="40" w:line="300" w:lineRule="exact"/>
              <w:ind w:left="57" w:right="57"/>
              <w:jc w:val="both"/>
              <w:textDirection w:val="tbRlV"/>
              <w:rPr>
                <w:rFonts w:ascii="Traditional Arabic" w:hAnsi="Traditional Arabic"/>
                <w:sz w:val="24"/>
                <w:szCs w:val="24"/>
                <w:bdr w:val="nil"/>
                <w:rtl/>
                <w:lang w:val="ar-SA" w:eastAsia="zh-TW" w:bidi="en-GB"/>
              </w:rPr>
            </w:pPr>
            <w:r w:rsidRPr="00D56F90">
              <w:rPr>
                <w:rFonts w:ascii="Traditional Arabic" w:hAnsi="Traditional Arabic"/>
                <w:sz w:val="24"/>
                <w:szCs w:val="24"/>
                <w:bdr w:val="nil"/>
                <w:rtl/>
              </w:rPr>
              <w:t>’’النقاط الساخنة‘‘ الأكثر حساسية لمدخلات الزئبق والتي من المرجح أن تؤثر على مجتمعات الكائنات الحية</w:t>
            </w:r>
            <w:r w:rsidR="00C01056">
              <w:rPr>
                <w:rFonts w:ascii="Traditional Arabic" w:hAnsi="Traditional Arabic" w:hint="cs"/>
                <w:sz w:val="24"/>
                <w:szCs w:val="24"/>
                <w:bdr w:val="nil"/>
                <w:rtl/>
              </w:rPr>
              <w:t xml:space="preserve"> و</w:t>
            </w:r>
            <w:r w:rsidRPr="00D56F90">
              <w:rPr>
                <w:rFonts w:ascii="Traditional Arabic" w:hAnsi="Traditional Arabic"/>
                <w:sz w:val="24"/>
                <w:szCs w:val="24"/>
                <w:bdr w:val="nil"/>
                <w:rtl/>
              </w:rPr>
              <w:t>المجتمعات البشرية</w:t>
            </w:r>
          </w:p>
        </w:tc>
        <w:tc>
          <w:tcPr>
            <w:tcW w:w="2269" w:type="dxa"/>
            <w:tcBorders>
              <w:top w:val="single" w:sz="4" w:space="0" w:color="auto"/>
              <w:bottom w:val="single" w:sz="4" w:space="0" w:color="auto"/>
            </w:tcBorders>
            <w:shd w:val="clear" w:color="auto" w:fill="auto"/>
            <w:tcMar>
              <w:top w:w="80" w:type="dxa"/>
              <w:left w:w="80" w:type="dxa"/>
              <w:bottom w:w="80" w:type="dxa"/>
              <w:right w:w="80" w:type="dxa"/>
            </w:tcMar>
          </w:tcPr>
          <w:p w14:paraId="0CE40B7D" w14:textId="4E44D657" w:rsidR="002D10EB" w:rsidRPr="00D56F90" w:rsidRDefault="002D10EB" w:rsidP="004056AF">
            <w:pPr>
              <w:pBdr>
                <w:top w:val="nil"/>
                <w:left w:val="nil"/>
                <w:bottom w:val="nil"/>
                <w:right w:val="nil"/>
                <w:between w:val="nil"/>
                <w:bar w:val="nil"/>
              </w:pBdr>
              <w:shd w:val="clear" w:color="auto" w:fill="FFFFFF"/>
              <w:bidi/>
              <w:spacing w:after="60" w:line="300" w:lineRule="exact"/>
              <w:ind w:left="57" w:right="57"/>
              <w:jc w:val="both"/>
              <w:textDirection w:val="tbRlV"/>
              <w:rPr>
                <w:rFonts w:ascii="Traditional Arabic" w:hAnsi="Traditional Arabic"/>
                <w:sz w:val="24"/>
                <w:szCs w:val="24"/>
                <w:bdr w:val="nil"/>
                <w:rtl/>
                <w:lang w:val="en-GB"/>
              </w:rPr>
            </w:pPr>
            <w:r w:rsidRPr="00D56F90">
              <w:rPr>
                <w:rFonts w:ascii="Traditional Arabic" w:hAnsi="Traditional Arabic"/>
                <w:sz w:val="24"/>
                <w:szCs w:val="24"/>
                <w:bdr w:val="nil"/>
                <w:rtl/>
              </w:rPr>
              <w:t>لا يزال يتعين إجراء محاكاة لميثيل الزئبق في البيئات البرية بخلاف التقييمات المحددة الموقع</w:t>
            </w:r>
          </w:p>
          <w:p w14:paraId="23997F32" w14:textId="6F3CC5B2" w:rsidR="002D10EB" w:rsidRPr="00D56F90" w:rsidRDefault="002D10EB" w:rsidP="00682D01">
            <w:pPr>
              <w:pBdr>
                <w:top w:val="nil"/>
                <w:left w:val="nil"/>
                <w:bottom w:val="nil"/>
                <w:right w:val="nil"/>
                <w:between w:val="nil"/>
                <w:bar w:val="nil"/>
              </w:pBdr>
              <w:shd w:val="clear" w:color="auto" w:fill="FFFFFF"/>
              <w:bidi/>
              <w:spacing w:before="40" w:after="40" w:line="300" w:lineRule="exact"/>
              <w:ind w:left="57" w:right="57"/>
              <w:jc w:val="both"/>
              <w:textDirection w:val="tbRlV"/>
              <w:rPr>
                <w:rFonts w:ascii="Traditional Arabic" w:hAnsi="Traditional Arabic"/>
                <w:sz w:val="24"/>
                <w:szCs w:val="24"/>
                <w:bdr w:val="nil"/>
                <w:rtl/>
                <w:lang w:val="ar-SA" w:eastAsia="zh-TW" w:bidi="en-GB"/>
              </w:rPr>
            </w:pPr>
            <w:r w:rsidRPr="00D56F90">
              <w:rPr>
                <w:rFonts w:ascii="Traditional Arabic" w:hAnsi="Traditional Arabic"/>
                <w:sz w:val="24"/>
                <w:szCs w:val="24"/>
                <w:bdr w:val="nil"/>
                <w:rtl/>
              </w:rPr>
              <w:t>هناك حاجة لإجراء تحليل عالمي ’’للنقاط الساخنة‘‘ مطابق ميدانياً للبيانات</w:t>
            </w:r>
            <w:r w:rsidR="00C01056">
              <w:rPr>
                <w:rFonts w:ascii="Traditional Arabic" w:hAnsi="Traditional Arabic" w:hint="cs"/>
                <w:sz w:val="24"/>
                <w:szCs w:val="24"/>
                <w:bdr w:val="nil"/>
                <w:rtl/>
              </w:rPr>
              <w:t>؛</w:t>
            </w:r>
            <w:r w:rsidRPr="00D56F90">
              <w:rPr>
                <w:rFonts w:ascii="Traditional Arabic" w:hAnsi="Traditional Arabic"/>
                <w:sz w:val="24"/>
                <w:szCs w:val="24"/>
                <w:bdr w:val="nil"/>
                <w:rtl/>
              </w:rPr>
              <w:t xml:space="preserve"> جمع البيانات عن مواقع تعدين الذهب الحرفي والضيق النطاق والإطلاقات</w:t>
            </w:r>
            <w:r w:rsidR="00C01056">
              <w:rPr>
                <w:rFonts w:ascii="Traditional Arabic" w:hAnsi="Traditional Arabic" w:hint="cs"/>
                <w:sz w:val="24"/>
                <w:szCs w:val="24"/>
                <w:bdr w:val="nil"/>
                <w:rtl/>
              </w:rPr>
              <w:t xml:space="preserve"> و/أو </w:t>
            </w:r>
            <w:r w:rsidRPr="00D56F90">
              <w:rPr>
                <w:rFonts w:ascii="Traditional Arabic" w:hAnsi="Traditional Arabic"/>
                <w:sz w:val="24"/>
                <w:szCs w:val="24"/>
                <w:bdr w:val="nil"/>
                <w:rtl/>
              </w:rPr>
              <w:t>المواقع الملوثة</w:t>
            </w:r>
          </w:p>
        </w:tc>
      </w:tr>
      <w:tr w:rsidR="002D10EB" w:rsidRPr="00D56F90" w14:paraId="28BA2F0E" w14:textId="77777777" w:rsidTr="00682D01">
        <w:trPr>
          <w:trHeight w:val="57"/>
          <w:jc w:val="right"/>
        </w:trPr>
        <w:tc>
          <w:tcPr>
            <w:tcW w:w="2412" w:type="dxa"/>
            <w:tcBorders>
              <w:top w:val="single" w:sz="4" w:space="0" w:color="auto"/>
              <w:bottom w:val="single" w:sz="4" w:space="0" w:color="auto"/>
            </w:tcBorders>
            <w:shd w:val="clear" w:color="auto" w:fill="auto"/>
            <w:tcMar>
              <w:top w:w="80" w:type="dxa"/>
              <w:left w:w="80" w:type="dxa"/>
              <w:bottom w:w="80" w:type="dxa"/>
              <w:right w:w="80" w:type="dxa"/>
            </w:tcMar>
          </w:tcPr>
          <w:p w14:paraId="7C52F7D8" w14:textId="77777777" w:rsidR="002D10EB" w:rsidRPr="00D56F90" w:rsidRDefault="002D10EB" w:rsidP="00682D01">
            <w:pPr>
              <w:keepNext/>
              <w:keepLines/>
              <w:pBdr>
                <w:top w:val="nil"/>
                <w:left w:val="nil"/>
                <w:bottom w:val="nil"/>
                <w:right w:val="nil"/>
                <w:between w:val="nil"/>
                <w:bar w:val="nil"/>
              </w:pBdr>
              <w:shd w:val="clear" w:color="auto" w:fill="FFFFFF"/>
              <w:bidi/>
              <w:spacing w:before="40" w:after="40" w:line="300" w:lineRule="exact"/>
              <w:ind w:left="57" w:right="57"/>
              <w:jc w:val="both"/>
              <w:textDirection w:val="tbRlV"/>
              <w:rPr>
                <w:rFonts w:ascii="Traditional Arabic" w:hAnsi="Traditional Arabic"/>
                <w:b/>
                <w:sz w:val="24"/>
                <w:szCs w:val="24"/>
                <w:bdr w:val="nil"/>
                <w:rtl/>
                <w:lang w:val="ar-SA" w:eastAsia="zh-TW" w:bidi="en-GB"/>
              </w:rPr>
            </w:pPr>
            <w:r w:rsidRPr="00D56F90">
              <w:rPr>
                <w:rFonts w:ascii="Traditional Arabic" w:hAnsi="Traditional Arabic"/>
                <w:b/>
                <w:bCs/>
                <w:sz w:val="24"/>
                <w:szCs w:val="24"/>
                <w:bdr w:val="nil"/>
                <w:rtl/>
              </w:rPr>
              <w:t>الكائنات الحية: ناتج البحوث – متوفر إلى حد ما</w:t>
            </w:r>
          </w:p>
          <w:p w14:paraId="15FB17E0" w14:textId="77777777" w:rsidR="002D10EB" w:rsidRPr="00D56F90" w:rsidRDefault="002D10EB" w:rsidP="002A6B65">
            <w:pPr>
              <w:keepNext/>
              <w:keepLines/>
              <w:pBdr>
                <w:top w:val="nil"/>
                <w:left w:val="nil"/>
                <w:bottom w:val="nil"/>
                <w:right w:val="nil"/>
                <w:between w:val="nil"/>
                <w:bar w:val="nil"/>
              </w:pBdr>
              <w:shd w:val="clear" w:color="auto" w:fill="FFFFFF"/>
              <w:bidi/>
              <w:spacing w:before="40" w:after="40" w:line="300" w:lineRule="exact"/>
              <w:ind w:left="57" w:right="57"/>
              <w:textDirection w:val="tbRlV"/>
              <w:rPr>
                <w:rFonts w:ascii="Traditional Arabic" w:hAnsi="Traditional Arabic"/>
                <w:sz w:val="24"/>
                <w:szCs w:val="24"/>
                <w:bdr w:val="nil"/>
                <w:rtl/>
                <w:lang w:val="ar-SA" w:eastAsia="zh-TW" w:bidi="en-GB"/>
              </w:rPr>
            </w:pPr>
            <w:r w:rsidRPr="00D56F90">
              <w:rPr>
                <w:rFonts w:ascii="Traditional Arabic" w:hAnsi="Traditional Arabic"/>
                <w:sz w:val="24"/>
                <w:szCs w:val="24"/>
                <w:bdr w:val="nil"/>
                <w:rtl/>
              </w:rPr>
              <w:t>نموذج التراكم البيولوجي في الشبكات الغذائية في النظم الإيكولوجية البحرية</w:t>
            </w:r>
          </w:p>
          <w:p w14:paraId="5CCFB055" w14:textId="77777777" w:rsidR="002D10EB" w:rsidRPr="00D56F90" w:rsidRDefault="002D10EB" w:rsidP="004056AF">
            <w:pPr>
              <w:keepNext/>
              <w:keepLines/>
              <w:pBdr>
                <w:top w:val="nil"/>
                <w:left w:val="nil"/>
                <w:bottom w:val="nil"/>
                <w:right w:val="nil"/>
                <w:between w:val="nil"/>
                <w:bar w:val="nil"/>
              </w:pBdr>
              <w:shd w:val="clear" w:color="auto" w:fill="FFFFFF"/>
              <w:bidi/>
              <w:spacing w:before="40" w:after="120" w:line="300" w:lineRule="exact"/>
              <w:ind w:left="57" w:right="57"/>
              <w:textDirection w:val="tbRlV"/>
              <w:rPr>
                <w:rFonts w:ascii="Traditional Arabic" w:hAnsi="Traditional Arabic"/>
                <w:sz w:val="24"/>
                <w:szCs w:val="24"/>
                <w:bdr w:val="nil"/>
                <w:rtl/>
                <w:lang w:val="ar-SA" w:eastAsia="zh-TW" w:bidi="en-GB"/>
              </w:rPr>
            </w:pPr>
            <w:r w:rsidRPr="00D56F90">
              <w:rPr>
                <w:rFonts w:ascii="Traditional Arabic" w:hAnsi="Traditional Arabic"/>
                <w:sz w:val="24"/>
                <w:szCs w:val="24"/>
                <w:bdr w:val="nil"/>
                <w:rtl/>
              </w:rPr>
              <w:t>(النماذج العالمية للعوالق متوفرة/وللأسماك قيد الإعداد)</w:t>
            </w:r>
          </w:p>
          <w:p w14:paraId="29609778" w14:textId="77777777" w:rsidR="002D10EB" w:rsidRPr="00D56F90" w:rsidRDefault="002D10EB" w:rsidP="002A6B65">
            <w:pPr>
              <w:keepNext/>
              <w:keepLines/>
              <w:pBdr>
                <w:top w:val="nil"/>
                <w:left w:val="nil"/>
                <w:bottom w:val="nil"/>
                <w:right w:val="nil"/>
                <w:between w:val="nil"/>
                <w:bar w:val="nil"/>
              </w:pBdr>
              <w:shd w:val="clear" w:color="auto" w:fill="FFFFFF"/>
              <w:bidi/>
              <w:spacing w:before="40" w:after="40" w:line="300" w:lineRule="exact"/>
              <w:ind w:left="57" w:right="57"/>
              <w:textDirection w:val="tbRlV"/>
              <w:rPr>
                <w:rFonts w:ascii="Traditional Arabic" w:hAnsi="Traditional Arabic"/>
                <w:sz w:val="24"/>
                <w:szCs w:val="24"/>
                <w:bdr w:val="nil"/>
                <w:rtl/>
                <w:lang w:val="ar-SA" w:eastAsia="zh-TW" w:bidi="en-GB"/>
              </w:rPr>
            </w:pPr>
            <w:r w:rsidRPr="00D56F90">
              <w:rPr>
                <w:rFonts w:ascii="Traditional Arabic" w:hAnsi="Traditional Arabic"/>
                <w:sz w:val="24"/>
                <w:szCs w:val="24"/>
                <w:bdr w:val="nil"/>
                <w:rtl/>
              </w:rPr>
              <w:t>نموذج الشبكة الغذائية للنظم الإيكولوجية للمياه العذبة (محدد الموقع)</w:t>
            </w:r>
          </w:p>
        </w:tc>
        <w:tc>
          <w:tcPr>
            <w:tcW w:w="2977" w:type="dxa"/>
            <w:tcBorders>
              <w:top w:val="single" w:sz="4" w:space="0" w:color="auto"/>
              <w:bottom w:val="single" w:sz="4" w:space="0" w:color="auto"/>
            </w:tcBorders>
            <w:shd w:val="clear" w:color="auto" w:fill="auto"/>
            <w:tcMar>
              <w:top w:w="80" w:type="dxa"/>
              <w:left w:w="80" w:type="dxa"/>
              <w:bottom w:w="80" w:type="dxa"/>
              <w:right w:w="80" w:type="dxa"/>
            </w:tcMar>
          </w:tcPr>
          <w:p w14:paraId="799F9ADA" w14:textId="1A44AC0E" w:rsidR="002D10EB" w:rsidRPr="00D56F90" w:rsidRDefault="002D10EB" w:rsidP="00682D01">
            <w:pPr>
              <w:keepNext/>
              <w:keepLines/>
              <w:pBdr>
                <w:top w:val="nil"/>
                <w:left w:val="nil"/>
                <w:bottom w:val="nil"/>
                <w:right w:val="nil"/>
                <w:between w:val="nil"/>
                <w:bar w:val="nil"/>
              </w:pBdr>
              <w:shd w:val="clear" w:color="auto" w:fill="FFFFFF"/>
              <w:bidi/>
              <w:spacing w:before="40" w:after="40" w:line="300" w:lineRule="exact"/>
              <w:ind w:left="57" w:right="57"/>
              <w:jc w:val="both"/>
              <w:textDirection w:val="tbRlV"/>
              <w:rPr>
                <w:rFonts w:ascii="Traditional Arabic" w:hAnsi="Traditional Arabic"/>
                <w:sz w:val="24"/>
                <w:szCs w:val="24"/>
                <w:bdr w:val="nil"/>
                <w:rtl/>
                <w:lang w:val="ar-SA" w:eastAsia="zh-TW" w:bidi="en-GB"/>
              </w:rPr>
            </w:pPr>
            <w:r w:rsidRPr="002A6B65">
              <w:rPr>
                <w:rFonts w:ascii="Traditional Arabic" w:hAnsi="Traditional Arabic"/>
                <w:b/>
                <w:bCs/>
                <w:sz w:val="24"/>
                <w:szCs w:val="24"/>
                <w:bdr w:val="nil"/>
                <w:rtl/>
              </w:rPr>
              <w:t>المدخلات:</w:t>
            </w:r>
            <w:r w:rsidRPr="00D56F90">
              <w:rPr>
                <w:rFonts w:ascii="Traditional Arabic" w:hAnsi="Traditional Arabic"/>
                <w:sz w:val="24"/>
                <w:szCs w:val="24"/>
                <w:bdr w:val="nil"/>
                <w:rtl/>
              </w:rPr>
              <w:t xml:space="preserve"> ميثيل الزئبق في مياه البحر (نموذج)؛ إنتاج الكتلة الأحيائية في مصائد الأسماك من الإنتاجية الأولية على الصعيد العالمي، التفاعلات التغذوية (متاحة من خلال التعاون مع مشروع </w:t>
            </w:r>
            <w:r w:rsidRPr="00D56F90">
              <w:rPr>
                <w:rFonts w:ascii="Traditional Arabic" w:hAnsi="Traditional Arabic" w:hint="cs"/>
                <w:sz w:val="24"/>
                <w:szCs w:val="24"/>
                <w:bdr w:val="nil"/>
                <w:rtl/>
              </w:rPr>
              <w:t>الإدارة</w:t>
            </w:r>
            <w:r w:rsidRPr="00D56F90">
              <w:rPr>
                <w:rFonts w:ascii="Traditional Arabic" w:hAnsi="Traditional Arabic"/>
                <w:sz w:val="24"/>
                <w:szCs w:val="24"/>
                <w:bdr w:val="nil"/>
                <w:rtl/>
              </w:rPr>
              <w:t xml:space="preserve"> الوطنية لدراسة المحيطات والغلاف الجوي</w:t>
            </w:r>
            <w:r w:rsidR="004305C1">
              <w:rPr>
                <w:rFonts w:ascii="Traditional Arabic" w:hAnsi="Traditional Arabic" w:hint="cs"/>
                <w:sz w:val="24"/>
                <w:szCs w:val="24"/>
                <w:bdr w:val="nil"/>
                <w:rtl/>
              </w:rPr>
              <w:t xml:space="preserve"> في الولايات المتحدة</w:t>
            </w:r>
            <w:r w:rsidRPr="00D56F90">
              <w:rPr>
                <w:rFonts w:ascii="Traditional Arabic" w:hAnsi="Traditional Arabic"/>
                <w:sz w:val="24"/>
                <w:szCs w:val="24"/>
                <w:bdr w:val="nil"/>
                <w:rtl/>
              </w:rPr>
              <w:t xml:space="preserve">/مختبر ديناميكيات السوائل الجيوفيزيائية ومشروع </w:t>
            </w:r>
            <w:proofErr w:type="spellStart"/>
            <w:r w:rsidRPr="00D56F90">
              <w:rPr>
                <w:rFonts w:ascii="Traditional Arabic" w:hAnsi="Traditional Arabic"/>
                <w:sz w:val="24"/>
                <w:szCs w:val="24"/>
                <w:bdr w:val="nil"/>
                <w:rtl/>
              </w:rPr>
              <w:t>نيريس</w:t>
            </w:r>
            <w:proofErr w:type="spellEnd"/>
            <w:r w:rsidRPr="00D56F90">
              <w:rPr>
                <w:rFonts w:ascii="Traditional Arabic" w:hAnsi="Traditional Arabic"/>
                <w:sz w:val="24"/>
                <w:szCs w:val="24"/>
                <w:bdr w:val="nil"/>
                <w:rtl/>
              </w:rPr>
              <w:t xml:space="preserve"> في جامعة كولومبيا البريطانية)</w:t>
            </w:r>
          </w:p>
          <w:p w14:paraId="7811E6A9" w14:textId="77777777" w:rsidR="002D10EB" w:rsidRPr="00D56F90" w:rsidRDefault="002D10EB" w:rsidP="00682D01">
            <w:pPr>
              <w:keepNext/>
              <w:keepLines/>
              <w:pBdr>
                <w:top w:val="nil"/>
                <w:left w:val="nil"/>
                <w:bottom w:val="nil"/>
                <w:right w:val="nil"/>
                <w:between w:val="nil"/>
                <w:bar w:val="nil"/>
              </w:pBdr>
              <w:shd w:val="clear" w:color="auto" w:fill="FFFFFF"/>
              <w:bidi/>
              <w:spacing w:before="40" w:after="40" w:line="300" w:lineRule="exact"/>
              <w:ind w:left="57" w:right="57"/>
              <w:jc w:val="both"/>
              <w:textDirection w:val="tbRlV"/>
              <w:rPr>
                <w:rFonts w:ascii="Traditional Arabic" w:hAnsi="Traditional Arabic"/>
                <w:sz w:val="24"/>
                <w:szCs w:val="24"/>
                <w:bdr w:val="nil"/>
                <w:rtl/>
                <w:lang w:val="ar-SA" w:eastAsia="zh-TW" w:bidi="en-GB"/>
              </w:rPr>
            </w:pPr>
            <w:r w:rsidRPr="002A6B65">
              <w:rPr>
                <w:rFonts w:ascii="Traditional Arabic" w:hAnsi="Traditional Arabic"/>
                <w:b/>
                <w:bCs/>
                <w:sz w:val="24"/>
                <w:szCs w:val="24"/>
                <w:bdr w:val="nil"/>
                <w:rtl/>
              </w:rPr>
              <w:t>التقييم:</w:t>
            </w:r>
            <w:r w:rsidRPr="00D56F90">
              <w:rPr>
                <w:rFonts w:ascii="Traditional Arabic" w:hAnsi="Traditional Arabic"/>
                <w:sz w:val="24"/>
                <w:szCs w:val="24"/>
                <w:bdr w:val="nil"/>
                <w:rtl/>
              </w:rPr>
              <w:t xml:space="preserve"> قاعدة بيانات الزئبق في الكائنات الحية</w:t>
            </w:r>
          </w:p>
          <w:p w14:paraId="40AD6BC6" w14:textId="77777777" w:rsidR="002D10EB" w:rsidRPr="00D9595F" w:rsidRDefault="002D10EB" w:rsidP="00682D01">
            <w:pPr>
              <w:keepNext/>
              <w:keepLines/>
              <w:pBdr>
                <w:top w:val="nil"/>
                <w:left w:val="nil"/>
                <w:bottom w:val="nil"/>
                <w:right w:val="nil"/>
                <w:between w:val="nil"/>
                <w:bar w:val="nil"/>
              </w:pBdr>
              <w:shd w:val="clear" w:color="auto" w:fill="FFFFFF"/>
              <w:bidi/>
              <w:spacing w:before="40" w:after="40" w:line="300" w:lineRule="exact"/>
              <w:ind w:left="57" w:right="57"/>
              <w:jc w:val="both"/>
              <w:textDirection w:val="tbRlV"/>
              <w:rPr>
                <w:rFonts w:ascii="Traditional Arabic" w:hAnsi="Traditional Arabic"/>
                <w:sz w:val="24"/>
                <w:szCs w:val="24"/>
                <w:bdr w:val="nil"/>
                <w:lang w:val="en-GB" w:eastAsia="zh-TW" w:bidi="en-GB"/>
              </w:rPr>
            </w:pPr>
            <w:r w:rsidRPr="00D56F90">
              <w:rPr>
                <w:rFonts w:ascii="Traditional Arabic" w:hAnsi="Traditional Arabic"/>
                <w:sz w:val="24"/>
                <w:szCs w:val="24"/>
                <w:bdr w:val="nil"/>
                <w:rtl/>
              </w:rPr>
              <w:t xml:space="preserve">مستوى التغذية 3 للاتجاه الزماني، المستوى 4 لتحليل التدرج المكاني </w:t>
            </w:r>
          </w:p>
        </w:tc>
        <w:tc>
          <w:tcPr>
            <w:tcW w:w="1843" w:type="dxa"/>
            <w:tcBorders>
              <w:top w:val="single" w:sz="4" w:space="0" w:color="auto"/>
              <w:bottom w:val="single" w:sz="4" w:space="0" w:color="auto"/>
            </w:tcBorders>
            <w:shd w:val="clear" w:color="auto" w:fill="auto"/>
            <w:tcMar>
              <w:top w:w="80" w:type="dxa"/>
              <w:left w:w="80" w:type="dxa"/>
              <w:bottom w:w="80" w:type="dxa"/>
              <w:right w:w="80" w:type="dxa"/>
            </w:tcMar>
          </w:tcPr>
          <w:p w14:paraId="580C74E1" w14:textId="03C1ED31" w:rsidR="002D10EB" w:rsidRPr="002A6B65" w:rsidRDefault="002D10EB" w:rsidP="00682D01">
            <w:pPr>
              <w:keepNext/>
              <w:keepLines/>
              <w:pBdr>
                <w:top w:val="nil"/>
                <w:left w:val="nil"/>
                <w:bottom w:val="nil"/>
                <w:right w:val="nil"/>
                <w:between w:val="nil"/>
                <w:bar w:val="nil"/>
              </w:pBdr>
              <w:shd w:val="clear" w:color="auto" w:fill="FFFFFF"/>
              <w:bidi/>
              <w:spacing w:before="40" w:after="40" w:line="300" w:lineRule="exact"/>
              <w:ind w:left="57" w:right="57"/>
              <w:jc w:val="both"/>
              <w:textDirection w:val="tbRlV"/>
              <w:rPr>
                <w:rFonts w:ascii="Traditional Arabic" w:hAnsi="Traditional Arabic"/>
                <w:sz w:val="24"/>
                <w:szCs w:val="24"/>
                <w:bdr w:val="nil"/>
                <w:lang w:val="en-GB" w:eastAsia="zh-TW" w:bidi="en-GB"/>
              </w:rPr>
            </w:pPr>
            <w:r w:rsidRPr="00D56F90">
              <w:rPr>
                <w:rFonts w:ascii="Traditional Arabic" w:hAnsi="Traditional Arabic"/>
                <w:sz w:val="24"/>
                <w:szCs w:val="24"/>
                <w:bdr w:val="nil"/>
                <w:rtl/>
              </w:rPr>
              <w:t>تركيزات ميثيل الزئبق في الأسماك التي يستهلكها السكان؛ المصدر البحري لميثيل الزئبق</w:t>
            </w:r>
          </w:p>
          <w:p w14:paraId="43130B0B" w14:textId="77777777" w:rsidR="002D10EB" w:rsidRPr="00D56F90" w:rsidRDefault="002D10EB" w:rsidP="00682D01">
            <w:pPr>
              <w:keepNext/>
              <w:keepLines/>
              <w:pBdr>
                <w:top w:val="nil"/>
                <w:left w:val="nil"/>
                <w:bottom w:val="nil"/>
                <w:right w:val="nil"/>
                <w:between w:val="nil"/>
                <w:bar w:val="nil"/>
              </w:pBdr>
              <w:shd w:val="clear" w:color="auto" w:fill="FFFFFF"/>
              <w:bidi/>
              <w:spacing w:before="40" w:after="40" w:line="300" w:lineRule="exact"/>
              <w:ind w:left="57" w:right="57"/>
              <w:jc w:val="both"/>
              <w:textDirection w:val="tbRlV"/>
              <w:rPr>
                <w:rFonts w:ascii="Traditional Arabic" w:hAnsi="Traditional Arabic"/>
                <w:sz w:val="24"/>
                <w:szCs w:val="24"/>
                <w:bdr w:val="nil"/>
                <w:rtl/>
                <w:lang w:val="ar-SA" w:eastAsia="zh-TW" w:bidi="en-GB"/>
              </w:rPr>
            </w:pPr>
            <w:r w:rsidRPr="00D56F90">
              <w:rPr>
                <w:rFonts w:ascii="Traditional Arabic" w:hAnsi="Traditional Arabic"/>
                <w:sz w:val="24"/>
                <w:szCs w:val="24"/>
                <w:bdr w:val="nil"/>
                <w:rtl/>
              </w:rPr>
              <w:t>إسناد</w:t>
            </w:r>
          </w:p>
          <w:p w14:paraId="4C9B770B" w14:textId="77777777" w:rsidR="002D10EB" w:rsidRPr="00D56F90" w:rsidRDefault="002D10EB" w:rsidP="002A6B65">
            <w:pPr>
              <w:keepNext/>
              <w:keepLines/>
              <w:pBdr>
                <w:top w:val="nil"/>
                <w:left w:val="nil"/>
                <w:bottom w:val="nil"/>
                <w:right w:val="nil"/>
                <w:between w:val="nil"/>
                <w:bar w:val="nil"/>
              </w:pBdr>
              <w:shd w:val="clear" w:color="auto" w:fill="FFFFFF"/>
              <w:bidi/>
              <w:spacing w:before="40" w:after="40" w:line="300" w:lineRule="exact"/>
              <w:ind w:left="57" w:right="57"/>
              <w:textDirection w:val="tbRlV"/>
              <w:rPr>
                <w:rFonts w:ascii="Traditional Arabic" w:hAnsi="Traditional Arabic"/>
                <w:sz w:val="24"/>
                <w:szCs w:val="24"/>
                <w:bdr w:val="nil"/>
                <w:rtl/>
                <w:lang w:val="ar-SA" w:eastAsia="zh-TW" w:bidi="en-GB"/>
              </w:rPr>
            </w:pPr>
            <w:r w:rsidRPr="00D56F90">
              <w:rPr>
                <w:rFonts w:ascii="Traditional Arabic" w:hAnsi="Traditional Arabic"/>
                <w:sz w:val="24"/>
                <w:szCs w:val="24"/>
                <w:bdr w:val="nil"/>
                <w:rtl/>
              </w:rPr>
              <w:t>مصادر الزئبق في الأسماك (الثدييات البحرية؟) حسب المنطقة؛</w:t>
            </w:r>
          </w:p>
          <w:p w14:paraId="390B715C" w14:textId="77777777" w:rsidR="004056AF" w:rsidRDefault="004056AF" w:rsidP="004056AF">
            <w:pPr>
              <w:keepNext/>
              <w:keepLines/>
              <w:pBdr>
                <w:top w:val="nil"/>
                <w:left w:val="nil"/>
                <w:bottom w:val="nil"/>
                <w:right w:val="nil"/>
                <w:between w:val="nil"/>
                <w:bar w:val="nil"/>
              </w:pBdr>
              <w:shd w:val="clear" w:color="auto" w:fill="FFFFFF"/>
              <w:bidi/>
              <w:spacing w:line="300" w:lineRule="exact"/>
              <w:ind w:left="57" w:right="57"/>
              <w:textDirection w:val="tbRlV"/>
              <w:rPr>
                <w:rFonts w:ascii="Traditional Arabic" w:hAnsi="Traditional Arabic"/>
                <w:sz w:val="24"/>
                <w:szCs w:val="24"/>
                <w:bdr w:val="nil"/>
                <w:rtl/>
              </w:rPr>
            </w:pPr>
          </w:p>
          <w:p w14:paraId="73C6475A" w14:textId="77777777" w:rsidR="004056AF" w:rsidRDefault="004056AF" w:rsidP="004056AF">
            <w:pPr>
              <w:keepNext/>
              <w:keepLines/>
              <w:pBdr>
                <w:top w:val="nil"/>
                <w:left w:val="nil"/>
                <w:bottom w:val="nil"/>
                <w:right w:val="nil"/>
                <w:between w:val="nil"/>
                <w:bar w:val="nil"/>
              </w:pBdr>
              <w:shd w:val="clear" w:color="auto" w:fill="FFFFFF"/>
              <w:bidi/>
              <w:spacing w:line="300" w:lineRule="exact"/>
              <w:ind w:left="57" w:right="57"/>
              <w:textDirection w:val="tbRlV"/>
              <w:rPr>
                <w:rFonts w:ascii="Traditional Arabic" w:hAnsi="Traditional Arabic"/>
                <w:sz w:val="24"/>
                <w:szCs w:val="24"/>
                <w:bdr w:val="nil"/>
                <w:rtl/>
              </w:rPr>
            </w:pPr>
          </w:p>
          <w:p w14:paraId="4B9E1C45" w14:textId="0708B2F6" w:rsidR="002D10EB" w:rsidRPr="00D56F90" w:rsidRDefault="002D10EB" w:rsidP="004056AF">
            <w:pPr>
              <w:keepNext/>
              <w:keepLines/>
              <w:pBdr>
                <w:top w:val="nil"/>
                <w:left w:val="nil"/>
                <w:bottom w:val="nil"/>
                <w:right w:val="nil"/>
                <w:between w:val="nil"/>
                <w:bar w:val="nil"/>
              </w:pBdr>
              <w:shd w:val="clear" w:color="auto" w:fill="FFFFFF"/>
              <w:bidi/>
              <w:spacing w:line="300" w:lineRule="exact"/>
              <w:ind w:left="57" w:right="57"/>
              <w:textDirection w:val="tbRlV"/>
              <w:rPr>
                <w:rFonts w:ascii="Traditional Arabic" w:hAnsi="Traditional Arabic"/>
                <w:sz w:val="24"/>
                <w:szCs w:val="24"/>
                <w:bdr w:val="nil"/>
                <w:rtl/>
                <w:lang w:val="ar-SA" w:eastAsia="zh-TW" w:bidi="en-GB"/>
              </w:rPr>
            </w:pPr>
            <w:r w:rsidRPr="00D56F90">
              <w:rPr>
                <w:rFonts w:ascii="Traditional Arabic" w:hAnsi="Traditional Arabic"/>
                <w:sz w:val="24"/>
                <w:szCs w:val="24"/>
                <w:bdr w:val="nil"/>
                <w:rtl/>
              </w:rPr>
              <w:t>التغييرات بسبب الانبعاثات والمناخ</w:t>
            </w:r>
          </w:p>
        </w:tc>
        <w:tc>
          <w:tcPr>
            <w:tcW w:w="2269" w:type="dxa"/>
            <w:tcBorders>
              <w:top w:val="single" w:sz="4" w:space="0" w:color="auto"/>
              <w:bottom w:val="single" w:sz="4" w:space="0" w:color="auto"/>
            </w:tcBorders>
            <w:shd w:val="clear" w:color="auto" w:fill="auto"/>
            <w:tcMar>
              <w:top w:w="80" w:type="dxa"/>
              <w:left w:w="80" w:type="dxa"/>
              <w:bottom w:w="80" w:type="dxa"/>
              <w:right w:w="80" w:type="dxa"/>
            </w:tcMar>
          </w:tcPr>
          <w:p w14:paraId="0BAF50B3" w14:textId="77777777" w:rsidR="002D10EB" w:rsidRPr="00D56F90" w:rsidRDefault="002D10EB" w:rsidP="002A6B65">
            <w:pPr>
              <w:keepNext/>
              <w:keepLines/>
              <w:pBdr>
                <w:top w:val="nil"/>
                <w:left w:val="nil"/>
                <w:bottom w:val="nil"/>
                <w:right w:val="nil"/>
                <w:between w:val="nil"/>
                <w:bar w:val="nil"/>
              </w:pBdr>
              <w:shd w:val="clear" w:color="auto" w:fill="FFFFFF"/>
              <w:bidi/>
              <w:spacing w:before="40" w:after="40" w:line="300" w:lineRule="exact"/>
              <w:ind w:left="57" w:right="57"/>
              <w:textDirection w:val="tbRlV"/>
              <w:rPr>
                <w:rFonts w:ascii="Traditional Arabic" w:hAnsi="Traditional Arabic"/>
                <w:sz w:val="24"/>
                <w:szCs w:val="24"/>
                <w:bdr w:val="nil"/>
                <w:rtl/>
                <w:lang w:val="ar-SA" w:eastAsia="zh-TW" w:bidi="en-GB"/>
              </w:rPr>
            </w:pPr>
            <w:r w:rsidRPr="00D56F90">
              <w:rPr>
                <w:rFonts w:ascii="Traditional Arabic" w:hAnsi="Traditional Arabic"/>
                <w:sz w:val="24"/>
                <w:szCs w:val="24"/>
                <w:bdr w:val="nil"/>
                <w:rtl/>
              </w:rPr>
              <w:t>نموذج الأسماك العالمي قيد الإعداد؛ يمكن الربط بالثدييات/الطيور البحرية</w:t>
            </w:r>
          </w:p>
          <w:p w14:paraId="296527F2" w14:textId="77777777" w:rsidR="002D10EB" w:rsidRPr="00D56F90" w:rsidRDefault="002D10EB" w:rsidP="00D9595F">
            <w:pPr>
              <w:keepNext/>
              <w:keepLines/>
              <w:pBdr>
                <w:top w:val="nil"/>
                <w:left w:val="nil"/>
                <w:bottom w:val="nil"/>
                <w:right w:val="nil"/>
                <w:between w:val="nil"/>
                <w:bar w:val="nil"/>
              </w:pBdr>
              <w:shd w:val="clear" w:color="auto" w:fill="FFFFFF"/>
              <w:bidi/>
              <w:spacing w:before="2160" w:after="40" w:line="300" w:lineRule="exact"/>
              <w:ind w:left="57" w:right="57"/>
              <w:jc w:val="both"/>
              <w:textDirection w:val="tbRlV"/>
              <w:rPr>
                <w:rFonts w:ascii="Traditional Arabic" w:hAnsi="Traditional Arabic"/>
                <w:sz w:val="24"/>
                <w:szCs w:val="24"/>
                <w:bdr w:val="nil"/>
                <w:rtl/>
                <w:lang w:val="ar-SA" w:eastAsia="zh-TW" w:bidi="en-GB"/>
              </w:rPr>
            </w:pPr>
            <w:r w:rsidRPr="00D56F90">
              <w:rPr>
                <w:rFonts w:ascii="Traditional Arabic" w:hAnsi="Traditional Arabic"/>
                <w:sz w:val="24"/>
                <w:szCs w:val="24"/>
                <w:bdr w:val="nil"/>
                <w:rtl/>
              </w:rPr>
              <w:t>بيانات مستوى التغذية 4 في آسيا وأفريقيا يتعين جمعها</w:t>
            </w:r>
          </w:p>
        </w:tc>
      </w:tr>
      <w:tr w:rsidR="002D10EB" w:rsidRPr="00D56F90" w14:paraId="46D83268" w14:textId="77777777" w:rsidTr="00682D01">
        <w:trPr>
          <w:trHeight w:val="57"/>
          <w:jc w:val="right"/>
        </w:trPr>
        <w:tc>
          <w:tcPr>
            <w:tcW w:w="2412" w:type="dxa"/>
            <w:tcBorders>
              <w:top w:val="single" w:sz="4" w:space="0" w:color="auto"/>
              <w:bottom w:val="single" w:sz="12" w:space="0" w:color="auto"/>
            </w:tcBorders>
            <w:shd w:val="clear" w:color="auto" w:fill="auto"/>
            <w:tcMar>
              <w:top w:w="80" w:type="dxa"/>
              <w:left w:w="80" w:type="dxa"/>
              <w:bottom w:w="80" w:type="dxa"/>
              <w:right w:w="80" w:type="dxa"/>
            </w:tcMar>
          </w:tcPr>
          <w:p w14:paraId="09ABF226" w14:textId="77777777" w:rsidR="002D10EB" w:rsidRPr="00D9595F" w:rsidRDefault="002D10EB" w:rsidP="004056AF">
            <w:pPr>
              <w:keepNext/>
              <w:keepLines/>
              <w:pBdr>
                <w:top w:val="nil"/>
                <w:left w:val="nil"/>
                <w:bottom w:val="nil"/>
                <w:right w:val="nil"/>
                <w:between w:val="nil"/>
                <w:bar w:val="nil"/>
              </w:pBdr>
              <w:shd w:val="clear" w:color="auto" w:fill="FFFFFF"/>
              <w:bidi/>
              <w:spacing w:before="40" w:after="40" w:line="300" w:lineRule="exact"/>
              <w:ind w:left="57" w:right="57"/>
              <w:jc w:val="both"/>
              <w:textDirection w:val="tbRlV"/>
              <w:rPr>
                <w:rFonts w:ascii="Traditional Arabic" w:hAnsi="Traditional Arabic"/>
                <w:sz w:val="24"/>
                <w:szCs w:val="24"/>
                <w:bdr w:val="nil"/>
                <w:lang w:val="en-GB" w:eastAsia="zh-TW" w:bidi="en-GB"/>
              </w:rPr>
            </w:pPr>
            <w:r w:rsidRPr="00D9595F">
              <w:rPr>
                <w:rFonts w:ascii="Traditional Arabic" w:hAnsi="Traditional Arabic"/>
                <w:b/>
                <w:bCs/>
                <w:sz w:val="24"/>
                <w:szCs w:val="24"/>
                <w:bdr w:val="nil"/>
                <w:rtl/>
              </w:rPr>
              <w:t>البشر:</w:t>
            </w:r>
            <w:r w:rsidRPr="00D56F90">
              <w:rPr>
                <w:rFonts w:ascii="Traditional Arabic" w:hAnsi="Traditional Arabic"/>
                <w:sz w:val="24"/>
                <w:szCs w:val="24"/>
                <w:bdr w:val="nil"/>
                <w:rtl/>
              </w:rPr>
              <w:t xml:space="preserve"> تعرض مستهلكي الأسماك البحرية (على المستوى العالمي)</w:t>
            </w:r>
          </w:p>
          <w:p w14:paraId="427AF9D2" w14:textId="164D038D" w:rsidR="002D10EB" w:rsidRPr="00D56F90" w:rsidRDefault="002D10EB" w:rsidP="004056AF">
            <w:pPr>
              <w:keepNext/>
              <w:keepLines/>
              <w:pBdr>
                <w:top w:val="nil"/>
                <w:left w:val="nil"/>
                <w:bottom w:val="nil"/>
                <w:right w:val="nil"/>
                <w:between w:val="nil"/>
                <w:bar w:val="nil"/>
              </w:pBdr>
              <w:shd w:val="clear" w:color="auto" w:fill="FFFFFF"/>
              <w:bidi/>
              <w:spacing w:before="40" w:after="40" w:line="300" w:lineRule="exact"/>
              <w:ind w:left="57" w:right="57"/>
              <w:jc w:val="both"/>
              <w:textDirection w:val="tbRlV"/>
              <w:rPr>
                <w:rFonts w:ascii="Traditional Arabic" w:hAnsi="Traditional Arabic"/>
                <w:i/>
                <w:sz w:val="24"/>
                <w:szCs w:val="24"/>
                <w:bdr w:val="nil"/>
                <w:rtl/>
                <w:lang w:val="ar-SA" w:eastAsia="zh-TW" w:bidi="en-GB"/>
              </w:rPr>
            </w:pPr>
            <w:r w:rsidRPr="00D56F90">
              <w:rPr>
                <w:rFonts w:ascii="Traditional Arabic" w:hAnsi="Traditional Arabic"/>
                <w:i/>
                <w:iCs/>
                <w:sz w:val="24"/>
                <w:szCs w:val="24"/>
                <w:bdr w:val="nil"/>
                <w:rtl/>
              </w:rPr>
              <w:t>نموذج حركة السموم الذي يربط بين ابتلاع ميثيل الزئبق</w:t>
            </w:r>
            <w:r w:rsidRPr="00D56F90">
              <w:rPr>
                <w:rFonts w:ascii="Traditional Arabic" w:hAnsi="Traditional Arabic"/>
                <w:sz w:val="24"/>
                <w:szCs w:val="24"/>
                <w:bdr w:val="nil"/>
                <w:rtl/>
              </w:rPr>
              <w:t xml:space="preserve"> والتركيزات في </w:t>
            </w:r>
            <w:r w:rsidRPr="00D56F90">
              <w:rPr>
                <w:rFonts w:ascii="Traditional Arabic" w:hAnsi="Traditional Arabic"/>
                <w:i/>
                <w:iCs/>
                <w:sz w:val="24"/>
                <w:szCs w:val="24"/>
                <w:bdr w:val="nil"/>
                <w:rtl/>
              </w:rPr>
              <w:t>الدم</w:t>
            </w:r>
            <w:r w:rsidR="004305C1">
              <w:rPr>
                <w:rFonts w:ascii="Traditional Arabic" w:hAnsi="Traditional Arabic" w:hint="cs"/>
                <w:i/>
                <w:iCs/>
                <w:sz w:val="24"/>
                <w:szCs w:val="24"/>
                <w:bdr w:val="nil"/>
                <w:rtl/>
              </w:rPr>
              <w:t xml:space="preserve"> و</w:t>
            </w:r>
            <w:r w:rsidRPr="00D56F90">
              <w:rPr>
                <w:rFonts w:ascii="Traditional Arabic" w:hAnsi="Traditional Arabic"/>
                <w:i/>
                <w:iCs/>
                <w:sz w:val="24"/>
                <w:szCs w:val="24"/>
                <w:bdr w:val="nil"/>
                <w:rtl/>
              </w:rPr>
              <w:t>الشعر</w:t>
            </w:r>
            <w:r w:rsidR="004305C1">
              <w:rPr>
                <w:rFonts w:ascii="Traditional Arabic" w:hAnsi="Traditional Arabic" w:hint="cs"/>
                <w:i/>
                <w:iCs/>
                <w:sz w:val="24"/>
                <w:szCs w:val="24"/>
                <w:bdr w:val="nil"/>
                <w:rtl/>
              </w:rPr>
              <w:t xml:space="preserve"> و</w:t>
            </w:r>
            <w:r w:rsidRPr="00D56F90">
              <w:rPr>
                <w:rFonts w:ascii="Traditional Arabic" w:hAnsi="Traditional Arabic"/>
                <w:i/>
                <w:iCs/>
                <w:sz w:val="24"/>
                <w:szCs w:val="24"/>
                <w:bdr w:val="nil"/>
                <w:rtl/>
              </w:rPr>
              <w:t>النتائج</w:t>
            </w:r>
          </w:p>
          <w:p w14:paraId="30987E1E" w14:textId="77777777" w:rsidR="002D10EB" w:rsidRPr="004056AF" w:rsidRDefault="002D10EB" w:rsidP="004056AF">
            <w:pPr>
              <w:keepNext/>
              <w:keepLines/>
              <w:pBdr>
                <w:top w:val="nil"/>
                <w:left w:val="nil"/>
                <w:bottom w:val="nil"/>
                <w:right w:val="nil"/>
                <w:between w:val="nil"/>
                <w:bar w:val="nil"/>
              </w:pBdr>
              <w:shd w:val="clear" w:color="auto" w:fill="FFFFFF"/>
              <w:bidi/>
              <w:spacing w:before="40" w:after="40" w:line="300" w:lineRule="exact"/>
              <w:ind w:left="57" w:right="57"/>
              <w:textDirection w:val="tbRlV"/>
              <w:rPr>
                <w:rFonts w:ascii="Traditional Arabic" w:hAnsi="Traditional Arabic"/>
                <w:sz w:val="24"/>
                <w:szCs w:val="24"/>
                <w:bdr w:val="nil"/>
                <w:lang w:val="en-GB" w:eastAsia="zh-TW" w:bidi="en-GB"/>
              </w:rPr>
            </w:pPr>
            <w:r w:rsidRPr="00D56F90">
              <w:rPr>
                <w:rFonts w:ascii="Traditional Arabic" w:hAnsi="Traditional Arabic"/>
                <w:sz w:val="24"/>
                <w:szCs w:val="24"/>
                <w:bdr w:val="nil"/>
                <w:rtl/>
              </w:rPr>
              <w:t>مستهلكو أسماك المياه العذبة والأرز (بيانات محددة الموقع، إن كانت قابلة للتطبيق) - هؤلاء قد يكونون الفئات السكانية الأكثر عرضة للخطر</w:t>
            </w:r>
          </w:p>
          <w:p w14:paraId="41A8F172" w14:textId="77777777" w:rsidR="002D10EB" w:rsidRPr="00D56F90" w:rsidRDefault="002D10EB" w:rsidP="00682D01">
            <w:pPr>
              <w:keepNext/>
              <w:keepLines/>
              <w:pBdr>
                <w:top w:val="nil"/>
                <w:left w:val="nil"/>
                <w:bottom w:val="nil"/>
                <w:right w:val="nil"/>
                <w:between w:val="nil"/>
                <w:bar w:val="nil"/>
              </w:pBdr>
              <w:shd w:val="clear" w:color="auto" w:fill="FFFFFF"/>
              <w:bidi/>
              <w:spacing w:before="40" w:after="40" w:line="300" w:lineRule="exact"/>
              <w:ind w:left="57" w:right="57"/>
              <w:jc w:val="both"/>
              <w:textDirection w:val="tbRlV"/>
              <w:rPr>
                <w:rFonts w:ascii="Traditional Arabic" w:hAnsi="Traditional Arabic"/>
                <w:sz w:val="24"/>
                <w:szCs w:val="24"/>
                <w:bdr w:val="nil"/>
                <w:rtl/>
                <w:lang w:val="ar-SA" w:eastAsia="zh-TW" w:bidi="en-GB"/>
              </w:rPr>
            </w:pPr>
            <w:r w:rsidRPr="00D56F90">
              <w:rPr>
                <w:rFonts w:ascii="Traditional Arabic" w:hAnsi="Traditional Arabic"/>
                <w:sz w:val="24"/>
                <w:szCs w:val="24"/>
                <w:bdr w:val="nil"/>
                <w:rtl/>
              </w:rPr>
              <w:t>التعرض المهني في مواقع تعدين الذهب الحرفي والضيق النطاق (محدد الموقع)</w:t>
            </w:r>
          </w:p>
        </w:tc>
        <w:tc>
          <w:tcPr>
            <w:tcW w:w="2977" w:type="dxa"/>
            <w:tcBorders>
              <w:top w:val="single" w:sz="4" w:space="0" w:color="auto"/>
              <w:bottom w:val="single" w:sz="12" w:space="0" w:color="auto"/>
            </w:tcBorders>
            <w:shd w:val="clear" w:color="auto" w:fill="auto"/>
            <w:tcMar>
              <w:top w:w="80" w:type="dxa"/>
              <w:left w:w="80" w:type="dxa"/>
              <w:bottom w:w="80" w:type="dxa"/>
              <w:right w:w="80" w:type="dxa"/>
            </w:tcMar>
          </w:tcPr>
          <w:p w14:paraId="09437849" w14:textId="77777777" w:rsidR="002D10EB" w:rsidRPr="00D56F90" w:rsidRDefault="002D10EB" w:rsidP="00682D01">
            <w:pPr>
              <w:keepNext/>
              <w:keepLines/>
              <w:pBdr>
                <w:top w:val="nil"/>
                <w:left w:val="nil"/>
                <w:bottom w:val="nil"/>
                <w:right w:val="nil"/>
                <w:between w:val="nil"/>
                <w:bar w:val="nil"/>
              </w:pBdr>
              <w:shd w:val="clear" w:color="auto" w:fill="FFFFFF"/>
              <w:bidi/>
              <w:spacing w:before="40" w:after="40" w:line="300" w:lineRule="exact"/>
              <w:ind w:left="57" w:right="57"/>
              <w:jc w:val="both"/>
              <w:textDirection w:val="tbRlV"/>
              <w:rPr>
                <w:rFonts w:ascii="Traditional Arabic" w:hAnsi="Traditional Arabic"/>
                <w:sz w:val="24"/>
                <w:szCs w:val="24"/>
                <w:bdr w:val="nil"/>
                <w:rtl/>
                <w:lang w:val="ar-SA" w:eastAsia="zh-TW" w:bidi="en-GB"/>
              </w:rPr>
            </w:pPr>
            <w:r w:rsidRPr="00D9595F">
              <w:rPr>
                <w:rFonts w:ascii="Traditional Arabic" w:hAnsi="Traditional Arabic"/>
                <w:b/>
                <w:bCs/>
                <w:sz w:val="24"/>
                <w:szCs w:val="24"/>
                <w:bdr w:val="nil"/>
                <w:rtl/>
              </w:rPr>
              <w:t>المدخلات:</w:t>
            </w:r>
            <w:r w:rsidRPr="00D56F90">
              <w:rPr>
                <w:rFonts w:ascii="Traditional Arabic" w:hAnsi="Traditional Arabic"/>
                <w:sz w:val="24"/>
                <w:szCs w:val="24"/>
                <w:bdr w:val="nil"/>
                <w:rtl/>
              </w:rPr>
              <w:t xml:space="preserve"> الكتلة الأحيائية وتركيزات ميثيل الزئبق في الأسماك التي تستهلكها مختلف الفئات السكانية الأقل نشاطاً على الصعيد العالمي (نموذج)؛ بيانات المدخول الغذائي لمختلف الفئات السكانية</w:t>
            </w:r>
          </w:p>
          <w:p w14:paraId="13782CB5" w14:textId="77777777" w:rsidR="002D10EB" w:rsidRPr="00D56F90" w:rsidRDefault="002D10EB" w:rsidP="00D9595F">
            <w:pPr>
              <w:keepNext/>
              <w:keepLines/>
              <w:pBdr>
                <w:top w:val="nil"/>
                <w:left w:val="nil"/>
                <w:bottom w:val="nil"/>
                <w:right w:val="nil"/>
                <w:between w:val="nil"/>
                <w:bar w:val="nil"/>
              </w:pBdr>
              <w:shd w:val="clear" w:color="auto" w:fill="FFFFFF"/>
              <w:bidi/>
              <w:spacing w:before="40" w:after="40" w:line="300" w:lineRule="exact"/>
              <w:ind w:left="57" w:right="57"/>
              <w:textDirection w:val="tbRlV"/>
              <w:rPr>
                <w:rFonts w:ascii="Traditional Arabic" w:hAnsi="Traditional Arabic"/>
                <w:sz w:val="24"/>
                <w:szCs w:val="24"/>
                <w:bdr w:val="nil"/>
                <w:rtl/>
                <w:lang w:val="ar-SA" w:eastAsia="zh-TW" w:bidi="en-GB"/>
              </w:rPr>
            </w:pPr>
            <w:r w:rsidRPr="00D56F90">
              <w:rPr>
                <w:rFonts w:ascii="Traditional Arabic" w:hAnsi="Traditional Arabic"/>
                <w:sz w:val="24"/>
                <w:szCs w:val="24"/>
                <w:bdr w:val="nil"/>
                <w:rtl/>
              </w:rPr>
              <w:t>بيانات الرصد البيولوجي الوطنية (تقييم النموذج)</w:t>
            </w:r>
          </w:p>
        </w:tc>
        <w:tc>
          <w:tcPr>
            <w:tcW w:w="1843" w:type="dxa"/>
            <w:tcBorders>
              <w:top w:val="single" w:sz="4" w:space="0" w:color="auto"/>
              <w:bottom w:val="single" w:sz="12" w:space="0" w:color="auto"/>
            </w:tcBorders>
            <w:shd w:val="clear" w:color="auto" w:fill="auto"/>
            <w:tcMar>
              <w:top w:w="80" w:type="dxa"/>
              <w:left w:w="80" w:type="dxa"/>
              <w:bottom w:w="80" w:type="dxa"/>
              <w:right w:w="80" w:type="dxa"/>
            </w:tcMar>
          </w:tcPr>
          <w:p w14:paraId="0457D621" w14:textId="77777777" w:rsidR="002D10EB" w:rsidRPr="00D56F90" w:rsidRDefault="002D10EB" w:rsidP="00682D01">
            <w:pPr>
              <w:keepNext/>
              <w:keepLines/>
              <w:pBdr>
                <w:top w:val="nil"/>
                <w:left w:val="nil"/>
                <w:bottom w:val="nil"/>
                <w:right w:val="nil"/>
                <w:between w:val="nil"/>
                <w:bar w:val="nil"/>
              </w:pBdr>
              <w:shd w:val="clear" w:color="auto" w:fill="FFFFFF"/>
              <w:bidi/>
              <w:spacing w:before="40" w:after="40" w:line="300" w:lineRule="exact"/>
              <w:ind w:left="57" w:right="57"/>
              <w:jc w:val="both"/>
              <w:textDirection w:val="tbRlV"/>
              <w:rPr>
                <w:rFonts w:ascii="Traditional Arabic" w:hAnsi="Traditional Arabic"/>
                <w:sz w:val="24"/>
                <w:szCs w:val="24"/>
                <w:bdr w:val="nil"/>
                <w:rtl/>
                <w:lang w:val="ar-SA" w:eastAsia="zh-TW" w:bidi="en-GB"/>
              </w:rPr>
            </w:pPr>
            <w:r w:rsidRPr="00D9595F">
              <w:rPr>
                <w:rFonts w:ascii="Traditional Arabic" w:hAnsi="Traditional Arabic"/>
                <w:b/>
                <w:bCs/>
                <w:sz w:val="24"/>
                <w:szCs w:val="24"/>
                <w:bdr w:val="nil"/>
                <w:rtl/>
              </w:rPr>
              <w:t>الهدف:</w:t>
            </w:r>
            <w:r w:rsidRPr="00D56F90">
              <w:rPr>
                <w:rFonts w:ascii="Traditional Arabic" w:hAnsi="Traditional Arabic"/>
                <w:sz w:val="24"/>
                <w:szCs w:val="24"/>
                <w:bdr w:val="nil"/>
                <w:rtl/>
              </w:rPr>
              <w:t xml:space="preserve"> إسناد مساهمات مصدر الزئبق إلى فئات سكانية </w:t>
            </w:r>
          </w:p>
        </w:tc>
        <w:tc>
          <w:tcPr>
            <w:tcW w:w="2269" w:type="dxa"/>
            <w:tcBorders>
              <w:top w:val="single" w:sz="4" w:space="0" w:color="auto"/>
              <w:bottom w:val="single" w:sz="12" w:space="0" w:color="auto"/>
            </w:tcBorders>
            <w:shd w:val="clear" w:color="auto" w:fill="auto"/>
            <w:tcMar>
              <w:top w:w="80" w:type="dxa"/>
              <w:left w:w="80" w:type="dxa"/>
              <w:bottom w:w="80" w:type="dxa"/>
              <w:right w:w="80" w:type="dxa"/>
            </w:tcMar>
          </w:tcPr>
          <w:p w14:paraId="7817DF23" w14:textId="5759CB86" w:rsidR="002D10EB" w:rsidRPr="00D56F90" w:rsidRDefault="002D10EB" w:rsidP="004305C1">
            <w:pPr>
              <w:keepNext/>
              <w:keepLines/>
              <w:pBdr>
                <w:top w:val="nil"/>
                <w:left w:val="nil"/>
                <w:bottom w:val="nil"/>
                <w:right w:val="nil"/>
                <w:between w:val="nil"/>
                <w:bar w:val="nil"/>
              </w:pBdr>
              <w:shd w:val="clear" w:color="auto" w:fill="FFFFFF"/>
              <w:bidi/>
              <w:spacing w:before="40" w:after="40" w:line="300" w:lineRule="exact"/>
              <w:ind w:left="57" w:right="57"/>
              <w:jc w:val="both"/>
              <w:textDirection w:val="tbRlV"/>
              <w:rPr>
                <w:rFonts w:ascii="Traditional Arabic" w:hAnsi="Traditional Arabic"/>
                <w:sz w:val="24"/>
                <w:szCs w:val="24"/>
                <w:bdr w:val="nil"/>
                <w:rtl/>
                <w:lang w:val="ar-SA" w:eastAsia="zh-TW" w:bidi="en-GB"/>
              </w:rPr>
            </w:pPr>
            <w:r w:rsidRPr="00D56F90">
              <w:rPr>
                <w:rFonts w:ascii="Traditional Arabic" w:hAnsi="Traditional Arabic"/>
                <w:sz w:val="24"/>
                <w:szCs w:val="24"/>
                <w:bdr w:val="nil"/>
                <w:rtl/>
              </w:rPr>
              <w:t>الآليات التي تؤثر على العلاقات بين التعرض الخارجي لميثيل الزئبق والتركيزات في الدم</w:t>
            </w:r>
            <w:r w:rsidR="004305C1">
              <w:rPr>
                <w:rFonts w:ascii="Traditional Arabic" w:hAnsi="Traditional Arabic"/>
                <w:sz w:val="24"/>
                <w:szCs w:val="24"/>
                <w:bdr w:val="nil"/>
                <w:rtl/>
                <w:lang w:val="ar-SA" w:eastAsia="zh-TW"/>
              </w:rPr>
              <w:t xml:space="preserve"> </w:t>
            </w:r>
            <w:r w:rsidR="004305C1">
              <w:rPr>
                <w:rFonts w:ascii="Traditional Arabic" w:hAnsi="Traditional Arabic" w:hint="cs"/>
                <w:sz w:val="24"/>
                <w:szCs w:val="24"/>
                <w:bdr w:val="nil"/>
                <w:rtl/>
                <w:lang w:val="ar-SA" w:eastAsia="zh-TW"/>
              </w:rPr>
              <w:t>و</w:t>
            </w:r>
            <w:r w:rsidRPr="00D56F90">
              <w:rPr>
                <w:rFonts w:ascii="Traditional Arabic" w:hAnsi="Traditional Arabic"/>
                <w:sz w:val="24"/>
                <w:szCs w:val="24"/>
                <w:bdr w:val="nil"/>
                <w:rtl/>
              </w:rPr>
              <w:t>النتائج الخاصة بمختلف الفئات السكانية غير مؤكدة (البحوث مستمرة)</w:t>
            </w:r>
          </w:p>
        </w:tc>
      </w:tr>
    </w:tbl>
    <w:p w14:paraId="6F12A0D0" w14:textId="71A4B068" w:rsidR="002D10EB" w:rsidRPr="00CC6D1C" w:rsidRDefault="002D10EB" w:rsidP="000413C1">
      <w:pPr>
        <w:tabs>
          <w:tab w:val="left" w:pos="1699"/>
        </w:tabs>
        <w:bidi/>
        <w:spacing w:before="360" w:after="120" w:line="400" w:lineRule="exact"/>
        <w:ind w:left="1135" w:hanging="851"/>
        <w:jc w:val="both"/>
        <w:rPr>
          <w:b/>
          <w:bCs/>
          <w:sz w:val="32"/>
          <w:szCs w:val="32"/>
          <w:rtl/>
        </w:rPr>
      </w:pPr>
      <w:r w:rsidRPr="00CC6D1C">
        <w:rPr>
          <w:b/>
          <w:bCs/>
          <w:sz w:val="32"/>
          <w:szCs w:val="32"/>
          <w:rtl/>
        </w:rPr>
        <w:t>خامساً-</w:t>
      </w:r>
      <w:r w:rsidRPr="00CC6D1C">
        <w:rPr>
          <w:b/>
          <w:bCs/>
          <w:sz w:val="32"/>
          <w:szCs w:val="32"/>
          <w:rtl/>
        </w:rPr>
        <w:tab/>
        <w:t>تحديد خط أساس لبيانات الرصد</w:t>
      </w:r>
    </w:p>
    <w:p w14:paraId="38B02E05" w14:textId="77777777" w:rsidR="002D10EB" w:rsidRPr="0092308F" w:rsidRDefault="002D10EB" w:rsidP="0092308F">
      <w:pPr>
        <w:pStyle w:val="ListParagraph"/>
        <w:numPr>
          <w:ilvl w:val="0"/>
          <w:numId w:val="21"/>
        </w:numPr>
        <w:tabs>
          <w:tab w:val="left" w:pos="1841"/>
        </w:tabs>
        <w:spacing w:after="120" w:line="400" w:lineRule="exact"/>
        <w:ind w:left="1134" w:firstLine="2"/>
        <w:contextualSpacing w:val="0"/>
        <w:jc w:val="both"/>
        <w:rPr>
          <w:rFonts w:ascii="Times New Roman" w:hAnsi="Times New Roman" w:cs="Traditional Arabic"/>
          <w:szCs w:val="30"/>
          <w:rtl/>
        </w:rPr>
      </w:pPr>
      <w:r w:rsidRPr="0092308F">
        <w:rPr>
          <w:rFonts w:ascii="Times New Roman" w:hAnsi="Times New Roman" w:cs="Traditional Arabic"/>
          <w:szCs w:val="30"/>
          <w:rtl/>
        </w:rPr>
        <w:t>في نهج ’’المقارنة القبلية والبعدية‘‘، حيث تقارن مستويات الزئبق قبل وبعد تنفيذ الاتفاقية يمكن استخدام بيانات الرصد القريبة من بداية ونهاية فترة التقييم. وفي التقييم الأول للفعالية يمكن استخدام بيانات الرصد المستقاة قبل بدء نفاذ الاتفاقية كأساس. وفيما يخص الهواء تتوفر بيانات رصد تاريخية لبعض أنحاء نصف الكرة الشمالي. أما فيما يخص الرصد الأحيائي البشري فيمكن استخدام بيانات من عدد محدود من برامج الرصد البيولوجي الإقليمية والوطنية والدراسات الطولية. وفيما يخص الأوساط الأحيائية، تتوفر بيانات تاريخية عن مستويات الزئبق في أسماك المياه العذبة في مناطق جغرافية محدودة، والعمل جار على تحليل البيانات المتوفرة عن أنواع الأسماك في المحيطات.</w:t>
      </w:r>
    </w:p>
    <w:p w14:paraId="59E2435E" w14:textId="77777777" w:rsidR="002D10EB" w:rsidRPr="0092308F" w:rsidRDefault="002D10EB" w:rsidP="00626B05">
      <w:pPr>
        <w:pStyle w:val="ListParagraph"/>
        <w:numPr>
          <w:ilvl w:val="0"/>
          <w:numId w:val="21"/>
        </w:numPr>
        <w:tabs>
          <w:tab w:val="left" w:pos="1841"/>
        </w:tabs>
        <w:spacing w:line="400" w:lineRule="exact"/>
        <w:ind w:left="1134" w:firstLine="0"/>
        <w:contextualSpacing w:val="0"/>
        <w:jc w:val="both"/>
        <w:rPr>
          <w:rFonts w:ascii="Times New Roman" w:hAnsi="Times New Roman" w:cs="Traditional Arabic"/>
          <w:szCs w:val="30"/>
          <w:rtl/>
        </w:rPr>
      </w:pPr>
      <w:r w:rsidRPr="0092308F">
        <w:rPr>
          <w:rFonts w:ascii="Times New Roman" w:hAnsi="Times New Roman" w:cs="Traditional Arabic"/>
          <w:szCs w:val="30"/>
          <w:rtl/>
        </w:rPr>
        <w:t>أما في نهج ’’مع - بدون‘‘ فإنه لتقييم التغير في مستويات الزئبق الناتج عن التدابير المتخذة لتنفيذ الاتفاقية يتعين تقدير مستويات الزئبق لسيناريو العمل المعتاد باستخدام إطار النمذجة المتكامل المذكور أعلاه.</w:t>
      </w:r>
    </w:p>
    <w:p w14:paraId="424984E0" w14:textId="77777777" w:rsidR="00626B05" w:rsidRPr="00626B05" w:rsidRDefault="00626B05" w:rsidP="00626B05">
      <w:pPr>
        <w:bidi/>
        <w:spacing w:line="240" w:lineRule="exact"/>
        <w:rPr>
          <w:b/>
          <w:bCs/>
          <w:szCs w:val="20"/>
          <w:rtl/>
        </w:rPr>
      </w:pPr>
      <w:r w:rsidRPr="00626B05">
        <w:rPr>
          <w:b/>
          <w:bCs/>
          <w:szCs w:val="20"/>
          <w:rtl/>
        </w:rPr>
        <w:br w:type="page"/>
      </w:r>
    </w:p>
    <w:p w14:paraId="583F46E9" w14:textId="70C4A060" w:rsidR="002D10EB" w:rsidRPr="00EE1414" w:rsidRDefault="002D10EB" w:rsidP="00EE1414">
      <w:pPr>
        <w:tabs>
          <w:tab w:val="left" w:pos="1699"/>
        </w:tabs>
        <w:bidi/>
        <w:spacing w:after="120" w:line="400" w:lineRule="exact"/>
        <w:ind w:left="1134" w:hanging="852"/>
        <w:jc w:val="both"/>
        <w:rPr>
          <w:b/>
          <w:bCs/>
          <w:sz w:val="32"/>
          <w:szCs w:val="32"/>
          <w:rtl/>
        </w:rPr>
      </w:pPr>
      <w:r w:rsidRPr="00EE1414">
        <w:rPr>
          <w:b/>
          <w:bCs/>
          <w:sz w:val="32"/>
          <w:szCs w:val="32"/>
          <w:rtl/>
        </w:rPr>
        <w:lastRenderedPageBreak/>
        <w:t>سادسا</w:t>
      </w:r>
      <w:r w:rsidR="00EE1414">
        <w:rPr>
          <w:rFonts w:hint="cs"/>
          <w:b/>
          <w:bCs/>
          <w:sz w:val="32"/>
          <w:szCs w:val="32"/>
          <w:rtl/>
        </w:rPr>
        <w:t>ً</w:t>
      </w:r>
      <w:r w:rsidRPr="00EE1414">
        <w:rPr>
          <w:b/>
          <w:bCs/>
          <w:sz w:val="32"/>
          <w:szCs w:val="32"/>
          <w:rtl/>
        </w:rPr>
        <w:t>-</w:t>
      </w:r>
      <w:r w:rsidRPr="00EE1414">
        <w:rPr>
          <w:b/>
          <w:bCs/>
          <w:sz w:val="32"/>
          <w:szCs w:val="32"/>
          <w:rtl/>
        </w:rPr>
        <w:tab/>
        <w:t>أنشطة الرصد المقترحة لدعم تقييم الفعالية</w:t>
      </w:r>
    </w:p>
    <w:p w14:paraId="0E9049B7" w14:textId="77777777" w:rsidR="002D10EB" w:rsidRPr="0092308F" w:rsidRDefault="002D10EB" w:rsidP="0092308F">
      <w:pPr>
        <w:pStyle w:val="ListParagraph"/>
        <w:numPr>
          <w:ilvl w:val="0"/>
          <w:numId w:val="21"/>
        </w:numPr>
        <w:tabs>
          <w:tab w:val="left" w:pos="1841"/>
        </w:tabs>
        <w:spacing w:after="120" w:line="400" w:lineRule="exact"/>
        <w:ind w:left="1134" w:firstLine="2"/>
        <w:contextualSpacing w:val="0"/>
        <w:jc w:val="both"/>
        <w:rPr>
          <w:rFonts w:ascii="Times New Roman" w:hAnsi="Times New Roman" w:cs="Traditional Arabic"/>
          <w:szCs w:val="30"/>
          <w:rtl/>
        </w:rPr>
      </w:pPr>
      <w:r w:rsidRPr="0092308F">
        <w:rPr>
          <w:rFonts w:ascii="Times New Roman" w:hAnsi="Times New Roman" w:cs="Traditional Arabic"/>
          <w:szCs w:val="30"/>
          <w:rtl/>
        </w:rPr>
        <w:t>يظهر الاستعراض المعروض في الفروع أعلاه أنه بالرغم من أن الزئبق يتميز بإحدى أكبر مجموعات البيانات الجمعية المتاحة من بين الملوثات البيئية المعروفة إلا أنه لا تزال هناك ثغرات في البيانات. ويمكن للأطراف أن تسد هذه الثغرات وأن تحقق تغطية بالبيانات ممثِّلة على الصعيد العالمي من خلال دعم الأنشطة العلمية واستخدام المواد المطورة بالفعل.</w:t>
      </w:r>
    </w:p>
    <w:p w14:paraId="5068A8A1" w14:textId="77777777" w:rsidR="002D10EB" w:rsidRPr="0092308F" w:rsidRDefault="002D10EB" w:rsidP="0092308F">
      <w:pPr>
        <w:pStyle w:val="ListParagraph"/>
        <w:numPr>
          <w:ilvl w:val="0"/>
          <w:numId w:val="21"/>
        </w:numPr>
        <w:tabs>
          <w:tab w:val="left" w:pos="1841"/>
        </w:tabs>
        <w:spacing w:after="120" w:line="400" w:lineRule="exact"/>
        <w:ind w:left="1134" w:firstLine="2"/>
        <w:contextualSpacing w:val="0"/>
        <w:jc w:val="both"/>
        <w:rPr>
          <w:rFonts w:ascii="Times New Roman" w:hAnsi="Times New Roman" w:cs="Traditional Arabic"/>
          <w:szCs w:val="30"/>
          <w:rtl/>
        </w:rPr>
      </w:pPr>
      <w:r w:rsidRPr="0092308F">
        <w:rPr>
          <w:rFonts w:ascii="Times New Roman" w:hAnsi="Times New Roman" w:cs="Traditional Arabic"/>
          <w:szCs w:val="30"/>
          <w:rtl/>
        </w:rPr>
        <w:t xml:space="preserve">وبافتراض تواصل أنشطة رصد الزئبق القائمة بطريقة منسقة مع تعزيزها بإجراءات ترمي إلى سد الثغرات في البيانات عن بعض المناطق فإن البيانات عن مستويات الزئبق ومركبات الزئبق في الهواء والبشر والأوساط الأحيائية يمكن اعتبارها إما متاحة أو يمكن الحصول عليها وستكون قابلة للمقارنة على الصعيد العالمي. </w:t>
      </w:r>
    </w:p>
    <w:p w14:paraId="5A19F656" w14:textId="77777777" w:rsidR="002D10EB" w:rsidRPr="0092308F" w:rsidRDefault="002D10EB" w:rsidP="0092308F">
      <w:pPr>
        <w:pStyle w:val="ListParagraph"/>
        <w:numPr>
          <w:ilvl w:val="0"/>
          <w:numId w:val="21"/>
        </w:numPr>
        <w:tabs>
          <w:tab w:val="left" w:pos="1841"/>
        </w:tabs>
        <w:spacing w:after="120" w:line="400" w:lineRule="exact"/>
        <w:ind w:left="1134" w:firstLine="2"/>
        <w:contextualSpacing w:val="0"/>
        <w:jc w:val="both"/>
        <w:rPr>
          <w:rFonts w:ascii="Times New Roman" w:hAnsi="Times New Roman" w:cs="Traditional Arabic"/>
          <w:szCs w:val="30"/>
          <w:rtl/>
        </w:rPr>
      </w:pPr>
      <w:r w:rsidRPr="0092308F">
        <w:rPr>
          <w:rFonts w:ascii="Times New Roman" w:hAnsi="Times New Roman" w:cs="Traditional Arabic"/>
          <w:szCs w:val="30"/>
          <w:rtl/>
        </w:rPr>
        <w:t>ويرد أدناه اقتراح بـ</w:t>
      </w:r>
      <w:r w:rsidRPr="0092308F">
        <w:rPr>
          <w:rFonts w:ascii="Times New Roman" w:hAnsi="Times New Roman" w:cs="Traditional Arabic" w:hint="cs"/>
          <w:szCs w:val="30"/>
          <w:rtl/>
        </w:rPr>
        <w:t>أن</w:t>
      </w:r>
      <w:r w:rsidRPr="0092308F">
        <w:rPr>
          <w:rFonts w:ascii="Times New Roman" w:hAnsi="Times New Roman" w:cs="Traditional Arabic"/>
          <w:szCs w:val="30"/>
          <w:rtl/>
        </w:rPr>
        <w:t xml:space="preserve"> تضطلع الأطراف بأنشطة رصد الزئبق بالاستناد إلى أنشطة الرصد والمعارف القائمة لتوليد بيانات لاستخدامها في إعداد تقرير دوري عالمي عن رصد الزئبق.</w:t>
      </w:r>
    </w:p>
    <w:p w14:paraId="310C36E1" w14:textId="3FD28F10" w:rsidR="002D10EB" w:rsidRPr="00EE1414" w:rsidRDefault="002D10EB" w:rsidP="00EE1414">
      <w:pPr>
        <w:tabs>
          <w:tab w:val="left" w:pos="1699"/>
        </w:tabs>
        <w:bidi/>
        <w:spacing w:after="120" w:line="400" w:lineRule="exact"/>
        <w:ind w:left="1134" w:hanging="852"/>
        <w:jc w:val="both"/>
        <w:rPr>
          <w:b/>
          <w:bCs/>
          <w:rtl/>
        </w:rPr>
      </w:pPr>
      <w:r w:rsidRPr="00EE1414">
        <w:rPr>
          <w:b/>
          <w:bCs/>
          <w:rtl/>
        </w:rPr>
        <w:t>ألف-</w:t>
      </w:r>
      <w:r w:rsidRPr="00EE1414">
        <w:rPr>
          <w:b/>
          <w:bCs/>
          <w:rtl/>
        </w:rPr>
        <w:tab/>
        <w:t>الهواء المحيط</w:t>
      </w:r>
    </w:p>
    <w:p w14:paraId="3CA23652" w14:textId="77777777" w:rsidR="002D10EB" w:rsidRPr="00D9595F" w:rsidRDefault="002D10EB" w:rsidP="00D9595F">
      <w:pPr>
        <w:pStyle w:val="ListParagraph"/>
        <w:numPr>
          <w:ilvl w:val="0"/>
          <w:numId w:val="21"/>
        </w:numPr>
        <w:tabs>
          <w:tab w:val="left" w:pos="1841"/>
        </w:tabs>
        <w:spacing w:after="120" w:line="400" w:lineRule="exact"/>
        <w:ind w:left="1134" w:firstLine="2"/>
        <w:contextualSpacing w:val="0"/>
        <w:jc w:val="both"/>
        <w:rPr>
          <w:rFonts w:ascii="Times New Roman" w:hAnsi="Times New Roman" w:cs="Traditional Arabic"/>
          <w:szCs w:val="30"/>
          <w:rtl/>
        </w:rPr>
      </w:pPr>
      <w:r w:rsidRPr="00D9595F">
        <w:rPr>
          <w:rFonts w:ascii="Times New Roman" w:hAnsi="Times New Roman" w:cs="Traditional Arabic"/>
          <w:szCs w:val="30"/>
          <w:rtl/>
        </w:rPr>
        <w:t>فيما يخص رصد الهواء، يقترح بأن تواصل الشبكات القائمة أنشطة الرصد التي تضطلع بها، باستخدام الرصد المستمر النشط وتقنيات أخذ العينات النشطة والخاملة يدوياً من الهواء بهدف جمع ما يلي:</w:t>
      </w:r>
    </w:p>
    <w:p w14:paraId="360AC6CD" w14:textId="77777777" w:rsidR="002D10EB" w:rsidRPr="0092308F" w:rsidRDefault="002D10EB" w:rsidP="00FC691C">
      <w:pPr>
        <w:tabs>
          <w:tab w:val="left" w:pos="2550"/>
        </w:tabs>
        <w:bidi/>
        <w:spacing w:before="120" w:after="120" w:line="380" w:lineRule="exact"/>
        <w:ind w:left="1134" w:firstLine="707"/>
        <w:jc w:val="both"/>
        <w:rPr>
          <w:rtl/>
        </w:rPr>
      </w:pPr>
      <w:r w:rsidRPr="0092308F">
        <w:rPr>
          <w:rtl/>
        </w:rPr>
        <w:t>(أ)</w:t>
      </w:r>
      <w:r w:rsidRPr="0092308F">
        <w:rPr>
          <w:rtl/>
        </w:rPr>
        <w:tab/>
        <w:t>تركيزات الزئبق الغازي الكلي أو الزئبق الغازي النقي في هواء المواقع الأساسية والمتأثرة؛</w:t>
      </w:r>
    </w:p>
    <w:p w14:paraId="5679663C" w14:textId="1B3BDC35" w:rsidR="002D10EB" w:rsidRPr="00FC691C" w:rsidRDefault="002D10EB" w:rsidP="00FC691C">
      <w:pPr>
        <w:tabs>
          <w:tab w:val="left" w:pos="2550"/>
        </w:tabs>
        <w:bidi/>
        <w:spacing w:before="120" w:after="120" w:line="380" w:lineRule="exact"/>
        <w:ind w:left="1134" w:firstLine="707"/>
        <w:jc w:val="both"/>
        <w:rPr>
          <w:rtl/>
          <w:lang w:val="en-GB"/>
        </w:rPr>
      </w:pPr>
      <w:r w:rsidRPr="0092308F">
        <w:rPr>
          <w:rFonts w:hint="cs"/>
          <w:rtl/>
        </w:rPr>
        <w:t>(ب)</w:t>
      </w:r>
      <w:r w:rsidRPr="0092308F">
        <w:rPr>
          <w:rtl/>
        </w:rPr>
        <w:tab/>
        <w:t>الترسبات الرطبة.</w:t>
      </w:r>
    </w:p>
    <w:p w14:paraId="0A53FBBE" w14:textId="77777777" w:rsidR="002D10EB" w:rsidRPr="0092308F" w:rsidRDefault="002D10EB" w:rsidP="0092308F">
      <w:pPr>
        <w:pStyle w:val="ListParagraph"/>
        <w:numPr>
          <w:ilvl w:val="0"/>
          <w:numId w:val="21"/>
        </w:numPr>
        <w:tabs>
          <w:tab w:val="left" w:pos="1841"/>
        </w:tabs>
        <w:spacing w:after="120" w:line="400" w:lineRule="exact"/>
        <w:ind w:left="1134" w:firstLine="2"/>
        <w:contextualSpacing w:val="0"/>
        <w:jc w:val="both"/>
        <w:rPr>
          <w:rFonts w:ascii="Times New Roman" w:eastAsia="Cambria" w:hAnsi="Times New Roman" w:cs="Traditional Arabic"/>
          <w:szCs w:val="30"/>
          <w:rtl/>
        </w:rPr>
      </w:pPr>
      <w:r w:rsidRPr="0092308F">
        <w:rPr>
          <w:rFonts w:ascii="Times New Roman" w:hAnsi="Times New Roman" w:cs="Traditional Arabic"/>
          <w:szCs w:val="30"/>
          <w:rtl/>
        </w:rPr>
        <w:t>وستستخدم هذه المعلومات لتقييم الأنماط المكانية والزمانية لتركيزات الزئبق في الهواء المحيط وتدفقات الترسبات في النظم الإيكولوجية البرية والمائية. وتجدر الإشارة إلى أن إجراءات التشغيل الموحدة تشير إلى أنه يتعين رصد تدفقات ترسبات الزئبق باستخدام أجهزة أخذ العينات ’’الرطبة فقط‘‘ أو ’’السائبة‘‘.</w:t>
      </w:r>
    </w:p>
    <w:p w14:paraId="52ED69BC" w14:textId="77777777" w:rsidR="002D10EB" w:rsidRPr="0092308F" w:rsidRDefault="002D10EB" w:rsidP="0092308F">
      <w:pPr>
        <w:pStyle w:val="ListParagraph"/>
        <w:numPr>
          <w:ilvl w:val="0"/>
          <w:numId w:val="21"/>
        </w:numPr>
        <w:tabs>
          <w:tab w:val="left" w:pos="1841"/>
        </w:tabs>
        <w:spacing w:after="120" w:line="400" w:lineRule="exact"/>
        <w:ind w:left="1134" w:firstLine="2"/>
        <w:contextualSpacing w:val="0"/>
        <w:jc w:val="both"/>
        <w:rPr>
          <w:rFonts w:ascii="Times New Roman" w:hAnsi="Times New Roman" w:cs="Traditional Arabic"/>
          <w:szCs w:val="30"/>
          <w:rtl/>
        </w:rPr>
      </w:pPr>
      <w:r w:rsidRPr="0092308F">
        <w:rPr>
          <w:rFonts w:ascii="Times New Roman" w:hAnsi="Times New Roman" w:cs="Traditional Arabic"/>
          <w:szCs w:val="30"/>
          <w:rtl/>
        </w:rPr>
        <w:t>ولسد الثغرات في البيانات عن بعض المناطق ينبغي جمع العينات شهرياً (أو على فترات أقل) لتحديد متوسط تركيزات الزئبق الغازي الكلي الأساسية في المنطقة/الموقع، ولا سيما في أفريقيا وأمريكا اللاتينية والاتحاد الروسي.</w:t>
      </w:r>
    </w:p>
    <w:p w14:paraId="78FE3699" w14:textId="64C50B93" w:rsidR="002D10EB" w:rsidRPr="00EE1414" w:rsidRDefault="002D10EB" w:rsidP="00EE1414">
      <w:pPr>
        <w:tabs>
          <w:tab w:val="left" w:pos="1699"/>
        </w:tabs>
        <w:bidi/>
        <w:spacing w:after="120" w:line="400" w:lineRule="exact"/>
        <w:ind w:left="1134" w:hanging="852"/>
        <w:jc w:val="both"/>
        <w:rPr>
          <w:b/>
          <w:bCs/>
          <w:rtl/>
        </w:rPr>
      </w:pPr>
      <w:r w:rsidRPr="00EE1414">
        <w:rPr>
          <w:b/>
          <w:bCs/>
          <w:rtl/>
        </w:rPr>
        <w:t>باء-</w:t>
      </w:r>
      <w:r w:rsidRPr="00EE1414">
        <w:rPr>
          <w:b/>
          <w:bCs/>
          <w:rtl/>
        </w:rPr>
        <w:tab/>
        <w:t>التعرض البشري</w:t>
      </w:r>
    </w:p>
    <w:p w14:paraId="4B817B99" w14:textId="6247F676" w:rsidR="002D10EB" w:rsidRPr="0092308F" w:rsidRDefault="002D10EB" w:rsidP="0092308F">
      <w:pPr>
        <w:pStyle w:val="ListParagraph"/>
        <w:numPr>
          <w:ilvl w:val="0"/>
          <w:numId w:val="21"/>
        </w:numPr>
        <w:tabs>
          <w:tab w:val="left" w:pos="1841"/>
        </w:tabs>
        <w:spacing w:after="120" w:line="400" w:lineRule="exact"/>
        <w:ind w:left="1134" w:firstLine="2"/>
        <w:contextualSpacing w:val="0"/>
        <w:jc w:val="both"/>
        <w:rPr>
          <w:rFonts w:ascii="Times New Roman" w:hAnsi="Times New Roman" w:cs="Traditional Arabic"/>
          <w:szCs w:val="30"/>
          <w:rtl/>
        </w:rPr>
      </w:pPr>
      <w:r w:rsidRPr="0092308F">
        <w:rPr>
          <w:rFonts w:ascii="Times New Roman" w:hAnsi="Times New Roman" w:cs="Traditional Arabic"/>
          <w:szCs w:val="30"/>
          <w:rtl/>
        </w:rPr>
        <w:t>بخصوص الرصد الأحيائي البشري يوصى باستخدام المؤشرات البيولوجية التالية للتعرض قبل الولادة بين عموم السكان</w:t>
      </w:r>
      <w:r w:rsidR="001A256D" w:rsidRPr="00D1471B">
        <w:rPr>
          <w:rFonts w:ascii="Traditional Arabic" w:hAnsi="Traditional Arabic" w:cs="Traditional Arabic" w:hint="cs"/>
          <w:sz w:val="30"/>
          <w:szCs w:val="30"/>
          <w:vertAlign w:val="superscript"/>
          <w:rtl/>
          <w:lang w:eastAsia="zh-TW"/>
        </w:rPr>
        <w:t>(</w:t>
      </w:r>
      <w:r w:rsidR="001A256D" w:rsidRPr="00D1471B">
        <w:rPr>
          <w:rFonts w:ascii="Traditional Arabic" w:hAnsi="Traditional Arabic" w:cs="Traditional Arabic" w:hint="cs"/>
          <w:sz w:val="30"/>
          <w:szCs w:val="30"/>
          <w:vertAlign w:val="superscript"/>
          <w:rtl/>
          <w:lang w:eastAsia="zh-TW"/>
        </w:rPr>
        <w:footnoteReference w:id="10"/>
      </w:r>
      <w:r w:rsidR="001A256D" w:rsidRPr="00D1471B">
        <w:rPr>
          <w:rFonts w:ascii="Traditional Arabic" w:hAnsi="Traditional Arabic" w:cs="Traditional Arabic" w:hint="cs"/>
          <w:sz w:val="30"/>
          <w:szCs w:val="30"/>
          <w:vertAlign w:val="superscript"/>
          <w:rtl/>
          <w:lang w:eastAsia="zh-TW"/>
        </w:rPr>
        <w:t>)</w:t>
      </w:r>
      <w:r w:rsidRPr="0092308F">
        <w:rPr>
          <w:rFonts w:ascii="Times New Roman" w:hAnsi="Times New Roman" w:cs="Traditional Arabic"/>
          <w:szCs w:val="30"/>
          <w:rtl/>
        </w:rPr>
        <w:t>:</w:t>
      </w:r>
    </w:p>
    <w:p w14:paraId="416F8BB3" w14:textId="5D982E0E" w:rsidR="002D10EB" w:rsidRPr="0092308F" w:rsidRDefault="00626B05" w:rsidP="00626B05">
      <w:pPr>
        <w:tabs>
          <w:tab w:val="left" w:pos="2550"/>
        </w:tabs>
        <w:bidi/>
        <w:spacing w:before="120" w:after="120" w:line="380" w:lineRule="exact"/>
        <w:ind w:left="1134" w:firstLine="707"/>
        <w:jc w:val="both"/>
        <w:rPr>
          <w:rtl/>
        </w:rPr>
      </w:pPr>
      <w:r>
        <w:rPr>
          <w:rFonts w:hint="cs"/>
          <w:rtl/>
        </w:rPr>
        <w:t>(أ)</w:t>
      </w:r>
      <w:r>
        <w:rPr>
          <w:rtl/>
        </w:rPr>
        <w:tab/>
      </w:r>
      <w:r w:rsidR="002D10EB" w:rsidRPr="0092308F">
        <w:rPr>
          <w:rtl/>
        </w:rPr>
        <w:t>الزئبق الكلي في شعر فروة رأس الأم (ضفائر الشعر بطول 3سم بدايةً من فروة الرأس لقياس التعرض خلال الفصل الثالث من الحمل)؛</w:t>
      </w:r>
    </w:p>
    <w:p w14:paraId="6F4F3A2D" w14:textId="3B2B0ACA" w:rsidR="002D10EB" w:rsidRPr="0092308F" w:rsidRDefault="00626B05" w:rsidP="00626B05">
      <w:pPr>
        <w:tabs>
          <w:tab w:val="left" w:pos="2550"/>
        </w:tabs>
        <w:bidi/>
        <w:spacing w:before="120" w:after="120" w:line="380" w:lineRule="exact"/>
        <w:ind w:left="1134" w:firstLine="707"/>
        <w:jc w:val="both"/>
        <w:rPr>
          <w:rtl/>
        </w:rPr>
      </w:pPr>
      <w:r>
        <w:rPr>
          <w:rFonts w:hint="cs"/>
          <w:rtl/>
        </w:rPr>
        <w:t>(ب)</w:t>
      </w:r>
      <w:r>
        <w:rPr>
          <w:rtl/>
        </w:rPr>
        <w:tab/>
      </w:r>
      <w:r w:rsidR="002D10EB" w:rsidRPr="0092308F">
        <w:rPr>
          <w:rtl/>
        </w:rPr>
        <w:t>الزئبق الكلي في دم الحبل السري، لتحديد التعرض الحديث لميثيل الزئبق.</w:t>
      </w:r>
    </w:p>
    <w:p w14:paraId="4D77BC9E" w14:textId="534C9559" w:rsidR="002D10EB" w:rsidRPr="0092308F" w:rsidRDefault="002D10EB" w:rsidP="0092308F">
      <w:pPr>
        <w:pStyle w:val="ListParagraph"/>
        <w:numPr>
          <w:ilvl w:val="0"/>
          <w:numId w:val="21"/>
        </w:numPr>
        <w:tabs>
          <w:tab w:val="left" w:pos="1841"/>
        </w:tabs>
        <w:spacing w:after="120" w:line="400" w:lineRule="exact"/>
        <w:ind w:left="1134" w:firstLine="2"/>
        <w:contextualSpacing w:val="0"/>
        <w:jc w:val="both"/>
        <w:rPr>
          <w:rFonts w:ascii="Times New Roman" w:hAnsi="Times New Roman" w:cs="Traditional Arabic"/>
          <w:szCs w:val="30"/>
          <w:rtl/>
        </w:rPr>
      </w:pPr>
      <w:r w:rsidRPr="0092308F">
        <w:rPr>
          <w:rFonts w:ascii="Times New Roman" w:hAnsi="Times New Roman" w:cs="Traditional Arabic"/>
          <w:szCs w:val="30"/>
          <w:rtl/>
        </w:rPr>
        <w:t xml:space="preserve">ويفضل استخدام شعر فروة رأس الأم كمكون بيولوجي لتقييم التعرض قبل الولادة. ويمكن أن يكون دم الحبل السري مكوناً بديلاً للشعر. إن العينات التي جمعت على فترات قدرها زهاء خمس سنوات مناسبة لدراسات </w:t>
      </w:r>
      <w:r w:rsidRPr="0092308F">
        <w:rPr>
          <w:rFonts w:ascii="Times New Roman" w:hAnsi="Times New Roman" w:cs="Traditional Arabic"/>
          <w:szCs w:val="30"/>
          <w:rtl/>
        </w:rPr>
        <w:lastRenderedPageBreak/>
        <w:t xml:space="preserve">الرصد الأحيائي البشري، مع مراعاة الهدف المتمثل في تحديد الاختلافات </w:t>
      </w:r>
      <w:r w:rsidRPr="0092308F">
        <w:rPr>
          <w:rFonts w:ascii="Times New Roman" w:hAnsi="Times New Roman" w:cs="Traditional Arabic" w:hint="cs"/>
          <w:szCs w:val="30"/>
          <w:rtl/>
        </w:rPr>
        <w:t>ال</w:t>
      </w:r>
      <w:r w:rsidRPr="0092308F">
        <w:rPr>
          <w:rFonts w:ascii="Times New Roman" w:hAnsi="Times New Roman" w:cs="Traditional Arabic"/>
          <w:szCs w:val="30"/>
          <w:rtl/>
        </w:rPr>
        <w:t>كبيرة من الناحية الإحصائية والوقت الذي يستغرقه تنفيذ هذه الدراسات ( بما في ذلك تكيف البروتوكول الرئيسي مع الظروف المحلية، والحصول على موافقة من الهيئات المحلية المعنية بالأخلاقيات، وتدريب الموظفين، وما إلى ذلك). وينبغي أن تقترن العينات البشرية بمعلومات عن مجموعة من الصفات (مثل السن ونوع الجنس) ومعلومات اجتماعية</w:t>
      </w:r>
      <w:r w:rsidR="00AC1BF1">
        <w:rPr>
          <w:rFonts w:ascii="Times New Roman" w:hAnsi="Times New Roman" w:cs="Traditional Arabic" w:hint="cs"/>
          <w:szCs w:val="30"/>
          <w:rtl/>
        </w:rPr>
        <w:t xml:space="preserve"> و</w:t>
      </w:r>
      <w:r w:rsidRPr="0092308F">
        <w:rPr>
          <w:rFonts w:ascii="Times New Roman" w:hAnsi="Times New Roman" w:cs="Traditional Arabic"/>
          <w:szCs w:val="30"/>
          <w:rtl/>
        </w:rPr>
        <w:t>اعتيادية (مثل أنماط استهلاك الأسماك، والمستوى الاقتصادي).</w:t>
      </w:r>
    </w:p>
    <w:p w14:paraId="058BE560" w14:textId="77777777" w:rsidR="002D10EB" w:rsidRPr="0092308F" w:rsidRDefault="002D10EB" w:rsidP="0092308F">
      <w:pPr>
        <w:pStyle w:val="ListParagraph"/>
        <w:numPr>
          <w:ilvl w:val="0"/>
          <w:numId w:val="21"/>
        </w:numPr>
        <w:tabs>
          <w:tab w:val="left" w:pos="1841"/>
        </w:tabs>
        <w:spacing w:after="120" w:line="400" w:lineRule="exact"/>
        <w:ind w:left="1134" w:firstLine="2"/>
        <w:contextualSpacing w:val="0"/>
        <w:jc w:val="both"/>
        <w:rPr>
          <w:rFonts w:ascii="Times New Roman" w:hAnsi="Times New Roman" w:cs="Traditional Arabic"/>
          <w:szCs w:val="30"/>
          <w:rtl/>
        </w:rPr>
      </w:pPr>
      <w:r w:rsidRPr="0092308F">
        <w:rPr>
          <w:rFonts w:ascii="Times New Roman" w:hAnsi="Times New Roman" w:cs="Traditional Arabic"/>
          <w:szCs w:val="30"/>
          <w:rtl/>
        </w:rPr>
        <w:t>وقد يكون من المفيد تنسيق جمع العينات مع أنشطة الدراسات الاستقصائية في إطار اتفاقية استكهولم بشأن الملوثات العضوية الثابتة بغية تعزيز أوجه التآزر، بما في ذلك التغطية ضمن موافقة واحدة بشأن الأخلاقيات.</w:t>
      </w:r>
    </w:p>
    <w:p w14:paraId="62EB3D89" w14:textId="7D49AB31" w:rsidR="002D10EB" w:rsidRPr="0092308F" w:rsidRDefault="002D10EB" w:rsidP="0092308F">
      <w:pPr>
        <w:pStyle w:val="ListParagraph"/>
        <w:numPr>
          <w:ilvl w:val="0"/>
          <w:numId w:val="21"/>
        </w:numPr>
        <w:tabs>
          <w:tab w:val="left" w:pos="1841"/>
        </w:tabs>
        <w:spacing w:after="120" w:line="400" w:lineRule="exact"/>
        <w:ind w:left="1134" w:firstLine="2"/>
        <w:contextualSpacing w:val="0"/>
        <w:jc w:val="both"/>
        <w:rPr>
          <w:rFonts w:ascii="Times New Roman" w:hAnsi="Times New Roman" w:cs="Traditional Arabic"/>
          <w:szCs w:val="30"/>
          <w:rtl/>
        </w:rPr>
      </w:pPr>
      <w:r w:rsidRPr="0092308F">
        <w:rPr>
          <w:rFonts w:ascii="Times New Roman" w:hAnsi="Times New Roman" w:cs="Traditional Arabic"/>
          <w:szCs w:val="30"/>
          <w:rtl/>
        </w:rPr>
        <w:t xml:space="preserve">وقد حدد </w:t>
      </w:r>
      <w:r w:rsidRPr="00626B05">
        <w:rPr>
          <w:rFonts w:ascii="Times New Roman" w:hAnsi="Times New Roman" w:cs="Traditional Arabic"/>
          <w:i/>
          <w:iCs/>
          <w:szCs w:val="30"/>
          <w:rtl/>
        </w:rPr>
        <w:t>التقييم العالمي للزئبق 2018</w:t>
      </w:r>
      <w:r w:rsidRPr="0092308F">
        <w:rPr>
          <w:rFonts w:ascii="Times New Roman" w:hAnsi="Times New Roman" w:cs="Traditional Arabic"/>
          <w:szCs w:val="30"/>
          <w:rtl/>
        </w:rPr>
        <w:t xml:space="preserve"> البيانات المتاحة حاليا</w:t>
      </w:r>
      <w:r w:rsidR="00626B05">
        <w:rPr>
          <w:rFonts w:ascii="Times New Roman" w:hAnsi="Times New Roman" w:cs="Traditional Arabic" w:hint="cs"/>
          <w:szCs w:val="30"/>
          <w:rtl/>
        </w:rPr>
        <w:t>ً</w:t>
      </w:r>
      <w:r w:rsidRPr="0092308F">
        <w:rPr>
          <w:rFonts w:ascii="Times New Roman" w:hAnsi="Times New Roman" w:cs="Traditional Arabic"/>
          <w:szCs w:val="30"/>
          <w:rtl/>
        </w:rPr>
        <w:t xml:space="preserve"> عن التعرض للزئبق في برامج الرصد الأحيائي البشري الوطنية، ودراسات الأتراب الطولية، والمعلومات الشاملة لعدة قطاعات الخاصة بفئات معينة من السكان، بما في ذلك الفئات ذات التعرض العالي. وينبغي أن تواصل الأطراف وغيرها من الجهات تنفيذ هذه الأنشطة بغية توفير معلومات على المدى البعيد لتقييمات الفعالية اللاحقة.</w:t>
      </w:r>
    </w:p>
    <w:p w14:paraId="75A48A4E" w14:textId="30982EBD" w:rsidR="002D10EB" w:rsidRPr="00EE1414" w:rsidRDefault="002D10EB" w:rsidP="00EE1414">
      <w:pPr>
        <w:tabs>
          <w:tab w:val="left" w:pos="1699"/>
        </w:tabs>
        <w:bidi/>
        <w:spacing w:after="120" w:line="400" w:lineRule="exact"/>
        <w:ind w:left="1134" w:hanging="852"/>
        <w:jc w:val="both"/>
        <w:rPr>
          <w:b/>
          <w:bCs/>
          <w:rtl/>
        </w:rPr>
      </w:pPr>
      <w:r w:rsidRPr="00EE1414">
        <w:rPr>
          <w:b/>
          <w:bCs/>
          <w:rtl/>
        </w:rPr>
        <w:t>جيم-</w:t>
      </w:r>
      <w:r w:rsidRPr="00EE1414">
        <w:rPr>
          <w:b/>
          <w:bCs/>
          <w:rtl/>
        </w:rPr>
        <w:tab/>
        <w:t>الأوساط الحيوية</w:t>
      </w:r>
    </w:p>
    <w:p w14:paraId="445AD4DC" w14:textId="0BE96E1B" w:rsidR="002D10EB" w:rsidRPr="0092308F" w:rsidRDefault="002D10EB" w:rsidP="0092308F">
      <w:pPr>
        <w:pStyle w:val="ListParagraph"/>
        <w:numPr>
          <w:ilvl w:val="0"/>
          <w:numId w:val="21"/>
        </w:numPr>
        <w:tabs>
          <w:tab w:val="left" w:pos="1841"/>
        </w:tabs>
        <w:spacing w:after="120" w:line="400" w:lineRule="exact"/>
        <w:ind w:left="1134" w:firstLine="2"/>
        <w:contextualSpacing w:val="0"/>
        <w:jc w:val="both"/>
        <w:rPr>
          <w:rFonts w:ascii="Times New Roman" w:hAnsi="Times New Roman" w:cs="Traditional Arabic"/>
          <w:szCs w:val="30"/>
          <w:rtl/>
        </w:rPr>
      </w:pPr>
      <w:r w:rsidRPr="0092308F">
        <w:rPr>
          <w:rFonts w:ascii="Times New Roman" w:hAnsi="Times New Roman" w:cs="Traditional Arabic"/>
          <w:szCs w:val="30"/>
          <w:rtl/>
        </w:rPr>
        <w:t>فيما يخص رصد الكائنات الحية هناك جانب هام من جوانب توحيد جهود الرصد لتوثيق فعالية الاتفاقية يتمثل في التقليل إلى أدنى حد ممكن من آثار الفروق الفسيولوجية الخاصة بأنواع محددة من خلال تحديد الأنواع وأنواع الأنسجة المناسبة التي سيجري رصدها. وينبغي إيلاء الأولوية لدراسة الأنواع التي تراكم كميات كبيرة من الزئبق وتشكل خطرا</w:t>
      </w:r>
      <w:r w:rsidR="00626B05">
        <w:rPr>
          <w:rFonts w:ascii="Times New Roman" w:hAnsi="Times New Roman" w:cs="Traditional Arabic" w:hint="cs"/>
          <w:szCs w:val="30"/>
          <w:rtl/>
        </w:rPr>
        <w:t>ً</w:t>
      </w:r>
      <w:r w:rsidRPr="0092308F">
        <w:rPr>
          <w:rFonts w:ascii="Times New Roman" w:hAnsi="Times New Roman" w:cs="Traditional Arabic"/>
          <w:szCs w:val="30"/>
          <w:rtl/>
        </w:rPr>
        <w:t xml:space="preserve"> محتملا</w:t>
      </w:r>
      <w:r w:rsidR="00626B05">
        <w:rPr>
          <w:rFonts w:ascii="Times New Roman" w:hAnsi="Times New Roman" w:cs="Traditional Arabic" w:hint="cs"/>
          <w:szCs w:val="30"/>
          <w:rtl/>
        </w:rPr>
        <w:t>ً</w:t>
      </w:r>
      <w:r w:rsidRPr="0092308F">
        <w:rPr>
          <w:rFonts w:ascii="Times New Roman" w:hAnsi="Times New Roman" w:cs="Traditional Arabic"/>
          <w:szCs w:val="30"/>
          <w:rtl/>
        </w:rPr>
        <w:t xml:space="preserve"> على الصحة البشرية، وتتوزع على نطاق واسع على مناطق جغرافية محددة وتوجد في العديد من الدراسات التاريخية. إضافةً إلى ذلك، هناك حاجة إلى تنظيم أو تمثيل تركيزات الزئبق في الكائنات الحية من حيث الحجم والعمر والجنس، مع إدراج هذه البيانات في عملية جمع البيانات. وينبغي أن يستند اختيار أنواع الأسماك لأخذ العينات منها إلى مستوى التغذية، حيث أن مستوى التغذية 4 (آكلات اللحوم التي تتغذى على آكلات لحوم أخرى) هو الأنسب فيما يخص القرارات المتصلة بتقييمات الصحة البشرية والإيكولوجية. إن البيانات عن الأنواع التي يتم صيدها تجاريا</w:t>
      </w:r>
      <w:r w:rsidR="00626B05">
        <w:rPr>
          <w:rFonts w:ascii="Times New Roman" w:hAnsi="Times New Roman" w:cs="Traditional Arabic" w:hint="cs"/>
          <w:szCs w:val="30"/>
          <w:rtl/>
        </w:rPr>
        <w:t>ً</w:t>
      </w:r>
      <w:r w:rsidRPr="0092308F">
        <w:rPr>
          <w:rFonts w:ascii="Times New Roman" w:hAnsi="Times New Roman" w:cs="Traditional Arabic"/>
          <w:szCs w:val="30"/>
          <w:rtl/>
        </w:rPr>
        <w:t xml:space="preserve"> مفيدة لتقييم صحة السكان بصفة عامة. أما الأنواع الأخرى فقد تكون هامة لتقييم صحة الشعوب الأصلية.</w:t>
      </w:r>
    </w:p>
    <w:p w14:paraId="0038C1F7" w14:textId="5834B22E" w:rsidR="002D10EB" w:rsidRPr="0092308F" w:rsidRDefault="002D10EB" w:rsidP="00A2443B">
      <w:pPr>
        <w:pStyle w:val="ListParagraph"/>
        <w:numPr>
          <w:ilvl w:val="0"/>
          <w:numId w:val="21"/>
        </w:numPr>
        <w:tabs>
          <w:tab w:val="left" w:pos="1841"/>
        </w:tabs>
        <w:spacing w:line="400" w:lineRule="exact"/>
        <w:ind w:left="1134" w:firstLine="0"/>
        <w:contextualSpacing w:val="0"/>
        <w:jc w:val="both"/>
        <w:rPr>
          <w:rFonts w:ascii="Times New Roman" w:hAnsi="Times New Roman" w:cs="Traditional Arabic"/>
          <w:szCs w:val="30"/>
        </w:rPr>
      </w:pPr>
      <w:r w:rsidRPr="0092308F">
        <w:rPr>
          <w:rFonts w:ascii="Times New Roman" w:hAnsi="Times New Roman" w:cs="Traditional Arabic"/>
          <w:szCs w:val="30"/>
          <w:rtl/>
        </w:rPr>
        <w:t>ولتمثيل الاختلافات الكبيرة في مسارات التعرض يقترح تقسيم الرصد الأحيائي إلى إطارين واسعي النطاق: قاري ومحيطي. ويمكن الاطلاع على كمية كبيرة من المعلومات التقنية ذات الصلة عن الإطارين في الوثيقة</w:t>
      </w:r>
      <w:r w:rsidRPr="0092308F">
        <w:rPr>
          <w:rFonts w:ascii="Times New Roman" w:hAnsi="Times New Roman" w:cs="Traditional Arabic" w:hint="cs"/>
          <w:szCs w:val="30"/>
          <w:rtl/>
        </w:rPr>
        <w:t xml:space="preserve"> </w:t>
      </w:r>
      <w:r w:rsidRPr="0092308F">
        <w:rPr>
          <w:rFonts w:ascii="Times New Roman" w:hAnsi="Times New Roman" w:cs="Traditional Arabic"/>
          <w:szCs w:val="30"/>
        </w:rPr>
        <w:t>UNEP/MC/COP.3/INF/15</w:t>
      </w:r>
      <w:r w:rsidRPr="0092308F">
        <w:rPr>
          <w:rFonts w:ascii="Times New Roman" w:hAnsi="Times New Roman" w:cs="Traditional Arabic"/>
          <w:szCs w:val="30"/>
          <w:rtl/>
        </w:rPr>
        <w:t>. ويهدف الإطار القاري لرصد الزئبق في الكائنات الحية إلى تحديد النقاط الحساسة في النظم الإيكولوجية القادرة على ميثلة الزئبق وجعله متاحاً في الشبكة الغذائية. أما الإطار المحيطي فيغطي مناطق المحيطات؛ وتدمج النتيجة النهائية مكونات حوض المحيط المهمة للاستهلاك البشري والتي لها نطاقات عالمية بغية تحديد التدرجات المكانية (الاتجاهات) لمستويات الزئبق في الأوساط الأحيائية</w:t>
      </w:r>
      <w:r w:rsidR="00A2443B">
        <w:rPr>
          <w:rFonts w:ascii="Times New Roman" w:hAnsi="Times New Roman" w:cs="Traditional Arabic" w:hint="cs"/>
          <w:szCs w:val="30"/>
          <w:rtl/>
        </w:rPr>
        <w:t>.</w:t>
      </w:r>
    </w:p>
    <w:p w14:paraId="6A2AE965" w14:textId="5EF0895F" w:rsidR="00451ABD" w:rsidRPr="002D10EB" w:rsidRDefault="0038322E" w:rsidP="00A2443B">
      <w:pPr>
        <w:tabs>
          <w:tab w:val="left" w:pos="1699"/>
        </w:tabs>
        <w:bidi/>
        <w:spacing w:line="380" w:lineRule="exact"/>
        <w:ind w:left="1134"/>
        <w:jc w:val="center"/>
        <w:rPr>
          <w:sz w:val="30"/>
          <w:rtl/>
        </w:rPr>
      </w:pPr>
      <w:r>
        <w:rPr>
          <w:sz w:val="30"/>
        </w:rPr>
        <w:t>____</w:t>
      </w:r>
      <w:r w:rsidR="00EC3A5F">
        <w:rPr>
          <w:sz w:val="30"/>
        </w:rPr>
        <w:t>________</w:t>
      </w:r>
    </w:p>
    <w:sectPr w:rsidR="00451ABD" w:rsidRPr="002D10EB" w:rsidSect="00682D01">
      <w:headerReference w:type="even" r:id="rId11"/>
      <w:headerReference w:type="default" r:id="rId12"/>
      <w:footerReference w:type="even" r:id="rId13"/>
      <w:footerReference w:type="default" r:id="rId14"/>
      <w:footerReference w:type="first" r:id="rId15"/>
      <w:endnotePr>
        <w:numFmt w:val="lowerLetter"/>
      </w:endnotePr>
      <w:type w:val="continuous"/>
      <w:pgSz w:w="11906" w:h="16838" w:code="9"/>
      <w:pgMar w:top="907" w:right="1418" w:bottom="1418" w:left="992" w:header="539" w:footer="975"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373C99" w14:textId="77777777" w:rsidR="00CE3292" w:rsidRDefault="00CE3292">
      <w:r>
        <w:separator/>
      </w:r>
    </w:p>
  </w:endnote>
  <w:endnote w:type="continuationSeparator" w:id="0">
    <w:p w14:paraId="49F160BD" w14:textId="77777777" w:rsidR="00CE3292" w:rsidRDefault="00CE3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gency FB">
    <w:panose1 w:val="020B0503020202020204"/>
    <w:charset w:val="00"/>
    <w:family w:val="swiss"/>
    <w:pitch w:val="variable"/>
    <w:sig w:usb0="00000003" w:usb1="00000000" w:usb2="00000000" w:usb3="00000000" w:csb0="00000001" w:csb1="00000000"/>
  </w:font>
  <w:font w:name="Times">
    <w:altName w:val="Sylfaen"/>
    <w:panose1 w:val="02020603050405020304"/>
    <w:charset w:val="00"/>
    <w:family w:val="roman"/>
    <w:pitch w:val="variable"/>
    <w:sig w:usb0="E0002EFF" w:usb1="C000785B" w:usb2="00000009" w:usb3="00000000" w:csb0="000001FF" w:csb1="00000000"/>
  </w:font>
  <w:font w:name="Arabic Transparent">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charset w:val="B2"/>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8F787" w14:textId="77777777" w:rsidR="0042042E" w:rsidRPr="007B173A" w:rsidRDefault="0042042E" w:rsidP="00E0494C">
    <w:pPr>
      <w:pStyle w:val="Footer"/>
      <w:tabs>
        <w:tab w:val="clear" w:pos="4153"/>
        <w:tab w:val="clear" w:pos="8306"/>
      </w:tabs>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177118">
      <w:rPr>
        <w:rStyle w:val="PageNumber"/>
        <w:rFonts w:ascii="Times New Roman" w:hAnsi="Times New Roman" w:cs="Times New Roman"/>
      </w:rPr>
      <w:t>2</w:t>
    </w:r>
    <w:r w:rsidRPr="007B173A">
      <w:rPr>
        <w:rStyle w:val="PageNumber"/>
        <w:rFonts w:ascii="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8A7BE" w14:textId="77777777" w:rsidR="0042042E" w:rsidRPr="007B173A" w:rsidRDefault="0042042E" w:rsidP="00E0494C">
    <w:pPr>
      <w:pStyle w:val="Footer"/>
      <w:tabs>
        <w:tab w:val="clear" w:pos="4153"/>
        <w:tab w:val="clear" w:pos="8306"/>
      </w:tabs>
      <w:spacing w:before="40"/>
      <w:jc w:val="both"/>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961D22">
      <w:rPr>
        <w:rStyle w:val="PageNumber"/>
        <w:rFonts w:ascii="Times New Roman" w:hAnsi="Times New Roman" w:cs="Times New Roman"/>
      </w:rPr>
      <w:t>5</w:t>
    </w:r>
    <w:r w:rsidRPr="007B173A">
      <w:rPr>
        <w:rStyle w:val="PageNumber"/>
        <w:rFonts w:ascii="Times New Roman"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C3543" w14:textId="7D477958" w:rsidR="0042042E" w:rsidRPr="00D80FA4" w:rsidRDefault="00D80FA4" w:rsidP="00843FDA">
    <w:pPr>
      <w:pStyle w:val="Footer"/>
      <w:tabs>
        <w:tab w:val="clear" w:pos="4153"/>
        <w:tab w:val="clear" w:pos="8306"/>
      </w:tabs>
      <w:bidi/>
      <w:jc w:val="left"/>
      <w:rPr>
        <w:rFonts w:asciiTheme="majorBidi" w:hAnsiTheme="majorBidi" w:cstheme="majorBidi"/>
        <w:szCs w:val="20"/>
      </w:rPr>
    </w:pPr>
    <w:r w:rsidRPr="00D80FA4">
      <w:rPr>
        <w:rStyle w:val="PageNumber"/>
        <w:rFonts w:asciiTheme="majorBidi" w:hAnsiTheme="majorBidi" w:cstheme="majorBidi"/>
        <w:szCs w:val="20"/>
      </w:rPr>
      <w:t>K1</w:t>
    </w:r>
    <w:r w:rsidR="002A3532">
      <w:rPr>
        <w:rStyle w:val="PageNumber"/>
        <w:rFonts w:asciiTheme="majorBidi" w:hAnsiTheme="majorBidi" w:cstheme="majorBidi"/>
        <w:szCs w:val="20"/>
      </w:rPr>
      <w:t>90</w:t>
    </w:r>
    <w:r w:rsidR="002413D6">
      <w:rPr>
        <w:rStyle w:val="PageNumber"/>
        <w:rFonts w:asciiTheme="majorBidi" w:hAnsiTheme="majorBidi" w:cstheme="majorBidi"/>
        <w:szCs w:val="20"/>
      </w:rPr>
      <w:t>4302</w:t>
    </w:r>
    <w:r w:rsidR="006E1D97">
      <w:rPr>
        <w:rStyle w:val="PageNumber"/>
        <w:rFonts w:asciiTheme="majorBidi" w:hAnsiTheme="majorBidi" w:cstheme="majorBidi" w:hint="cs"/>
        <w:szCs w:val="20"/>
        <w:rtl/>
      </w:rPr>
      <w:tab/>
    </w:r>
    <w:r w:rsidR="002413D6">
      <w:rPr>
        <w:rStyle w:val="PageNumber"/>
        <w:rFonts w:asciiTheme="majorBidi" w:hAnsiTheme="majorBidi" w:cstheme="majorBidi"/>
        <w:szCs w:val="20"/>
      </w:rPr>
      <w:t>2</w:t>
    </w:r>
    <w:r w:rsidR="00967766">
      <w:rPr>
        <w:rStyle w:val="PageNumber"/>
        <w:rFonts w:asciiTheme="majorBidi" w:hAnsiTheme="majorBidi" w:cstheme="majorBidi"/>
        <w:szCs w:val="20"/>
      </w:rPr>
      <w:t>2</w:t>
    </w:r>
    <w:r w:rsidR="002413D6">
      <w:rPr>
        <w:rStyle w:val="PageNumber"/>
        <w:rFonts w:asciiTheme="majorBidi" w:hAnsiTheme="majorBidi" w:cstheme="majorBidi"/>
        <w:szCs w:val="20"/>
      </w:rPr>
      <w:t>11</w:t>
    </w:r>
    <w:r w:rsidR="006E1D97" w:rsidRPr="00D80FA4">
      <w:rPr>
        <w:rStyle w:val="PageNumber"/>
        <w:rFonts w:asciiTheme="majorBidi" w:hAnsiTheme="majorBidi" w:cstheme="majorBidi"/>
        <w:szCs w:val="20"/>
      </w:rPr>
      <w:t>1</w:t>
    </w:r>
    <w:r w:rsidR="002A3532">
      <w:rPr>
        <w:rStyle w:val="PageNumber"/>
        <w:rFonts w:asciiTheme="majorBidi" w:hAnsiTheme="majorBidi" w:cstheme="majorBidi"/>
        <w:szCs w:val="20"/>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E0DD15" w14:textId="77777777" w:rsidR="00CE3292" w:rsidRDefault="00CE3292" w:rsidP="008A79DC">
      <w:pPr>
        <w:bidi/>
        <w:ind w:left="720"/>
      </w:pPr>
      <w:r>
        <w:separator/>
      </w:r>
    </w:p>
  </w:footnote>
  <w:footnote w:type="continuationSeparator" w:id="0">
    <w:p w14:paraId="3817A56F" w14:textId="77777777" w:rsidR="00CE3292" w:rsidRDefault="00CE3292">
      <w:r>
        <w:continuationSeparator/>
      </w:r>
    </w:p>
  </w:footnote>
  <w:footnote w:id="1">
    <w:p w14:paraId="6C028CC3" w14:textId="77777777" w:rsidR="002625D8" w:rsidRPr="002413D6" w:rsidRDefault="002625D8" w:rsidP="002625D8">
      <w:pPr>
        <w:bidi/>
        <w:spacing w:before="20" w:after="40"/>
        <w:ind w:left="1132"/>
        <w:jc w:val="both"/>
        <w:rPr>
          <w:rFonts w:asciiTheme="majorBidi" w:hAnsiTheme="majorBidi" w:cstheme="majorBidi"/>
          <w:bCs/>
          <w:szCs w:val="20"/>
          <w:rtl/>
        </w:rPr>
      </w:pPr>
      <w:r w:rsidRPr="003858ED">
        <w:rPr>
          <w:rFonts w:ascii="Traditional Arabic" w:hAnsi="Traditional Arabic" w:hint="cs"/>
          <w:bCs/>
          <w:sz w:val="26"/>
          <w:szCs w:val="26"/>
        </w:rPr>
        <w:t>.</w:t>
      </w:r>
      <w:r w:rsidRPr="006C5C5C">
        <w:rPr>
          <w:rFonts w:asciiTheme="majorBidi" w:hAnsiTheme="majorBidi" w:cstheme="majorBidi"/>
          <w:bCs/>
          <w:szCs w:val="20"/>
        </w:rPr>
        <w:t>UNEP/MC/COP.</w:t>
      </w:r>
      <w:r>
        <w:rPr>
          <w:rFonts w:asciiTheme="majorBidi" w:hAnsiTheme="majorBidi" w:cstheme="majorBidi"/>
          <w:bCs/>
          <w:szCs w:val="20"/>
        </w:rPr>
        <w:t>3</w:t>
      </w:r>
      <w:r w:rsidRPr="006C5C5C">
        <w:rPr>
          <w:rFonts w:asciiTheme="majorBidi" w:hAnsiTheme="majorBidi" w:cstheme="majorBidi"/>
          <w:bCs/>
          <w:szCs w:val="20"/>
        </w:rPr>
        <w:t>/1</w:t>
      </w:r>
      <w:r>
        <w:rPr>
          <w:rFonts w:asciiTheme="majorBidi" w:hAnsiTheme="majorBidi" w:cstheme="majorBidi"/>
          <w:bCs/>
          <w:szCs w:val="20"/>
        </w:rPr>
        <w:t xml:space="preserve">  </w:t>
      </w:r>
      <w:r w:rsidRPr="003858ED">
        <w:rPr>
          <w:rFonts w:ascii="Traditional Arabic" w:hAnsi="Traditional Arabic" w:hint="cs"/>
          <w:bCs/>
          <w:sz w:val="26"/>
          <w:szCs w:val="26"/>
        </w:rPr>
        <w:t>*</w:t>
      </w:r>
    </w:p>
  </w:footnote>
  <w:footnote w:id="2">
    <w:p w14:paraId="1128811E" w14:textId="77777777" w:rsidR="006104C4" w:rsidRDefault="001A7D20" w:rsidP="006104C4">
      <w:pPr>
        <w:pStyle w:val="NormalNonumber"/>
        <w:tabs>
          <w:tab w:val="clear" w:pos="1247"/>
          <w:tab w:val="clear" w:pos="1814"/>
          <w:tab w:val="clear" w:pos="2381"/>
          <w:tab w:val="clear" w:pos="2948"/>
          <w:tab w:val="clear" w:pos="3515"/>
          <w:tab w:val="clear" w:pos="4082"/>
        </w:tabs>
        <w:bidi/>
        <w:spacing w:after="0" w:line="300" w:lineRule="exact"/>
        <w:ind w:left="1134"/>
        <w:jc w:val="both"/>
        <w:textDirection w:val="tbRlV"/>
        <w:rPr>
          <w:rFonts w:cs="Traditional Arabic"/>
          <w:sz w:val="18"/>
          <w:szCs w:val="26"/>
          <w:u w:color="FF0000"/>
          <w:rtl/>
        </w:rPr>
      </w:pPr>
      <w:r w:rsidRPr="00A2443B">
        <w:rPr>
          <w:rFonts w:cs="Traditional Arabic" w:hint="cs"/>
          <w:sz w:val="18"/>
          <w:szCs w:val="26"/>
          <w:rtl/>
          <w:lang w:eastAsia="zh-TW"/>
        </w:rPr>
        <w:t>(</w:t>
      </w:r>
      <w:r w:rsidRPr="00A2443B">
        <w:rPr>
          <w:rStyle w:val="FootnoteReference"/>
          <w:rFonts w:cs="Traditional Arabic" w:hint="cs"/>
          <w:sz w:val="18"/>
          <w:szCs w:val="26"/>
          <w:vertAlign w:val="baseline"/>
          <w:rtl/>
          <w:lang w:eastAsia="zh-TW"/>
        </w:rPr>
        <w:footnoteRef/>
      </w:r>
      <w:r w:rsidRPr="00A2443B">
        <w:rPr>
          <w:rFonts w:cs="Traditional Arabic" w:hint="cs"/>
          <w:sz w:val="18"/>
          <w:szCs w:val="26"/>
          <w:rtl/>
          <w:lang w:eastAsia="zh-TW"/>
        </w:rPr>
        <w:t xml:space="preserve">)  </w:t>
      </w:r>
      <w:r w:rsidR="001A256D" w:rsidRPr="00A2443B">
        <w:rPr>
          <w:rFonts w:cs="Traditional Arabic"/>
          <w:sz w:val="18"/>
          <w:szCs w:val="26"/>
          <w:u w:color="FF0000"/>
          <w:rtl/>
        </w:rPr>
        <w:t xml:space="preserve">برنامج الأمم المتحدة للبيئة، ٢٠١٨. </w:t>
      </w:r>
      <w:r w:rsidR="001A256D" w:rsidRPr="00EE715D">
        <w:rPr>
          <w:rFonts w:cs="Traditional Arabic"/>
          <w:i/>
          <w:iCs/>
          <w:sz w:val="18"/>
          <w:szCs w:val="26"/>
          <w:u w:color="FF0000"/>
          <w:rtl/>
        </w:rPr>
        <w:t>التقييم العالمي للزئبق ٢٠١٨</w:t>
      </w:r>
      <w:r w:rsidR="001A256D" w:rsidRPr="00A2443B">
        <w:rPr>
          <w:rFonts w:cs="Traditional Arabic"/>
          <w:sz w:val="18"/>
          <w:szCs w:val="26"/>
          <w:u w:color="FF0000"/>
          <w:rtl/>
        </w:rPr>
        <w:t>.</w:t>
      </w:r>
    </w:p>
    <w:p w14:paraId="266F73EF" w14:textId="59EE21BB" w:rsidR="001A7D20" w:rsidRPr="00A2443B" w:rsidRDefault="00B212C7" w:rsidP="006104C4">
      <w:pPr>
        <w:pStyle w:val="NormalNonumber"/>
        <w:tabs>
          <w:tab w:val="clear" w:pos="1247"/>
          <w:tab w:val="clear" w:pos="1814"/>
          <w:tab w:val="clear" w:pos="2381"/>
          <w:tab w:val="clear" w:pos="2948"/>
          <w:tab w:val="clear" w:pos="3515"/>
          <w:tab w:val="clear" w:pos="4082"/>
        </w:tabs>
        <w:bidi/>
        <w:spacing w:after="60" w:line="300" w:lineRule="exact"/>
        <w:ind w:left="1134"/>
        <w:jc w:val="both"/>
        <w:textDirection w:val="tbRlV"/>
        <w:rPr>
          <w:rFonts w:cs="Traditional Arabic"/>
          <w:sz w:val="18"/>
          <w:szCs w:val="26"/>
          <w:rtl/>
          <w:lang w:eastAsia="zh-TW"/>
        </w:rPr>
      </w:pPr>
      <w:hyperlink r:id="rId1" w:history="1">
        <w:r w:rsidR="001A256D" w:rsidRPr="006104C4">
          <w:rPr>
            <w:rStyle w:val="Hyperlink"/>
            <w:rFonts w:cs="Traditional Arabic"/>
            <w:sz w:val="18"/>
            <w:szCs w:val="26"/>
            <w:u w:val="none"/>
          </w:rPr>
          <w:t>https://wedocs.unep.org/handle/20.500.11822/27579</w:t>
        </w:r>
      </w:hyperlink>
      <w:r w:rsidR="001A256D" w:rsidRPr="00A2443B">
        <w:rPr>
          <w:rFonts w:cs="Traditional Arabic"/>
          <w:sz w:val="18"/>
          <w:szCs w:val="26"/>
          <w:u w:color="FF0000"/>
          <w:rtl/>
        </w:rPr>
        <w:t>.</w:t>
      </w:r>
    </w:p>
  </w:footnote>
  <w:footnote w:id="3">
    <w:p w14:paraId="051E7302" w14:textId="4674FB27" w:rsidR="001A256D" w:rsidRPr="00A2443B" w:rsidRDefault="001A256D" w:rsidP="00A2443B">
      <w:pPr>
        <w:pStyle w:val="FootnoteText"/>
        <w:bidi/>
        <w:spacing w:after="60" w:line="300" w:lineRule="exact"/>
        <w:ind w:left="1134"/>
        <w:jc w:val="both"/>
        <w:textDirection w:val="tbRlV"/>
        <w:rPr>
          <w:rFonts w:ascii="Times New Roman" w:hAnsi="Times New Roman"/>
          <w:sz w:val="18"/>
          <w:szCs w:val="26"/>
          <w:rtl/>
          <w:lang w:eastAsia="zh-TW"/>
        </w:rPr>
      </w:pPr>
      <w:r w:rsidRPr="00A2443B">
        <w:rPr>
          <w:rFonts w:ascii="Times New Roman" w:hAnsi="Times New Roman" w:hint="cs"/>
          <w:sz w:val="18"/>
          <w:szCs w:val="26"/>
          <w:rtl/>
          <w:lang w:eastAsia="zh-TW"/>
        </w:rPr>
        <w:t>(</w:t>
      </w:r>
      <w:r w:rsidRPr="00A2443B">
        <w:rPr>
          <w:rStyle w:val="FootnoteReference"/>
          <w:rFonts w:ascii="Times New Roman" w:hAnsi="Times New Roman" w:hint="cs"/>
          <w:sz w:val="18"/>
          <w:szCs w:val="26"/>
          <w:vertAlign w:val="baseline"/>
          <w:rtl/>
          <w:lang w:eastAsia="zh-TW"/>
        </w:rPr>
        <w:footnoteRef/>
      </w:r>
      <w:r w:rsidRPr="00A2443B">
        <w:rPr>
          <w:rFonts w:ascii="Times New Roman" w:hAnsi="Times New Roman" w:hint="cs"/>
          <w:sz w:val="18"/>
          <w:szCs w:val="26"/>
          <w:rtl/>
          <w:lang w:eastAsia="zh-TW"/>
        </w:rPr>
        <w:t xml:space="preserve">)  </w:t>
      </w:r>
      <w:r w:rsidRPr="00A2443B">
        <w:rPr>
          <w:rFonts w:ascii="Times New Roman" w:hAnsi="Times New Roman"/>
          <w:sz w:val="18"/>
          <w:szCs w:val="26"/>
          <w:u w:color="FF0000"/>
          <w:rtl/>
        </w:rPr>
        <w:t>أعرب عن آراء متباينة خلال عملية تقديم التعليقات، حيث تصر بعض الأطراف على توخي المرونة في الرصد من أجل تعظيم فرص التغطية الجغرافية الجيدة وتغطية الفئات السكانية العامة لكل من الذكور والإناث، بما في ذلك الأجنة.</w:t>
      </w:r>
    </w:p>
  </w:footnote>
  <w:footnote w:id="4">
    <w:p w14:paraId="30FD8ADA" w14:textId="594DEAEC" w:rsidR="001A256D" w:rsidRPr="00A2443B" w:rsidRDefault="001A256D" w:rsidP="00A2443B">
      <w:pPr>
        <w:pStyle w:val="FootnoteText"/>
        <w:bidi/>
        <w:spacing w:after="60" w:line="300" w:lineRule="exact"/>
        <w:ind w:left="1134"/>
        <w:jc w:val="both"/>
        <w:textDirection w:val="tbRlV"/>
        <w:rPr>
          <w:rFonts w:ascii="Times New Roman" w:hAnsi="Times New Roman"/>
          <w:sz w:val="18"/>
          <w:szCs w:val="26"/>
          <w:rtl/>
          <w:lang w:eastAsia="zh-TW"/>
        </w:rPr>
      </w:pPr>
      <w:r w:rsidRPr="00A2443B">
        <w:rPr>
          <w:rFonts w:ascii="Times New Roman" w:hAnsi="Times New Roman" w:hint="cs"/>
          <w:sz w:val="18"/>
          <w:szCs w:val="26"/>
          <w:rtl/>
          <w:lang w:eastAsia="zh-TW"/>
        </w:rPr>
        <w:t>(</w:t>
      </w:r>
      <w:r w:rsidRPr="00A2443B">
        <w:rPr>
          <w:rStyle w:val="FootnoteReference"/>
          <w:rFonts w:ascii="Times New Roman" w:hAnsi="Times New Roman" w:hint="cs"/>
          <w:sz w:val="18"/>
          <w:szCs w:val="26"/>
          <w:vertAlign w:val="baseline"/>
          <w:rtl/>
          <w:lang w:eastAsia="zh-TW"/>
        </w:rPr>
        <w:footnoteRef/>
      </w:r>
      <w:r w:rsidRPr="00A2443B">
        <w:rPr>
          <w:rFonts w:ascii="Times New Roman" w:hAnsi="Times New Roman" w:hint="cs"/>
          <w:sz w:val="18"/>
          <w:szCs w:val="26"/>
          <w:rtl/>
          <w:lang w:eastAsia="zh-TW"/>
        </w:rPr>
        <w:t xml:space="preserve">)  </w:t>
      </w:r>
      <w:r w:rsidRPr="00A2443B">
        <w:rPr>
          <w:rFonts w:ascii="Times New Roman" w:hAnsi="Times New Roman"/>
          <w:sz w:val="18"/>
          <w:szCs w:val="26"/>
          <w:u w:color="FF0000"/>
          <w:rtl/>
        </w:rPr>
        <w:t>فيما يتعلق بالحاشية الواردة أعلاه، اقترحت بعض الأطراف إدراج الشعر بحيث لا يقتصر على شعر الأمهات، والدم بحيث لا يقتصر على دم الحبل السري.</w:t>
      </w:r>
    </w:p>
  </w:footnote>
  <w:footnote w:id="5">
    <w:p w14:paraId="38E0751A" w14:textId="5C1F18D6" w:rsidR="001A256D" w:rsidRPr="00A2443B" w:rsidRDefault="001A256D" w:rsidP="006104C4">
      <w:pPr>
        <w:pStyle w:val="FootnoteText"/>
        <w:bidi/>
        <w:spacing w:after="60" w:line="280" w:lineRule="exact"/>
        <w:ind w:left="1134"/>
        <w:jc w:val="both"/>
        <w:textDirection w:val="tbRlV"/>
        <w:rPr>
          <w:rFonts w:ascii="Times New Roman" w:hAnsi="Times New Roman"/>
          <w:sz w:val="18"/>
          <w:szCs w:val="26"/>
          <w:rtl/>
          <w:lang w:eastAsia="zh-TW"/>
        </w:rPr>
      </w:pPr>
      <w:r w:rsidRPr="00A2443B">
        <w:rPr>
          <w:rFonts w:ascii="Times New Roman" w:hAnsi="Times New Roman" w:hint="cs"/>
          <w:sz w:val="18"/>
          <w:szCs w:val="26"/>
          <w:rtl/>
          <w:lang w:eastAsia="zh-TW"/>
        </w:rPr>
        <w:t>(</w:t>
      </w:r>
      <w:r w:rsidRPr="00A2443B">
        <w:rPr>
          <w:rStyle w:val="FootnoteReference"/>
          <w:rFonts w:ascii="Times New Roman" w:hAnsi="Times New Roman" w:hint="cs"/>
          <w:sz w:val="18"/>
          <w:szCs w:val="26"/>
          <w:vertAlign w:val="baseline"/>
          <w:rtl/>
          <w:lang w:eastAsia="zh-TW"/>
        </w:rPr>
        <w:footnoteRef/>
      </w:r>
      <w:r w:rsidRPr="00A2443B">
        <w:rPr>
          <w:rFonts w:ascii="Times New Roman" w:hAnsi="Times New Roman" w:hint="cs"/>
          <w:sz w:val="18"/>
          <w:szCs w:val="26"/>
          <w:rtl/>
          <w:lang w:eastAsia="zh-TW"/>
        </w:rPr>
        <w:t xml:space="preserve">)  </w:t>
      </w:r>
      <w:r w:rsidRPr="00A2443B">
        <w:rPr>
          <w:rFonts w:ascii="Times New Roman" w:hAnsi="Times New Roman"/>
          <w:sz w:val="18"/>
          <w:szCs w:val="26"/>
          <w:u w:color="FF0000"/>
          <w:rtl/>
        </w:rPr>
        <w:t xml:space="preserve">منظمة الصحة العالمية، ٢٠١٨. </w:t>
      </w:r>
      <w:r w:rsidR="006104C4">
        <w:rPr>
          <w:rFonts w:ascii="Times New Roman" w:hAnsi="Times New Roman" w:hint="cs"/>
          <w:sz w:val="18"/>
          <w:szCs w:val="26"/>
          <w:u w:color="FF0000"/>
          <w:rtl/>
        </w:rPr>
        <w:t>’’</w:t>
      </w:r>
      <w:r w:rsidRPr="00A2443B">
        <w:rPr>
          <w:rFonts w:ascii="Times New Roman" w:hAnsi="Times New Roman"/>
          <w:sz w:val="18"/>
          <w:szCs w:val="26"/>
          <w:u w:color="FF0000"/>
          <w:rtl/>
        </w:rPr>
        <w:t>تقييم التعرض للزئبق قبل الولادة: دراسة استقصائية للرصد الأحيائي البشري.</w:t>
      </w:r>
      <w:r w:rsidR="006104C4">
        <w:rPr>
          <w:rFonts w:ascii="Times New Roman" w:hAnsi="Times New Roman"/>
          <w:sz w:val="18"/>
          <w:szCs w:val="26"/>
          <w:u w:color="FF0000"/>
          <w:rtl/>
        </w:rPr>
        <w:br/>
      </w:r>
      <w:r w:rsidRPr="00A2443B">
        <w:rPr>
          <w:rFonts w:ascii="Times New Roman" w:hAnsi="Times New Roman"/>
          <w:sz w:val="18"/>
          <w:szCs w:val="26"/>
          <w:u w:color="FF0000"/>
          <w:rtl/>
        </w:rPr>
        <w:t>بروتوكول الدراسة الاستقصائية الأولى</w:t>
      </w:r>
      <w:r w:rsidR="006104C4">
        <w:rPr>
          <w:rFonts w:ascii="Times New Roman" w:hAnsi="Times New Roman" w:hint="cs"/>
          <w:sz w:val="18"/>
          <w:szCs w:val="26"/>
          <w:u w:color="FF0000"/>
          <w:rtl/>
        </w:rPr>
        <w:t>.‘‘</w:t>
      </w:r>
      <w:r w:rsidRPr="00A2443B">
        <w:rPr>
          <w:rFonts w:ascii="Times New Roman" w:hAnsi="Times New Roman"/>
          <w:sz w:val="18"/>
          <w:szCs w:val="26"/>
        </w:rPr>
        <w:t>http://www.euro.who.int/en/health-topics/environment-and-health/chemical-safety/publications/2018/assessment-of-prenatal-exposure-to-mercury-human-biomonitoring-survey-2018</w:t>
      </w:r>
      <w:r w:rsidRPr="00A2443B">
        <w:rPr>
          <w:rFonts w:ascii="Times New Roman" w:hAnsi="Times New Roman" w:hint="cs"/>
          <w:sz w:val="18"/>
          <w:szCs w:val="26"/>
          <w:rtl/>
          <w:lang w:val="ar-SA" w:eastAsia="zh-TW"/>
        </w:rPr>
        <w:t>.</w:t>
      </w:r>
    </w:p>
  </w:footnote>
  <w:footnote w:id="6">
    <w:p w14:paraId="2FC215DE" w14:textId="190FA1CD" w:rsidR="001A256D" w:rsidRPr="00A2443B" w:rsidRDefault="001A256D" w:rsidP="00FF315C">
      <w:pPr>
        <w:pStyle w:val="FootnoteText"/>
        <w:bidi/>
        <w:spacing w:line="300" w:lineRule="exact"/>
        <w:ind w:left="1134"/>
        <w:jc w:val="both"/>
        <w:textDirection w:val="tbRlV"/>
        <w:rPr>
          <w:rFonts w:ascii="Times New Roman" w:hAnsi="Times New Roman"/>
          <w:sz w:val="18"/>
          <w:szCs w:val="26"/>
          <w:u w:color="FF0000"/>
          <w:rtl/>
        </w:rPr>
      </w:pPr>
      <w:r w:rsidRPr="00A2443B">
        <w:rPr>
          <w:rFonts w:ascii="Times New Roman" w:hAnsi="Times New Roman" w:hint="cs"/>
          <w:sz w:val="18"/>
          <w:szCs w:val="26"/>
          <w:rtl/>
          <w:lang w:eastAsia="zh-TW"/>
        </w:rPr>
        <w:t>(</w:t>
      </w:r>
      <w:r w:rsidRPr="00A2443B">
        <w:rPr>
          <w:rStyle w:val="FootnoteReference"/>
          <w:rFonts w:ascii="Times New Roman" w:hAnsi="Times New Roman" w:hint="cs"/>
          <w:sz w:val="18"/>
          <w:szCs w:val="26"/>
          <w:vertAlign w:val="baseline"/>
          <w:rtl/>
          <w:lang w:eastAsia="zh-TW"/>
        </w:rPr>
        <w:footnoteRef/>
      </w:r>
      <w:r w:rsidRPr="00A2443B">
        <w:rPr>
          <w:rFonts w:ascii="Times New Roman" w:hAnsi="Times New Roman" w:hint="cs"/>
          <w:sz w:val="18"/>
          <w:szCs w:val="26"/>
          <w:rtl/>
          <w:lang w:eastAsia="zh-TW"/>
        </w:rPr>
        <w:t xml:space="preserve">)  </w:t>
      </w:r>
      <w:r w:rsidRPr="00A2443B">
        <w:rPr>
          <w:rFonts w:ascii="Times New Roman" w:hAnsi="Times New Roman"/>
          <w:sz w:val="18"/>
          <w:szCs w:val="26"/>
          <w:u w:color="FF0000"/>
          <w:rtl/>
        </w:rPr>
        <w:t>للمزيد من المعلومات، انظر</w:t>
      </w:r>
      <w:r w:rsidR="00FF315C">
        <w:rPr>
          <w:rFonts w:ascii="Times New Roman" w:hAnsi="Times New Roman" w:hint="cs"/>
          <w:sz w:val="18"/>
          <w:szCs w:val="26"/>
          <w:u w:color="FF0000"/>
          <w:rtl/>
        </w:rPr>
        <w:t>:</w:t>
      </w:r>
    </w:p>
    <w:p w14:paraId="0A5AB801" w14:textId="6073F9A9" w:rsidR="001A256D" w:rsidRPr="00FF315C" w:rsidRDefault="00B212C7" w:rsidP="00C44B45">
      <w:pPr>
        <w:pStyle w:val="FootnoteText"/>
        <w:spacing w:line="260" w:lineRule="exact"/>
        <w:ind w:left="142"/>
        <w:jc w:val="both"/>
        <w:textDirection w:val="tbRlV"/>
        <w:rPr>
          <w:rFonts w:ascii="Times New Roman" w:hAnsi="Times New Roman"/>
          <w:sz w:val="18"/>
          <w:szCs w:val="26"/>
          <w:lang w:val="en-GB" w:eastAsia="zh-TW"/>
        </w:rPr>
      </w:pPr>
      <w:hyperlink r:id="rId2" w:history="1">
        <w:r w:rsidR="00FF315C" w:rsidRPr="00FF315C">
          <w:rPr>
            <w:rStyle w:val="Hyperlink"/>
            <w:rFonts w:ascii="Times New Roman" w:hAnsi="Times New Roman"/>
            <w:sz w:val="18"/>
            <w:szCs w:val="18"/>
            <w:u w:val="none"/>
          </w:rPr>
          <w:t>http://www.briloon.org/uploads/BRI_Documents/Mercury_Center/Publications/For%20Web%20GBMS%20Book let%202018%20.pdf</w:t>
        </w:r>
      </w:hyperlink>
      <w:r w:rsidR="001A256D" w:rsidRPr="00FF315C">
        <w:rPr>
          <w:rFonts w:ascii="Times New Roman" w:hAnsi="Times New Roman"/>
          <w:sz w:val="18"/>
          <w:szCs w:val="26"/>
          <w:rtl/>
        </w:rPr>
        <w:t>.</w:t>
      </w:r>
    </w:p>
  </w:footnote>
  <w:footnote w:id="7">
    <w:p w14:paraId="7819EB66" w14:textId="41C72AC8" w:rsidR="001A256D" w:rsidRPr="00A2443B" w:rsidRDefault="001A256D" w:rsidP="00A2443B">
      <w:pPr>
        <w:pStyle w:val="FootnoteText"/>
        <w:bidi/>
        <w:spacing w:after="60" w:line="300" w:lineRule="exact"/>
        <w:ind w:left="1134"/>
        <w:jc w:val="both"/>
        <w:textDirection w:val="tbRlV"/>
        <w:rPr>
          <w:rFonts w:ascii="Times New Roman" w:hAnsi="Times New Roman"/>
          <w:sz w:val="18"/>
          <w:szCs w:val="26"/>
          <w:rtl/>
          <w:lang w:eastAsia="zh-TW"/>
        </w:rPr>
      </w:pPr>
      <w:r w:rsidRPr="00A2443B">
        <w:rPr>
          <w:rFonts w:ascii="Times New Roman" w:hAnsi="Times New Roman" w:hint="cs"/>
          <w:sz w:val="18"/>
          <w:szCs w:val="26"/>
          <w:rtl/>
          <w:lang w:eastAsia="zh-TW"/>
        </w:rPr>
        <w:t>(</w:t>
      </w:r>
      <w:r w:rsidRPr="00A2443B">
        <w:rPr>
          <w:rStyle w:val="FootnoteReference"/>
          <w:rFonts w:ascii="Times New Roman" w:hAnsi="Times New Roman" w:hint="cs"/>
          <w:sz w:val="18"/>
          <w:szCs w:val="26"/>
          <w:vertAlign w:val="baseline"/>
          <w:rtl/>
          <w:lang w:eastAsia="zh-TW"/>
        </w:rPr>
        <w:footnoteRef/>
      </w:r>
      <w:r w:rsidRPr="00A2443B">
        <w:rPr>
          <w:rFonts w:ascii="Times New Roman" w:hAnsi="Times New Roman" w:hint="cs"/>
          <w:sz w:val="18"/>
          <w:szCs w:val="26"/>
          <w:rtl/>
          <w:lang w:eastAsia="zh-TW"/>
        </w:rPr>
        <w:t xml:space="preserve">)  </w:t>
      </w:r>
      <w:r w:rsidRPr="00A2443B">
        <w:rPr>
          <w:rFonts w:ascii="Times New Roman" w:hAnsi="Times New Roman"/>
          <w:sz w:val="18"/>
          <w:szCs w:val="26"/>
          <w:u w:color="FF0000"/>
          <w:rtl/>
        </w:rPr>
        <w:t>أشارت بعض الأطراف إلى أن البروتوكولات المعتمدة المستخدمة في برامج الرصد الأحيائي البشري الأخرى ينبغي أيضاً الاعتراف بها.</w:t>
      </w:r>
    </w:p>
  </w:footnote>
  <w:footnote w:id="8">
    <w:p w14:paraId="0CF40DD0" w14:textId="227C7BE6" w:rsidR="001A256D" w:rsidRPr="00A2443B" w:rsidRDefault="001A256D" w:rsidP="00A2443B">
      <w:pPr>
        <w:pStyle w:val="FootnoteText"/>
        <w:bidi/>
        <w:spacing w:after="60" w:line="300" w:lineRule="exact"/>
        <w:ind w:left="1134"/>
        <w:jc w:val="both"/>
        <w:textDirection w:val="tbRlV"/>
        <w:rPr>
          <w:rFonts w:ascii="Times New Roman" w:hAnsi="Times New Roman"/>
          <w:sz w:val="18"/>
          <w:szCs w:val="26"/>
          <w:rtl/>
          <w:lang w:eastAsia="zh-TW"/>
        </w:rPr>
      </w:pPr>
      <w:r w:rsidRPr="00A2443B">
        <w:rPr>
          <w:rFonts w:ascii="Times New Roman" w:hAnsi="Times New Roman" w:hint="cs"/>
          <w:sz w:val="18"/>
          <w:szCs w:val="26"/>
          <w:rtl/>
          <w:lang w:eastAsia="zh-TW"/>
        </w:rPr>
        <w:t>(</w:t>
      </w:r>
      <w:r w:rsidRPr="00A2443B">
        <w:rPr>
          <w:rStyle w:val="FootnoteReference"/>
          <w:rFonts w:ascii="Times New Roman" w:hAnsi="Times New Roman" w:hint="cs"/>
          <w:sz w:val="18"/>
          <w:szCs w:val="26"/>
          <w:vertAlign w:val="baseline"/>
          <w:rtl/>
          <w:lang w:eastAsia="zh-TW"/>
        </w:rPr>
        <w:footnoteRef/>
      </w:r>
      <w:r w:rsidRPr="00A2443B">
        <w:rPr>
          <w:rFonts w:ascii="Times New Roman" w:hAnsi="Times New Roman" w:hint="cs"/>
          <w:sz w:val="18"/>
          <w:szCs w:val="26"/>
          <w:rtl/>
          <w:lang w:eastAsia="zh-TW"/>
        </w:rPr>
        <w:t xml:space="preserve">)  </w:t>
      </w:r>
      <w:r w:rsidRPr="00A2443B">
        <w:rPr>
          <w:rFonts w:ascii="Times New Roman" w:hAnsi="Times New Roman"/>
          <w:sz w:val="18"/>
          <w:szCs w:val="26"/>
          <w:u w:color="FF0000"/>
          <w:rtl/>
        </w:rPr>
        <w:t xml:space="preserve">يمكن الاطلاع على قائمة بالمواد المرجعية المتوفرة في الوثيقة </w:t>
      </w:r>
      <w:r w:rsidRPr="00A2443B">
        <w:rPr>
          <w:rFonts w:ascii="Times New Roman" w:hAnsi="Times New Roman"/>
          <w:sz w:val="18"/>
          <w:szCs w:val="26"/>
        </w:rPr>
        <w:t>UNEP/MC/COP.3/INF/15</w:t>
      </w:r>
      <w:r w:rsidRPr="00A2443B">
        <w:rPr>
          <w:rFonts w:ascii="Times New Roman" w:hAnsi="Times New Roman"/>
          <w:sz w:val="18"/>
          <w:szCs w:val="26"/>
          <w:u w:color="FF0000"/>
          <w:rtl/>
        </w:rPr>
        <w:t>، الجزء ثانياً.</w:t>
      </w:r>
    </w:p>
  </w:footnote>
  <w:footnote w:id="9">
    <w:p w14:paraId="48EFF63C" w14:textId="5A0C2785" w:rsidR="001A256D" w:rsidRPr="00A2443B" w:rsidRDefault="001A256D" w:rsidP="00863837">
      <w:pPr>
        <w:pStyle w:val="FootnoteText"/>
        <w:bidi/>
        <w:spacing w:after="60" w:line="280" w:lineRule="exact"/>
        <w:ind w:left="1134"/>
        <w:jc w:val="both"/>
        <w:textDirection w:val="tbRlV"/>
        <w:rPr>
          <w:rFonts w:ascii="Times New Roman" w:hAnsi="Times New Roman"/>
          <w:sz w:val="18"/>
          <w:szCs w:val="26"/>
          <w:rtl/>
          <w:lang w:eastAsia="zh-TW"/>
        </w:rPr>
      </w:pPr>
      <w:r w:rsidRPr="00863837">
        <w:rPr>
          <w:rFonts w:ascii="Times New Roman" w:hAnsi="Times New Roman" w:hint="cs"/>
          <w:sz w:val="18"/>
          <w:szCs w:val="26"/>
          <w:rtl/>
          <w:lang w:eastAsia="zh-TW"/>
        </w:rPr>
        <w:t>(</w:t>
      </w:r>
      <w:r w:rsidRPr="00863837">
        <w:rPr>
          <w:rStyle w:val="FootnoteReference"/>
          <w:rFonts w:ascii="Times New Roman" w:hAnsi="Times New Roman" w:hint="cs"/>
          <w:sz w:val="18"/>
          <w:szCs w:val="26"/>
          <w:vertAlign w:val="baseline"/>
          <w:rtl/>
          <w:lang w:eastAsia="zh-TW"/>
        </w:rPr>
        <w:footnoteRef/>
      </w:r>
      <w:r w:rsidRPr="00863837">
        <w:rPr>
          <w:rFonts w:ascii="Times New Roman" w:hAnsi="Times New Roman" w:hint="cs"/>
          <w:sz w:val="18"/>
          <w:szCs w:val="26"/>
          <w:rtl/>
          <w:lang w:eastAsia="zh-TW"/>
        </w:rPr>
        <w:t xml:space="preserve">)  </w:t>
      </w:r>
      <w:r w:rsidRPr="00863837">
        <w:rPr>
          <w:rFonts w:ascii="Times New Roman" w:hAnsi="Times New Roman"/>
          <w:sz w:val="18"/>
          <w:szCs w:val="26"/>
          <w:rtl/>
        </w:rPr>
        <w:t xml:space="preserve">الدراسة التي أجراها </w:t>
      </w:r>
      <w:r w:rsidRPr="00BD3769">
        <w:rPr>
          <w:rFonts w:ascii="Times New Roman" w:hAnsi="Times New Roman"/>
          <w:i/>
          <w:iCs/>
          <w:sz w:val="18"/>
          <w:szCs w:val="26"/>
          <w:rtl/>
        </w:rPr>
        <w:t>برنامج رصد وتقييم القطب الشمالي، 2011</w:t>
      </w:r>
      <w:r w:rsidRPr="00863837">
        <w:rPr>
          <w:rFonts w:ascii="Times New Roman" w:hAnsi="Times New Roman"/>
          <w:sz w:val="18"/>
          <w:szCs w:val="26"/>
          <w:rtl/>
        </w:rPr>
        <w:t xml:space="preserve">. التقييم الذي أجراه برنامج رصد وتقييم القطب الشمالي في عام 2011: </w:t>
      </w:r>
      <w:r w:rsidRPr="00BD3769">
        <w:rPr>
          <w:rFonts w:ascii="Times New Roman" w:hAnsi="Times New Roman"/>
          <w:i/>
          <w:iCs/>
          <w:sz w:val="18"/>
          <w:szCs w:val="26"/>
          <w:rtl/>
        </w:rPr>
        <w:t>الزئبق في منطقة القطب الشمالي</w:t>
      </w:r>
      <w:r w:rsidRPr="00863837">
        <w:rPr>
          <w:rFonts w:ascii="Times New Roman" w:hAnsi="Times New Roman"/>
          <w:sz w:val="18"/>
          <w:szCs w:val="26"/>
          <w:rtl/>
        </w:rPr>
        <w:t>.</w:t>
      </w:r>
      <w:r w:rsidRPr="00863837">
        <w:rPr>
          <w:rStyle w:val="DeltaViewInsertion"/>
          <w:rFonts w:ascii="Times New Roman" w:hAnsi="Times New Roman"/>
          <w:sz w:val="18"/>
          <w:szCs w:val="26"/>
          <w:u w:val="none"/>
        </w:rPr>
        <w:t xml:space="preserve"> </w:t>
      </w:r>
      <w:hyperlink r:id="rId3" w:history="1">
        <w:r w:rsidRPr="00863837">
          <w:rPr>
            <w:rStyle w:val="Hyperlink"/>
            <w:rFonts w:ascii="Times New Roman" w:hAnsi="Times New Roman"/>
            <w:sz w:val="18"/>
            <w:szCs w:val="26"/>
            <w:u w:val="none"/>
          </w:rPr>
          <w:t>https://www.amap.no/documents/doc/amap-assessment-2011-mercury-in-the-arctic/90</w:t>
        </w:r>
      </w:hyperlink>
      <w:r w:rsidRPr="00863837">
        <w:rPr>
          <w:rFonts w:ascii="Times New Roman" w:hAnsi="Times New Roman" w:hint="cs"/>
          <w:sz w:val="18"/>
          <w:szCs w:val="26"/>
          <w:rtl/>
        </w:rPr>
        <w:t xml:space="preserve"> </w:t>
      </w:r>
      <w:r w:rsidRPr="00863837">
        <w:rPr>
          <w:rFonts w:ascii="Times New Roman" w:hAnsi="Times New Roman"/>
          <w:sz w:val="18"/>
          <w:szCs w:val="26"/>
          <w:rtl/>
        </w:rPr>
        <w:t xml:space="preserve">; والدراسة التي أجراها </w:t>
      </w:r>
      <w:r w:rsidRPr="00BD3769">
        <w:rPr>
          <w:rFonts w:ascii="Times New Roman" w:hAnsi="Times New Roman"/>
          <w:i/>
          <w:iCs/>
          <w:sz w:val="18"/>
          <w:szCs w:val="26"/>
          <w:rtl/>
        </w:rPr>
        <w:t>برنامج رصد وتقييم القطب الشمالي، 2015</w:t>
      </w:r>
      <w:r w:rsidRPr="00863837">
        <w:rPr>
          <w:rFonts w:ascii="Times New Roman" w:hAnsi="Times New Roman"/>
          <w:sz w:val="18"/>
          <w:szCs w:val="26"/>
          <w:rtl/>
        </w:rPr>
        <w:t xml:space="preserve">. التقييم الذي أجراه </w:t>
      </w:r>
      <w:r w:rsidRPr="00BD3769">
        <w:rPr>
          <w:rFonts w:ascii="Times New Roman" w:hAnsi="Times New Roman"/>
          <w:i/>
          <w:iCs/>
          <w:sz w:val="18"/>
          <w:szCs w:val="26"/>
          <w:rtl/>
        </w:rPr>
        <w:t>برنامج رصد وتقييم القطب الشمالي في عام 2015: الصحة البشرية في منطقة القطب الشمالي</w:t>
      </w:r>
      <w:r w:rsidRPr="00863837">
        <w:rPr>
          <w:rFonts w:ascii="Times New Roman" w:hAnsi="Times New Roman"/>
          <w:sz w:val="18"/>
          <w:szCs w:val="26"/>
          <w:rtl/>
        </w:rPr>
        <w:t>.</w:t>
      </w:r>
      <w:r w:rsidRPr="00863837">
        <w:rPr>
          <w:rFonts w:ascii="Times New Roman" w:hAnsi="Times New Roman" w:hint="cs"/>
          <w:sz w:val="18"/>
          <w:szCs w:val="26"/>
          <w:rtl/>
        </w:rPr>
        <w:t xml:space="preserve"> </w:t>
      </w:r>
      <w:hyperlink r:id="rId4" w:history="1">
        <w:r w:rsidRPr="00863837">
          <w:rPr>
            <w:rStyle w:val="Hyperlink"/>
            <w:rFonts w:ascii="Times New Roman" w:hAnsi="Times New Roman"/>
            <w:sz w:val="18"/>
            <w:szCs w:val="26"/>
            <w:u w:val="none"/>
          </w:rPr>
          <w:t>https://www.amap.no/documents/doc/amap-assessment-2015-human-health-in-the-arctic/1346</w:t>
        </w:r>
      </w:hyperlink>
      <w:r w:rsidRPr="00A2443B">
        <w:rPr>
          <w:rFonts w:ascii="Times New Roman" w:hAnsi="Times New Roman"/>
          <w:sz w:val="18"/>
          <w:szCs w:val="26"/>
          <w:u w:color="FF0000"/>
          <w:rtl/>
        </w:rPr>
        <w:t>.</w:t>
      </w:r>
    </w:p>
  </w:footnote>
  <w:footnote w:id="10">
    <w:p w14:paraId="0870994F" w14:textId="26A96C0E" w:rsidR="001A256D" w:rsidRPr="00A2443B" w:rsidRDefault="001A256D" w:rsidP="00A2443B">
      <w:pPr>
        <w:pStyle w:val="FootnoteText"/>
        <w:bidi/>
        <w:spacing w:after="60" w:line="300" w:lineRule="exact"/>
        <w:ind w:left="1134"/>
        <w:jc w:val="both"/>
        <w:textDirection w:val="tbRlV"/>
        <w:rPr>
          <w:rFonts w:ascii="Times New Roman" w:hAnsi="Times New Roman"/>
          <w:sz w:val="18"/>
          <w:szCs w:val="26"/>
          <w:rtl/>
          <w:lang w:eastAsia="zh-TW"/>
        </w:rPr>
      </w:pPr>
      <w:r w:rsidRPr="00A2443B">
        <w:rPr>
          <w:rFonts w:ascii="Times New Roman" w:hAnsi="Times New Roman" w:hint="cs"/>
          <w:sz w:val="18"/>
          <w:szCs w:val="26"/>
          <w:rtl/>
          <w:lang w:eastAsia="zh-TW"/>
        </w:rPr>
        <w:t>(</w:t>
      </w:r>
      <w:r w:rsidRPr="00A2443B">
        <w:rPr>
          <w:rStyle w:val="FootnoteReference"/>
          <w:rFonts w:ascii="Times New Roman" w:hAnsi="Times New Roman" w:hint="cs"/>
          <w:sz w:val="18"/>
          <w:szCs w:val="26"/>
          <w:vertAlign w:val="baseline"/>
          <w:rtl/>
          <w:lang w:eastAsia="zh-TW"/>
        </w:rPr>
        <w:footnoteRef/>
      </w:r>
      <w:r w:rsidRPr="00A2443B">
        <w:rPr>
          <w:rFonts w:ascii="Times New Roman" w:hAnsi="Times New Roman" w:hint="cs"/>
          <w:sz w:val="18"/>
          <w:szCs w:val="26"/>
          <w:rtl/>
          <w:lang w:eastAsia="zh-TW"/>
        </w:rPr>
        <w:t xml:space="preserve">)  </w:t>
      </w:r>
      <w:r w:rsidRPr="00A2443B">
        <w:rPr>
          <w:rFonts w:ascii="Times New Roman" w:hAnsi="Times New Roman"/>
          <w:sz w:val="18"/>
          <w:szCs w:val="26"/>
          <w:u w:color="FF0000"/>
          <w:rtl/>
        </w:rPr>
        <w:t>أُعرب عن آراء مختلفة أثناء عملية تقديم التعليقات. وتصر بعض الأطراف على توخي المرونة في الرصد من أجل تعظيم فرص التغطية الجغرافية الجيدة وتغطية الفئات السكانية العامة التي تشمل كل من الذكور والإناث، بما في ذلك الأجنة. واقترحت تلك الأطراف عدم قصر الشعر على شعر الأمهات وعدم قصر الدم على دم الحبل السري.</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2F20E" w14:textId="7D9AACBB" w:rsidR="0042042E" w:rsidRPr="009D4EBB" w:rsidRDefault="00934FB6" w:rsidP="00DB6CCC">
    <w:pPr>
      <w:pBdr>
        <w:bottom w:val="single" w:sz="4" w:space="0" w:color="auto"/>
      </w:pBdr>
      <w:spacing w:before="20" w:after="40"/>
      <w:jc w:val="right"/>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w:t>
    </w:r>
    <w:r w:rsidR="002E2164">
      <w:rPr>
        <w:rFonts w:cs="Times New Roman"/>
        <w:b/>
        <w:bCs/>
        <w:sz w:val="17"/>
        <w:szCs w:val="17"/>
      </w:rPr>
      <w:t>3</w:t>
    </w:r>
    <w:r>
      <w:rPr>
        <w:rFonts w:cs="Times New Roman"/>
        <w:b/>
        <w:bCs/>
        <w:sz w:val="17"/>
        <w:szCs w:val="17"/>
      </w:rPr>
      <w:t>/</w:t>
    </w:r>
    <w:r w:rsidR="002413D6">
      <w:rPr>
        <w:rFonts w:cs="Times New Roman"/>
        <w:b/>
        <w:bCs/>
        <w:sz w:val="17"/>
        <w:szCs w:val="17"/>
      </w:rPr>
      <w:t>14/Add.1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B810D" w14:textId="24E423C4" w:rsidR="0042042E" w:rsidRPr="002D10EB" w:rsidRDefault="00934FB6" w:rsidP="00DB6CCC">
    <w:pPr>
      <w:pBdr>
        <w:bottom w:val="single" w:sz="4" w:space="0" w:color="auto"/>
      </w:pBdr>
      <w:spacing w:before="20" w:after="40"/>
      <w:jc w:val="both"/>
      <w:rPr>
        <w:b/>
        <w:bCs/>
        <w:sz w:val="17"/>
        <w:szCs w:val="17"/>
        <w:lang w:val="en-GB"/>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w:t>
    </w:r>
    <w:r w:rsidR="00A4119B">
      <w:rPr>
        <w:rFonts w:cs="Times New Roman"/>
        <w:b/>
        <w:bCs/>
        <w:sz w:val="17"/>
        <w:szCs w:val="17"/>
      </w:rPr>
      <w:t>3</w:t>
    </w:r>
    <w:r>
      <w:rPr>
        <w:rFonts w:cs="Times New Roman"/>
        <w:b/>
        <w:bCs/>
        <w:sz w:val="17"/>
        <w:szCs w:val="17"/>
      </w:rPr>
      <w:t>/</w:t>
    </w:r>
    <w:r w:rsidR="002413D6">
      <w:rPr>
        <w:rFonts w:cs="Times New Roman"/>
        <w:b/>
        <w:bCs/>
        <w:sz w:val="17"/>
        <w:szCs w:val="17"/>
      </w:rPr>
      <w:t>14/Add.1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15:restartNumberingAfterBreak="0">
    <w:nsid w:val="08AA0772"/>
    <w:multiLevelType w:val="hybridMultilevel"/>
    <w:tmpl w:val="06A41752"/>
    <w:lvl w:ilvl="0" w:tplc="8A160952">
      <w:start w:val="1"/>
      <w:numFmt w:val="decimal"/>
      <w:lvlText w:val="%1-"/>
      <w:lvlJc w:val="left"/>
      <w:pPr>
        <w:ind w:left="1335" w:hanging="4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08AF42CD"/>
    <w:multiLevelType w:val="hybridMultilevel"/>
    <w:tmpl w:val="6A0A80CE"/>
    <w:lvl w:ilvl="0" w:tplc="E27672C8">
      <w:start w:val="1"/>
      <w:numFmt w:val="decimal"/>
      <w:lvlText w:val="%1-"/>
      <w:lvlJc w:val="left"/>
      <w:pPr>
        <w:ind w:left="1817" w:hanging="570"/>
      </w:pPr>
      <w:rPr>
        <w:rFonts w:hint="default"/>
        <w:b/>
        <w:bCs w:val="0"/>
        <w:i w:val="0"/>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3" w15:restartNumberingAfterBreak="0">
    <w:nsid w:val="19FD37BB"/>
    <w:multiLevelType w:val="hybridMultilevel"/>
    <w:tmpl w:val="F334DD8C"/>
    <w:lvl w:ilvl="0" w:tplc="08090003">
      <w:start w:val="1"/>
      <w:numFmt w:val="bullet"/>
      <w:lvlText w:val="o"/>
      <w:lvlJc w:val="left"/>
      <w:pPr>
        <w:ind w:left="720" w:hanging="360"/>
      </w:pPr>
      <w:rPr>
        <w:rFonts w:ascii="Courier New" w:hAnsi="Courier New" w:hint="default"/>
      </w:rPr>
    </w:lvl>
    <w:lvl w:ilvl="1" w:tplc="1D20D234">
      <w:start w:val="1"/>
      <w:numFmt w:val="bullet"/>
      <w:lvlText w:val="-"/>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30927E40"/>
    <w:multiLevelType w:val="hybridMultilevel"/>
    <w:tmpl w:val="1D7091DA"/>
    <w:lvl w:ilvl="0" w:tplc="36C81850">
      <w:start w:val="21"/>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366F0DDB"/>
    <w:multiLevelType w:val="hybridMultilevel"/>
    <w:tmpl w:val="72129B9E"/>
    <w:lvl w:ilvl="0" w:tplc="1410F1A2">
      <w:start w:val="1"/>
      <w:numFmt w:val="decimal"/>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6" w15:restartNumberingAfterBreak="0">
    <w:nsid w:val="395D64A6"/>
    <w:multiLevelType w:val="hybridMultilevel"/>
    <w:tmpl w:val="4B54480E"/>
    <w:lvl w:ilvl="0" w:tplc="30CC5704">
      <w:start w:val="1"/>
      <w:numFmt w:val="bullet"/>
      <w:lvlText w:val=""/>
      <w:lvlJc w:val="left"/>
      <w:pPr>
        <w:ind w:left="720" w:hanging="360"/>
      </w:pPr>
      <w:rPr>
        <w:rFonts w:ascii="Symbol" w:hAnsi="Symbol" w:hint="default"/>
        <w:sz w:val="20"/>
        <w:szCs w:val="20"/>
      </w:rPr>
    </w:lvl>
    <w:lvl w:ilvl="1" w:tplc="C04E133C">
      <w:start w:val="1"/>
      <w:numFmt w:val="bullet"/>
      <w:lvlText w:val=""/>
      <w:lvlJc w:val="left"/>
      <w:pPr>
        <w:ind w:left="1440" w:hanging="360"/>
      </w:pPr>
      <w:rPr>
        <w:rFonts w:ascii="Symbol" w:hAnsi="Symbol" w:hint="default"/>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42C831C3"/>
    <w:multiLevelType w:val="hybridMultilevel"/>
    <w:tmpl w:val="8B92FE12"/>
    <w:lvl w:ilvl="0" w:tplc="8F5891F2">
      <w:start w:val="17"/>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 w15:restartNumberingAfterBreak="0">
    <w:nsid w:val="50C8561A"/>
    <w:multiLevelType w:val="singleLevel"/>
    <w:tmpl w:val="779E85D6"/>
    <w:lvl w:ilvl="0">
      <w:numFmt w:val="ganada"/>
      <w:lvlText w:val="%1"/>
      <w:lvlJc w:val="left"/>
      <w:pPr>
        <w:tabs>
          <w:tab w:val="num" w:pos="360"/>
        </w:tabs>
        <w:ind w:right="360" w:hanging="360"/>
      </w:pPr>
      <w:rPr>
        <w:rFonts w:hint="default"/>
      </w:rPr>
    </w:lvl>
  </w:abstractNum>
  <w:abstractNum w:abstractNumId="9" w15:restartNumberingAfterBreak="0">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10" w15:restartNumberingAfterBreak="0">
    <w:nsid w:val="54DA0699"/>
    <w:multiLevelType w:val="hybridMultilevel"/>
    <w:tmpl w:val="33CECC38"/>
    <w:lvl w:ilvl="0" w:tplc="6CD47A02">
      <w:start w:val="1"/>
      <w:numFmt w:val="arabicAlpha"/>
      <w:lvlText w:val="(%1)"/>
      <w:lvlJc w:val="left"/>
      <w:pPr>
        <w:ind w:left="2138" w:hanging="720"/>
      </w:pPr>
      <w:rPr>
        <w:rFonts w:hint="default"/>
        <w:color w:val="auto"/>
      </w:rPr>
    </w:lvl>
    <w:lvl w:ilvl="1" w:tplc="04090019" w:tentative="1">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abstractNum w:abstractNumId="11" w15:restartNumberingAfterBreak="0">
    <w:nsid w:val="57B346CB"/>
    <w:multiLevelType w:val="hybridMultilevel"/>
    <w:tmpl w:val="69EAD434"/>
    <w:lvl w:ilvl="0" w:tplc="6ED6A31E">
      <w:start w:val="1"/>
      <w:numFmt w:val="bullet"/>
      <w:lvlText w:val=""/>
      <w:lvlJc w:val="left"/>
      <w:pPr>
        <w:ind w:left="2061" w:hanging="360"/>
      </w:pPr>
      <w:rPr>
        <w:rFonts w:ascii="Symbol" w:hAnsi="Symbol" w:hint="default"/>
        <w:sz w:val="20"/>
        <w:szCs w:val="20"/>
      </w:rPr>
    </w:lvl>
    <w:lvl w:ilvl="1" w:tplc="4A9CADDE">
      <w:start w:val="1"/>
      <w:numFmt w:val="bullet"/>
      <w:lvlText w:val="˗"/>
      <w:lvlJc w:val="left"/>
      <w:pPr>
        <w:ind w:left="1494" w:hanging="360"/>
      </w:pPr>
      <w:rPr>
        <w:rFonts w:ascii="Times New Roman" w:hAnsi="Times New Roman" w:cs="Times New Roman"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2" w15:restartNumberingAfterBreak="0">
    <w:nsid w:val="5D717927"/>
    <w:multiLevelType w:val="hybridMultilevel"/>
    <w:tmpl w:val="9E1C1C44"/>
    <w:lvl w:ilvl="0" w:tplc="D5D03EE0">
      <w:start w:val="1"/>
      <w:numFmt w:val="bullet"/>
      <w:lvlText w:val=""/>
      <w:lvlJc w:val="left"/>
      <w:pPr>
        <w:ind w:left="2880" w:hanging="360"/>
      </w:pPr>
      <w:rPr>
        <w:rFonts w:ascii="Symbol" w:eastAsiaTheme="minorHAnsi" w:hAnsi="Symbol" w:cs="Traditional Arabic" w:hint="default"/>
        <w:sz w:val="24"/>
        <w:szCs w:val="24"/>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3" w15:restartNumberingAfterBreak="0">
    <w:nsid w:val="5ED2721E"/>
    <w:multiLevelType w:val="hybridMultilevel"/>
    <w:tmpl w:val="4A56294A"/>
    <w:lvl w:ilvl="0" w:tplc="6FD6C01A">
      <w:start w:val="18"/>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4" w15:restartNumberingAfterBreak="0">
    <w:nsid w:val="6AA50DB1"/>
    <w:multiLevelType w:val="singleLevel"/>
    <w:tmpl w:val="0C00B568"/>
    <w:lvl w:ilvl="0">
      <w:start w:val="1"/>
      <w:numFmt w:val="decimal"/>
      <w:lvlText w:val="%1."/>
      <w:lvlJc w:val="left"/>
      <w:pPr>
        <w:tabs>
          <w:tab w:val="num" w:pos="360"/>
        </w:tabs>
        <w:ind w:left="0" w:firstLine="0"/>
      </w:pPr>
      <w:rPr>
        <w:rFonts w:ascii="Times New Roman" w:hAnsi="Times New Roman" w:hint="default"/>
        <w:b w:val="0"/>
        <w:i w:val="0"/>
        <w:sz w:val="22"/>
      </w:rPr>
    </w:lvl>
  </w:abstractNum>
  <w:abstractNum w:abstractNumId="15" w15:restartNumberingAfterBreak="0">
    <w:nsid w:val="6F2116D9"/>
    <w:multiLevelType w:val="hybridMultilevel"/>
    <w:tmpl w:val="460A455E"/>
    <w:lvl w:ilvl="0" w:tplc="B724672E">
      <w:start w:val="1"/>
      <w:numFmt w:val="decimal"/>
      <w:lvlText w:val="%1."/>
      <w:lvlJc w:val="left"/>
      <w:pPr>
        <w:ind w:left="720" w:hanging="360"/>
      </w:pPr>
      <w:rPr>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12B4EA4"/>
    <w:multiLevelType w:val="hybridMultilevel"/>
    <w:tmpl w:val="AC74672A"/>
    <w:lvl w:ilvl="0" w:tplc="49C44DE2">
      <w:start w:val="1"/>
      <w:numFmt w:val="bullet"/>
      <w:lvlText w:val=""/>
      <w:lvlJc w:val="left"/>
      <w:pPr>
        <w:tabs>
          <w:tab w:val="num" w:pos="394"/>
        </w:tabs>
        <w:ind w:left="394" w:hanging="360"/>
      </w:pPr>
      <w:rPr>
        <w:rFonts w:ascii="Symbol" w:hAnsi="Symbol" w:cs="Traditional Arabic" w:hint="default"/>
        <w:sz w:val="24"/>
        <w:szCs w:val="24"/>
      </w:rPr>
    </w:lvl>
    <w:lvl w:ilvl="1" w:tplc="08090003">
      <w:start w:val="1"/>
      <w:numFmt w:val="bullet"/>
      <w:lvlText w:val="o"/>
      <w:lvlJc w:val="left"/>
      <w:pPr>
        <w:tabs>
          <w:tab w:val="num" w:pos="754"/>
        </w:tabs>
        <w:ind w:left="754" w:hanging="360"/>
      </w:pPr>
      <w:rPr>
        <w:rFonts w:ascii="Courier New" w:hAnsi="Courier New" w:cs="Courier New" w:hint="default"/>
      </w:rPr>
    </w:lvl>
    <w:lvl w:ilvl="2" w:tplc="08090005" w:tentative="1">
      <w:start w:val="1"/>
      <w:numFmt w:val="bullet"/>
      <w:lvlText w:val=""/>
      <w:lvlJc w:val="left"/>
      <w:pPr>
        <w:tabs>
          <w:tab w:val="num" w:pos="1474"/>
        </w:tabs>
        <w:ind w:left="1474" w:hanging="360"/>
      </w:pPr>
      <w:rPr>
        <w:rFonts w:ascii="Wingdings" w:hAnsi="Wingdings" w:hint="default"/>
      </w:rPr>
    </w:lvl>
    <w:lvl w:ilvl="3" w:tplc="08090001" w:tentative="1">
      <w:start w:val="1"/>
      <w:numFmt w:val="bullet"/>
      <w:lvlText w:val=""/>
      <w:lvlJc w:val="left"/>
      <w:pPr>
        <w:tabs>
          <w:tab w:val="num" w:pos="2194"/>
        </w:tabs>
        <w:ind w:left="2194" w:hanging="360"/>
      </w:pPr>
      <w:rPr>
        <w:rFonts w:ascii="Symbol" w:hAnsi="Symbol" w:hint="default"/>
      </w:rPr>
    </w:lvl>
    <w:lvl w:ilvl="4" w:tplc="08090003" w:tentative="1">
      <w:start w:val="1"/>
      <w:numFmt w:val="bullet"/>
      <w:lvlText w:val="o"/>
      <w:lvlJc w:val="left"/>
      <w:pPr>
        <w:tabs>
          <w:tab w:val="num" w:pos="2914"/>
        </w:tabs>
        <w:ind w:left="2914" w:hanging="360"/>
      </w:pPr>
      <w:rPr>
        <w:rFonts w:ascii="Courier New" w:hAnsi="Courier New" w:cs="Courier New" w:hint="default"/>
      </w:rPr>
    </w:lvl>
    <w:lvl w:ilvl="5" w:tplc="08090005" w:tentative="1">
      <w:start w:val="1"/>
      <w:numFmt w:val="bullet"/>
      <w:lvlText w:val=""/>
      <w:lvlJc w:val="left"/>
      <w:pPr>
        <w:tabs>
          <w:tab w:val="num" w:pos="3634"/>
        </w:tabs>
        <w:ind w:left="3634" w:hanging="360"/>
      </w:pPr>
      <w:rPr>
        <w:rFonts w:ascii="Wingdings" w:hAnsi="Wingdings" w:hint="default"/>
      </w:rPr>
    </w:lvl>
    <w:lvl w:ilvl="6" w:tplc="08090001" w:tentative="1">
      <w:start w:val="1"/>
      <w:numFmt w:val="bullet"/>
      <w:lvlText w:val=""/>
      <w:lvlJc w:val="left"/>
      <w:pPr>
        <w:tabs>
          <w:tab w:val="num" w:pos="4354"/>
        </w:tabs>
        <w:ind w:left="4354" w:hanging="360"/>
      </w:pPr>
      <w:rPr>
        <w:rFonts w:ascii="Symbol" w:hAnsi="Symbol" w:hint="default"/>
      </w:rPr>
    </w:lvl>
    <w:lvl w:ilvl="7" w:tplc="08090003" w:tentative="1">
      <w:start w:val="1"/>
      <w:numFmt w:val="bullet"/>
      <w:lvlText w:val="o"/>
      <w:lvlJc w:val="left"/>
      <w:pPr>
        <w:tabs>
          <w:tab w:val="num" w:pos="5074"/>
        </w:tabs>
        <w:ind w:left="5074" w:hanging="360"/>
      </w:pPr>
      <w:rPr>
        <w:rFonts w:ascii="Courier New" w:hAnsi="Courier New" w:cs="Courier New" w:hint="default"/>
      </w:rPr>
    </w:lvl>
    <w:lvl w:ilvl="8" w:tplc="08090005" w:tentative="1">
      <w:start w:val="1"/>
      <w:numFmt w:val="bullet"/>
      <w:lvlText w:val=""/>
      <w:lvlJc w:val="left"/>
      <w:pPr>
        <w:tabs>
          <w:tab w:val="num" w:pos="5794"/>
        </w:tabs>
        <w:ind w:left="5794" w:hanging="360"/>
      </w:pPr>
      <w:rPr>
        <w:rFonts w:ascii="Wingdings" w:hAnsi="Wingdings" w:hint="default"/>
      </w:rPr>
    </w:lvl>
  </w:abstractNum>
  <w:abstractNum w:abstractNumId="17" w15:restartNumberingAfterBreak="0">
    <w:nsid w:val="7EF71EF0"/>
    <w:multiLevelType w:val="hybridMultilevel"/>
    <w:tmpl w:val="3D381B26"/>
    <w:lvl w:ilvl="0" w:tplc="8F260EEE">
      <w:start w:val="1"/>
      <w:numFmt w:val="bullet"/>
      <w:lvlText w:val="-"/>
      <w:lvlJc w:val="left"/>
      <w:pPr>
        <w:tabs>
          <w:tab w:val="num" w:pos="1080"/>
        </w:tabs>
        <w:ind w:left="1080" w:hanging="360"/>
      </w:pPr>
      <w:rPr>
        <w:rFonts w:ascii="Agency FB" w:hAnsi="Agency FB"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
  </w:num>
  <w:num w:numId="3">
    <w:abstractNumId w:val="17"/>
  </w:num>
  <w:num w:numId="4">
    <w:abstractNumId w:val="16"/>
  </w:num>
  <w:num w:numId="5">
    <w:abstractNumId w:val="8"/>
  </w:num>
  <w:num w:numId="6">
    <w:abstractNumId w:val="10"/>
  </w:num>
  <w:num w:numId="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8">
    <w:abstractNumId w:val="12"/>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3"/>
  </w:num>
  <w:num w:numId="12">
    <w:abstractNumId w:val="4"/>
  </w:num>
  <w:num w:numId="13">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
  </w:num>
  <w:num w:numId="18">
    <w:abstractNumId w:val="2"/>
  </w:num>
  <w:num w:numId="19">
    <w:abstractNumId w:val="15"/>
    <w:lvlOverride w:ilvl="0">
      <w:lvl w:ilvl="0" w:tplc="B724672E">
        <w:start w:val="1"/>
        <w:numFmt w:val="decimal"/>
        <w:lvlText w:val="%1-"/>
        <w:lvlJc w:val="left"/>
        <w:pPr>
          <w:ind w:left="2071" w:hanging="360"/>
        </w:pPr>
        <w:rPr>
          <w:b w:val="0"/>
          <w:i w:val="0"/>
        </w:rPr>
      </w:lvl>
    </w:lvlOverride>
  </w:num>
  <w:num w:numId="20">
    <w:abstractNumId w:val="15"/>
  </w:num>
  <w:num w:numId="21">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embedSystemFonts/>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36865"/>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02B"/>
    <w:rsid w:val="000242CB"/>
    <w:rsid w:val="00024566"/>
    <w:rsid w:val="00024D2B"/>
    <w:rsid w:val="0003131F"/>
    <w:rsid w:val="00033595"/>
    <w:rsid w:val="00033A5C"/>
    <w:rsid w:val="00037D52"/>
    <w:rsid w:val="0004010A"/>
    <w:rsid w:val="000413C1"/>
    <w:rsid w:val="00045B48"/>
    <w:rsid w:val="00051665"/>
    <w:rsid w:val="0005282F"/>
    <w:rsid w:val="00052C2D"/>
    <w:rsid w:val="0006021A"/>
    <w:rsid w:val="000668FE"/>
    <w:rsid w:val="00071F69"/>
    <w:rsid w:val="00072F5D"/>
    <w:rsid w:val="0008088A"/>
    <w:rsid w:val="000844F9"/>
    <w:rsid w:val="000A33B7"/>
    <w:rsid w:val="000A7260"/>
    <w:rsid w:val="000B1AA7"/>
    <w:rsid w:val="000B41E8"/>
    <w:rsid w:val="000C042E"/>
    <w:rsid w:val="000C6AF1"/>
    <w:rsid w:val="000C72D5"/>
    <w:rsid w:val="000D3AC8"/>
    <w:rsid w:val="000D775A"/>
    <w:rsid w:val="000E3644"/>
    <w:rsid w:val="000F083C"/>
    <w:rsid w:val="000F39C0"/>
    <w:rsid w:val="000F712A"/>
    <w:rsid w:val="001010F0"/>
    <w:rsid w:val="00102A11"/>
    <w:rsid w:val="00111DDA"/>
    <w:rsid w:val="001122CD"/>
    <w:rsid w:val="00113A5C"/>
    <w:rsid w:val="00115715"/>
    <w:rsid w:val="0012040B"/>
    <w:rsid w:val="001223A2"/>
    <w:rsid w:val="00124CC4"/>
    <w:rsid w:val="00131860"/>
    <w:rsid w:val="00131CE1"/>
    <w:rsid w:val="00134EB1"/>
    <w:rsid w:val="001367EA"/>
    <w:rsid w:val="001368B8"/>
    <w:rsid w:val="0014278C"/>
    <w:rsid w:val="00143EB4"/>
    <w:rsid w:val="00153644"/>
    <w:rsid w:val="001536B1"/>
    <w:rsid w:val="00154323"/>
    <w:rsid w:val="00154CC2"/>
    <w:rsid w:val="00157B75"/>
    <w:rsid w:val="001640DB"/>
    <w:rsid w:val="00165BE3"/>
    <w:rsid w:val="0017427B"/>
    <w:rsid w:val="00174BBC"/>
    <w:rsid w:val="001764C7"/>
    <w:rsid w:val="00177118"/>
    <w:rsid w:val="00177C0C"/>
    <w:rsid w:val="001841AD"/>
    <w:rsid w:val="001844E3"/>
    <w:rsid w:val="00186DE2"/>
    <w:rsid w:val="001A0F83"/>
    <w:rsid w:val="001A256D"/>
    <w:rsid w:val="001A6258"/>
    <w:rsid w:val="001A7D20"/>
    <w:rsid w:val="001B03D9"/>
    <w:rsid w:val="001B2FF1"/>
    <w:rsid w:val="001C1DD1"/>
    <w:rsid w:val="001C513F"/>
    <w:rsid w:val="001C64B6"/>
    <w:rsid w:val="001D3A25"/>
    <w:rsid w:val="001D6BA5"/>
    <w:rsid w:val="001E1443"/>
    <w:rsid w:val="001E4795"/>
    <w:rsid w:val="001E6E8E"/>
    <w:rsid w:val="001F0C9C"/>
    <w:rsid w:val="001F171C"/>
    <w:rsid w:val="001F390D"/>
    <w:rsid w:val="00207022"/>
    <w:rsid w:val="002079F8"/>
    <w:rsid w:val="002300EA"/>
    <w:rsid w:val="0023160B"/>
    <w:rsid w:val="002323CD"/>
    <w:rsid w:val="002361BF"/>
    <w:rsid w:val="00237F16"/>
    <w:rsid w:val="002413D6"/>
    <w:rsid w:val="00245592"/>
    <w:rsid w:val="00252FE5"/>
    <w:rsid w:val="00255F00"/>
    <w:rsid w:val="00260A65"/>
    <w:rsid w:val="00260C3B"/>
    <w:rsid w:val="00261436"/>
    <w:rsid w:val="00261451"/>
    <w:rsid w:val="002625D8"/>
    <w:rsid w:val="00262E14"/>
    <w:rsid w:val="0026317F"/>
    <w:rsid w:val="00267DA8"/>
    <w:rsid w:val="0027071F"/>
    <w:rsid w:val="00276330"/>
    <w:rsid w:val="002772B3"/>
    <w:rsid w:val="00291EAE"/>
    <w:rsid w:val="00295F25"/>
    <w:rsid w:val="002962A4"/>
    <w:rsid w:val="002A2BDE"/>
    <w:rsid w:val="002A3532"/>
    <w:rsid w:val="002A6B65"/>
    <w:rsid w:val="002B14DB"/>
    <w:rsid w:val="002B2446"/>
    <w:rsid w:val="002B24AA"/>
    <w:rsid w:val="002C1EE1"/>
    <w:rsid w:val="002C46F7"/>
    <w:rsid w:val="002C60AD"/>
    <w:rsid w:val="002D07C5"/>
    <w:rsid w:val="002D10EB"/>
    <w:rsid w:val="002D4E9A"/>
    <w:rsid w:val="002D57DB"/>
    <w:rsid w:val="002E2164"/>
    <w:rsid w:val="002E7390"/>
    <w:rsid w:val="002F11C2"/>
    <w:rsid w:val="002F74A0"/>
    <w:rsid w:val="00304FAF"/>
    <w:rsid w:val="00306618"/>
    <w:rsid w:val="00310BFE"/>
    <w:rsid w:val="00317E61"/>
    <w:rsid w:val="00317EFB"/>
    <w:rsid w:val="00323929"/>
    <w:rsid w:val="003501E1"/>
    <w:rsid w:val="003511A7"/>
    <w:rsid w:val="00351FDC"/>
    <w:rsid w:val="003553DB"/>
    <w:rsid w:val="0036154E"/>
    <w:rsid w:val="0036250E"/>
    <w:rsid w:val="0038155A"/>
    <w:rsid w:val="003821A4"/>
    <w:rsid w:val="0038322E"/>
    <w:rsid w:val="00384B8A"/>
    <w:rsid w:val="003858ED"/>
    <w:rsid w:val="00386BD3"/>
    <w:rsid w:val="00390CD8"/>
    <w:rsid w:val="003923ED"/>
    <w:rsid w:val="00397363"/>
    <w:rsid w:val="003B1437"/>
    <w:rsid w:val="003B507C"/>
    <w:rsid w:val="003C3E04"/>
    <w:rsid w:val="003C42E1"/>
    <w:rsid w:val="003C6409"/>
    <w:rsid w:val="003C6718"/>
    <w:rsid w:val="003D355A"/>
    <w:rsid w:val="003E0E95"/>
    <w:rsid w:val="003E1210"/>
    <w:rsid w:val="003E4E41"/>
    <w:rsid w:val="003F77FF"/>
    <w:rsid w:val="0040218B"/>
    <w:rsid w:val="00403B93"/>
    <w:rsid w:val="00404CFE"/>
    <w:rsid w:val="00405211"/>
    <w:rsid w:val="004056AF"/>
    <w:rsid w:val="004112CD"/>
    <w:rsid w:val="0042042E"/>
    <w:rsid w:val="00420706"/>
    <w:rsid w:val="00423AEE"/>
    <w:rsid w:val="004305C1"/>
    <w:rsid w:val="004469F3"/>
    <w:rsid w:val="00451081"/>
    <w:rsid w:val="00451ABD"/>
    <w:rsid w:val="004524AB"/>
    <w:rsid w:val="00452B9C"/>
    <w:rsid w:val="004547E5"/>
    <w:rsid w:val="004606CA"/>
    <w:rsid w:val="00472C66"/>
    <w:rsid w:val="00473D7D"/>
    <w:rsid w:val="0047425F"/>
    <w:rsid w:val="00485260"/>
    <w:rsid w:val="004916B5"/>
    <w:rsid w:val="0049251D"/>
    <w:rsid w:val="00495361"/>
    <w:rsid w:val="004A1FC4"/>
    <w:rsid w:val="004B0256"/>
    <w:rsid w:val="004B0A17"/>
    <w:rsid w:val="004D0F9A"/>
    <w:rsid w:val="004D2B12"/>
    <w:rsid w:val="004D567F"/>
    <w:rsid w:val="004E001B"/>
    <w:rsid w:val="004E1EDE"/>
    <w:rsid w:val="004E4EB2"/>
    <w:rsid w:val="004E5370"/>
    <w:rsid w:val="004E7B30"/>
    <w:rsid w:val="004F26CB"/>
    <w:rsid w:val="005023EE"/>
    <w:rsid w:val="00505660"/>
    <w:rsid w:val="005064C3"/>
    <w:rsid w:val="00520C86"/>
    <w:rsid w:val="00522932"/>
    <w:rsid w:val="005234DB"/>
    <w:rsid w:val="00530F46"/>
    <w:rsid w:val="0053536A"/>
    <w:rsid w:val="00540949"/>
    <w:rsid w:val="005435B2"/>
    <w:rsid w:val="005668AB"/>
    <w:rsid w:val="00590B41"/>
    <w:rsid w:val="00591B8E"/>
    <w:rsid w:val="00594173"/>
    <w:rsid w:val="00594340"/>
    <w:rsid w:val="005945AA"/>
    <w:rsid w:val="00597815"/>
    <w:rsid w:val="005A5C9D"/>
    <w:rsid w:val="005A6A53"/>
    <w:rsid w:val="005B198D"/>
    <w:rsid w:val="005B25B0"/>
    <w:rsid w:val="005B3616"/>
    <w:rsid w:val="005C1DB0"/>
    <w:rsid w:val="005C55FF"/>
    <w:rsid w:val="005D23EF"/>
    <w:rsid w:val="005E06C5"/>
    <w:rsid w:val="005E2737"/>
    <w:rsid w:val="005E35EA"/>
    <w:rsid w:val="005E6B63"/>
    <w:rsid w:val="005F3809"/>
    <w:rsid w:val="005F5925"/>
    <w:rsid w:val="00601018"/>
    <w:rsid w:val="0060188A"/>
    <w:rsid w:val="00606839"/>
    <w:rsid w:val="0060772E"/>
    <w:rsid w:val="006104C4"/>
    <w:rsid w:val="00614BE8"/>
    <w:rsid w:val="00615461"/>
    <w:rsid w:val="006160A4"/>
    <w:rsid w:val="006227F4"/>
    <w:rsid w:val="00626B05"/>
    <w:rsid w:val="00626BD3"/>
    <w:rsid w:val="00632CDF"/>
    <w:rsid w:val="0063365A"/>
    <w:rsid w:val="0063444C"/>
    <w:rsid w:val="0063685D"/>
    <w:rsid w:val="00643398"/>
    <w:rsid w:val="0064436F"/>
    <w:rsid w:val="006569BD"/>
    <w:rsid w:val="00671875"/>
    <w:rsid w:val="00682D01"/>
    <w:rsid w:val="00684004"/>
    <w:rsid w:val="00684243"/>
    <w:rsid w:val="006861B7"/>
    <w:rsid w:val="00690AEC"/>
    <w:rsid w:val="00696059"/>
    <w:rsid w:val="006A7E4F"/>
    <w:rsid w:val="006B05FA"/>
    <w:rsid w:val="006B0E7B"/>
    <w:rsid w:val="006B4C13"/>
    <w:rsid w:val="006B54B1"/>
    <w:rsid w:val="006C028B"/>
    <w:rsid w:val="006C560D"/>
    <w:rsid w:val="006C5C5C"/>
    <w:rsid w:val="006D0402"/>
    <w:rsid w:val="006D598B"/>
    <w:rsid w:val="006E1D97"/>
    <w:rsid w:val="006E30FA"/>
    <w:rsid w:val="006E4BE0"/>
    <w:rsid w:val="006F036C"/>
    <w:rsid w:val="006F6824"/>
    <w:rsid w:val="006F7F31"/>
    <w:rsid w:val="00702F3B"/>
    <w:rsid w:val="00706852"/>
    <w:rsid w:val="00712158"/>
    <w:rsid w:val="00720D77"/>
    <w:rsid w:val="0072582B"/>
    <w:rsid w:val="00726240"/>
    <w:rsid w:val="007275EE"/>
    <w:rsid w:val="00734EE4"/>
    <w:rsid w:val="007418BE"/>
    <w:rsid w:val="00744D3B"/>
    <w:rsid w:val="00744D9A"/>
    <w:rsid w:val="00751096"/>
    <w:rsid w:val="0075239F"/>
    <w:rsid w:val="0075378C"/>
    <w:rsid w:val="0076392D"/>
    <w:rsid w:val="007640B0"/>
    <w:rsid w:val="00764B71"/>
    <w:rsid w:val="0077392C"/>
    <w:rsid w:val="00775E51"/>
    <w:rsid w:val="007775CF"/>
    <w:rsid w:val="00783165"/>
    <w:rsid w:val="007878A7"/>
    <w:rsid w:val="00787C1E"/>
    <w:rsid w:val="007A671B"/>
    <w:rsid w:val="007B173A"/>
    <w:rsid w:val="007B431F"/>
    <w:rsid w:val="007B5F59"/>
    <w:rsid w:val="007B7061"/>
    <w:rsid w:val="007B75A1"/>
    <w:rsid w:val="007C62EE"/>
    <w:rsid w:val="007C73F5"/>
    <w:rsid w:val="007D019B"/>
    <w:rsid w:val="007D3018"/>
    <w:rsid w:val="007D32B8"/>
    <w:rsid w:val="007D6ED0"/>
    <w:rsid w:val="007E0C9A"/>
    <w:rsid w:val="007F304D"/>
    <w:rsid w:val="00802B63"/>
    <w:rsid w:val="00805014"/>
    <w:rsid w:val="00811602"/>
    <w:rsid w:val="00822614"/>
    <w:rsid w:val="00827105"/>
    <w:rsid w:val="008321C1"/>
    <w:rsid w:val="008323B3"/>
    <w:rsid w:val="00843FDA"/>
    <w:rsid w:val="00846640"/>
    <w:rsid w:val="008500FB"/>
    <w:rsid w:val="00852F12"/>
    <w:rsid w:val="00863837"/>
    <w:rsid w:val="00873A40"/>
    <w:rsid w:val="00880C90"/>
    <w:rsid w:val="00882D22"/>
    <w:rsid w:val="00887CE8"/>
    <w:rsid w:val="0089216B"/>
    <w:rsid w:val="0089620E"/>
    <w:rsid w:val="008A5420"/>
    <w:rsid w:val="008A5EBB"/>
    <w:rsid w:val="008A6475"/>
    <w:rsid w:val="008A79DC"/>
    <w:rsid w:val="008B2F6F"/>
    <w:rsid w:val="008B6A62"/>
    <w:rsid w:val="008C188E"/>
    <w:rsid w:val="008C23F0"/>
    <w:rsid w:val="008D33EF"/>
    <w:rsid w:val="008D4D22"/>
    <w:rsid w:val="008D7739"/>
    <w:rsid w:val="008F4416"/>
    <w:rsid w:val="0090002B"/>
    <w:rsid w:val="009017E0"/>
    <w:rsid w:val="009121DA"/>
    <w:rsid w:val="00916C2A"/>
    <w:rsid w:val="0092308F"/>
    <w:rsid w:val="0092522D"/>
    <w:rsid w:val="00926C1F"/>
    <w:rsid w:val="00931CC7"/>
    <w:rsid w:val="00933976"/>
    <w:rsid w:val="00934EBC"/>
    <w:rsid w:val="00934FB6"/>
    <w:rsid w:val="0094799A"/>
    <w:rsid w:val="00952DAB"/>
    <w:rsid w:val="00954948"/>
    <w:rsid w:val="00955980"/>
    <w:rsid w:val="00961D22"/>
    <w:rsid w:val="0096449B"/>
    <w:rsid w:val="00967766"/>
    <w:rsid w:val="009809CC"/>
    <w:rsid w:val="00980B82"/>
    <w:rsid w:val="009819E2"/>
    <w:rsid w:val="00983518"/>
    <w:rsid w:val="0099049A"/>
    <w:rsid w:val="009A052E"/>
    <w:rsid w:val="009A0564"/>
    <w:rsid w:val="009A11E7"/>
    <w:rsid w:val="009A1FDF"/>
    <w:rsid w:val="009A2C69"/>
    <w:rsid w:val="009A6C71"/>
    <w:rsid w:val="009B2A75"/>
    <w:rsid w:val="009C40AA"/>
    <w:rsid w:val="009C5B87"/>
    <w:rsid w:val="009D06F9"/>
    <w:rsid w:val="009D28AB"/>
    <w:rsid w:val="009D4EBB"/>
    <w:rsid w:val="009D58E8"/>
    <w:rsid w:val="009E2CE5"/>
    <w:rsid w:val="009E4569"/>
    <w:rsid w:val="009E46DF"/>
    <w:rsid w:val="009E6EAB"/>
    <w:rsid w:val="009F7025"/>
    <w:rsid w:val="00A02D05"/>
    <w:rsid w:val="00A108BD"/>
    <w:rsid w:val="00A12896"/>
    <w:rsid w:val="00A178E1"/>
    <w:rsid w:val="00A17930"/>
    <w:rsid w:val="00A23B72"/>
    <w:rsid w:val="00A2443B"/>
    <w:rsid w:val="00A26E11"/>
    <w:rsid w:val="00A34C1A"/>
    <w:rsid w:val="00A36ABF"/>
    <w:rsid w:val="00A4058E"/>
    <w:rsid w:val="00A4119B"/>
    <w:rsid w:val="00A43405"/>
    <w:rsid w:val="00A46AF4"/>
    <w:rsid w:val="00A579D1"/>
    <w:rsid w:val="00A57F44"/>
    <w:rsid w:val="00A67825"/>
    <w:rsid w:val="00A7062B"/>
    <w:rsid w:val="00A76B59"/>
    <w:rsid w:val="00A91772"/>
    <w:rsid w:val="00A969A0"/>
    <w:rsid w:val="00AA32A0"/>
    <w:rsid w:val="00AB1E5D"/>
    <w:rsid w:val="00AC1BF1"/>
    <w:rsid w:val="00AC5F19"/>
    <w:rsid w:val="00AD051A"/>
    <w:rsid w:val="00AD7F38"/>
    <w:rsid w:val="00AE4729"/>
    <w:rsid w:val="00AE5AA3"/>
    <w:rsid w:val="00AF0DF6"/>
    <w:rsid w:val="00AF75CE"/>
    <w:rsid w:val="00B0033E"/>
    <w:rsid w:val="00B110B0"/>
    <w:rsid w:val="00B179A4"/>
    <w:rsid w:val="00B212C7"/>
    <w:rsid w:val="00B3054B"/>
    <w:rsid w:val="00B336C3"/>
    <w:rsid w:val="00B3408E"/>
    <w:rsid w:val="00B347CA"/>
    <w:rsid w:val="00B42C89"/>
    <w:rsid w:val="00B4641D"/>
    <w:rsid w:val="00B602AD"/>
    <w:rsid w:val="00B65469"/>
    <w:rsid w:val="00B66D5F"/>
    <w:rsid w:val="00B762F2"/>
    <w:rsid w:val="00B77EDA"/>
    <w:rsid w:val="00B83776"/>
    <w:rsid w:val="00B87B65"/>
    <w:rsid w:val="00B87FDB"/>
    <w:rsid w:val="00B913B6"/>
    <w:rsid w:val="00B945ED"/>
    <w:rsid w:val="00B97A52"/>
    <w:rsid w:val="00BA25F3"/>
    <w:rsid w:val="00BA5B08"/>
    <w:rsid w:val="00BA66F1"/>
    <w:rsid w:val="00BA6ED1"/>
    <w:rsid w:val="00BB0629"/>
    <w:rsid w:val="00BB4CA4"/>
    <w:rsid w:val="00BB514C"/>
    <w:rsid w:val="00BD0BC5"/>
    <w:rsid w:val="00BD1906"/>
    <w:rsid w:val="00BD2B8F"/>
    <w:rsid w:val="00BD3769"/>
    <w:rsid w:val="00BD4A65"/>
    <w:rsid w:val="00BE20CA"/>
    <w:rsid w:val="00BE3C21"/>
    <w:rsid w:val="00BF64C6"/>
    <w:rsid w:val="00BF7F42"/>
    <w:rsid w:val="00C01056"/>
    <w:rsid w:val="00C0594F"/>
    <w:rsid w:val="00C1200F"/>
    <w:rsid w:val="00C1297E"/>
    <w:rsid w:val="00C204E0"/>
    <w:rsid w:val="00C2111C"/>
    <w:rsid w:val="00C33F5C"/>
    <w:rsid w:val="00C34FDE"/>
    <w:rsid w:val="00C36378"/>
    <w:rsid w:val="00C37B3A"/>
    <w:rsid w:val="00C44909"/>
    <w:rsid w:val="00C44B45"/>
    <w:rsid w:val="00C47E78"/>
    <w:rsid w:val="00C5089C"/>
    <w:rsid w:val="00C56205"/>
    <w:rsid w:val="00C60C8B"/>
    <w:rsid w:val="00C61F8C"/>
    <w:rsid w:val="00C629B7"/>
    <w:rsid w:val="00C712BF"/>
    <w:rsid w:val="00C7529E"/>
    <w:rsid w:val="00C75C0B"/>
    <w:rsid w:val="00C762BE"/>
    <w:rsid w:val="00C82D22"/>
    <w:rsid w:val="00C85728"/>
    <w:rsid w:val="00C86BDC"/>
    <w:rsid w:val="00C90A4C"/>
    <w:rsid w:val="00C91665"/>
    <w:rsid w:val="00C93743"/>
    <w:rsid w:val="00C94729"/>
    <w:rsid w:val="00CA4F8C"/>
    <w:rsid w:val="00CA7833"/>
    <w:rsid w:val="00CB79F1"/>
    <w:rsid w:val="00CC16CF"/>
    <w:rsid w:val="00CC6D1C"/>
    <w:rsid w:val="00CD25C4"/>
    <w:rsid w:val="00CD399B"/>
    <w:rsid w:val="00CD4572"/>
    <w:rsid w:val="00CD5653"/>
    <w:rsid w:val="00CD6428"/>
    <w:rsid w:val="00CE3292"/>
    <w:rsid w:val="00D05640"/>
    <w:rsid w:val="00D0655D"/>
    <w:rsid w:val="00D113A9"/>
    <w:rsid w:val="00D12FDA"/>
    <w:rsid w:val="00D15263"/>
    <w:rsid w:val="00D21049"/>
    <w:rsid w:val="00D27F92"/>
    <w:rsid w:val="00D444E7"/>
    <w:rsid w:val="00D44CE3"/>
    <w:rsid w:val="00D52B4F"/>
    <w:rsid w:val="00D55934"/>
    <w:rsid w:val="00D569AA"/>
    <w:rsid w:val="00D578BF"/>
    <w:rsid w:val="00D66C66"/>
    <w:rsid w:val="00D70490"/>
    <w:rsid w:val="00D71211"/>
    <w:rsid w:val="00D71822"/>
    <w:rsid w:val="00D7320E"/>
    <w:rsid w:val="00D80FA4"/>
    <w:rsid w:val="00D90EDD"/>
    <w:rsid w:val="00D9173E"/>
    <w:rsid w:val="00D91942"/>
    <w:rsid w:val="00D958DE"/>
    <w:rsid w:val="00D9595F"/>
    <w:rsid w:val="00DA14CC"/>
    <w:rsid w:val="00DA1588"/>
    <w:rsid w:val="00DA3FB6"/>
    <w:rsid w:val="00DA494E"/>
    <w:rsid w:val="00DB0A68"/>
    <w:rsid w:val="00DB686B"/>
    <w:rsid w:val="00DB6958"/>
    <w:rsid w:val="00DB6CCC"/>
    <w:rsid w:val="00DC4E2F"/>
    <w:rsid w:val="00DC590D"/>
    <w:rsid w:val="00DD2F15"/>
    <w:rsid w:val="00DD3DD1"/>
    <w:rsid w:val="00DE44A3"/>
    <w:rsid w:val="00DE796A"/>
    <w:rsid w:val="00E015AC"/>
    <w:rsid w:val="00E0494C"/>
    <w:rsid w:val="00E12FEC"/>
    <w:rsid w:val="00E14F7F"/>
    <w:rsid w:val="00E1515A"/>
    <w:rsid w:val="00E176E7"/>
    <w:rsid w:val="00E2101B"/>
    <w:rsid w:val="00E323C0"/>
    <w:rsid w:val="00E369DB"/>
    <w:rsid w:val="00E36EB2"/>
    <w:rsid w:val="00E51BAF"/>
    <w:rsid w:val="00E60E51"/>
    <w:rsid w:val="00E63CFD"/>
    <w:rsid w:val="00E642AB"/>
    <w:rsid w:val="00E720C8"/>
    <w:rsid w:val="00E7491C"/>
    <w:rsid w:val="00E760C7"/>
    <w:rsid w:val="00E90558"/>
    <w:rsid w:val="00E96DEF"/>
    <w:rsid w:val="00EA0788"/>
    <w:rsid w:val="00EA0F41"/>
    <w:rsid w:val="00EA14B6"/>
    <w:rsid w:val="00EA31BB"/>
    <w:rsid w:val="00EA3601"/>
    <w:rsid w:val="00EB63CF"/>
    <w:rsid w:val="00EC35F9"/>
    <w:rsid w:val="00EC3A5F"/>
    <w:rsid w:val="00ED03C6"/>
    <w:rsid w:val="00ED0538"/>
    <w:rsid w:val="00ED3537"/>
    <w:rsid w:val="00ED77A3"/>
    <w:rsid w:val="00EE026C"/>
    <w:rsid w:val="00EE1414"/>
    <w:rsid w:val="00EE3731"/>
    <w:rsid w:val="00EE48F0"/>
    <w:rsid w:val="00EE715D"/>
    <w:rsid w:val="00EF0793"/>
    <w:rsid w:val="00F12D03"/>
    <w:rsid w:val="00F12DD6"/>
    <w:rsid w:val="00F1601D"/>
    <w:rsid w:val="00F21909"/>
    <w:rsid w:val="00F240DC"/>
    <w:rsid w:val="00F26CD0"/>
    <w:rsid w:val="00F47390"/>
    <w:rsid w:val="00F50135"/>
    <w:rsid w:val="00F61AB5"/>
    <w:rsid w:val="00F64BB3"/>
    <w:rsid w:val="00F70C3F"/>
    <w:rsid w:val="00F71440"/>
    <w:rsid w:val="00F7639B"/>
    <w:rsid w:val="00F93241"/>
    <w:rsid w:val="00F96B6F"/>
    <w:rsid w:val="00FA41D5"/>
    <w:rsid w:val="00FA45ED"/>
    <w:rsid w:val="00FB59A6"/>
    <w:rsid w:val="00FC5790"/>
    <w:rsid w:val="00FC691C"/>
    <w:rsid w:val="00FD576F"/>
    <w:rsid w:val="00FD7BCB"/>
    <w:rsid w:val="00FD7F76"/>
    <w:rsid w:val="00FE21C0"/>
    <w:rsid w:val="00FE2DC0"/>
    <w:rsid w:val="00FF315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2122821"/>
  <w15:docId w15:val="{839DBB6A-C642-45A1-88D4-1156C18FF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61F8C"/>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Ref,de nota al pie,註腳內容,de nota al pie + (Asian) MS Mincho,11 pt,Ref. de nota de rodapé1"/>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uiPriority w:val="99"/>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uiPriority w:val="99"/>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39"/>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C60C8B"/>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en-GB"/>
    </w:rPr>
  </w:style>
  <w:style w:type="paragraph" w:customStyle="1" w:styleId="ZZAnxtitle">
    <w:name w:val="ZZ_Anx_title"/>
    <w:basedOn w:val="Normal"/>
    <w:link w:val="ZZAnxtitleChar"/>
    <w:rsid w:val="00C60C8B"/>
    <w:pPr>
      <w:tabs>
        <w:tab w:val="left" w:pos="1247"/>
        <w:tab w:val="left" w:pos="1814"/>
        <w:tab w:val="left" w:pos="2381"/>
        <w:tab w:val="left" w:pos="2948"/>
        <w:tab w:val="left" w:pos="3515"/>
        <w:tab w:val="left" w:pos="4082"/>
      </w:tabs>
      <w:spacing w:before="360" w:after="120"/>
      <w:ind w:left="1247"/>
    </w:pPr>
    <w:rPr>
      <w:rFonts w:cs="Times New Roman"/>
      <w:b/>
      <w:bCs/>
      <w:sz w:val="28"/>
      <w:szCs w:val="26"/>
      <w:lang w:val="en-GB"/>
    </w:rPr>
  </w:style>
  <w:style w:type="character" w:customStyle="1" w:styleId="ZZAnxtitleChar">
    <w:name w:val="ZZ_Anx_title Char"/>
    <w:link w:val="ZZAnxtitle"/>
    <w:rsid w:val="00C60C8B"/>
    <w:rPr>
      <w:rFonts w:cs="Times New Roman"/>
      <w:b/>
      <w:bCs/>
      <w:sz w:val="28"/>
      <w:szCs w:val="26"/>
      <w:lang w:val="en-GB"/>
    </w:rPr>
  </w:style>
  <w:style w:type="character" w:customStyle="1" w:styleId="CH2Char">
    <w:name w:val="CH2 Char"/>
    <w:link w:val="CH2"/>
    <w:locked/>
    <w:rsid w:val="00C60C8B"/>
    <w:rPr>
      <w:rFonts w:cs="Times New Roman"/>
      <w:b/>
      <w:sz w:val="24"/>
      <w:szCs w:val="24"/>
      <w:lang w:val="en-GB"/>
    </w:rPr>
  </w:style>
  <w:style w:type="character" w:customStyle="1" w:styleId="ZZAnxheaderChar">
    <w:name w:val="ZZ_Anx_header Char"/>
    <w:link w:val="ZZAnxheader"/>
    <w:rsid w:val="00C60C8B"/>
    <w:rPr>
      <w:rFonts w:cs="Times New Roman"/>
      <w:b/>
      <w:bCs/>
      <w:sz w:val="28"/>
      <w:szCs w:val="22"/>
      <w:lang w:val="en-GB"/>
    </w:rPr>
  </w:style>
  <w:style w:type="paragraph" w:customStyle="1" w:styleId="NormalNonumber">
    <w:name w:val="Normal_No_number"/>
    <w:basedOn w:val="Normal"/>
    <w:rsid w:val="002D10EB"/>
    <w:pPr>
      <w:tabs>
        <w:tab w:val="left" w:pos="1247"/>
        <w:tab w:val="left" w:pos="1814"/>
        <w:tab w:val="left" w:pos="2381"/>
        <w:tab w:val="left" w:pos="2948"/>
        <w:tab w:val="left" w:pos="3515"/>
        <w:tab w:val="left" w:pos="4082"/>
      </w:tabs>
      <w:spacing w:after="120"/>
      <w:ind w:left="1247"/>
    </w:pPr>
    <w:rPr>
      <w:rFonts w:cs="Times New Roman"/>
      <w:szCs w:val="20"/>
      <w:lang w:val="en-GB"/>
    </w:rPr>
  </w:style>
  <w:style w:type="character" w:styleId="UnresolvedMention">
    <w:name w:val="Unresolved Mention"/>
    <w:basedOn w:val="DefaultParagraphFont"/>
    <w:uiPriority w:val="99"/>
    <w:semiHidden/>
    <w:unhideWhenUsed/>
    <w:rsid w:val="001A25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www.amap.no/documents/doc/amap-assessment-2011-mercury-in-the-arctic/90" TargetMode="External"/><Relationship Id="rId2" Type="http://schemas.openxmlformats.org/officeDocument/2006/relationships/hyperlink" Target="http://www.briloon.org/uploads/BRI_Documents/Mercury_Center/Publications/For%20Web%20GBMS%20Book%20let%202018%20.pdf" TargetMode="External"/><Relationship Id="rId1" Type="http://schemas.openxmlformats.org/officeDocument/2006/relationships/hyperlink" Target="https://wedocs.unep.org/handle/20.500.11822/27579" TargetMode="External"/><Relationship Id="rId4" Type="http://schemas.openxmlformats.org/officeDocument/2006/relationships/hyperlink" Target="https://www.amap.no/documents/doc/amap-assessment-2015-human-health-in-the-arctic/134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DEDC1-22E6-46C2-8BBD-97F805648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15</Pages>
  <Words>5250</Words>
  <Characters>29925</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35105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Afaf Salih</cp:lastModifiedBy>
  <cp:revision>9</cp:revision>
  <cp:lastPrinted>2019-11-22T10:09:00Z</cp:lastPrinted>
  <dcterms:created xsi:type="dcterms:W3CDTF">2019-11-22T10:03:00Z</dcterms:created>
  <dcterms:modified xsi:type="dcterms:W3CDTF">2019-11-22T10:13:00Z</dcterms:modified>
</cp:coreProperties>
</file>