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5"/>
        <w:gridCol w:w="4456"/>
        <w:gridCol w:w="3335"/>
      </w:tblGrid>
      <w:tr w:rsidR="008C7DC6" w:rsidRPr="008B4492" w:rsidTr="008C7DC6">
        <w:trPr>
          <w:cantSplit/>
          <w:trHeight w:val="850"/>
          <w:jc w:val="right"/>
        </w:trPr>
        <w:tc>
          <w:tcPr>
            <w:tcW w:w="1765" w:type="dxa"/>
          </w:tcPr>
          <w:p w:rsidR="008C7DC6" w:rsidRPr="008B4492" w:rsidRDefault="008C7DC6" w:rsidP="002A4C1C">
            <w:pPr>
              <w:tabs>
                <w:tab w:val="left" w:pos="624"/>
                <w:tab w:val="left" w:pos="1871"/>
                <w:tab w:val="left" w:pos="2495"/>
              </w:tabs>
              <w:rPr>
                <w:rFonts w:ascii="Arial" w:hAnsi="Arial" w:cs="Arial"/>
                <w:b/>
                <w:noProof/>
                <w:sz w:val="27"/>
                <w:szCs w:val="27"/>
                <w:lang w:val="es-ES"/>
              </w:rPr>
            </w:pPr>
            <w:r w:rsidRPr="008B4492">
              <w:rPr>
                <w:rFonts w:ascii="Arial" w:hAnsi="Arial" w:cs="Arial"/>
                <w:b/>
                <w:sz w:val="27"/>
                <w:szCs w:val="27"/>
                <w:lang w:val="es-ES"/>
              </w:rPr>
              <w:t>NACIONES UNIDAS</w:t>
            </w:r>
          </w:p>
        </w:tc>
        <w:tc>
          <w:tcPr>
            <w:tcW w:w="4628" w:type="dxa"/>
          </w:tcPr>
          <w:p w:rsidR="008C7DC6" w:rsidRPr="008B4492" w:rsidRDefault="008C7DC6" w:rsidP="002A4C1C">
            <w:pPr>
              <w:tabs>
                <w:tab w:val="left" w:pos="624"/>
                <w:tab w:val="left" w:pos="1871"/>
                <w:tab w:val="left" w:pos="2495"/>
              </w:tabs>
              <w:rPr>
                <w:rFonts w:ascii="Univers" w:hAnsi="Univers"/>
                <w:b/>
                <w:sz w:val="27"/>
                <w:szCs w:val="27"/>
                <w:lang w:val="es-ES"/>
              </w:rPr>
            </w:pPr>
          </w:p>
        </w:tc>
        <w:tc>
          <w:tcPr>
            <w:tcW w:w="3461" w:type="dxa"/>
          </w:tcPr>
          <w:p w:rsidR="008C7DC6" w:rsidRPr="008B4492" w:rsidRDefault="008C7DC6" w:rsidP="002A4C1C">
            <w:pPr>
              <w:tabs>
                <w:tab w:val="left" w:pos="624"/>
                <w:tab w:val="left" w:pos="1871"/>
                <w:tab w:val="left" w:pos="2495"/>
              </w:tabs>
              <w:jc w:val="right"/>
              <w:rPr>
                <w:rFonts w:ascii="Arial" w:hAnsi="Arial" w:cs="Arial"/>
                <w:b/>
                <w:sz w:val="64"/>
                <w:szCs w:val="64"/>
                <w:lang w:val="es-ES"/>
              </w:rPr>
            </w:pPr>
            <w:r w:rsidRPr="008B4492">
              <w:rPr>
                <w:rFonts w:ascii="Arial" w:hAnsi="Arial" w:cs="Arial"/>
                <w:b/>
                <w:sz w:val="64"/>
                <w:szCs w:val="64"/>
                <w:lang w:val="es-ES"/>
              </w:rPr>
              <w:t>MC</w:t>
            </w:r>
          </w:p>
        </w:tc>
      </w:tr>
      <w:tr w:rsidR="008C7DC6" w:rsidRPr="008B4492" w:rsidTr="008C7DC6">
        <w:trPr>
          <w:cantSplit/>
          <w:trHeight w:val="281"/>
          <w:jc w:val="right"/>
        </w:trPr>
        <w:tc>
          <w:tcPr>
            <w:tcW w:w="1765" w:type="dxa"/>
            <w:tcBorders>
              <w:bottom w:val="single" w:sz="4" w:space="0" w:color="auto"/>
            </w:tcBorders>
          </w:tcPr>
          <w:p w:rsidR="008C7DC6" w:rsidRPr="008B4492" w:rsidRDefault="008C7DC6" w:rsidP="002A4C1C">
            <w:pPr>
              <w:tabs>
                <w:tab w:val="left" w:pos="624"/>
                <w:tab w:val="left" w:pos="1871"/>
                <w:tab w:val="left" w:pos="2495"/>
              </w:tabs>
              <w:rPr>
                <w:noProof/>
                <w:sz w:val="18"/>
                <w:szCs w:val="18"/>
                <w:lang w:val="es-ES"/>
              </w:rPr>
            </w:pPr>
          </w:p>
        </w:tc>
        <w:tc>
          <w:tcPr>
            <w:tcW w:w="4628" w:type="dxa"/>
            <w:tcBorders>
              <w:bottom w:val="single" w:sz="4" w:space="0" w:color="auto"/>
            </w:tcBorders>
          </w:tcPr>
          <w:p w:rsidR="008C7DC6" w:rsidRPr="008B4492" w:rsidRDefault="008C7DC6" w:rsidP="002A4C1C">
            <w:pPr>
              <w:tabs>
                <w:tab w:val="left" w:pos="624"/>
                <w:tab w:val="left" w:pos="1871"/>
                <w:tab w:val="left" w:pos="2495"/>
              </w:tabs>
              <w:rPr>
                <w:rFonts w:ascii="Univers" w:hAnsi="Univers"/>
                <w:b/>
                <w:sz w:val="18"/>
                <w:szCs w:val="18"/>
                <w:lang w:val="es-ES"/>
              </w:rPr>
            </w:pPr>
          </w:p>
        </w:tc>
        <w:tc>
          <w:tcPr>
            <w:tcW w:w="3461" w:type="dxa"/>
            <w:tcBorders>
              <w:bottom w:val="single" w:sz="4" w:space="0" w:color="auto"/>
            </w:tcBorders>
          </w:tcPr>
          <w:p w:rsidR="008C7DC6" w:rsidRPr="008B4492" w:rsidRDefault="008C7DC6" w:rsidP="002A4C1C">
            <w:pPr>
              <w:tabs>
                <w:tab w:val="left" w:pos="624"/>
                <w:tab w:val="left" w:pos="1871"/>
                <w:tab w:val="left" w:pos="2495"/>
              </w:tabs>
              <w:rPr>
                <w:noProof/>
                <w:sz w:val="18"/>
                <w:szCs w:val="18"/>
                <w:lang w:val="es-ES"/>
              </w:rPr>
            </w:pPr>
            <w:proofErr w:type="spellStart"/>
            <w:r w:rsidRPr="008B4492">
              <w:rPr>
                <w:b/>
                <w:bCs/>
                <w:sz w:val="28"/>
                <w:lang w:val="es-ES"/>
              </w:rPr>
              <w:t>UNEP</w:t>
            </w:r>
            <w:proofErr w:type="spellEnd"/>
            <w:r w:rsidRPr="008B4492">
              <w:rPr>
                <w:b/>
                <w:bCs/>
                <w:lang w:val="es-ES"/>
              </w:rPr>
              <w:t>/</w:t>
            </w:r>
            <w:r w:rsidRPr="008B4492">
              <w:rPr>
                <w:lang w:val="es-ES"/>
              </w:rPr>
              <w:t>MC/COP.3/12</w:t>
            </w:r>
          </w:p>
        </w:tc>
      </w:tr>
      <w:bookmarkStart w:id="0" w:name="_MON_1021710482"/>
      <w:bookmarkEnd w:id="0"/>
      <w:tr w:rsidR="008C7DC6" w:rsidRPr="008B4492" w:rsidTr="008C7DC6">
        <w:trPr>
          <w:cantSplit/>
          <w:trHeight w:val="2549"/>
          <w:jc w:val="right"/>
        </w:trPr>
        <w:tc>
          <w:tcPr>
            <w:tcW w:w="1765" w:type="dxa"/>
            <w:tcBorders>
              <w:top w:val="single" w:sz="4" w:space="0" w:color="auto"/>
              <w:bottom w:val="single" w:sz="24" w:space="0" w:color="auto"/>
            </w:tcBorders>
          </w:tcPr>
          <w:p w:rsidR="008C7DC6" w:rsidRPr="008B4492" w:rsidRDefault="008C7DC6" w:rsidP="002A4C1C">
            <w:pPr>
              <w:tabs>
                <w:tab w:val="left" w:pos="624"/>
                <w:tab w:val="left" w:pos="1871"/>
                <w:tab w:val="left" w:pos="2495"/>
              </w:tabs>
              <w:rPr>
                <w:noProof/>
                <w:lang w:val="es-ES"/>
              </w:rPr>
            </w:pPr>
            <w:r w:rsidRPr="008B4492">
              <w:rPr>
                <w:noProof/>
                <w:lang w:val="es-E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1.5pt" o:ole="" fillcolor="window">
                  <v:imagedata r:id="rId8" o:title=""/>
                </v:shape>
                <o:OLEObject Type="Embed" ProgID="Word.Picture.8" ShapeID="_x0000_i1025" DrawAspect="Content" ObjectID="_1629267142" r:id="rId9"/>
              </w:object>
            </w:r>
            <w:r w:rsidR="00CE09B8" w:rsidRPr="008B4492">
              <w:rPr>
                <w:noProof/>
                <w:lang w:val="es-ES" w:eastAsia="es-ES"/>
              </w:rPr>
              <w:drawing>
                <wp:inline distT="0" distB="0" distL="0" distR="0">
                  <wp:extent cx="720725" cy="767715"/>
                  <wp:effectExtent l="0" t="0" r="0" b="0"/>
                  <wp:docPr id="2"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725" cy="767715"/>
                          </a:xfrm>
                          <a:prstGeom prst="rect">
                            <a:avLst/>
                          </a:prstGeom>
                          <a:noFill/>
                          <a:ln>
                            <a:noFill/>
                          </a:ln>
                        </pic:spPr>
                      </pic:pic>
                    </a:graphicData>
                  </a:graphic>
                </wp:inline>
              </w:drawing>
            </w:r>
          </w:p>
        </w:tc>
        <w:tc>
          <w:tcPr>
            <w:tcW w:w="4628" w:type="dxa"/>
            <w:tcBorders>
              <w:top w:val="single" w:sz="4" w:space="0" w:color="auto"/>
              <w:bottom w:val="single" w:sz="24" w:space="0" w:color="auto"/>
            </w:tcBorders>
          </w:tcPr>
          <w:p w:rsidR="008C7DC6" w:rsidRPr="008B4492" w:rsidRDefault="008C7DC6" w:rsidP="002A4C1C">
            <w:pPr>
              <w:tabs>
                <w:tab w:val="left" w:pos="624"/>
                <w:tab w:val="left" w:pos="1871"/>
                <w:tab w:val="left" w:pos="2495"/>
              </w:tabs>
              <w:spacing w:before="1200"/>
              <w:rPr>
                <w:rFonts w:ascii="Arial" w:hAnsi="Arial" w:cs="Arial"/>
                <w:b/>
                <w:sz w:val="32"/>
                <w:lang w:val="es-ES"/>
              </w:rPr>
            </w:pPr>
            <w:r w:rsidRPr="008B4492">
              <w:rPr>
                <w:rFonts w:ascii="Arial" w:hAnsi="Arial" w:cs="Arial"/>
                <w:b/>
                <w:bCs/>
                <w:sz w:val="32"/>
                <w:lang w:val="es-ES"/>
              </w:rPr>
              <w:t>Programa de las Naciones Unidas para el Medio Ambiente</w:t>
            </w:r>
          </w:p>
        </w:tc>
        <w:tc>
          <w:tcPr>
            <w:tcW w:w="3461" w:type="dxa"/>
            <w:tcBorders>
              <w:top w:val="single" w:sz="4" w:space="0" w:color="auto"/>
              <w:bottom w:val="single" w:sz="24" w:space="0" w:color="auto"/>
            </w:tcBorders>
          </w:tcPr>
          <w:p w:rsidR="008C7DC6" w:rsidRPr="008B4492" w:rsidRDefault="008C7DC6" w:rsidP="002A4C1C">
            <w:pPr>
              <w:tabs>
                <w:tab w:val="left" w:pos="624"/>
                <w:tab w:val="left" w:pos="1871"/>
                <w:tab w:val="left" w:pos="2495"/>
              </w:tabs>
              <w:spacing w:before="120"/>
              <w:rPr>
                <w:lang w:val="es-ES"/>
              </w:rPr>
            </w:pPr>
            <w:proofErr w:type="spellStart"/>
            <w:r w:rsidRPr="008B4492">
              <w:rPr>
                <w:lang w:val="es-ES"/>
              </w:rPr>
              <w:t>Distr</w:t>
            </w:r>
            <w:proofErr w:type="spellEnd"/>
            <w:r w:rsidRPr="008B4492">
              <w:rPr>
                <w:lang w:val="es-ES"/>
              </w:rPr>
              <w:t>. general</w:t>
            </w:r>
            <w:r w:rsidRPr="008B4492">
              <w:rPr>
                <w:lang w:val="es-ES"/>
              </w:rPr>
              <w:br/>
              <w:t>15 de julio de 2019</w:t>
            </w:r>
          </w:p>
          <w:p w:rsidR="008C7DC6" w:rsidRPr="008B4492" w:rsidRDefault="008C7DC6" w:rsidP="002A4C1C">
            <w:pPr>
              <w:tabs>
                <w:tab w:val="left" w:pos="624"/>
                <w:tab w:val="left" w:pos="1871"/>
                <w:tab w:val="left" w:pos="2495"/>
              </w:tabs>
              <w:spacing w:before="240"/>
              <w:rPr>
                <w:lang w:val="es-ES"/>
              </w:rPr>
            </w:pPr>
            <w:r w:rsidRPr="008B4492">
              <w:rPr>
                <w:lang w:val="es-ES"/>
              </w:rPr>
              <w:t>Español</w:t>
            </w:r>
            <w:r w:rsidRPr="008B4492">
              <w:rPr>
                <w:lang w:val="es-ES"/>
              </w:rPr>
              <w:br/>
              <w:t>Original: inglés</w:t>
            </w:r>
          </w:p>
        </w:tc>
      </w:tr>
    </w:tbl>
    <w:p w:rsidR="008C7DC6" w:rsidRPr="008B4492" w:rsidRDefault="008C7DC6" w:rsidP="008C7DC6">
      <w:pPr>
        <w:pStyle w:val="AATitle"/>
        <w:keepNext w:val="0"/>
        <w:keepLines w:val="0"/>
        <w:tabs>
          <w:tab w:val="left" w:pos="624"/>
          <w:tab w:val="left" w:pos="1871"/>
          <w:tab w:val="left" w:pos="2495"/>
        </w:tabs>
        <w:rPr>
          <w:lang w:val="es-ES"/>
        </w:rPr>
      </w:pPr>
      <w:r w:rsidRPr="008B4492">
        <w:rPr>
          <w:bCs/>
          <w:lang w:val="es-ES"/>
        </w:rPr>
        <w:t xml:space="preserve">Conferencia de las Partes en el Convenio de </w:t>
      </w:r>
      <w:proofErr w:type="spellStart"/>
      <w:r w:rsidRPr="008B4492">
        <w:rPr>
          <w:bCs/>
          <w:lang w:val="es-ES"/>
        </w:rPr>
        <w:t>Minamata</w:t>
      </w:r>
      <w:proofErr w:type="spellEnd"/>
      <w:r w:rsidRPr="008B4492">
        <w:rPr>
          <w:bCs/>
          <w:lang w:val="es-ES"/>
        </w:rPr>
        <w:t xml:space="preserve"> sobre el Mercurio</w:t>
      </w:r>
    </w:p>
    <w:p w:rsidR="008C7DC6" w:rsidRPr="008B4492" w:rsidRDefault="008C7DC6" w:rsidP="008C7DC6">
      <w:pPr>
        <w:pStyle w:val="AATitle"/>
        <w:keepNext w:val="0"/>
        <w:keepLines w:val="0"/>
        <w:tabs>
          <w:tab w:val="left" w:pos="624"/>
          <w:tab w:val="left" w:pos="1871"/>
          <w:tab w:val="left" w:pos="2495"/>
        </w:tabs>
        <w:ind w:left="624" w:hanging="624"/>
        <w:rPr>
          <w:b w:val="0"/>
          <w:lang w:val="es-ES"/>
        </w:rPr>
      </w:pPr>
      <w:r w:rsidRPr="008B4492">
        <w:rPr>
          <w:bCs/>
          <w:lang w:val="es-ES"/>
        </w:rPr>
        <w:t>Tercera reunión</w:t>
      </w:r>
      <w:bookmarkStart w:id="1" w:name="_GoBack"/>
      <w:bookmarkEnd w:id="1"/>
    </w:p>
    <w:p w:rsidR="008C7DC6" w:rsidRPr="008B4492" w:rsidRDefault="008C7DC6" w:rsidP="008C7DC6">
      <w:pPr>
        <w:pStyle w:val="AATitle"/>
        <w:rPr>
          <w:b w:val="0"/>
          <w:lang w:val="es-ES"/>
        </w:rPr>
      </w:pPr>
      <w:r w:rsidRPr="008B4492">
        <w:rPr>
          <w:b w:val="0"/>
          <w:lang w:val="es-ES"/>
        </w:rPr>
        <w:t>Ginebra, 25 a 29 de noviembre de 2019</w:t>
      </w:r>
    </w:p>
    <w:p w:rsidR="00640366" w:rsidRPr="008B4492" w:rsidRDefault="00640366">
      <w:pPr>
        <w:pStyle w:val="AATitle"/>
        <w:rPr>
          <w:b w:val="0"/>
          <w:bCs/>
          <w:lang w:val="es-ES"/>
        </w:rPr>
      </w:pPr>
      <w:r w:rsidRPr="008B4492">
        <w:rPr>
          <w:b w:val="0"/>
          <w:bCs/>
          <w:lang w:val="es-ES"/>
        </w:rPr>
        <w:t>Tema 5 f) del programa provisional</w:t>
      </w:r>
      <w:r w:rsidRPr="008B4492">
        <w:rPr>
          <w:rStyle w:val="FootnoteReference"/>
          <w:b w:val="0"/>
          <w:bCs/>
          <w:lang w:val="es-ES"/>
        </w:rPr>
        <w:footnoteReference w:customMarkFollows="1" w:id="1"/>
        <w:t>*</w:t>
      </w:r>
    </w:p>
    <w:p w:rsidR="00640366" w:rsidRPr="008B4492" w:rsidRDefault="00640366">
      <w:pPr>
        <w:pStyle w:val="AATitle2"/>
        <w:spacing w:before="60"/>
        <w:rPr>
          <w:bCs/>
          <w:lang w:val="es-ES"/>
        </w:rPr>
      </w:pPr>
      <w:r w:rsidRPr="008B4492">
        <w:rPr>
          <w:bCs/>
          <w:lang w:val="es-ES"/>
        </w:rPr>
        <w:t>Cuestiones para el examen o la adopción de medidas por la Conferencia de las Partes: creación de capacidad, asistencia técnica y transferencia de tecnología</w:t>
      </w:r>
      <w:r w:rsidRPr="008B4492">
        <w:rPr>
          <w:lang w:val="es-ES"/>
        </w:rPr>
        <w:t xml:space="preserve"> </w:t>
      </w:r>
    </w:p>
    <w:p w:rsidR="00640366" w:rsidRPr="008B4492" w:rsidRDefault="00640366">
      <w:pPr>
        <w:pStyle w:val="BBTitle"/>
        <w:rPr>
          <w:lang w:val="es-ES"/>
        </w:rPr>
      </w:pPr>
      <w:r w:rsidRPr="008B4492">
        <w:rPr>
          <w:bCs/>
          <w:lang w:val="es-ES"/>
        </w:rPr>
        <w:t xml:space="preserve">Información recibida de los arreglos regionales, subregionales y nacionales existentes sobre la creación de capacidad y la asistencia técnica para ayudar a las </w:t>
      </w:r>
      <w:r w:rsidR="00EC0E9D" w:rsidRPr="008B4492">
        <w:rPr>
          <w:bCs/>
          <w:lang w:val="es-ES"/>
        </w:rPr>
        <w:t xml:space="preserve">Partes </w:t>
      </w:r>
      <w:r w:rsidRPr="008B4492">
        <w:rPr>
          <w:bCs/>
          <w:lang w:val="es-ES"/>
        </w:rPr>
        <w:t xml:space="preserve">a cumplir las obligaciones contraídas en virtud del Convenio de </w:t>
      </w:r>
      <w:proofErr w:type="spellStart"/>
      <w:r w:rsidRPr="008B4492">
        <w:rPr>
          <w:bCs/>
          <w:lang w:val="es-ES"/>
        </w:rPr>
        <w:t>Minamata</w:t>
      </w:r>
      <w:proofErr w:type="spellEnd"/>
    </w:p>
    <w:p w:rsidR="00640366" w:rsidRPr="008B4492" w:rsidRDefault="00640366">
      <w:pPr>
        <w:pStyle w:val="CH2"/>
        <w:spacing w:before="240"/>
        <w:rPr>
          <w:lang w:val="es-ES"/>
        </w:rPr>
      </w:pPr>
      <w:r w:rsidRPr="008B4492">
        <w:rPr>
          <w:lang w:val="es-ES"/>
        </w:rPr>
        <w:tab/>
      </w:r>
      <w:r w:rsidRPr="008B4492">
        <w:rPr>
          <w:lang w:val="es-ES"/>
        </w:rPr>
        <w:tab/>
      </w:r>
      <w:r w:rsidRPr="008B4492">
        <w:rPr>
          <w:bCs/>
          <w:lang w:val="es-ES"/>
        </w:rPr>
        <w:t>Nota de la Secretaría</w:t>
      </w:r>
    </w:p>
    <w:p w:rsidR="00640366" w:rsidRPr="008B4492" w:rsidRDefault="00640366">
      <w:pPr>
        <w:pStyle w:val="Normalnumber"/>
        <w:numPr>
          <w:ilvl w:val="0"/>
          <w:numId w:val="3"/>
        </w:numPr>
        <w:tabs>
          <w:tab w:val="clear" w:pos="1247"/>
          <w:tab w:val="clear" w:pos="1814"/>
          <w:tab w:val="clear" w:pos="2381"/>
          <w:tab w:val="clear" w:pos="2948"/>
          <w:tab w:val="clear" w:pos="3515"/>
          <w:tab w:val="clear" w:pos="4082"/>
          <w:tab w:val="left" w:pos="624"/>
        </w:tabs>
        <w:rPr>
          <w:lang w:val="es-ES"/>
        </w:rPr>
      </w:pPr>
      <w:r w:rsidRPr="008B4492">
        <w:rPr>
          <w:lang w:val="es-ES"/>
        </w:rPr>
        <w:t xml:space="preserve">En su segunda reunión, la Conferencia de las Partes en el Convenio de </w:t>
      </w:r>
      <w:proofErr w:type="spellStart"/>
      <w:r w:rsidRPr="008B4492">
        <w:rPr>
          <w:lang w:val="es-ES"/>
        </w:rPr>
        <w:t>Minamata</w:t>
      </w:r>
      <w:proofErr w:type="spellEnd"/>
      <w:r w:rsidRPr="008B4492">
        <w:rPr>
          <w:lang w:val="es-ES"/>
        </w:rPr>
        <w:t xml:space="preserve"> sobre el Mercurio adoptó la decisión MC-2/11, titulada </w:t>
      </w:r>
      <w:r w:rsidR="008C7DC6" w:rsidRPr="008B4492">
        <w:rPr>
          <w:lang w:val="es-ES"/>
        </w:rPr>
        <w:t>“</w:t>
      </w:r>
      <w:r w:rsidRPr="008B4492">
        <w:rPr>
          <w:lang w:val="es-ES"/>
        </w:rPr>
        <w:t>Artículo 14: Creación de capacidad, asistencia técnica y transferencia de tecnología</w:t>
      </w:r>
      <w:r w:rsidR="008C7DC6" w:rsidRPr="008B4492">
        <w:rPr>
          <w:lang w:val="es-ES"/>
        </w:rPr>
        <w:t>”</w:t>
      </w:r>
      <w:r w:rsidRPr="008B4492">
        <w:rPr>
          <w:lang w:val="es-ES"/>
        </w:rPr>
        <w:t xml:space="preserve">, en la que recordó la decisión MC-1/21, donde se reconocía que algunos de los centros regionales y subregionales existentes ya estaban desarrollando proyectos y actividades relacionados con los problemas del mercurio. En la decisión MC-2/11, la Conferencia de las Partes pidió a la Secretaría del Convenio de </w:t>
      </w:r>
      <w:proofErr w:type="spellStart"/>
      <w:r w:rsidRPr="008B4492">
        <w:rPr>
          <w:lang w:val="es-ES"/>
        </w:rPr>
        <w:t>Minamata</w:t>
      </w:r>
      <w:proofErr w:type="spellEnd"/>
      <w:r w:rsidRPr="008B4492">
        <w:rPr>
          <w:lang w:val="es-ES"/>
        </w:rPr>
        <w:t xml:space="preserve"> que recopilara la información recibida de los arreglos regionales, subregionales y nacionales existentes sobre la creación de capacidad y la asistencia técnica para ayudar a las </w:t>
      </w:r>
      <w:r w:rsidR="00EC0E9D" w:rsidRPr="008B4492">
        <w:rPr>
          <w:lang w:val="es-ES"/>
        </w:rPr>
        <w:t xml:space="preserve">Partes </w:t>
      </w:r>
      <w:r w:rsidRPr="008B4492">
        <w:rPr>
          <w:lang w:val="es-ES"/>
        </w:rPr>
        <w:t xml:space="preserve">a cumplir las obligaciones que les incumben en virtud del Convenio de </w:t>
      </w:r>
      <w:proofErr w:type="spellStart"/>
      <w:r w:rsidRPr="008B4492">
        <w:rPr>
          <w:lang w:val="es-ES"/>
        </w:rPr>
        <w:t>Minamata</w:t>
      </w:r>
      <w:proofErr w:type="spellEnd"/>
      <w:r w:rsidRPr="008B4492">
        <w:rPr>
          <w:lang w:val="es-ES"/>
        </w:rPr>
        <w:t>. También pidió a la Secretaría que informe al respecto a la Conferencia de las Partes en su tercera reunión, y puso de relieve la importancia de utilizar, según proceda, los arreglos regionales, subregionales y nacionales, incluidos los centros regionales y subregionales existentes, para ayudar a crear capacidad y prestar asistencia técnica de conformidad con el artículo 14 del Convenio.</w:t>
      </w:r>
      <w:bookmarkStart w:id="2" w:name="_Hlk530301547"/>
      <w:bookmarkEnd w:id="2"/>
    </w:p>
    <w:p w:rsidR="00640366" w:rsidRPr="008B4492" w:rsidRDefault="00640366">
      <w:pPr>
        <w:pStyle w:val="Normalnumber"/>
        <w:numPr>
          <w:ilvl w:val="0"/>
          <w:numId w:val="3"/>
        </w:numPr>
        <w:tabs>
          <w:tab w:val="clear" w:pos="1247"/>
          <w:tab w:val="clear" w:pos="1814"/>
          <w:tab w:val="clear" w:pos="2381"/>
          <w:tab w:val="clear" w:pos="2948"/>
          <w:tab w:val="clear" w:pos="3515"/>
          <w:tab w:val="clear" w:pos="4082"/>
          <w:tab w:val="left" w:pos="624"/>
        </w:tabs>
        <w:rPr>
          <w:lang w:val="es-ES"/>
        </w:rPr>
      </w:pPr>
      <w:r w:rsidRPr="008B4492">
        <w:rPr>
          <w:lang w:val="es-ES"/>
        </w:rPr>
        <w:t>La Secretaría solicitó información a las Partes y otros interesados en relación con la decisión</w:t>
      </w:r>
      <w:r w:rsidR="008C7DC6" w:rsidRPr="008B4492">
        <w:rPr>
          <w:lang w:val="es-ES"/>
        </w:rPr>
        <w:t> </w:t>
      </w:r>
      <w:r w:rsidRPr="008B4492">
        <w:rPr>
          <w:lang w:val="es-ES"/>
        </w:rPr>
        <w:t>MC-2/11 mediante una carta enviada por la Secretaria Ejecutiva el 3 de diciembre de 2018 a</w:t>
      </w:r>
      <w:r w:rsidR="008C7DC6" w:rsidRPr="008B4492">
        <w:rPr>
          <w:lang w:val="es-ES"/>
        </w:rPr>
        <w:t> </w:t>
      </w:r>
      <w:r w:rsidRPr="008B4492">
        <w:rPr>
          <w:lang w:val="es-ES"/>
        </w:rPr>
        <w:t>todos los participantes en la segunda reunión de la Conferencia de las Partes, así como a los centros nacionales de coordinación del Convenio, las misiones permanentes ante el Programa de las Naciones</w:t>
      </w:r>
      <w:r w:rsidR="008C7DC6" w:rsidRPr="008B4492">
        <w:rPr>
          <w:lang w:val="es-ES"/>
        </w:rPr>
        <w:t> </w:t>
      </w:r>
      <w:r w:rsidRPr="008B4492">
        <w:rPr>
          <w:lang w:val="es-ES"/>
        </w:rPr>
        <w:t>Unidas para el Medio Ambiente y las misiones permanentes ante las Naciones Unidas en</w:t>
      </w:r>
      <w:r w:rsidR="008C7DC6" w:rsidRPr="008B4492">
        <w:rPr>
          <w:lang w:val="es-ES"/>
        </w:rPr>
        <w:t> </w:t>
      </w:r>
      <w:r w:rsidRPr="008B4492">
        <w:rPr>
          <w:lang w:val="es-ES"/>
        </w:rPr>
        <w:t>Ginebra.</w:t>
      </w:r>
    </w:p>
    <w:p w:rsidR="00640366" w:rsidRPr="008B4492" w:rsidRDefault="00640366">
      <w:pPr>
        <w:pStyle w:val="Normalnumber"/>
        <w:numPr>
          <w:ilvl w:val="0"/>
          <w:numId w:val="3"/>
        </w:numPr>
        <w:tabs>
          <w:tab w:val="clear" w:pos="1247"/>
          <w:tab w:val="clear" w:pos="1814"/>
          <w:tab w:val="clear" w:pos="2381"/>
          <w:tab w:val="clear" w:pos="2948"/>
          <w:tab w:val="clear" w:pos="3515"/>
          <w:tab w:val="clear" w:pos="4082"/>
          <w:tab w:val="left" w:pos="624"/>
        </w:tabs>
        <w:rPr>
          <w:lang w:val="es-ES"/>
        </w:rPr>
      </w:pPr>
      <w:r w:rsidRPr="008B4492">
        <w:rPr>
          <w:lang w:val="es-ES"/>
        </w:rPr>
        <w:t xml:space="preserve">Se recibieron dos presentaciones en respuesta a la petición de aportaciones. La primera presentación fue efectuada por el Presidente del Comité Directivo de la Red Intergubernamental de Químicos y Desechos para América Latina y el Caribe, y la segunda por el Gobierno del Japón. La información se ha recopilado en el documento </w:t>
      </w:r>
      <w:proofErr w:type="spellStart"/>
      <w:r w:rsidRPr="008B4492">
        <w:rPr>
          <w:lang w:val="es-ES"/>
        </w:rPr>
        <w:t>UNEP</w:t>
      </w:r>
      <w:proofErr w:type="spellEnd"/>
      <w:r w:rsidRPr="008B4492">
        <w:rPr>
          <w:lang w:val="es-ES"/>
        </w:rPr>
        <w:t>/MC/COP.3/</w:t>
      </w:r>
      <w:proofErr w:type="spellStart"/>
      <w:r w:rsidRPr="008B4492">
        <w:rPr>
          <w:lang w:val="es-ES"/>
        </w:rPr>
        <w:t>INF</w:t>
      </w:r>
      <w:proofErr w:type="spellEnd"/>
      <w:r w:rsidRPr="008B4492">
        <w:rPr>
          <w:lang w:val="es-ES"/>
        </w:rPr>
        <w:t xml:space="preserve">/14 y también está disponible en el sitio web del Convenio de </w:t>
      </w:r>
      <w:proofErr w:type="spellStart"/>
      <w:r w:rsidRPr="008B4492">
        <w:rPr>
          <w:lang w:val="es-ES"/>
        </w:rPr>
        <w:t>Minamata</w:t>
      </w:r>
      <w:proofErr w:type="spellEnd"/>
      <w:r w:rsidRPr="008B4492">
        <w:rPr>
          <w:lang w:val="es-ES"/>
        </w:rPr>
        <w:t xml:space="preserve"> en: www.mercuryconvention.org/Meetings/Intersessionalwork/tabid/7857/language/en-US/Default.aspx.</w:t>
      </w:r>
    </w:p>
    <w:p w:rsidR="00640366" w:rsidRPr="008B4492" w:rsidRDefault="00640366">
      <w:pPr>
        <w:pStyle w:val="Normalnumber"/>
        <w:keepNext/>
        <w:keepLines/>
        <w:numPr>
          <w:ilvl w:val="0"/>
          <w:numId w:val="3"/>
        </w:numPr>
        <w:tabs>
          <w:tab w:val="clear" w:pos="1247"/>
          <w:tab w:val="clear" w:pos="1814"/>
          <w:tab w:val="clear" w:pos="2381"/>
          <w:tab w:val="clear" w:pos="2948"/>
          <w:tab w:val="clear" w:pos="3515"/>
          <w:tab w:val="clear" w:pos="4082"/>
          <w:tab w:val="left" w:pos="624"/>
        </w:tabs>
        <w:rPr>
          <w:lang w:val="es-ES"/>
        </w:rPr>
      </w:pPr>
      <w:r w:rsidRPr="008B4492">
        <w:rPr>
          <w:lang w:val="es-ES"/>
        </w:rPr>
        <w:lastRenderedPageBreak/>
        <w:t xml:space="preserve">En la primera presentación se describe el arreglo regional de la Red Intergubernamental de Químicos y Desechos para América Latina y el Caribe, y se esbozan las actividades de 2017 y 2018, incluida la aprobación del Plan de Acción para la Cooperación Regional en la Gestión de Productos Químicos y Desechos: América Latina y </w:t>
      </w:r>
      <w:r w:rsidR="00EC0E9D" w:rsidRPr="008B4492">
        <w:rPr>
          <w:lang w:val="es-ES"/>
        </w:rPr>
        <w:t xml:space="preserve">el </w:t>
      </w:r>
      <w:r w:rsidRPr="008B4492">
        <w:rPr>
          <w:lang w:val="es-ES"/>
        </w:rPr>
        <w:t xml:space="preserve">Caribe: Bienio 2019-2020. La segunda presentación expone una iniciativa del Japón en apoyo de los esfuerzos de los países en desarrollo en materia de gestión del mercurio. La presentación también incluye un anexo que contiene una sinopsis y un informe sobre </w:t>
      </w:r>
      <w:r w:rsidR="008C7DC6" w:rsidRPr="008B4492">
        <w:rPr>
          <w:lang w:val="es-ES"/>
        </w:rPr>
        <w:t>“</w:t>
      </w:r>
      <w:r w:rsidRPr="008B4492">
        <w:rPr>
          <w:lang w:val="es-ES"/>
        </w:rPr>
        <w:t>Flujo de Materiales de Mercurio en Japón (FY2014)</w:t>
      </w:r>
      <w:r w:rsidR="008C7DC6" w:rsidRPr="008B4492">
        <w:rPr>
          <w:lang w:val="es-ES"/>
        </w:rPr>
        <w:t>”</w:t>
      </w:r>
      <w:r w:rsidRPr="008B4492">
        <w:rPr>
          <w:lang w:val="es-ES"/>
        </w:rPr>
        <w:t xml:space="preserve">, sobre la base de la importancia de los flujos de materiales de mercurio como bases de referencia en los esfuerzos para promover la gestión del mercurio. </w:t>
      </w:r>
    </w:p>
    <w:p w:rsidR="00640366" w:rsidRPr="008B4492" w:rsidRDefault="00640366">
      <w:pPr>
        <w:pStyle w:val="CH2"/>
        <w:spacing w:before="240"/>
        <w:rPr>
          <w:lang w:val="es-ES"/>
        </w:rPr>
      </w:pPr>
      <w:r w:rsidRPr="008B4492">
        <w:rPr>
          <w:lang w:val="es-ES"/>
        </w:rPr>
        <w:tab/>
      </w:r>
      <w:r w:rsidRPr="008B4492">
        <w:rPr>
          <w:lang w:val="es-ES"/>
        </w:rPr>
        <w:tab/>
      </w:r>
      <w:r w:rsidRPr="008B4492">
        <w:rPr>
          <w:bCs/>
          <w:lang w:val="es-ES"/>
        </w:rPr>
        <w:t>Medidas que podría adoptar la Conferencia de las Partes</w:t>
      </w:r>
    </w:p>
    <w:p w:rsidR="00640366" w:rsidRPr="008B4492" w:rsidRDefault="00640366">
      <w:pPr>
        <w:pStyle w:val="Normalnumber"/>
        <w:numPr>
          <w:ilvl w:val="0"/>
          <w:numId w:val="3"/>
        </w:numPr>
        <w:tabs>
          <w:tab w:val="clear" w:pos="1247"/>
          <w:tab w:val="clear" w:pos="1814"/>
          <w:tab w:val="clear" w:pos="2381"/>
          <w:tab w:val="clear" w:pos="2948"/>
          <w:tab w:val="clear" w:pos="3515"/>
          <w:tab w:val="clear" w:pos="4082"/>
          <w:tab w:val="left" w:pos="624"/>
        </w:tabs>
        <w:rPr>
          <w:lang w:val="es-ES"/>
        </w:rPr>
      </w:pPr>
      <w:r w:rsidRPr="008B4492">
        <w:rPr>
          <w:lang w:val="es-ES"/>
        </w:rPr>
        <w:t xml:space="preserve">La Conferencia de las Partes tal vez deseará examinar la información facilitada en las presentaciones recibidas y señalar a la atención de las Partes y los interesados pertinentes, en particular los que prestan creación de capacidad y asistencia técnica de conformidad con el artículo 14, las actividades, iniciativas e informes mencionados en las presentaciones y las necesidades y los desafíos descritos en ellas. La Conferencia de las Partes tal vez deseará también seguir examinando la cuestión en reuniones </w:t>
      </w:r>
      <w:r w:rsidR="00243790" w:rsidRPr="008B4492">
        <w:rPr>
          <w:lang w:val="es-ES"/>
        </w:rPr>
        <w:t>posteriores</w:t>
      </w:r>
      <w:r w:rsidRPr="008B4492">
        <w:rPr>
          <w:lang w:val="es-ES"/>
        </w:rPr>
        <w:t xml:space="preserve">, teniendo en cuenta cualquier información adicional presentada por las Partes de conformidad con el artículo 21 o facilitada por otros interesados. </w:t>
      </w:r>
    </w:p>
    <w:p w:rsidR="00640366" w:rsidRPr="008B4492" w:rsidRDefault="00640366">
      <w:pPr>
        <w:pStyle w:val="Normal-pool"/>
        <w:rPr>
          <w:lang w:val="es-ES"/>
        </w:rPr>
      </w:pPr>
    </w:p>
    <w:tbl>
      <w:tblPr>
        <w:tblW w:w="0" w:type="auto"/>
        <w:tblLayout w:type="fixed"/>
        <w:tblLook w:val="0000" w:firstRow="0" w:lastRow="0" w:firstColumn="0" w:lastColumn="0" w:noHBand="0" w:noVBand="0"/>
      </w:tblPr>
      <w:tblGrid>
        <w:gridCol w:w="1897"/>
        <w:gridCol w:w="1899"/>
        <w:gridCol w:w="1899"/>
        <w:gridCol w:w="1899"/>
        <w:gridCol w:w="1902"/>
      </w:tblGrid>
      <w:tr w:rsidR="00640366" w:rsidRPr="008B4492">
        <w:tc>
          <w:tcPr>
            <w:tcW w:w="1897" w:type="dxa"/>
            <w:shd w:val="clear" w:color="auto" w:fill="FFFFFF"/>
          </w:tcPr>
          <w:p w:rsidR="00640366" w:rsidRPr="008B4492" w:rsidRDefault="00640366">
            <w:pPr>
              <w:pStyle w:val="Normal-pool"/>
              <w:snapToGrid w:val="0"/>
              <w:spacing w:before="520"/>
              <w:rPr>
                <w:lang w:val="es-ES"/>
              </w:rPr>
            </w:pPr>
          </w:p>
        </w:tc>
        <w:tc>
          <w:tcPr>
            <w:tcW w:w="1899" w:type="dxa"/>
            <w:shd w:val="clear" w:color="auto" w:fill="FFFFFF"/>
          </w:tcPr>
          <w:p w:rsidR="00640366" w:rsidRPr="008B4492" w:rsidRDefault="00640366">
            <w:pPr>
              <w:pStyle w:val="Normal-pool"/>
              <w:snapToGrid w:val="0"/>
              <w:spacing w:before="520"/>
              <w:rPr>
                <w:lang w:val="es-ES"/>
              </w:rPr>
            </w:pPr>
          </w:p>
        </w:tc>
        <w:tc>
          <w:tcPr>
            <w:tcW w:w="1899" w:type="dxa"/>
            <w:tcBorders>
              <w:bottom w:val="single" w:sz="4" w:space="0" w:color="000000"/>
            </w:tcBorders>
            <w:shd w:val="clear" w:color="auto" w:fill="FFFFFF"/>
          </w:tcPr>
          <w:p w:rsidR="00640366" w:rsidRPr="008B4492" w:rsidRDefault="00640366">
            <w:pPr>
              <w:pStyle w:val="Normal-pool"/>
              <w:snapToGrid w:val="0"/>
              <w:spacing w:before="520"/>
              <w:rPr>
                <w:lang w:val="es-ES"/>
              </w:rPr>
            </w:pPr>
          </w:p>
        </w:tc>
        <w:tc>
          <w:tcPr>
            <w:tcW w:w="1899" w:type="dxa"/>
            <w:shd w:val="clear" w:color="auto" w:fill="FFFFFF"/>
          </w:tcPr>
          <w:p w:rsidR="00640366" w:rsidRPr="008B4492" w:rsidRDefault="00640366">
            <w:pPr>
              <w:pStyle w:val="Normal-pool"/>
              <w:snapToGrid w:val="0"/>
              <w:spacing w:before="520"/>
              <w:rPr>
                <w:lang w:val="es-ES"/>
              </w:rPr>
            </w:pPr>
          </w:p>
        </w:tc>
        <w:tc>
          <w:tcPr>
            <w:tcW w:w="1902" w:type="dxa"/>
            <w:shd w:val="clear" w:color="auto" w:fill="FFFFFF"/>
          </w:tcPr>
          <w:p w:rsidR="00640366" w:rsidRPr="008B4492" w:rsidRDefault="00640366">
            <w:pPr>
              <w:pStyle w:val="Normal-pool"/>
              <w:snapToGrid w:val="0"/>
              <w:spacing w:before="520"/>
              <w:rPr>
                <w:lang w:val="es-ES"/>
              </w:rPr>
            </w:pPr>
          </w:p>
        </w:tc>
      </w:tr>
    </w:tbl>
    <w:p w:rsidR="00640366" w:rsidRPr="008B4492" w:rsidRDefault="00640366">
      <w:pPr>
        <w:pStyle w:val="Normal-pool"/>
        <w:rPr>
          <w:lang w:val="es-ES"/>
        </w:rPr>
      </w:pPr>
    </w:p>
    <w:sectPr w:rsidR="00640366" w:rsidRPr="008B4492" w:rsidSect="008C7DC6">
      <w:headerReference w:type="even" r:id="rId11"/>
      <w:headerReference w:type="default" r:id="rId12"/>
      <w:footerReference w:type="even" r:id="rId13"/>
      <w:footerReference w:type="default" r:id="rId14"/>
      <w:footerReference w:type="first" r:id="rId15"/>
      <w:pgSz w:w="11906" w:h="16838" w:code="9"/>
      <w:pgMar w:top="907" w:right="992" w:bottom="1418" w:left="1418" w:header="539" w:footer="975" w:gutter="0"/>
      <w:cols w:space="720"/>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D6" w:rsidRDefault="001106D6">
      <w:r>
        <w:separator/>
      </w:r>
    </w:p>
  </w:endnote>
  <w:endnote w:type="continuationSeparator" w:id="0">
    <w:p w:rsidR="001106D6" w:rsidRDefault="0011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FB" w:rsidRPr="00F746FB" w:rsidRDefault="00F746FB" w:rsidP="00F746FB">
    <w:pPr>
      <w:pStyle w:val="Footer"/>
      <w:widowControl w:val="0"/>
      <w:suppressLineNumbers w:val="0"/>
      <w:suppressAutoHyphens w:val="0"/>
      <w:rPr>
        <w:b/>
        <w:bCs/>
      </w:rPr>
    </w:pPr>
    <w:r w:rsidRPr="00F746FB">
      <w:rPr>
        <w:b/>
        <w:bCs/>
      </w:rPr>
      <w:fldChar w:fldCharType="begin"/>
    </w:r>
    <w:r w:rsidRPr="00F746FB">
      <w:rPr>
        <w:b/>
        <w:bCs/>
      </w:rPr>
      <w:instrText>PAGE   \* MERGEFORMAT</w:instrText>
    </w:r>
    <w:r w:rsidRPr="00F746FB">
      <w:rPr>
        <w:b/>
        <w:bCs/>
      </w:rPr>
      <w:fldChar w:fldCharType="separate"/>
    </w:r>
    <w:r w:rsidR="008B4492" w:rsidRPr="008B4492">
      <w:rPr>
        <w:b/>
        <w:bCs/>
        <w:noProof/>
        <w:lang w:val="es-ES"/>
      </w:rPr>
      <w:t>2</w:t>
    </w:r>
    <w:r w:rsidRPr="00F746FB">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66" w:rsidRDefault="00640366">
    <w:pPr>
      <w:pStyle w:val="Footer"/>
      <w:jc w:val="right"/>
    </w:pP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FB" w:rsidRPr="00F746FB" w:rsidRDefault="00F746FB" w:rsidP="00F746FB">
    <w:pPr>
      <w:pStyle w:val="Footer"/>
      <w:widowControl w:val="0"/>
      <w:suppressLineNumbers w:val="0"/>
      <w:tabs>
        <w:tab w:val="clear" w:pos="4320"/>
        <w:tab w:val="clear" w:pos="8640"/>
      </w:tabs>
      <w:suppressAutoHyphens w:val="0"/>
      <w:rPr>
        <w:sz w:val="20"/>
        <w:lang w:val="es-ES"/>
      </w:rPr>
    </w:pPr>
    <w:r w:rsidRPr="00F746FB">
      <w:rPr>
        <w:sz w:val="20"/>
        <w:lang w:val="es-ES"/>
      </w:rPr>
      <w:t>K1903070</w:t>
    </w:r>
    <w:r w:rsidRPr="00F746FB">
      <w:rPr>
        <w:sz w:val="20"/>
        <w:lang w:val="es-ES"/>
      </w:rPr>
      <w:tab/>
    </w:r>
    <w:r w:rsidR="008B4492">
      <w:rPr>
        <w:sz w:val="20"/>
        <w:lang w:val="es-ES"/>
      </w:rPr>
      <w:t>06</w:t>
    </w:r>
    <w:r w:rsidR="008B4492" w:rsidRPr="00F746FB">
      <w:rPr>
        <w:sz w:val="20"/>
        <w:lang w:val="es-ES"/>
      </w:rPr>
      <w:t>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D6" w:rsidRDefault="001106D6" w:rsidP="008C7DC6">
      <w:pPr>
        <w:tabs>
          <w:tab w:val="clear" w:pos="1247"/>
          <w:tab w:val="clear" w:pos="1814"/>
          <w:tab w:val="clear" w:pos="2381"/>
          <w:tab w:val="clear" w:pos="2948"/>
          <w:tab w:val="clear" w:pos="3515"/>
        </w:tabs>
        <w:spacing w:before="40" w:after="20"/>
        <w:ind w:left="624"/>
      </w:pPr>
      <w:r>
        <w:separator/>
      </w:r>
    </w:p>
  </w:footnote>
  <w:footnote w:type="continuationSeparator" w:id="0">
    <w:p w:rsidR="001106D6" w:rsidRDefault="001106D6">
      <w:r>
        <w:continuationSeparator/>
      </w:r>
    </w:p>
  </w:footnote>
  <w:footnote w:id="1">
    <w:p w:rsidR="00640366" w:rsidRPr="008C7DC6" w:rsidRDefault="00640366" w:rsidP="008C7DC6">
      <w:pPr>
        <w:tabs>
          <w:tab w:val="clear" w:pos="1247"/>
          <w:tab w:val="clear" w:pos="1814"/>
          <w:tab w:val="clear" w:pos="2381"/>
          <w:tab w:val="clear" w:pos="2948"/>
          <w:tab w:val="clear" w:pos="3515"/>
        </w:tabs>
        <w:spacing w:before="40" w:after="20"/>
        <w:ind w:left="1247"/>
        <w:rPr>
          <w:sz w:val="18"/>
          <w:szCs w:val="18"/>
        </w:rPr>
      </w:pPr>
      <w:r w:rsidRPr="008C7DC6">
        <w:rPr>
          <w:rStyle w:val="Caracteresdenotaalpie"/>
          <w:sz w:val="18"/>
          <w:szCs w:val="18"/>
        </w:rPr>
        <w:t>*</w:t>
      </w:r>
      <w:r w:rsidR="008C7DC6">
        <w:rPr>
          <w:sz w:val="18"/>
          <w:szCs w:val="18"/>
          <w:lang w:val="es-ES"/>
        </w:rPr>
        <w:t xml:space="preserve"> </w:t>
      </w:r>
      <w:proofErr w:type="spellStart"/>
      <w:r w:rsidRPr="008C7DC6">
        <w:rPr>
          <w:sz w:val="18"/>
          <w:szCs w:val="18"/>
          <w:lang w:val="es-ES"/>
        </w:rPr>
        <w:t>UNEP</w:t>
      </w:r>
      <w:proofErr w:type="spellEnd"/>
      <w:r w:rsidRPr="008C7DC6">
        <w:rPr>
          <w:sz w:val="18"/>
          <w:szCs w:val="18"/>
          <w:lang w:val="es-ES"/>
        </w:rPr>
        <w:t>/MC/COP.3/1.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66" w:rsidRDefault="00640366" w:rsidP="00F746FB">
    <w:pPr>
      <w:pStyle w:val="Header"/>
      <w:widowControl w:val="0"/>
      <w:suppressLineNumbers w:val="0"/>
      <w:suppressAutoHyphens w:val="0"/>
    </w:pPr>
    <w:r>
      <w:rPr>
        <w:bCs/>
        <w:szCs w:val="18"/>
      </w:rPr>
      <w:t>UNEP</w:t>
    </w:r>
    <w:r>
      <w:rPr>
        <w:szCs w:val="18"/>
      </w:rPr>
      <w:t>/MC/COP.3/12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66" w:rsidRPr="008C7DC6" w:rsidRDefault="00640366" w:rsidP="008C7DC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134"/>
        </w:tabs>
        <w:ind w:left="1247" w:firstLine="0"/>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pStyle w:val="Heading8"/>
      <w:lvlText w:val="%1."/>
      <w:lvlJc w:val="left"/>
      <w:pPr>
        <w:tabs>
          <w:tab w:val="num" w:pos="1134"/>
        </w:tabs>
        <w:ind w:left="1247"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decimal"/>
      <w:lvlText w:val="%1."/>
      <w:lvlJc w:val="left"/>
      <w:pPr>
        <w:tabs>
          <w:tab w:val="num" w:pos="0"/>
        </w:tabs>
        <w:ind w:left="1247" w:firstLine="0"/>
      </w:pPr>
      <w:rPr>
        <w:i w:val="0"/>
      </w:rPr>
    </w:lvl>
    <w:lvl w:ilvl="1">
      <w:start w:val="1"/>
      <w:numFmt w:val="lowerLetter"/>
      <w:lvlText w:val="(%2)"/>
      <w:lvlJc w:val="left"/>
      <w:pPr>
        <w:tabs>
          <w:tab w:val="num" w:pos="0"/>
        </w:tabs>
        <w:ind w:left="1247" w:firstLine="567"/>
      </w:pPr>
    </w:lvl>
    <w:lvl w:ilvl="2">
      <w:start w:val="1"/>
      <w:numFmt w:val="lowerRoman"/>
      <w:lvlText w:val="(%1.%2.%3)"/>
      <w:lvlJc w:val="left"/>
      <w:pPr>
        <w:tabs>
          <w:tab w:val="num" w:pos="0"/>
        </w:tabs>
        <w:ind w:left="2948" w:hanging="567"/>
      </w:pPr>
    </w:lvl>
    <w:lvl w:ilvl="3">
      <w:start w:val="1"/>
      <w:numFmt w:val="lowerLetter"/>
      <w:lvlText w:val="%1.%2.%3.%4."/>
      <w:lvlJc w:val="left"/>
      <w:pPr>
        <w:tabs>
          <w:tab w:val="num" w:pos="0"/>
        </w:tabs>
        <w:ind w:left="3515" w:hanging="567"/>
      </w:pPr>
    </w:lvl>
    <w:lvl w:ilvl="4">
      <w:start w:val="1"/>
      <w:numFmt w:val="lowerLetter"/>
      <w:lvlText w:val="%1.%2.%3.%4.%5."/>
      <w:lvlJc w:val="left"/>
      <w:pPr>
        <w:tabs>
          <w:tab w:val="num" w:pos="0"/>
        </w:tabs>
        <w:ind w:left="6548" w:hanging="360"/>
      </w:pPr>
    </w:lvl>
    <w:lvl w:ilvl="5">
      <w:start w:val="1"/>
      <w:numFmt w:val="lowerRoman"/>
      <w:lvlText w:val="%1.%2.%3.%4.%5.%6."/>
      <w:lvlJc w:val="right"/>
      <w:pPr>
        <w:tabs>
          <w:tab w:val="num" w:pos="0"/>
        </w:tabs>
        <w:ind w:left="7268" w:hanging="180"/>
      </w:pPr>
    </w:lvl>
    <w:lvl w:ilvl="6">
      <w:start w:val="1"/>
      <w:numFmt w:val="decimal"/>
      <w:lvlText w:val="%1.%2.%3.%4.%5.%6.%7."/>
      <w:lvlJc w:val="left"/>
      <w:pPr>
        <w:tabs>
          <w:tab w:val="num" w:pos="0"/>
        </w:tabs>
        <w:ind w:left="7988" w:hanging="360"/>
      </w:pPr>
    </w:lvl>
    <w:lvl w:ilvl="7">
      <w:start w:val="1"/>
      <w:numFmt w:val="lowerLetter"/>
      <w:lvlText w:val="%1.%2.%3.%4.%5.%6.%7.%8."/>
      <w:lvlJc w:val="left"/>
      <w:pPr>
        <w:tabs>
          <w:tab w:val="num" w:pos="0"/>
        </w:tabs>
        <w:ind w:left="8708" w:hanging="360"/>
      </w:pPr>
    </w:lvl>
    <w:lvl w:ilvl="8">
      <w:start w:val="1"/>
      <w:numFmt w:val="lowerRoman"/>
      <w:lvlText w:val="%1.%2.%3.%4.%5.%6.%7.%8.%9."/>
      <w:lvlJc w:val="right"/>
      <w:pPr>
        <w:tabs>
          <w:tab w:val="num" w:pos="0"/>
        </w:tabs>
        <w:ind w:left="94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DF"/>
    <w:rsid w:val="001106D6"/>
    <w:rsid w:val="001474DF"/>
    <w:rsid w:val="00243790"/>
    <w:rsid w:val="002A4C1C"/>
    <w:rsid w:val="00640366"/>
    <w:rsid w:val="00696258"/>
    <w:rsid w:val="007E00E7"/>
    <w:rsid w:val="008B4492"/>
    <w:rsid w:val="008C7DC6"/>
    <w:rsid w:val="00B50C2D"/>
    <w:rsid w:val="00CE09B8"/>
    <w:rsid w:val="00DC4B2B"/>
    <w:rsid w:val="00DD2CBF"/>
    <w:rsid w:val="00EC0E9D"/>
    <w:rsid w:val="00F60D6A"/>
    <w:rsid w:val="00F74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13524F2"/>
  <w15:chartTrackingRefBased/>
  <w15:docId w15:val="{4899D98A-A2AD-4587-83B0-774E4E6F5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tabs>
        <w:tab w:val="left" w:pos="1247"/>
        <w:tab w:val="left" w:pos="1814"/>
        <w:tab w:val="left" w:pos="2381"/>
        <w:tab w:val="left" w:pos="2948"/>
        <w:tab w:val="left" w:pos="3515"/>
      </w:tabs>
      <w:suppressAutoHyphens/>
    </w:pPr>
    <w:rPr>
      <w:kern w:val="1"/>
      <w:lang w:val="en-GB" w:eastAsia="ar-SA"/>
    </w:rPr>
  </w:style>
  <w:style w:type="paragraph" w:styleId="Heading1">
    <w:name w:val="heading 1"/>
    <w:basedOn w:val="Normal"/>
    <w:next w:val="BodyText"/>
    <w:qFormat/>
    <w:pPr>
      <w:keepNext/>
      <w:numPr>
        <w:numId w:val="1"/>
      </w:numPr>
      <w:spacing w:before="240" w:after="120"/>
      <w:ind w:hanging="680"/>
      <w:outlineLvl w:val="0"/>
    </w:pPr>
    <w:rPr>
      <w:b/>
      <w:sz w:val="28"/>
    </w:rPr>
  </w:style>
  <w:style w:type="paragraph" w:styleId="Heading2">
    <w:name w:val="heading 2"/>
    <w:basedOn w:val="Normal"/>
    <w:next w:val="BodyText"/>
    <w:qFormat/>
    <w:pPr>
      <w:keepNext/>
      <w:numPr>
        <w:ilvl w:val="1"/>
        <w:numId w:val="1"/>
      </w:numPr>
      <w:spacing w:before="240" w:after="120"/>
      <w:ind w:left="1247" w:hanging="680"/>
      <w:outlineLvl w:val="1"/>
    </w:pPr>
    <w:rPr>
      <w:b/>
      <w:sz w:val="24"/>
      <w:szCs w:val="24"/>
    </w:rPr>
  </w:style>
  <w:style w:type="paragraph" w:styleId="Heading3">
    <w:name w:val="heading 3"/>
    <w:basedOn w:val="Normal"/>
    <w:next w:val="BodyText"/>
    <w:qFormat/>
    <w:pPr>
      <w:numPr>
        <w:ilvl w:val="2"/>
        <w:numId w:val="1"/>
      </w:numPr>
      <w:spacing w:after="120"/>
      <w:ind w:left="1247" w:hanging="680"/>
      <w:outlineLvl w:val="2"/>
    </w:pPr>
    <w:rPr>
      <w:b/>
    </w:rPr>
  </w:style>
  <w:style w:type="paragraph" w:styleId="Heading4">
    <w:name w:val="heading 4"/>
    <w:basedOn w:val="Heading3"/>
    <w:next w:val="BodyText"/>
    <w:qFormat/>
    <w:pPr>
      <w:keepNext/>
      <w:numPr>
        <w:ilvl w:val="3"/>
      </w:numPr>
      <w:outlineLvl w:val="3"/>
    </w:pPr>
  </w:style>
  <w:style w:type="paragraph" w:styleId="Heading5">
    <w:name w:val="heading 5"/>
    <w:basedOn w:val="Normal"/>
    <w:next w:val="BodyText"/>
    <w:qFormat/>
    <w:pPr>
      <w:keepNext/>
      <w:numPr>
        <w:ilvl w:val="4"/>
        <w:numId w:val="1"/>
      </w:numPr>
      <w:outlineLvl w:val="4"/>
    </w:pPr>
    <w:rPr>
      <w:rFonts w:ascii="Univers" w:hAnsi="Univers" w:cs="Univers"/>
      <w:b/>
      <w:sz w:val="24"/>
    </w:rPr>
  </w:style>
  <w:style w:type="paragraph" w:styleId="Heading6">
    <w:name w:val="heading 6"/>
    <w:basedOn w:val="Normal"/>
    <w:next w:val="BodyText"/>
    <w:qFormat/>
    <w:pPr>
      <w:keepNext/>
      <w:numPr>
        <w:ilvl w:val="5"/>
        <w:numId w:val="1"/>
      </w:numPr>
      <w:ind w:left="578" w:firstLine="0"/>
      <w:outlineLvl w:val="5"/>
    </w:pPr>
    <w:rPr>
      <w:b/>
      <w:bCs/>
      <w:sz w:val="24"/>
    </w:rPr>
  </w:style>
  <w:style w:type="paragraph" w:styleId="Heading7">
    <w:name w:val="heading 7"/>
    <w:basedOn w:val="Normal"/>
    <w:next w:val="BodyText"/>
    <w:qFormat/>
    <w:pPr>
      <w:keepNext/>
      <w:widowControl w:val="0"/>
      <w:numPr>
        <w:ilvl w:val="6"/>
        <w:numId w:val="1"/>
      </w:numPr>
      <w:jc w:val="center"/>
      <w:outlineLvl w:val="6"/>
    </w:pPr>
    <w:rPr>
      <w:u w:val="single"/>
      <w:lang w:val="en-US"/>
    </w:rPr>
  </w:style>
  <w:style w:type="paragraph" w:styleId="Heading8">
    <w:name w:val="heading 8"/>
    <w:basedOn w:val="Normal"/>
    <w:next w:val="BodyText"/>
    <w:qFormat/>
    <w:pPr>
      <w:keepNext/>
      <w:widowControl w:val="0"/>
      <w:numPr>
        <w:numId w:val="2"/>
      </w:numPr>
      <w:tabs>
        <w:tab w:val="clear" w:pos="1247"/>
        <w:tab w:val="clear" w:pos="1814"/>
        <w:tab w:val="clear" w:pos="2381"/>
        <w:tab w:val="clear" w:pos="2948"/>
        <w:tab w:val="clear" w:pos="3515"/>
        <w:tab w:val="left" w:pos="-1440"/>
        <w:tab w:val="left" w:pos="-720"/>
      </w:tabs>
      <w:jc w:val="center"/>
      <w:outlineLvl w:val="7"/>
    </w:pPr>
    <w:rPr>
      <w:u w:val="single"/>
      <w:lang w:val="en-US"/>
    </w:rPr>
  </w:style>
  <w:style w:type="paragraph" w:styleId="Heading9">
    <w:name w:val="heading 9"/>
    <w:basedOn w:val="Normal"/>
    <w:next w:val="BodyText"/>
    <w:qFormat/>
    <w:pPr>
      <w:keepNext/>
      <w:widowControl w:val="0"/>
      <w:tabs>
        <w:tab w:val="num" w:pos="1134"/>
      </w:tabs>
      <w:ind w:left="1247"/>
      <w:jc w:val="center"/>
      <w:outlineLvl w:val="8"/>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ageNumber1">
    <w:name w:val="Page Number1"/>
    <w:rPr>
      <w:rFonts w:ascii="Times New Roman" w:hAnsi="Times New Roman" w:cs="Times New Roman"/>
      <w:b/>
      <w:sz w:val="18"/>
    </w:rPr>
  </w:style>
  <w:style w:type="character" w:customStyle="1" w:styleId="FootnoteReference1">
    <w:name w:val="Footnote Reference1"/>
    <w:rPr>
      <w:rFonts w:ascii="Times New Roman" w:hAnsi="Times New Roman" w:cs="Times New Roman"/>
      <w:color w:val="00000A"/>
      <w:sz w:val="20"/>
      <w:szCs w:val="18"/>
      <w:vertAlign w:val="superscript"/>
    </w:rPr>
  </w:style>
  <w:style w:type="character" w:customStyle="1" w:styleId="CommentReference1">
    <w:name w:val="Comment Reference1"/>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FootnoteTextChar">
    <w:name w:val="Footnote Text Char"/>
    <w:rPr>
      <w:sz w:val="18"/>
      <w:lang w:val="fr-FR"/>
    </w:rPr>
  </w:style>
  <w:style w:type="character" w:styleId="Hyperlink">
    <w:name w:val="Hyperlink"/>
    <w:rPr>
      <w:rFonts w:ascii="Times New Roman" w:hAnsi="Times New Roman" w:cs="Times New Roman"/>
      <w:color w:val="00000A"/>
      <w:sz w:val="20"/>
      <w:szCs w:val="20"/>
      <w:u w:val="none"/>
      <w:lang w:val="fr-FR"/>
    </w:rPr>
  </w:style>
  <w:style w:type="character" w:styleId="Emphasis">
    <w:name w:val="Emphasis"/>
    <w:qFormat/>
    <w:rPr>
      <w:i/>
      <w:iCs/>
    </w:rPr>
  </w:style>
  <w:style w:type="character" w:customStyle="1" w:styleId="BBTitleChar">
    <w:name w:val="BB_Title Char"/>
    <w:rPr>
      <w:b/>
      <w:sz w:val="28"/>
      <w:szCs w:val="28"/>
    </w:rPr>
  </w:style>
  <w:style w:type="character" w:customStyle="1" w:styleId="CH2Char">
    <w:name w:val="CH2 Char"/>
    <w:rPr>
      <w:b/>
      <w:sz w:val="24"/>
      <w:szCs w:val="24"/>
    </w:rPr>
  </w:style>
  <w:style w:type="character" w:customStyle="1" w:styleId="NormalnumberChar">
    <w:name w:val="Normal_number Char"/>
  </w:style>
  <w:style w:type="character" w:customStyle="1" w:styleId="ListLabel1">
    <w:name w:val="ListLabel 1"/>
    <w:rPr>
      <w:b w:val="0"/>
      <w:i w:val="0"/>
      <w:sz w:val="20"/>
    </w:rPr>
  </w:style>
  <w:style w:type="character" w:customStyle="1" w:styleId="ListLabel2">
    <w:name w:val="ListLabel 2"/>
    <w:rPr>
      <w:i w:val="0"/>
    </w:rPr>
  </w:style>
  <w:style w:type="character" w:customStyle="1" w:styleId="Caracteresdenotaalpie">
    <w:name w:val="Caracteres de nota al pie"/>
  </w:style>
  <w:style w:type="character" w:styleId="FootnoteReference">
    <w:name w:val="footnote reference"/>
    <w:rPr>
      <w:vertAlign w:val="superscript"/>
    </w:rPr>
  </w:style>
  <w:style w:type="character" w:customStyle="1" w:styleId="Caracteresdenotafinal">
    <w:name w:val="Caracteres de nota final"/>
    <w:rPr>
      <w:vertAlign w:val="superscript"/>
    </w:rPr>
  </w:style>
  <w:style w:type="character" w:customStyle="1" w:styleId="WW-Caracteresdenotafinal">
    <w:name w:val="WW-Caracteres de nota final"/>
  </w:style>
  <w:style w:type="character" w:styleId="EndnoteReference">
    <w:name w:val="endnote reference"/>
    <w:rPr>
      <w:vertAlign w:val="superscript"/>
    </w:rPr>
  </w:style>
  <w:style w:type="paragraph" w:customStyle="1" w:styleId="Encabezado">
    <w:name w:val="Encabezado"/>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customStyle="1" w:styleId="Etiqueta">
    <w:name w:val="Etiqueta"/>
    <w:basedOn w:val="Normal"/>
    <w:pPr>
      <w:suppressLineNumbers/>
      <w:spacing w:before="120" w:after="120"/>
    </w:pPr>
    <w:rPr>
      <w:rFonts w:cs="Arial"/>
      <w:i/>
      <w:iCs/>
      <w:sz w:val="24"/>
      <w:szCs w:val="24"/>
    </w:rPr>
  </w:style>
  <w:style w:type="paragraph" w:customStyle="1" w:styleId="ndice">
    <w:name w:val="Índice"/>
    <w:basedOn w:val="Normal"/>
    <w:pPr>
      <w:suppressLineNumbers/>
    </w:pPr>
    <w:rPr>
      <w:rFonts w:cs="Arial"/>
    </w:rPr>
  </w:style>
  <w:style w:type="paragraph" w:styleId="TOC6">
    <w:name w:val="toc 6"/>
    <w:basedOn w:val="Normal"/>
    <w:pPr>
      <w:tabs>
        <w:tab w:val="clear" w:pos="1247"/>
        <w:tab w:val="clear" w:pos="1814"/>
        <w:tab w:val="clear" w:pos="2381"/>
        <w:tab w:val="clear" w:pos="2948"/>
        <w:tab w:val="clear" w:pos="3515"/>
      </w:tabs>
      <w:ind w:left="1000"/>
    </w:pPr>
    <w:rPr>
      <w:sz w:val="18"/>
      <w:szCs w:val="18"/>
    </w:rPr>
  </w:style>
  <w:style w:type="paragraph" w:styleId="TOC7">
    <w:name w:val="toc 7"/>
    <w:basedOn w:val="Normal"/>
    <w:pPr>
      <w:tabs>
        <w:tab w:val="clear" w:pos="1247"/>
        <w:tab w:val="clear" w:pos="1814"/>
        <w:tab w:val="clear" w:pos="2381"/>
        <w:tab w:val="clear" w:pos="2948"/>
        <w:tab w:val="clear" w:pos="3515"/>
      </w:tabs>
      <w:ind w:left="1200"/>
    </w:pPr>
    <w:rPr>
      <w:sz w:val="18"/>
      <w:szCs w:val="18"/>
    </w:rPr>
  </w:style>
  <w:style w:type="paragraph" w:styleId="TOC8">
    <w:name w:val="toc 8"/>
    <w:basedOn w:val="Normal"/>
    <w:pPr>
      <w:tabs>
        <w:tab w:val="clear" w:pos="1247"/>
        <w:tab w:val="clear" w:pos="1814"/>
        <w:tab w:val="clear" w:pos="2381"/>
        <w:tab w:val="clear" w:pos="2948"/>
        <w:tab w:val="clear" w:pos="3515"/>
      </w:tabs>
      <w:ind w:left="1400"/>
    </w:pPr>
    <w:rPr>
      <w:sz w:val="18"/>
      <w:szCs w:val="18"/>
    </w:rPr>
  </w:style>
  <w:style w:type="paragraph" w:styleId="TOC9">
    <w:name w:val="toc 9"/>
    <w:basedOn w:val="Normal"/>
    <w:pPr>
      <w:tabs>
        <w:tab w:val="clear" w:pos="1247"/>
        <w:tab w:val="clear" w:pos="1814"/>
        <w:tab w:val="clear" w:pos="2381"/>
        <w:tab w:val="clear" w:pos="2948"/>
        <w:tab w:val="clear" w:pos="3515"/>
      </w:tabs>
      <w:ind w:left="1600"/>
    </w:pPr>
    <w:rPr>
      <w:sz w:val="18"/>
      <w:szCs w:val="18"/>
    </w:rPr>
  </w:style>
  <w:style w:type="paragraph" w:customStyle="1" w:styleId="Titlefigure">
    <w:name w:val="Title_figure"/>
    <w:pPr>
      <w:widowControl w:val="0"/>
      <w:suppressAutoHyphens/>
    </w:pPr>
    <w:rPr>
      <w:lang w:val="en-GB" w:eastAsia="ar-SA"/>
    </w:rPr>
  </w:style>
  <w:style w:type="paragraph" w:customStyle="1" w:styleId="TableofFigures1">
    <w:name w:val="Table of Figures1"/>
    <w:basedOn w:val="Normal"/>
    <w:pPr>
      <w:tabs>
        <w:tab w:val="clear" w:pos="1247"/>
        <w:tab w:val="clear" w:pos="1814"/>
        <w:tab w:val="clear" w:pos="2381"/>
        <w:tab w:val="clear" w:pos="2948"/>
        <w:tab w:val="clear" w:pos="3515"/>
      </w:tabs>
      <w:ind w:left="1814" w:hanging="567"/>
    </w:pPr>
  </w:style>
  <w:style w:type="paragraph" w:customStyle="1" w:styleId="CH1">
    <w:name w:val="CH1"/>
    <w:pPr>
      <w:keepNext/>
      <w:keepLines/>
      <w:widowControl w:val="0"/>
      <w:tabs>
        <w:tab w:val="right" w:pos="851"/>
      </w:tabs>
      <w:suppressAutoHyphens/>
      <w:spacing w:before="240" w:after="120"/>
      <w:ind w:left="1247" w:right="284" w:hanging="1247"/>
    </w:pPr>
    <w:rPr>
      <w:b/>
      <w:sz w:val="28"/>
      <w:szCs w:val="28"/>
      <w:lang w:val="en-GB" w:eastAsia="ar-SA"/>
    </w:rPr>
  </w:style>
  <w:style w:type="paragraph" w:customStyle="1" w:styleId="CH2">
    <w:name w:val="CH2"/>
    <w:pPr>
      <w:keepNext/>
      <w:keepLines/>
      <w:widowControl w:val="0"/>
      <w:tabs>
        <w:tab w:val="right" w:pos="851"/>
      </w:tabs>
      <w:suppressAutoHyphens/>
      <w:spacing w:before="80" w:after="120"/>
      <w:ind w:left="1247" w:right="284" w:hanging="1247"/>
    </w:pPr>
    <w:rPr>
      <w:b/>
      <w:sz w:val="24"/>
      <w:szCs w:val="24"/>
      <w:lang w:val="en-GB" w:eastAsia="ar-SA"/>
    </w:rPr>
  </w:style>
  <w:style w:type="paragraph" w:customStyle="1" w:styleId="CH3">
    <w:name w:val="CH3"/>
    <w:pPr>
      <w:keepNext/>
      <w:keepLines/>
      <w:widowControl w:val="0"/>
      <w:tabs>
        <w:tab w:val="right" w:pos="851"/>
      </w:tabs>
      <w:suppressAutoHyphens/>
      <w:spacing w:after="120"/>
      <w:ind w:left="1247" w:right="284" w:hanging="1247"/>
    </w:pPr>
    <w:rPr>
      <w:b/>
      <w:lang w:val="en-GB" w:eastAsia="ar-SA"/>
    </w:rPr>
  </w:style>
  <w:style w:type="paragraph" w:customStyle="1" w:styleId="CH4">
    <w:name w:val="CH4"/>
    <w:pPr>
      <w:keepNext/>
      <w:keepLines/>
      <w:widowControl w:val="0"/>
      <w:tabs>
        <w:tab w:val="right" w:pos="851"/>
      </w:tabs>
      <w:suppressAutoHyphens/>
      <w:spacing w:after="120"/>
      <w:ind w:left="1247" w:right="284" w:hanging="1247"/>
    </w:pPr>
    <w:rPr>
      <w:b/>
      <w:lang w:val="en-GB" w:eastAsia="ar-SA"/>
    </w:rPr>
  </w:style>
  <w:style w:type="paragraph" w:customStyle="1" w:styleId="CH5">
    <w:name w:val="CH5"/>
    <w:pPr>
      <w:keepNext/>
      <w:keepLines/>
      <w:widowControl w:val="0"/>
      <w:tabs>
        <w:tab w:val="right" w:pos="851"/>
      </w:tabs>
      <w:suppressAutoHyphens/>
      <w:spacing w:after="120"/>
      <w:ind w:left="1247" w:right="284" w:hanging="1247"/>
    </w:pPr>
    <w:rPr>
      <w:b/>
      <w:lang w:val="en-GB" w:eastAsia="ar-SA"/>
    </w:rPr>
  </w:style>
  <w:style w:type="paragraph" w:customStyle="1" w:styleId="Footerpool">
    <w:name w:val="Footer_pool"/>
    <w:basedOn w:val="Normal"/>
    <w:pPr>
      <w:tabs>
        <w:tab w:val="clear" w:pos="1247"/>
        <w:tab w:val="clear" w:pos="1814"/>
        <w:tab w:val="clear" w:pos="2381"/>
        <w:tab w:val="clear" w:pos="2948"/>
        <w:tab w:val="clear" w:pos="3515"/>
        <w:tab w:val="left" w:pos="4321"/>
        <w:tab w:val="right" w:pos="8641"/>
      </w:tabs>
      <w:spacing w:before="60" w:after="120"/>
    </w:pPr>
    <w:rPr>
      <w:b/>
      <w:sz w:val="18"/>
    </w:rPr>
  </w:style>
  <w:style w:type="paragraph" w:customStyle="1" w:styleId="Headerpool">
    <w:name w:val="Header_pool"/>
    <w:basedOn w:val="Normal"/>
    <w:pPr>
      <w:pBdr>
        <w:bottom w:val="single" w:sz="4" w:space="1" w:color="000000"/>
      </w:pBdr>
      <w:tabs>
        <w:tab w:val="clear" w:pos="1247"/>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pPr>
      <w:tabs>
        <w:tab w:val="left" w:pos="1247"/>
        <w:tab w:val="left" w:pos="1814"/>
        <w:tab w:val="left" w:pos="2381"/>
        <w:tab w:val="left" w:pos="2948"/>
        <w:tab w:val="left" w:pos="3515"/>
        <w:tab w:val="left" w:pos="4082"/>
      </w:tabs>
      <w:suppressAutoHyphens/>
    </w:pPr>
    <w:rPr>
      <w:lang w:val="fr-FR" w:eastAsia="ar-SA"/>
    </w:rPr>
  </w:style>
  <w:style w:type="paragraph" w:customStyle="1" w:styleId="Footer-pool">
    <w:name w:val="Footer-pool"/>
    <w:pPr>
      <w:widowControl w:val="0"/>
      <w:tabs>
        <w:tab w:val="left" w:pos="4321"/>
        <w:tab w:val="right" w:pos="8641"/>
      </w:tabs>
      <w:suppressAutoHyphens/>
      <w:spacing w:before="60" w:after="120"/>
    </w:pPr>
    <w:rPr>
      <w:b/>
      <w:sz w:val="18"/>
      <w:lang w:val="en-GB" w:eastAsia="ar-SA"/>
    </w:rPr>
  </w:style>
  <w:style w:type="paragraph" w:customStyle="1" w:styleId="Header-pool">
    <w:name w:val="Header-pool"/>
    <w:pPr>
      <w:widowControl w:val="0"/>
      <w:pBdr>
        <w:bottom w:val="single" w:sz="4" w:space="1" w:color="000000"/>
      </w:pBdr>
      <w:tabs>
        <w:tab w:val="center" w:pos="4536"/>
        <w:tab w:val="right" w:pos="9072"/>
      </w:tabs>
      <w:suppressAutoHyphens/>
      <w:spacing w:after="120"/>
    </w:pPr>
    <w:rPr>
      <w:b/>
      <w:sz w:val="18"/>
      <w:lang w:val="en-GB" w:eastAsia="ar-SA"/>
    </w:rPr>
  </w:style>
  <w:style w:type="paragraph" w:customStyle="1" w:styleId="Normal-pool">
    <w:name w:val="Normal-pool"/>
    <w:pPr>
      <w:tabs>
        <w:tab w:val="left" w:pos="1247"/>
        <w:tab w:val="left" w:pos="1814"/>
        <w:tab w:val="left" w:pos="2381"/>
        <w:tab w:val="left" w:pos="2948"/>
        <w:tab w:val="left" w:pos="3515"/>
        <w:tab w:val="left" w:pos="4082"/>
      </w:tabs>
      <w:suppressAutoHyphens/>
    </w:pPr>
    <w:rPr>
      <w:lang w:val="en-GB" w:eastAsia="ar-SA"/>
    </w:rPr>
  </w:style>
  <w:style w:type="paragraph" w:customStyle="1" w:styleId="FootnoteText1">
    <w:name w:val="Footnote Text1"/>
    <w:basedOn w:val="Normalpool"/>
    <w:pPr>
      <w:spacing w:before="20" w:after="40"/>
      <w:ind w:left="1247"/>
    </w:pPr>
    <w:rPr>
      <w:sz w:val="18"/>
    </w:rPr>
  </w:style>
  <w:style w:type="paragraph" w:customStyle="1" w:styleId="CommentText1">
    <w:name w:val="Comment Text1"/>
    <w:basedOn w:val="Normal"/>
  </w:style>
  <w:style w:type="paragraph" w:customStyle="1" w:styleId="CommentSubject1">
    <w:name w:val="Comment Subject1"/>
    <w:basedOn w:val="CommentText1"/>
    <w:rPr>
      <w:b/>
      <w:bCs/>
    </w:rPr>
  </w:style>
  <w:style w:type="paragraph" w:styleId="BalloonText">
    <w:name w:val="Balloon Text"/>
    <w:basedOn w:val="Normal"/>
    <w:rPr>
      <w:rFonts w:ascii="Tahoma" w:hAnsi="Tahoma" w:cs="Tahoma"/>
      <w:sz w:val="16"/>
      <w:szCs w:val="16"/>
    </w:rPr>
  </w:style>
  <w:style w:type="paragraph" w:styleId="ListParagraph">
    <w:name w:val="List Paragraph"/>
    <w:basedOn w:val="Normal"/>
    <w:qFormat/>
    <w:pPr>
      <w:ind w:left="720"/>
    </w:pPr>
  </w:style>
  <w:style w:type="paragraph" w:customStyle="1" w:styleId="AATitle">
    <w:name w:val="AA_Title"/>
    <w:basedOn w:val="Normalpool"/>
    <w:pPr>
      <w:keepNext/>
      <w:keepLines/>
      <w:ind w:right="5103"/>
    </w:pPr>
    <w:rPr>
      <w:b/>
      <w:lang w:val="en-GB"/>
    </w:rPr>
  </w:style>
  <w:style w:type="paragraph" w:customStyle="1" w:styleId="AATitle2">
    <w:name w:val="AA_Title2"/>
    <w:basedOn w:val="AATitle"/>
    <w:pPr>
      <w:tabs>
        <w:tab w:val="clear" w:pos="1247"/>
        <w:tab w:val="clear" w:pos="1814"/>
        <w:tab w:val="clear" w:pos="2381"/>
        <w:tab w:val="clear" w:pos="2948"/>
        <w:tab w:val="clear" w:pos="3515"/>
        <w:tab w:val="clear" w:pos="4082"/>
      </w:tabs>
      <w:spacing w:before="120" w:after="120"/>
      <w:ind w:right="4536"/>
    </w:pPr>
  </w:style>
  <w:style w:type="paragraph" w:customStyle="1" w:styleId="BBTitle">
    <w:name w:val="BB_Title"/>
    <w:basedOn w:val="Normalpool"/>
    <w:pPr>
      <w:keepNext/>
      <w:keepLines/>
      <w:spacing w:before="320" w:after="240"/>
      <w:ind w:left="1247" w:right="567"/>
    </w:pPr>
    <w:rPr>
      <w:b/>
      <w:sz w:val="28"/>
      <w:szCs w:val="28"/>
      <w:lang w:val="en-GB"/>
    </w:rPr>
  </w:style>
  <w:style w:type="paragraph" w:styleId="Footer">
    <w:name w:val="footer"/>
    <w:basedOn w:val="Normal"/>
    <w:link w:val="FooterChar"/>
    <w:uiPriority w:val="99"/>
    <w:pPr>
      <w:suppressLineNumbers/>
      <w:tabs>
        <w:tab w:val="clear" w:pos="1247"/>
        <w:tab w:val="clear" w:pos="1814"/>
        <w:tab w:val="clear" w:pos="2381"/>
        <w:tab w:val="clear" w:pos="2948"/>
        <w:tab w:val="clear" w:pos="3515"/>
        <w:tab w:val="center" w:pos="4320"/>
        <w:tab w:val="right" w:pos="8640"/>
      </w:tabs>
      <w:spacing w:before="60" w:after="120"/>
    </w:pPr>
    <w:rPr>
      <w:sz w:val="18"/>
    </w:rPr>
  </w:style>
  <w:style w:type="paragraph" w:styleId="Header">
    <w:name w:val="header"/>
    <w:basedOn w:val="Normal"/>
    <w:pPr>
      <w:suppressLineNumbers/>
      <w:pBdr>
        <w:bottom w:val="single" w:sz="4" w:space="1" w:color="000000"/>
      </w:pBdr>
      <w:tabs>
        <w:tab w:val="clear" w:pos="1247"/>
        <w:tab w:val="clear" w:pos="1814"/>
        <w:tab w:val="clear" w:pos="2381"/>
        <w:tab w:val="clear" w:pos="2948"/>
        <w:tab w:val="clear" w:pos="3515"/>
        <w:tab w:val="center" w:pos="4536"/>
        <w:tab w:val="right" w:pos="9072"/>
      </w:tabs>
      <w:spacing w:after="120"/>
    </w:pPr>
    <w:rPr>
      <w:b/>
      <w:sz w:val="18"/>
    </w:rPr>
  </w:style>
  <w:style w:type="paragraph" w:customStyle="1" w:styleId="NormalNonumber">
    <w:name w:val="Normal_No_number"/>
    <w:basedOn w:val="Normalpool"/>
    <w:pPr>
      <w:spacing w:after="120"/>
      <w:ind w:left="1247"/>
    </w:pPr>
    <w:rPr>
      <w:lang w:val="en-GB"/>
    </w:rPr>
  </w:style>
  <w:style w:type="paragraph" w:customStyle="1" w:styleId="Normalnumber">
    <w:name w:val="Normal_number"/>
    <w:basedOn w:val="Normalpool"/>
    <w:pPr>
      <w:tabs>
        <w:tab w:val="num" w:pos="1134"/>
      </w:tabs>
      <w:spacing w:after="120"/>
      <w:ind w:left="1247"/>
    </w:pPr>
    <w:rPr>
      <w:lang w:val="en-GB"/>
    </w:rPr>
  </w:style>
  <w:style w:type="paragraph" w:customStyle="1" w:styleId="Titletable">
    <w:name w:val="Title_table"/>
    <w:basedOn w:val="Normalpool"/>
    <w:pPr>
      <w:keepNext/>
      <w:keepLines/>
      <w:spacing w:after="60"/>
      <w:ind w:left="1247"/>
    </w:pPr>
    <w:rPr>
      <w:b/>
      <w:bCs/>
      <w:lang w:val="en-GB"/>
    </w:rPr>
  </w:style>
  <w:style w:type="paragraph" w:styleId="TOC1">
    <w:name w:val="toc 1"/>
    <w:basedOn w:val="Normalpool"/>
    <w:pPr>
      <w:tabs>
        <w:tab w:val="clear" w:pos="1247"/>
        <w:tab w:val="clear" w:pos="1814"/>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pPr>
      <w:tabs>
        <w:tab w:val="clear" w:pos="1247"/>
        <w:tab w:val="clear" w:pos="1814"/>
        <w:tab w:val="clear" w:pos="2381"/>
        <w:tab w:val="clear" w:pos="2948"/>
        <w:tab w:val="clear" w:pos="3515"/>
        <w:tab w:val="clear" w:pos="4082"/>
        <w:tab w:val="right" w:leader="dot" w:pos="9486"/>
      </w:tabs>
      <w:ind w:left="2381" w:hanging="567"/>
    </w:pPr>
  </w:style>
  <w:style w:type="paragraph" w:styleId="TOC3">
    <w:name w:val="toc 3"/>
    <w:basedOn w:val="Normalpool"/>
    <w:pPr>
      <w:tabs>
        <w:tab w:val="clear" w:pos="1247"/>
        <w:tab w:val="clear" w:pos="1814"/>
        <w:tab w:val="clear" w:pos="2381"/>
        <w:tab w:val="clear" w:pos="2948"/>
        <w:tab w:val="clear" w:pos="3515"/>
        <w:tab w:val="clear" w:pos="4082"/>
        <w:tab w:val="right" w:leader="dot" w:pos="9486"/>
      </w:tabs>
      <w:ind w:left="2948" w:hanging="567"/>
    </w:pPr>
    <w:rPr>
      <w:iCs/>
    </w:rPr>
  </w:style>
  <w:style w:type="paragraph" w:styleId="TOC4">
    <w:name w:val="toc 4"/>
    <w:basedOn w:val="Normalpool"/>
    <w:pPr>
      <w:tabs>
        <w:tab w:val="clear" w:pos="1247"/>
        <w:tab w:val="clear" w:pos="1814"/>
        <w:tab w:val="clear" w:pos="2381"/>
        <w:tab w:val="clear" w:pos="2948"/>
        <w:tab w:val="clear" w:pos="3515"/>
        <w:tab w:val="clear" w:pos="4082"/>
        <w:tab w:val="left" w:pos="1000"/>
        <w:tab w:val="right" w:leader="dot" w:pos="9486"/>
      </w:tabs>
      <w:ind w:left="3515" w:hanging="567"/>
    </w:pPr>
    <w:rPr>
      <w:szCs w:val="18"/>
    </w:rPr>
  </w:style>
  <w:style w:type="paragraph" w:styleId="TOC5">
    <w:name w:val="toc 5"/>
    <w:basedOn w:val="Normal"/>
    <w:pPr>
      <w:tabs>
        <w:tab w:val="clear" w:pos="1247"/>
        <w:tab w:val="clear" w:pos="1814"/>
        <w:tab w:val="clear" w:pos="2381"/>
        <w:tab w:val="clear" w:pos="2948"/>
        <w:tab w:val="clear" w:pos="3515"/>
      </w:tabs>
      <w:ind w:left="800"/>
    </w:pPr>
    <w:rPr>
      <w:sz w:val="18"/>
      <w:szCs w:val="18"/>
    </w:rPr>
  </w:style>
  <w:style w:type="paragraph" w:customStyle="1" w:styleId="ZZAnxheader">
    <w:name w:val="ZZ_Anx_header"/>
    <w:basedOn w:val="Normalpool"/>
    <w:rPr>
      <w:b/>
      <w:bCs/>
      <w:sz w:val="28"/>
      <w:szCs w:val="22"/>
      <w:lang w:val="en-GB"/>
    </w:rPr>
  </w:style>
  <w:style w:type="paragraph" w:customStyle="1" w:styleId="ZZAnxtitle">
    <w:name w:val="ZZ_Anx_title"/>
    <w:basedOn w:val="Normalpool"/>
    <w:pPr>
      <w:spacing w:before="360" w:after="120"/>
      <w:ind w:left="1247"/>
    </w:pPr>
    <w:rPr>
      <w:b/>
      <w:bCs/>
      <w:sz w:val="28"/>
      <w:szCs w:val="26"/>
      <w:lang w:val="en-GB"/>
    </w:rPr>
  </w:style>
  <w:style w:type="paragraph" w:styleId="Revision">
    <w:name w:val="Revision"/>
    <w:pPr>
      <w:suppressAutoHyphens/>
    </w:pPr>
    <w:rPr>
      <w:lang w:val="en-GB" w:eastAsia="ar-SA"/>
    </w:rPr>
  </w:style>
  <w:style w:type="paragraph" w:styleId="FootnoteText">
    <w:name w:val="footnote text"/>
    <w:basedOn w:val="Normal"/>
    <w:pPr>
      <w:suppressLineNumbers/>
      <w:ind w:left="283" w:hanging="283"/>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styleId="CommentReference">
    <w:name w:val="annotation reference"/>
    <w:uiPriority w:val="99"/>
    <w:semiHidden/>
    <w:unhideWhenUsed/>
    <w:rsid w:val="008C7DC6"/>
    <w:rPr>
      <w:sz w:val="16"/>
      <w:szCs w:val="16"/>
    </w:rPr>
  </w:style>
  <w:style w:type="paragraph" w:styleId="CommentText">
    <w:name w:val="annotation text"/>
    <w:basedOn w:val="Normal"/>
    <w:link w:val="CommentTextChar1"/>
    <w:uiPriority w:val="99"/>
    <w:semiHidden/>
    <w:unhideWhenUsed/>
    <w:rsid w:val="008C7DC6"/>
  </w:style>
  <w:style w:type="character" w:customStyle="1" w:styleId="CommentTextChar1">
    <w:name w:val="Comment Text Char1"/>
    <w:link w:val="CommentText"/>
    <w:uiPriority w:val="99"/>
    <w:semiHidden/>
    <w:rsid w:val="008C7DC6"/>
    <w:rPr>
      <w:kern w:val="1"/>
      <w:lang w:val="en-GB" w:eastAsia="ar-SA"/>
    </w:rPr>
  </w:style>
  <w:style w:type="paragraph" w:styleId="CommentSubject">
    <w:name w:val="annotation subject"/>
    <w:basedOn w:val="CommentText"/>
    <w:next w:val="CommentText"/>
    <w:link w:val="CommentSubjectChar1"/>
    <w:uiPriority w:val="99"/>
    <w:semiHidden/>
    <w:unhideWhenUsed/>
    <w:rsid w:val="008C7DC6"/>
    <w:rPr>
      <w:b/>
      <w:bCs/>
    </w:rPr>
  </w:style>
  <w:style w:type="character" w:customStyle="1" w:styleId="CommentSubjectChar1">
    <w:name w:val="Comment Subject Char1"/>
    <w:link w:val="CommentSubject"/>
    <w:uiPriority w:val="99"/>
    <w:semiHidden/>
    <w:rsid w:val="008C7DC6"/>
    <w:rPr>
      <w:b/>
      <w:bCs/>
      <w:kern w:val="1"/>
      <w:lang w:val="en-GB" w:eastAsia="ar-SA"/>
    </w:rPr>
  </w:style>
  <w:style w:type="character" w:customStyle="1" w:styleId="FooterChar">
    <w:name w:val="Footer Char"/>
    <w:link w:val="Footer"/>
    <w:uiPriority w:val="99"/>
    <w:rsid w:val="00F746FB"/>
    <w:rPr>
      <w:kern w:val="1"/>
      <w:sz w:val="1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9D10F-5C72-497E-8144-FF2776DE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690</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Scholastica Matheka</dc:creator>
  <cp:keywords/>
  <cp:lastModifiedBy>Silvia Serrano</cp:lastModifiedBy>
  <cp:revision>2</cp:revision>
  <cp:lastPrinted>1899-12-31T21:00:00Z</cp:lastPrinted>
  <dcterms:created xsi:type="dcterms:W3CDTF">2019-09-06T06:26:00Z</dcterms:created>
  <dcterms:modified xsi:type="dcterms:W3CDTF">2019-09-06T06:26:00Z</dcterms:modified>
</cp:coreProperties>
</file>