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proofErr w:type="spellStart"/>
            <w:r>
              <w:rPr>
                <w:rFonts w:ascii="Arial" w:hAnsi="Arial"/>
                <w:b/>
                <w:sz w:val="64"/>
                <w:szCs w:val="64"/>
              </w:rPr>
              <w:t>MC</w:t>
            </w:r>
            <w:proofErr w:type="spellEnd"/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0A7090AF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244EC7">
              <w:rPr>
                <w:lang w:val="en-GB"/>
              </w:rPr>
              <w:t>12</w:t>
            </w:r>
          </w:p>
        </w:tc>
      </w:tr>
      <w:tr w:rsidR="00032E4E" w:rsidRPr="002C5FD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2DF36BD" w:rsidR="00032E4E" w:rsidRPr="00620245" w:rsidRDefault="00244EC7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15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July</w:t>
            </w:r>
            <w:r w:rsidR="00032E4E" w:rsidRPr="00826AF3">
              <w:rPr>
                <w:lang w:val="en-GB"/>
              </w:rPr>
              <w:t xml:space="preserve"> 201</w:t>
            </w:r>
            <w:r w:rsidR="006C310F"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FF286D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FF286D">
        <w:rPr>
          <w:b/>
        </w:rPr>
        <w:t xml:space="preserve">Конференция Сторон </w:t>
      </w:r>
      <w:proofErr w:type="spellStart"/>
      <w:r w:rsidR="002F42D1" w:rsidRPr="00FF286D">
        <w:rPr>
          <w:b/>
        </w:rPr>
        <w:t>Минаматск</w:t>
      </w:r>
      <w:r w:rsidRPr="00FF286D">
        <w:rPr>
          <w:b/>
        </w:rPr>
        <w:t>ой</w:t>
      </w:r>
      <w:proofErr w:type="spellEnd"/>
      <w:r w:rsidR="002F42D1" w:rsidRPr="00FF286D">
        <w:rPr>
          <w:b/>
        </w:rPr>
        <w:t xml:space="preserve"> конвенц</w:t>
      </w:r>
      <w:r w:rsidR="00A54CB9" w:rsidRPr="00FF286D">
        <w:rPr>
          <w:b/>
        </w:rPr>
        <w:t>и</w:t>
      </w:r>
      <w:r w:rsidRPr="00FF286D">
        <w:rPr>
          <w:b/>
        </w:rPr>
        <w:t>и</w:t>
      </w:r>
      <w:r w:rsidR="002F42D1" w:rsidRPr="00FF286D">
        <w:rPr>
          <w:b/>
        </w:rPr>
        <w:t xml:space="preserve"> о ртути</w:t>
      </w:r>
    </w:p>
    <w:p w14:paraId="17BE80BB" w14:textId="396A441D" w:rsidR="00E976AB" w:rsidRPr="00FF286D" w:rsidRDefault="00A44FD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FF286D">
        <w:rPr>
          <w:b/>
        </w:rPr>
        <w:t>Третье</w:t>
      </w:r>
      <w:r w:rsidR="00787688" w:rsidRPr="00FF286D">
        <w:rPr>
          <w:b/>
        </w:rPr>
        <w:t xml:space="preserve"> совещание</w:t>
      </w:r>
    </w:p>
    <w:p w14:paraId="025D4C98" w14:textId="7DFFDF00" w:rsidR="00E976AB" w:rsidRPr="00FF286D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FF286D">
        <w:t>Женева, 2</w:t>
      </w:r>
      <w:r w:rsidR="006C310F" w:rsidRPr="00FF286D">
        <w:t>5-29</w:t>
      </w:r>
      <w:r w:rsidRPr="00FF286D">
        <w:t xml:space="preserve"> </w:t>
      </w:r>
      <w:r w:rsidR="00826AF3" w:rsidRPr="00FF286D">
        <w:t>ноября</w:t>
      </w:r>
      <w:r w:rsidRPr="00FF286D">
        <w:t xml:space="preserve"> 201</w:t>
      </w:r>
      <w:r w:rsidR="006C310F" w:rsidRPr="00FF286D">
        <w:t>9</w:t>
      </w:r>
      <w:r w:rsidRPr="00FF286D">
        <w:t xml:space="preserve"> года</w:t>
      </w:r>
    </w:p>
    <w:p w14:paraId="1D9EA475" w14:textId="4180B57C" w:rsidR="00620245" w:rsidRPr="00FF286D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FF286D">
        <w:t xml:space="preserve">Пункт </w:t>
      </w:r>
      <w:r w:rsidR="00FC5A6C" w:rsidRPr="00FF286D">
        <w:t>5 f)</w:t>
      </w:r>
      <w:r w:rsidRPr="00FF286D">
        <w:t xml:space="preserve"> предварительной повестки дня</w:t>
      </w:r>
      <w:r w:rsidRPr="00FF286D">
        <w:footnoteReference w:customMarkFollows="1" w:id="1"/>
        <w:sym w:font="Symbol" w:char="F02A"/>
      </w:r>
    </w:p>
    <w:p w14:paraId="6A17D167" w14:textId="520AD0D2" w:rsidR="00620245" w:rsidRPr="00FF286D" w:rsidRDefault="00EF55FA" w:rsidP="00337D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FF286D">
        <w:rPr>
          <w:b/>
        </w:rPr>
        <w:t>Вопросы для рассмотрения или принятия мер Конференцией Сторон: создание потенциала, техническое содействие и передача технологии</w:t>
      </w:r>
    </w:p>
    <w:p w14:paraId="6A80B763" w14:textId="77777777" w:rsidR="00EF55FA" w:rsidRPr="00FF286D" w:rsidRDefault="00EF55FA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  <w:r w:rsidRPr="00FF286D">
        <w:rPr>
          <w:b/>
          <w:bCs/>
          <w:sz w:val="28"/>
          <w:szCs w:val="28"/>
        </w:rPr>
        <w:t>Информация, получаемая от существующих региональных, субрегиональных и национальных механизмов об их деятельности по созданию потенциала и предоставлению технической помощи в целях оказания содействия Сторонам в выполнении их обязательств в рамках Минаматской конвенции</w:t>
      </w:r>
    </w:p>
    <w:p w14:paraId="67083870" w14:textId="470FD9A4" w:rsidR="00EF55FA" w:rsidRPr="00FF286D" w:rsidRDefault="00EF55FA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FF286D">
        <w:rPr>
          <w:b/>
          <w:bCs/>
          <w:sz w:val="24"/>
          <w:szCs w:val="24"/>
        </w:rPr>
        <w:t>Записка секретариата</w:t>
      </w:r>
    </w:p>
    <w:p w14:paraId="416A1AF9" w14:textId="32B06EEA" w:rsidR="00EF55FA" w:rsidRPr="00FF286D" w:rsidRDefault="0086629B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F286D">
        <w:t>1.</w:t>
      </w:r>
      <w:r w:rsidRPr="00FF286D">
        <w:tab/>
      </w:r>
      <w:r w:rsidR="00EF55FA" w:rsidRPr="00FF286D">
        <w:t>На своем втором совещании Конференция Сторон Минаматской конвенции о ртути приняла решение МК-2/11, озаглавленное «Статья 14: Создание потенциала, техническое содействие и передача технологии», где она сослалась на решение МК-1/21, в котором было признано, что некоторые из существующих региональных и субрегиональных центров уже разрабатывают проекты и мероприятия по вопросам, касающимся ртути. В решении МК-2/11 Конференция Сторон поручила секретариату Минаматской конвенции собирать информацию, получаемую от существующих региональных, субрегиональных и национальных механизмов</w:t>
      </w:r>
      <w:r w:rsidR="002C5FD9">
        <w:t>,</w:t>
      </w:r>
      <w:r w:rsidR="00EF55FA" w:rsidRPr="00FF286D">
        <w:t xml:space="preserve"> об их деятельности по созданию потенциала и предоставлению технической помощи в целях оказания содействия Сторонам в выполнении их обязательств в рамках Минаматской конвенции. Она также поручила секретариату представить доклад по этому вопросу Конференции Сторон на ее третьем совещании и подчеркнула актуальность использования, в надлежащих случаях, региональных, субрегиональных и национальных механизмов, включая существующие региональные и субрегиональные центры, при осуществлении деятельности по созданию потенциала и оказанию техниче</w:t>
      </w:r>
      <w:bookmarkStart w:id="2" w:name="_GoBack"/>
      <w:bookmarkEnd w:id="2"/>
      <w:r w:rsidR="00EF55FA" w:rsidRPr="00FF286D">
        <w:t>ской помощи в соответствии со статьей 14 Конвенции.</w:t>
      </w:r>
      <w:bookmarkStart w:id="3" w:name="_Hlk530301547"/>
      <w:bookmarkStart w:id="4" w:name="_Toc495572439"/>
      <w:bookmarkEnd w:id="3"/>
      <w:bookmarkEnd w:id="4"/>
    </w:p>
    <w:p w14:paraId="1E9986B8" w14:textId="33CA8949" w:rsidR="00EF55FA" w:rsidRPr="00FF286D" w:rsidRDefault="0086629B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F286D">
        <w:t>2.</w:t>
      </w:r>
      <w:r w:rsidRPr="00FF286D">
        <w:tab/>
      </w:r>
      <w:r w:rsidR="00EF55FA" w:rsidRPr="00FF286D">
        <w:t>Секретариат запросил у Сторон и других заинтересованных субъектов информацию, имеющую отношение к решению МК-2/11, посредством письма, направленного Исполнительным секретарем 3 декабря 2018 года всем участникам второго совещания Конференции Сторон, а также национальным координационным центрам по Конвенции, постоянным представительствам при Программе Организации Объединенных Наций по окружающей среде и постоянным представительствам при Организации Объединенных Наций в Женеве.</w:t>
      </w:r>
    </w:p>
    <w:p w14:paraId="02D20688" w14:textId="07AA53CD" w:rsidR="00EF55FA" w:rsidRPr="00FF286D" w:rsidRDefault="0086629B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F286D">
        <w:lastRenderedPageBreak/>
        <w:t>3.</w:t>
      </w:r>
      <w:r w:rsidRPr="00FF286D">
        <w:tab/>
      </w:r>
      <w:r w:rsidR="00EF55FA" w:rsidRPr="00FF286D">
        <w:t xml:space="preserve">В ответ на призыв о представлении материалов были получены два сообщения. Первое сообщение поступило от Председателя Руководящего комитета Межправительственной сети по химическим веществам и отходам для Латинской Америки и Карибского бассейна, а второе – от правительства Японии. Эта информация была скомпилирована в документе </w:t>
      </w:r>
      <w:proofErr w:type="spellStart"/>
      <w:r w:rsidR="00EF55FA" w:rsidRPr="00FF286D">
        <w:t>UNEP</w:t>
      </w:r>
      <w:proofErr w:type="spellEnd"/>
      <w:r w:rsidR="00EF55FA" w:rsidRPr="00FF286D">
        <w:t>/</w:t>
      </w:r>
      <w:proofErr w:type="spellStart"/>
      <w:r w:rsidR="00EF55FA" w:rsidRPr="00FF286D">
        <w:t>MC</w:t>
      </w:r>
      <w:proofErr w:type="spellEnd"/>
      <w:r w:rsidR="00EF55FA" w:rsidRPr="00FF286D">
        <w:t>/</w:t>
      </w:r>
      <w:proofErr w:type="spellStart"/>
      <w:r w:rsidR="00EF55FA" w:rsidRPr="00FF286D">
        <w:t>COP.3</w:t>
      </w:r>
      <w:proofErr w:type="spellEnd"/>
      <w:r w:rsidR="00EF55FA" w:rsidRPr="00FF286D">
        <w:t>/</w:t>
      </w:r>
      <w:proofErr w:type="spellStart"/>
      <w:r w:rsidR="00EF55FA" w:rsidRPr="00FF286D">
        <w:t>INF</w:t>
      </w:r>
      <w:proofErr w:type="spellEnd"/>
      <w:r w:rsidR="00EF55FA" w:rsidRPr="00FF286D">
        <w:t>/14, а также размещена на веб-сайте Минаматской конвенции по адресу: www.mercuryconvention.org/Meetings/Intersessionalwork/tabid/7857/language/en-US/Default.aspx.</w:t>
      </w:r>
    </w:p>
    <w:p w14:paraId="4E514009" w14:textId="7DDC617D" w:rsidR="00EF55FA" w:rsidRPr="00FF286D" w:rsidRDefault="0086629B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F286D">
        <w:t>4.</w:t>
      </w:r>
      <w:r w:rsidRPr="00FF286D">
        <w:tab/>
      </w:r>
      <w:r w:rsidR="00EF55FA" w:rsidRPr="00FF286D">
        <w:t>В первом сообщении описывается региональный механизм Межправительственной сети по химическим веществам и отходам для Латинской Америки и Карибского бассейна и излагаются мероприятия, проведенные в 2017 и 2018 годах, включая принятие Плана действий по региональному сотрудничеству в области химических веществ и отходов на 2019-2020 годы для Латинской Америки и Карибского бассейна. Во втором сообщении представлена инициатива Японии в поддержку усилий развивающихся стран в области регулирования ртути. Это сообщение также содержит приложение, состоящее из обзора и доклада «Материальный поток ртути в Японии (2014 финансовый год)», основанных на важности материальных потоков ртути в качестве базового уровня в рамках усилий по содействию регулированию ртути.</w:t>
      </w:r>
    </w:p>
    <w:p w14:paraId="1E126EB1" w14:textId="07FB4378" w:rsidR="00EF55FA" w:rsidRPr="00FF286D" w:rsidRDefault="00EF55FA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FF286D">
        <w:rPr>
          <w:b/>
          <w:bCs/>
          <w:sz w:val="24"/>
          <w:szCs w:val="24"/>
        </w:rPr>
        <w:t>Предлагаемые меры для принятия Конференцией Сторон</w:t>
      </w:r>
    </w:p>
    <w:p w14:paraId="442D497A" w14:textId="3C88741A" w:rsidR="00EF55FA" w:rsidRPr="00FF286D" w:rsidRDefault="0086629B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F286D">
        <w:t>5.</w:t>
      </w:r>
      <w:r w:rsidRPr="00FF286D">
        <w:tab/>
      </w:r>
      <w:r w:rsidR="00EF55FA" w:rsidRPr="00FF286D">
        <w:t>Конференция Сторон, возможно, пожелает рассмотреть информацию, содержащуюся в полученных сообщениях, и обратить внимание Сторон и соответствующих заинтересованных субъектов, особенно предоставляющих услуги по созданию потенциала и оказанию технической помощи в соответствии со статьей 14, на указанные в сообщениях мероприятия, инициативы и доклады, а также на освещенные в них потребности и проблемы. Конференция Сторон, возможно, пожелает также продолжить рассмотрение этого вопроса на своих последующих совещаниях с учетом любой дополнительной информации, представленной Сторонами в соответствии со статьей 21 или представленной другими заинтересованными субъектами.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F55FA" w:rsidRPr="00FF286D" w14:paraId="76552EC9" w14:textId="77777777" w:rsidTr="00EF55FA">
        <w:tc>
          <w:tcPr>
            <w:tcW w:w="1942" w:type="dxa"/>
            <w:shd w:val="clear" w:color="auto" w:fill="auto"/>
          </w:tcPr>
          <w:p w14:paraId="0265DB9F" w14:textId="77777777" w:rsidR="00EF55FA" w:rsidRPr="00FF286D" w:rsidRDefault="00EF55FA" w:rsidP="00E144B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2" w:type="dxa"/>
            <w:shd w:val="clear" w:color="auto" w:fill="auto"/>
          </w:tcPr>
          <w:p w14:paraId="18A7180A" w14:textId="77777777" w:rsidR="00EF55FA" w:rsidRPr="00FF286D" w:rsidRDefault="00EF55FA" w:rsidP="00E144B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5D51F0BB" w14:textId="77777777" w:rsidR="00EF55FA" w:rsidRPr="00FF286D" w:rsidRDefault="00EF55FA" w:rsidP="00EF55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/>
            </w:pPr>
          </w:p>
        </w:tc>
        <w:tc>
          <w:tcPr>
            <w:tcW w:w="1943" w:type="dxa"/>
            <w:shd w:val="clear" w:color="auto" w:fill="auto"/>
          </w:tcPr>
          <w:p w14:paraId="2B8D1026" w14:textId="77777777" w:rsidR="00EF55FA" w:rsidRPr="00FF286D" w:rsidRDefault="00EF55FA" w:rsidP="00E144B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43" w:type="dxa"/>
            <w:shd w:val="clear" w:color="auto" w:fill="auto"/>
          </w:tcPr>
          <w:p w14:paraId="5DB14FF4" w14:textId="77777777" w:rsidR="00EF55FA" w:rsidRPr="00FF286D" w:rsidRDefault="00EF55FA" w:rsidP="00E144B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</w:tbl>
    <w:p w14:paraId="3CF0CB7B" w14:textId="77777777" w:rsidR="00EF55FA" w:rsidRPr="00FF286D" w:rsidRDefault="00EF55FA" w:rsidP="00EF55F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sectPr w:rsidR="00EF55FA" w:rsidRPr="00FF286D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B6572" w14:textId="77777777" w:rsidR="00684AB4" w:rsidRDefault="00684AB4">
      <w:r>
        <w:separator/>
      </w:r>
    </w:p>
  </w:endnote>
  <w:endnote w:type="continuationSeparator" w:id="0">
    <w:p w14:paraId="1DC669CD" w14:textId="77777777" w:rsidR="00684AB4" w:rsidRDefault="0068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67BD8D04" w:rsidR="00C870D8" w:rsidRPr="00620245" w:rsidRDefault="00CD11DF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</w:t>
    </w:r>
    <w:r w:rsidR="003C3795">
      <w:rPr>
        <w:sz w:val="20"/>
        <w:lang w:val="en-GB"/>
      </w:rPr>
      <w:t>9</w:t>
    </w:r>
    <w:r>
      <w:rPr>
        <w:sz w:val="20"/>
        <w:lang w:val="en-GB"/>
      </w:rPr>
      <w:t>0</w:t>
    </w:r>
    <w:r w:rsidR="00FC5A6C">
      <w:rPr>
        <w:sz w:val="20"/>
        <w:lang w:val="en-GB"/>
      </w:rPr>
      <w:t>306</w:t>
    </w:r>
    <w:r w:rsidR="003C3795">
      <w:rPr>
        <w:sz w:val="20"/>
        <w:lang w:val="en-GB"/>
      </w:rPr>
      <w:t>9</w:t>
    </w:r>
    <w:proofErr w:type="spellEnd"/>
    <w:r w:rsidR="00FA3168">
      <w:rPr>
        <w:sz w:val="20"/>
        <w:lang w:val="en-US"/>
      </w:rPr>
      <w:t xml:space="preserve">      </w:t>
    </w:r>
    <w:r w:rsidR="002C5FD9">
      <w:rPr>
        <w:sz w:val="20"/>
        <w:lang w:val="en-US"/>
      </w:rPr>
      <w:t>06</w:t>
    </w:r>
    <w:r w:rsidR="00620245">
      <w:rPr>
        <w:sz w:val="20"/>
        <w:lang w:val="en-US"/>
      </w:rPr>
      <w:t>0</w:t>
    </w:r>
    <w:r w:rsidR="00FC5A6C">
      <w:rPr>
        <w:sz w:val="20"/>
        <w:lang w:val="en-US"/>
      </w:rPr>
      <w:t>9</w:t>
    </w:r>
    <w:r w:rsidR="00C870D8" w:rsidRPr="00C4766A">
      <w:rPr>
        <w:sz w:val="20"/>
      </w:rPr>
      <w:t>1</w:t>
    </w:r>
    <w:r w:rsidR="003C3795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0A864" w14:textId="77777777" w:rsidR="00684AB4" w:rsidRDefault="00684AB4" w:rsidP="00851756">
      <w:pPr>
        <w:spacing w:before="60"/>
        <w:ind w:left="624"/>
      </w:pPr>
      <w:r>
        <w:separator/>
      </w:r>
    </w:p>
  </w:footnote>
  <w:footnote w:type="continuationSeparator" w:id="0">
    <w:p w14:paraId="0F1553EB" w14:textId="77777777" w:rsidR="00684AB4" w:rsidRDefault="00684AB4">
      <w:r>
        <w:continuationSeparator/>
      </w:r>
    </w:p>
  </w:footnote>
  <w:footnote w:id="1">
    <w:p w14:paraId="6E78A238" w14:textId="072E526C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proofErr w:type="spellStart"/>
      <w:r>
        <w:rPr>
          <w:szCs w:val="18"/>
        </w:rPr>
        <w:t>UNEP</w:t>
      </w:r>
      <w:proofErr w:type="spellEnd"/>
      <w:r>
        <w:rPr>
          <w:szCs w:val="18"/>
        </w:rPr>
        <w:t>/</w:t>
      </w:r>
      <w:r>
        <w:rPr>
          <w:szCs w:val="18"/>
          <w:lang w:val="en-GB"/>
        </w:rPr>
        <w:t>MC/</w:t>
      </w:r>
      <w:proofErr w:type="spellStart"/>
      <w:r>
        <w:rPr>
          <w:szCs w:val="18"/>
          <w:lang w:val="en-GB"/>
        </w:rPr>
        <w:t>COP.</w:t>
      </w:r>
      <w:r w:rsidR="003C3795">
        <w:rPr>
          <w:szCs w:val="18"/>
          <w:lang w:val="en-GB"/>
        </w:rPr>
        <w:t>3</w:t>
      </w:r>
      <w:proofErr w:type="spellEnd"/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00539648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</w:t>
    </w:r>
    <w:r w:rsidR="003C3795">
      <w:rPr>
        <w:lang w:val="en-US"/>
      </w:rPr>
      <w:t>3</w:t>
    </w:r>
    <w:proofErr w:type="spellEnd"/>
    <w:r w:rsidR="003C3795">
      <w:rPr>
        <w:lang w:val="en-US"/>
      </w:rPr>
      <w:t>/1</w:t>
    </w:r>
    <w:r w:rsidR="00FC5A6C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78934C0E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</w:t>
    </w:r>
    <w:r w:rsidR="003C3795">
      <w:rPr>
        <w:lang w:val="en-US"/>
      </w:rPr>
      <w:t>3</w:t>
    </w:r>
    <w:proofErr w:type="spellEnd"/>
    <w:r w:rsidR="003C3795">
      <w:rPr>
        <w:lang w:val="en-US"/>
      </w:rPr>
      <w:t>/</w:t>
    </w:r>
    <w:r w:rsidR="00FC5A6C">
      <w:rPr>
        <w:lang w:val="en-US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26B81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4EC7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C5FD9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3795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AB4"/>
    <w:rsid w:val="00684BE1"/>
    <w:rsid w:val="00692E2A"/>
    <w:rsid w:val="006A76F2"/>
    <w:rsid w:val="006A7DE0"/>
    <w:rsid w:val="006B6333"/>
    <w:rsid w:val="006C310F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629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4FD5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5FA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5A6C"/>
    <w:rsid w:val="00FC6DA0"/>
    <w:rsid w:val="00FC7C9C"/>
    <w:rsid w:val="00FD48DF"/>
    <w:rsid w:val="00FD5860"/>
    <w:rsid w:val="00FE352D"/>
    <w:rsid w:val="00FE40EB"/>
    <w:rsid w:val="00FE4D02"/>
    <w:rsid w:val="00FE7D62"/>
    <w:rsid w:val="00FF08D3"/>
    <w:rsid w:val="00FF286D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05AE-CAAF-4A0D-89D3-03E4767E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3873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Sikalova</cp:lastModifiedBy>
  <cp:revision>2</cp:revision>
  <cp:lastPrinted>2017-05-08T09:42:00Z</cp:lastPrinted>
  <dcterms:created xsi:type="dcterms:W3CDTF">2019-09-06T07:48:00Z</dcterms:created>
  <dcterms:modified xsi:type="dcterms:W3CDTF">2019-09-06T07:48:00Z</dcterms:modified>
</cp:coreProperties>
</file>