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2D4BF6" w:rsidRPr="00D83AFA" w14:paraId="685EC7BA" w14:textId="77777777" w:rsidTr="00377FD4">
        <w:trPr>
          <w:cantSplit/>
          <w:trHeight w:val="850"/>
          <w:jc w:val="right"/>
        </w:trPr>
        <w:tc>
          <w:tcPr>
            <w:tcW w:w="1518" w:type="dxa"/>
          </w:tcPr>
          <w:p w14:paraId="1D41AFC8" w14:textId="77777777" w:rsidR="002D4BF6" w:rsidRPr="00D83AFA" w:rsidRDefault="002D4BF6" w:rsidP="00377FD4">
            <w:pPr>
              <w:rPr>
                <w:rFonts w:ascii="Univers" w:hAnsi="Univers"/>
                <w:b/>
                <w:sz w:val="27"/>
                <w:szCs w:val="27"/>
                <w:lang w:val="fr-FR"/>
              </w:rPr>
            </w:pPr>
            <w:r w:rsidRPr="00D83AFA">
              <w:rPr>
                <w:rFonts w:ascii="Arial" w:hAnsi="Arial" w:cs="Arial"/>
                <w:b/>
                <w:sz w:val="27"/>
                <w:szCs w:val="27"/>
                <w:lang w:val="fr-FR"/>
              </w:rPr>
              <w:t>NATIONS</w:t>
            </w:r>
            <w:r w:rsidRPr="00D83AFA">
              <w:rPr>
                <w:rFonts w:ascii="Arial" w:hAnsi="Arial" w:cs="Arial"/>
                <w:b/>
                <w:sz w:val="27"/>
                <w:szCs w:val="27"/>
                <w:lang w:val="fr-FR"/>
              </w:rPr>
              <w:br/>
              <w:t>UNIES</w:t>
            </w:r>
          </w:p>
        </w:tc>
        <w:tc>
          <w:tcPr>
            <w:tcW w:w="4643" w:type="dxa"/>
          </w:tcPr>
          <w:p w14:paraId="7C014C17" w14:textId="77777777" w:rsidR="002D4BF6" w:rsidRPr="00D83AFA" w:rsidRDefault="002D4BF6" w:rsidP="00377FD4">
            <w:pPr>
              <w:rPr>
                <w:rFonts w:ascii="Univers" w:hAnsi="Univers"/>
                <w:b/>
                <w:sz w:val="27"/>
                <w:szCs w:val="27"/>
                <w:lang w:val="fr-FR"/>
              </w:rPr>
            </w:pPr>
          </w:p>
        </w:tc>
        <w:tc>
          <w:tcPr>
            <w:tcW w:w="3335" w:type="dxa"/>
          </w:tcPr>
          <w:p w14:paraId="58D116A6" w14:textId="77777777" w:rsidR="002D4BF6" w:rsidRPr="00D83AFA" w:rsidRDefault="002D4BF6" w:rsidP="00377FD4">
            <w:pPr>
              <w:jc w:val="right"/>
              <w:rPr>
                <w:rFonts w:ascii="Arial" w:hAnsi="Arial" w:cs="Arial"/>
                <w:b/>
                <w:sz w:val="64"/>
                <w:szCs w:val="64"/>
                <w:lang w:val="fr-FR"/>
              </w:rPr>
            </w:pPr>
            <w:r w:rsidRPr="00D83AFA">
              <w:rPr>
                <w:rFonts w:ascii="Arial" w:hAnsi="Arial" w:cs="Arial"/>
                <w:b/>
                <w:sz w:val="64"/>
                <w:szCs w:val="64"/>
                <w:lang w:val="fr-FR"/>
              </w:rPr>
              <w:t>MC</w:t>
            </w:r>
          </w:p>
        </w:tc>
      </w:tr>
      <w:tr w:rsidR="002D4BF6" w:rsidRPr="00D83AFA" w14:paraId="638E84A7" w14:textId="77777777" w:rsidTr="00377FD4">
        <w:trPr>
          <w:cantSplit/>
          <w:trHeight w:val="281"/>
          <w:jc w:val="right"/>
        </w:trPr>
        <w:tc>
          <w:tcPr>
            <w:tcW w:w="1518" w:type="dxa"/>
            <w:tcBorders>
              <w:bottom w:val="single" w:sz="4" w:space="0" w:color="auto"/>
            </w:tcBorders>
          </w:tcPr>
          <w:p w14:paraId="17211A37" w14:textId="77777777" w:rsidR="002D4BF6" w:rsidRPr="00D83AFA" w:rsidRDefault="002D4BF6" w:rsidP="00377FD4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14:paraId="6BF77C2E" w14:textId="77777777" w:rsidR="002D4BF6" w:rsidRPr="00D83AFA" w:rsidRDefault="002D4BF6" w:rsidP="00377FD4">
            <w:pPr>
              <w:rPr>
                <w:rFonts w:ascii="Univers" w:hAnsi="Univers"/>
                <w:b/>
                <w:sz w:val="18"/>
                <w:szCs w:val="18"/>
                <w:lang w:val="fr-FR"/>
              </w:rPr>
            </w:pPr>
          </w:p>
        </w:tc>
        <w:tc>
          <w:tcPr>
            <w:tcW w:w="3335" w:type="dxa"/>
            <w:tcBorders>
              <w:bottom w:val="single" w:sz="4" w:space="0" w:color="auto"/>
            </w:tcBorders>
          </w:tcPr>
          <w:p w14:paraId="1063E680" w14:textId="77777777" w:rsidR="002D4BF6" w:rsidRPr="00D83AFA" w:rsidRDefault="002D4BF6" w:rsidP="00377FD4">
            <w:pPr>
              <w:rPr>
                <w:sz w:val="18"/>
                <w:szCs w:val="18"/>
                <w:lang w:val="fr-FR"/>
              </w:rPr>
            </w:pPr>
            <w:r w:rsidRPr="00D83AFA">
              <w:rPr>
                <w:b/>
                <w:bCs/>
                <w:sz w:val="28"/>
                <w:lang w:val="fr-FR"/>
              </w:rPr>
              <w:t>UNEP</w:t>
            </w:r>
            <w:bookmarkStart w:id="0" w:name="OLE_LINK1"/>
            <w:bookmarkStart w:id="1" w:name="OLE_LINK2"/>
            <w:r w:rsidRPr="00D83AFA">
              <w:rPr>
                <w:b/>
                <w:bCs/>
                <w:sz w:val="28"/>
                <w:lang w:val="fr-FR"/>
              </w:rPr>
              <w:t>/</w:t>
            </w:r>
            <w:r w:rsidRPr="00D83AFA">
              <w:rPr>
                <w:lang w:val="fr-FR"/>
              </w:rPr>
              <w:t>MC/</w:t>
            </w:r>
            <w:bookmarkEnd w:id="0"/>
            <w:bookmarkEnd w:id="1"/>
            <w:r w:rsidRPr="00D83AFA">
              <w:rPr>
                <w:lang w:val="fr-FR"/>
              </w:rPr>
              <w:t>COP.3/12</w:t>
            </w:r>
          </w:p>
        </w:tc>
      </w:tr>
      <w:bookmarkStart w:id="2" w:name="_MON_1021710482"/>
      <w:bookmarkEnd w:id="2"/>
      <w:bookmarkStart w:id="3" w:name="_MON_1021710510"/>
      <w:bookmarkEnd w:id="3"/>
      <w:tr w:rsidR="002D4BF6" w:rsidRPr="00D83AFA" w14:paraId="34EAA364" w14:textId="77777777" w:rsidTr="00377FD4">
        <w:trPr>
          <w:cantSplit/>
          <w:trHeight w:val="2549"/>
          <w:jc w:val="right"/>
        </w:trPr>
        <w:tc>
          <w:tcPr>
            <w:tcW w:w="1518" w:type="dxa"/>
            <w:tcBorders>
              <w:top w:val="single" w:sz="4" w:space="0" w:color="auto"/>
              <w:bottom w:val="single" w:sz="24" w:space="0" w:color="auto"/>
            </w:tcBorders>
          </w:tcPr>
          <w:p w14:paraId="6D83F7CC" w14:textId="77777777" w:rsidR="002D4BF6" w:rsidRPr="00D83AFA" w:rsidRDefault="002D4BF6" w:rsidP="00377FD4">
            <w:pPr>
              <w:rPr>
                <w:lang w:val="fr-FR"/>
              </w:rPr>
            </w:pPr>
            <w:r w:rsidRPr="00D83AFA">
              <w:rPr>
                <w:lang w:val="fr-FR"/>
              </w:rPr>
              <w:object w:dxaOrig="1831" w:dyaOrig="1726" w14:anchorId="5549133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65pt;height:61.65pt" o:ole="" fillcolor="window">
                  <v:imagedata r:id="rId8" o:title=""/>
                </v:shape>
                <o:OLEObject Type="Embed" ProgID="Word.Picture.8" ShapeID="_x0000_i1025" DrawAspect="Content" ObjectID="_1629718901" r:id="rId9"/>
              </w:object>
            </w:r>
            <w:r w:rsidRPr="00D83AFA">
              <w:rPr>
                <w:noProof/>
                <w:lang w:val="fr-FR" w:eastAsia="en-GB"/>
              </w:rPr>
              <w:drawing>
                <wp:inline distT="0" distB="0" distL="0" distR="0" wp14:anchorId="6F724DC3" wp14:editId="0F1E2190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3" w:type="dxa"/>
            <w:tcBorders>
              <w:top w:val="single" w:sz="4" w:space="0" w:color="auto"/>
              <w:bottom w:val="single" w:sz="24" w:space="0" w:color="auto"/>
            </w:tcBorders>
          </w:tcPr>
          <w:p w14:paraId="7AC633FC" w14:textId="77777777" w:rsidR="002D4BF6" w:rsidRPr="00D83AFA" w:rsidRDefault="002D4BF6" w:rsidP="00377FD4">
            <w:pPr>
              <w:spacing w:before="1200"/>
              <w:rPr>
                <w:rFonts w:ascii="Arial" w:hAnsi="Arial" w:cs="Arial"/>
                <w:b/>
                <w:sz w:val="28"/>
                <w:lang w:val="fr-FR"/>
              </w:rPr>
            </w:pPr>
            <w:r w:rsidRPr="00D83AFA">
              <w:rPr>
                <w:rFonts w:ascii="Arial" w:hAnsi="Arial" w:cs="Arial"/>
                <w:b/>
                <w:sz w:val="32"/>
                <w:szCs w:val="32"/>
                <w:lang w:val="fr-FR"/>
              </w:rPr>
              <w:t>Programme</w:t>
            </w:r>
            <w:r w:rsidRPr="00D83AFA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  <w:t>des Nations Unies</w:t>
            </w:r>
            <w:r w:rsidRPr="00D83AFA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  <w:t>pour l’environnement</w:t>
            </w:r>
          </w:p>
        </w:tc>
        <w:tc>
          <w:tcPr>
            <w:tcW w:w="3335" w:type="dxa"/>
            <w:tcBorders>
              <w:top w:val="single" w:sz="4" w:space="0" w:color="auto"/>
              <w:bottom w:val="single" w:sz="24" w:space="0" w:color="auto"/>
            </w:tcBorders>
          </w:tcPr>
          <w:p w14:paraId="20C53386" w14:textId="1E87C336" w:rsidR="002D4BF6" w:rsidRPr="00D83AFA" w:rsidRDefault="002D4BF6" w:rsidP="00377FD4">
            <w:pPr>
              <w:spacing w:before="120"/>
              <w:rPr>
                <w:lang w:val="fr-FR"/>
              </w:rPr>
            </w:pPr>
            <w:r w:rsidRPr="00D83AFA">
              <w:rPr>
                <w:lang w:val="fr-FR"/>
              </w:rPr>
              <w:t xml:space="preserve">Distr. générale </w:t>
            </w:r>
            <w:r w:rsidRPr="00D83AFA">
              <w:rPr>
                <w:lang w:val="fr-FR"/>
              </w:rPr>
              <w:br/>
              <w:t>15</w:t>
            </w:r>
            <w:r w:rsidR="00BA29DF" w:rsidRPr="00D83AFA">
              <w:rPr>
                <w:lang w:val="fr-FR"/>
              </w:rPr>
              <w:t> </w:t>
            </w:r>
            <w:r w:rsidRPr="00D83AFA">
              <w:rPr>
                <w:lang w:val="fr-FR"/>
              </w:rPr>
              <w:t>juillet 2019</w:t>
            </w:r>
          </w:p>
          <w:p w14:paraId="48566196" w14:textId="77777777" w:rsidR="002D4BF6" w:rsidRPr="00D83AFA" w:rsidRDefault="002D4BF6" w:rsidP="00377FD4">
            <w:pPr>
              <w:spacing w:before="240"/>
              <w:rPr>
                <w:lang w:val="fr-FR"/>
              </w:rPr>
            </w:pPr>
            <w:r w:rsidRPr="00D83AFA">
              <w:rPr>
                <w:lang w:val="fr-FR"/>
              </w:rPr>
              <w:t>Français</w:t>
            </w:r>
            <w:r w:rsidRPr="00D83AFA">
              <w:rPr>
                <w:lang w:val="fr-FR"/>
              </w:rPr>
              <w:br/>
              <w:t>Original : anglais</w:t>
            </w:r>
          </w:p>
        </w:tc>
      </w:tr>
    </w:tbl>
    <w:p w14:paraId="288AFC63" w14:textId="77777777" w:rsidR="002D4BF6" w:rsidRPr="00D83AFA" w:rsidRDefault="002D4BF6" w:rsidP="002D4BF6">
      <w:pPr>
        <w:pStyle w:val="AATitle"/>
        <w:keepNext w:val="0"/>
        <w:keepLines w:val="0"/>
        <w:rPr>
          <w:lang w:val="fr-FR"/>
        </w:rPr>
      </w:pPr>
      <w:r w:rsidRPr="00D83AFA">
        <w:rPr>
          <w:bCs/>
          <w:lang w:val="fr-FR"/>
        </w:rPr>
        <w:t>Conférence des Parties à la Convention de Minamata sur le mercure</w:t>
      </w:r>
    </w:p>
    <w:p w14:paraId="77011942" w14:textId="77777777" w:rsidR="002D4BF6" w:rsidRPr="00D83AFA" w:rsidRDefault="002D4BF6" w:rsidP="002D4BF6">
      <w:pPr>
        <w:pStyle w:val="AATitle"/>
        <w:keepNext w:val="0"/>
        <w:keepLines w:val="0"/>
        <w:rPr>
          <w:lang w:val="fr-FR"/>
        </w:rPr>
      </w:pPr>
      <w:r w:rsidRPr="00D83AFA">
        <w:rPr>
          <w:bCs/>
          <w:lang w:val="fr-FR"/>
        </w:rPr>
        <w:t>Troisième réunion</w:t>
      </w:r>
    </w:p>
    <w:p w14:paraId="0032FB22" w14:textId="77777777" w:rsidR="00787688" w:rsidRPr="00D83AFA" w:rsidRDefault="002D4BF6" w:rsidP="002D4BF6">
      <w:pPr>
        <w:pStyle w:val="AATitle"/>
        <w:rPr>
          <w:lang w:val="fr-FR"/>
        </w:rPr>
      </w:pPr>
      <w:r w:rsidRPr="00D83AFA">
        <w:rPr>
          <w:b w:val="0"/>
          <w:lang w:val="fr-FR"/>
        </w:rPr>
        <w:t>Genève, 25–29 novembre 2019</w:t>
      </w:r>
    </w:p>
    <w:p w14:paraId="3ED8E818" w14:textId="77777777" w:rsidR="00A24D77" w:rsidRPr="00D83AFA" w:rsidRDefault="00A24D77" w:rsidP="00A24D77">
      <w:pPr>
        <w:pStyle w:val="AATitle"/>
        <w:rPr>
          <w:b w:val="0"/>
          <w:lang w:val="fr-FR"/>
        </w:rPr>
      </w:pPr>
      <w:r w:rsidRPr="00D83AFA">
        <w:rPr>
          <w:b w:val="0"/>
          <w:lang w:val="fr-FR"/>
        </w:rPr>
        <w:t>Point 5 f) de l</w:t>
      </w:r>
      <w:r w:rsidR="002D4BF6" w:rsidRPr="00D83AFA">
        <w:rPr>
          <w:b w:val="0"/>
          <w:lang w:val="fr-FR"/>
        </w:rPr>
        <w:t>’</w:t>
      </w:r>
      <w:r w:rsidRPr="00D83AFA">
        <w:rPr>
          <w:b w:val="0"/>
          <w:lang w:val="fr-FR"/>
        </w:rPr>
        <w:t>ordre du jour provisoire</w:t>
      </w:r>
      <w:r w:rsidRPr="00D83AFA">
        <w:rPr>
          <w:rStyle w:val="FootnoteReference"/>
          <w:b w:val="0"/>
          <w:vertAlign w:val="baseline"/>
          <w:lang w:val="fr-FR"/>
        </w:rPr>
        <w:footnoteReference w:customMarkFollows="1" w:id="1"/>
        <w:t>*</w:t>
      </w:r>
    </w:p>
    <w:p w14:paraId="224CC906" w14:textId="77777777" w:rsidR="00A24D77" w:rsidRPr="00D83AFA" w:rsidRDefault="00A24D77" w:rsidP="00A24D77">
      <w:pPr>
        <w:pStyle w:val="AATitle2"/>
        <w:spacing w:before="60"/>
        <w:rPr>
          <w:lang w:val="fr-FR"/>
        </w:rPr>
      </w:pPr>
      <w:r w:rsidRPr="00D83AFA">
        <w:rPr>
          <w:bCs/>
          <w:lang w:val="fr-FR"/>
        </w:rPr>
        <w:t>Questions soumises à la Conférence des Parties pour examen ou décision</w:t>
      </w:r>
      <w:r w:rsidR="002D4BF6" w:rsidRPr="00D83AFA">
        <w:rPr>
          <w:bCs/>
          <w:lang w:val="fr-FR"/>
        </w:rPr>
        <w:t> :</w:t>
      </w:r>
      <w:r w:rsidRPr="00D83AFA">
        <w:rPr>
          <w:bCs/>
          <w:lang w:val="fr-FR"/>
        </w:rPr>
        <w:t xml:space="preserve"> renforcement des capacités, assistance technique et transfert de technologies</w:t>
      </w:r>
      <w:r w:rsidRPr="00D83AFA">
        <w:rPr>
          <w:lang w:val="fr-FR"/>
        </w:rPr>
        <w:t xml:space="preserve"> </w:t>
      </w:r>
    </w:p>
    <w:p w14:paraId="76C8A70B" w14:textId="7DB4811F" w:rsidR="00A24D77" w:rsidRPr="00D83AFA" w:rsidRDefault="00A24D77" w:rsidP="00A24D77">
      <w:pPr>
        <w:pStyle w:val="BBTitle"/>
        <w:rPr>
          <w:lang w:val="fr-FR"/>
        </w:rPr>
      </w:pPr>
      <w:r w:rsidRPr="00D83AFA">
        <w:rPr>
          <w:bCs/>
          <w:lang w:val="fr-FR"/>
        </w:rPr>
        <w:t>Informations recueillies relatives aux arrangements régionaux, sous-régionaux et nationaux existants en matière de</w:t>
      </w:r>
      <w:r w:rsidR="007E2D0E" w:rsidRPr="00D83AFA">
        <w:rPr>
          <w:bCs/>
          <w:lang w:val="fr-FR"/>
        </w:rPr>
        <w:t> </w:t>
      </w:r>
      <w:r w:rsidRPr="00D83AFA">
        <w:rPr>
          <w:bCs/>
          <w:lang w:val="fr-FR"/>
        </w:rPr>
        <w:t>renforcement des capacités et d</w:t>
      </w:r>
      <w:r w:rsidR="002D4BF6" w:rsidRPr="00D83AFA">
        <w:rPr>
          <w:bCs/>
          <w:lang w:val="fr-FR"/>
        </w:rPr>
        <w:t>’</w:t>
      </w:r>
      <w:r w:rsidRPr="00D83AFA">
        <w:rPr>
          <w:bCs/>
          <w:lang w:val="fr-FR"/>
        </w:rPr>
        <w:t>assistance technique pour</w:t>
      </w:r>
      <w:r w:rsidR="00284666" w:rsidRPr="00D83AFA">
        <w:rPr>
          <w:bCs/>
          <w:lang w:val="fr-FR"/>
        </w:rPr>
        <w:t> </w:t>
      </w:r>
      <w:r w:rsidRPr="00D83AFA">
        <w:rPr>
          <w:bCs/>
          <w:lang w:val="fr-FR"/>
        </w:rPr>
        <w:t>aider les Parties à s</w:t>
      </w:r>
      <w:r w:rsidR="002D4BF6" w:rsidRPr="00D83AFA">
        <w:rPr>
          <w:bCs/>
          <w:lang w:val="fr-FR"/>
        </w:rPr>
        <w:t>’</w:t>
      </w:r>
      <w:r w:rsidRPr="00D83AFA">
        <w:rPr>
          <w:bCs/>
          <w:lang w:val="fr-FR"/>
        </w:rPr>
        <w:t>acquitter de leurs obligations au titre de</w:t>
      </w:r>
      <w:r w:rsidR="00E6698D" w:rsidRPr="00D83AFA">
        <w:rPr>
          <w:bCs/>
          <w:lang w:val="fr-FR"/>
        </w:rPr>
        <w:t> </w:t>
      </w:r>
      <w:r w:rsidRPr="00D83AFA">
        <w:rPr>
          <w:bCs/>
          <w:lang w:val="fr-FR"/>
        </w:rPr>
        <w:t>la</w:t>
      </w:r>
      <w:r w:rsidR="007E2D0E" w:rsidRPr="00D83AFA">
        <w:rPr>
          <w:bCs/>
          <w:lang w:val="fr-FR"/>
        </w:rPr>
        <w:t> </w:t>
      </w:r>
      <w:r w:rsidRPr="00D83AFA">
        <w:rPr>
          <w:bCs/>
          <w:lang w:val="fr-FR"/>
        </w:rPr>
        <w:t>Convention de Minamata</w:t>
      </w:r>
    </w:p>
    <w:p w14:paraId="0ABD5639" w14:textId="77777777" w:rsidR="00A24D77" w:rsidRPr="00D83AFA" w:rsidRDefault="00A24D77" w:rsidP="00A24D77">
      <w:pPr>
        <w:pStyle w:val="CH2"/>
        <w:spacing w:before="240"/>
        <w:rPr>
          <w:lang w:val="fr-FR"/>
        </w:rPr>
      </w:pPr>
      <w:r w:rsidRPr="00D83AFA">
        <w:rPr>
          <w:lang w:val="fr-FR"/>
        </w:rPr>
        <w:tab/>
      </w:r>
      <w:r w:rsidRPr="00D83AFA">
        <w:rPr>
          <w:lang w:val="fr-FR"/>
        </w:rPr>
        <w:tab/>
      </w:r>
      <w:r w:rsidRPr="00D83AFA">
        <w:rPr>
          <w:bCs/>
          <w:lang w:val="fr-FR"/>
        </w:rPr>
        <w:t>Note du secrétariat</w:t>
      </w:r>
    </w:p>
    <w:p w14:paraId="1CA17AB0" w14:textId="6107380F" w:rsidR="00A24D77" w:rsidRPr="00D83AFA" w:rsidRDefault="00A24D77" w:rsidP="00A24D77">
      <w:pPr>
        <w:pStyle w:val="Normalnumber"/>
        <w:numPr>
          <w:ilvl w:val="0"/>
          <w:numId w:val="2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rPr>
          <w:lang w:val="fr-FR"/>
        </w:rPr>
      </w:pPr>
      <w:r w:rsidRPr="00D83AFA">
        <w:rPr>
          <w:lang w:val="fr-FR"/>
        </w:rPr>
        <w:t>À sa deuxième réunion, la Conférence des Parties à la Convention de Minamata sur le mercure a adopté la décision MC-2/11, intitulée « Article 14</w:t>
      </w:r>
      <w:r w:rsidR="002D4BF6" w:rsidRPr="00D83AFA">
        <w:rPr>
          <w:lang w:val="fr-FR"/>
        </w:rPr>
        <w:t> :</w:t>
      </w:r>
      <w:r w:rsidRPr="00D83AFA">
        <w:rPr>
          <w:lang w:val="fr-FR"/>
        </w:rPr>
        <w:t xml:space="preserve"> Renforcement des capacités, assistance technique et transfert de technologies », dans laquelle elle a rappelé la décision MC-1/21, </w:t>
      </w:r>
      <w:r w:rsidR="00B41C8A" w:rsidRPr="00D83AFA">
        <w:rPr>
          <w:lang w:val="fr-FR"/>
        </w:rPr>
        <w:t xml:space="preserve">qui </w:t>
      </w:r>
      <w:r w:rsidRPr="00D83AFA">
        <w:rPr>
          <w:lang w:val="fr-FR"/>
        </w:rPr>
        <w:t xml:space="preserve">avait </w:t>
      </w:r>
      <w:r w:rsidR="00B41C8A" w:rsidRPr="00D83AFA">
        <w:rPr>
          <w:lang w:val="fr-FR"/>
        </w:rPr>
        <w:t xml:space="preserve">reconnu </w:t>
      </w:r>
      <w:r w:rsidRPr="00D83AFA">
        <w:rPr>
          <w:lang w:val="fr-FR"/>
        </w:rPr>
        <w:t>que certains des centres régionaux et sous-régionaux existants élaboraient déjà des projets et des activités concernant les questions relatives au mercure. Dans la décision MC-2/11, la Conférence des Parties a prié le secrétariat de la Convention de Minamata de recueillir des informations relatives aux arrangements régionaux, sous-régionaux et nationaux existants en matière de renforcement des capacités et d</w:t>
      </w:r>
      <w:r w:rsidR="002D4BF6" w:rsidRPr="00D83AFA">
        <w:rPr>
          <w:lang w:val="fr-FR"/>
        </w:rPr>
        <w:t>’</w:t>
      </w:r>
      <w:r w:rsidRPr="00D83AFA">
        <w:rPr>
          <w:lang w:val="fr-FR"/>
        </w:rPr>
        <w:t>assistance technique pour aider les Parties à s</w:t>
      </w:r>
      <w:r w:rsidR="002D4BF6" w:rsidRPr="00D83AFA">
        <w:rPr>
          <w:lang w:val="fr-FR"/>
        </w:rPr>
        <w:t>’</w:t>
      </w:r>
      <w:r w:rsidRPr="00D83AFA">
        <w:rPr>
          <w:lang w:val="fr-FR"/>
        </w:rPr>
        <w:t>acquitter de leurs obligations au titre de la Convention. Elle a également prié le secrétariat de lui faire rapport à ce sujet à sa troisième réunion et a souligné qu</w:t>
      </w:r>
      <w:r w:rsidR="002D4BF6" w:rsidRPr="00D83AFA">
        <w:rPr>
          <w:lang w:val="fr-FR"/>
        </w:rPr>
        <w:t>’</w:t>
      </w:r>
      <w:r w:rsidRPr="00D83AFA">
        <w:rPr>
          <w:lang w:val="fr-FR"/>
        </w:rPr>
        <w:t>il importait de recourir, selon qu</w:t>
      </w:r>
      <w:r w:rsidR="002D4BF6" w:rsidRPr="00D83AFA">
        <w:rPr>
          <w:lang w:val="fr-FR"/>
        </w:rPr>
        <w:t>’</w:t>
      </w:r>
      <w:r w:rsidRPr="00D83AFA">
        <w:rPr>
          <w:lang w:val="fr-FR"/>
        </w:rPr>
        <w:t>il convient, à des arrangements régionaux, sous-régionaux et nationaux, y compris des centres régionaux et sous-régionaux existants, en vue de fournir un renforcement des capacités et une assistance technique conformément à l</w:t>
      </w:r>
      <w:r w:rsidR="002D4BF6" w:rsidRPr="00D83AFA">
        <w:rPr>
          <w:lang w:val="fr-FR"/>
        </w:rPr>
        <w:t>’</w:t>
      </w:r>
      <w:r w:rsidRPr="00D83AFA">
        <w:rPr>
          <w:lang w:val="fr-FR"/>
        </w:rPr>
        <w:t>article 14 de la Convention.</w:t>
      </w:r>
      <w:bookmarkStart w:id="4" w:name="_Hlk530301547"/>
      <w:bookmarkStart w:id="5" w:name="_Toc495572439"/>
      <w:bookmarkEnd w:id="4"/>
      <w:bookmarkEnd w:id="5"/>
    </w:p>
    <w:p w14:paraId="79EC6B54" w14:textId="562BEA02" w:rsidR="00A24D77" w:rsidRPr="00D83AFA" w:rsidRDefault="00781A3F" w:rsidP="00A24D77">
      <w:pPr>
        <w:pStyle w:val="Normalnumber"/>
        <w:numPr>
          <w:ilvl w:val="0"/>
          <w:numId w:val="2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rPr>
          <w:lang w:val="fr-FR"/>
        </w:rPr>
      </w:pPr>
      <w:r w:rsidRPr="00D83AFA">
        <w:rPr>
          <w:lang w:val="fr-FR"/>
        </w:rPr>
        <w:t>Dans</w:t>
      </w:r>
      <w:r w:rsidR="00A24D77" w:rsidRPr="00D83AFA">
        <w:rPr>
          <w:lang w:val="fr-FR"/>
        </w:rPr>
        <w:t xml:space="preserve"> une lettre </w:t>
      </w:r>
      <w:r w:rsidR="006E413F" w:rsidRPr="00D83AFA">
        <w:rPr>
          <w:lang w:val="fr-FR"/>
        </w:rPr>
        <w:t>adressée</w:t>
      </w:r>
      <w:r w:rsidR="00A24D77" w:rsidRPr="00D83AFA">
        <w:rPr>
          <w:lang w:val="fr-FR"/>
        </w:rPr>
        <w:t xml:space="preserve"> le 3</w:t>
      </w:r>
      <w:r w:rsidR="007E2D0E" w:rsidRPr="00D83AFA">
        <w:rPr>
          <w:lang w:val="fr-FR"/>
        </w:rPr>
        <w:t> </w:t>
      </w:r>
      <w:r w:rsidR="00A24D77" w:rsidRPr="00D83AFA">
        <w:rPr>
          <w:lang w:val="fr-FR"/>
        </w:rPr>
        <w:t>décembre 2018 par la Secrétaire exécutive à l</w:t>
      </w:r>
      <w:r w:rsidR="002D4BF6" w:rsidRPr="00D83AFA">
        <w:rPr>
          <w:lang w:val="fr-FR"/>
        </w:rPr>
        <w:t>’</w:t>
      </w:r>
      <w:r w:rsidR="00A24D77" w:rsidRPr="00D83AFA">
        <w:rPr>
          <w:lang w:val="fr-FR"/>
        </w:rPr>
        <w:t xml:space="preserve">ensemble des participants à la deuxième </w:t>
      </w:r>
      <w:r w:rsidR="006E413F" w:rsidRPr="00D83AFA">
        <w:rPr>
          <w:lang w:val="fr-FR"/>
        </w:rPr>
        <w:t>réunion</w:t>
      </w:r>
      <w:r w:rsidR="00A24D77" w:rsidRPr="00D83AFA">
        <w:rPr>
          <w:lang w:val="fr-FR"/>
        </w:rPr>
        <w:t xml:space="preserve"> de la Conférence des Parties,</w:t>
      </w:r>
      <w:r w:rsidR="00585175" w:rsidRPr="00D83AFA">
        <w:rPr>
          <w:lang w:val="fr-FR"/>
        </w:rPr>
        <w:t xml:space="preserve"> le </w:t>
      </w:r>
      <w:r w:rsidR="007C3EED" w:rsidRPr="00D83AFA">
        <w:rPr>
          <w:lang w:val="fr-FR"/>
        </w:rPr>
        <w:t>s</w:t>
      </w:r>
      <w:r w:rsidR="00585175" w:rsidRPr="00D83AFA">
        <w:rPr>
          <w:lang w:val="fr-FR"/>
        </w:rPr>
        <w:t>ecrétariat</w:t>
      </w:r>
      <w:r w:rsidR="00A24D77" w:rsidRPr="00D83AFA">
        <w:rPr>
          <w:lang w:val="fr-FR"/>
        </w:rPr>
        <w:t xml:space="preserve"> a </w:t>
      </w:r>
      <w:r w:rsidR="00585175" w:rsidRPr="00D83AFA">
        <w:rPr>
          <w:lang w:val="fr-FR"/>
        </w:rPr>
        <w:t>sollicit</w:t>
      </w:r>
      <w:r w:rsidR="00A24D77" w:rsidRPr="00D83AFA">
        <w:rPr>
          <w:lang w:val="fr-FR"/>
        </w:rPr>
        <w:t xml:space="preserve">é des informations </w:t>
      </w:r>
      <w:r w:rsidR="00585175" w:rsidRPr="00D83AFA">
        <w:rPr>
          <w:lang w:val="fr-FR"/>
        </w:rPr>
        <w:t>auprès des</w:t>
      </w:r>
      <w:r w:rsidR="00A24D77" w:rsidRPr="00D83AFA">
        <w:rPr>
          <w:lang w:val="fr-FR"/>
        </w:rPr>
        <w:t xml:space="preserve"> Parties et </w:t>
      </w:r>
      <w:r w:rsidR="002C59D4" w:rsidRPr="00D83AFA">
        <w:rPr>
          <w:lang w:val="fr-FR"/>
        </w:rPr>
        <w:t>des</w:t>
      </w:r>
      <w:r w:rsidR="00A04565" w:rsidRPr="00D83AFA">
        <w:rPr>
          <w:lang w:val="fr-FR"/>
        </w:rPr>
        <w:t xml:space="preserve"> </w:t>
      </w:r>
      <w:r w:rsidR="00A24D77" w:rsidRPr="00D83AFA">
        <w:rPr>
          <w:lang w:val="fr-FR"/>
        </w:rPr>
        <w:t>autres parties prenantes intéressées par la décision</w:t>
      </w:r>
      <w:r w:rsidR="007E2D0E" w:rsidRPr="00D83AFA">
        <w:rPr>
          <w:lang w:val="fr-FR"/>
        </w:rPr>
        <w:t> </w:t>
      </w:r>
      <w:r w:rsidR="00A24D77" w:rsidRPr="00D83AFA">
        <w:rPr>
          <w:lang w:val="fr-FR"/>
        </w:rPr>
        <w:t>MC-2/11, ainsi qu</w:t>
      </w:r>
      <w:r w:rsidR="002D4BF6" w:rsidRPr="00D83AFA">
        <w:rPr>
          <w:lang w:val="fr-FR"/>
        </w:rPr>
        <w:t>’</w:t>
      </w:r>
      <w:r w:rsidR="0000781D" w:rsidRPr="00D83AFA">
        <w:rPr>
          <w:lang w:val="fr-FR"/>
        </w:rPr>
        <w:t>auprès des</w:t>
      </w:r>
      <w:r w:rsidR="00A24D77" w:rsidRPr="00D83AFA">
        <w:rPr>
          <w:lang w:val="fr-FR"/>
        </w:rPr>
        <w:t xml:space="preserve"> correspondants nationaux, </w:t>
      </w:r>
      <w:r w:rsidR="00326EF7" w:rsidRPr="00D83AFA">
        <w:rPr>
          <w:lang w:val="fr-FR"/>
        </w:rPr>
        <w:t>des</w:t>
      </w:r>
      <w:r w:rsidR="00A24D77" w:rsidRPr="00D83AFA">
        <w:rPr>
          <w:lang w:val="fr-FR"/>
        </w:rPr>
        <w:t xml:space="preserve"> missions permanentes auprès du Programme des Nations Unies pour l</w:t>
      </w:r>
      <w:r w:rsidR="002D4BF6" w:rsidRPr="00D83AFA">
        <w:rPr>
          <w:lang w:val="fr-FR"/>
        </w:rPr>
        <w:t>’</w:t>
      </w:r>
      <w:r w:rsidR="00A24D77" w:rsidRPr="00D83AFA">
        <w:rPr>
          <w:lang w:val="fr-FR"/>
        </w:rPr>
        <w:t xml:space="preserve">environnement et </w:t>
      </w:r>
      <w:r w:rsidR="003D1526" w:rsidRPr="00D83AFA">
        <w:rPr>
          <w:lang w:val="fr-FR"/>
        </w:rPr>
        <w:t>des</w:t>
      </w:r>
      <w:r w:rsidR="00A24D77" w:rsidRPr="00D83AFA">
        <w:rPr>
          <w:lang w:val="fr-FR"/>
        </w:rPr>
        <w:t xml:space="preserve"> missions permanentes auprès de l</w:t>
      </w:r>
      <w:r w:rsidR="002D4BF6" w:rsidRPr="00D83AFA">
        <w:rPr>
          <w:lang w:val="fr-FR"/>
        </w:rPr>
        <w:t>’</w:t>
      </w:r>
      <w:r w:rsidR="00A24D77" w:rsidRPr="00D83AFA">
        <w:rPr>
          <w:lang w:val="fr-FR"/>
        </w:rPr>
        <w:t>Organisation des Nations Unies à Genève.</w:t>
      </w:r>
    </w:p>
    <w:p w14:paraId="7DDE7AF6" w14:textId="34E39466" w:rsidR="00A24D77" w:rsidRPr="00D83AFA" w:rsidRDefault="00A24D77" w:rsidP="00BA29DF">
      <w:pPr>
        <w:pStyle w:val="Normalnumber"/>
        <w:keepNext/>
        <w:keepLines/>
        <w:numPr>
          <w:ilvl w:val="0"/>
          <w:numId w:val="2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rPr>
          <w:lang w:val="fr-FR"/>
        </w:rPr>
      </w:pPr>
      <w:r w:rsidRPr="00D83AFA">
        <w:rPr>
          <w:lang w:val="fr-FR"/>
        </w:rPr>
        <w:t xml:space="preserve">Deux réponses ont été reçues par suite de cet appel à contributions. La première était </w:t>
      </w:r>
      <w:r w:rsidR="006E413F" w:rsidRPr="00D83AFA">
        <w:rPr>
          <w:lang w:val="fr-FR"/>
        </w:rPr>
        <w:t>adressée</w:t>
      </w:r>
      <w:r w:rsidRPr="00D83AFA">
        <w:rPr>
          <w:lang w:val="fr-FR"/>
        </w:rPr>
        <w:t xml:space="preserve"> par la présidence du Comité directeur du Réseau intergouvernemental sur les produits chimiques et les déchets pour l</w:t>
      </w:r>
      <w:r w:rsidR="002D4BF6" w:rsidRPr="00D83AFA">
        <w:rPr>
          <w:lang w:val="fr-FR"/>
        </w:rPr>
        <w:t>’</w:t>
      </w:r>
      <w:r w:rsidRPr="00D83AFA">
        <w:rPr>
          <w:lang w:val="fr-FR"/>
        </w:rPr>
        <w:t>Amérique latine et les Caraïbes et la seconde par le Gouvernement japonais. Les informations reçues ont été rassemb</w:t>
      </w:r>
      <w:bookmarkStart w:id="6" w:name="_GoBack"/>
      <w:bookmarkEnd w:id="6"/>
      <w:r w:rsidRPr="00D83AFA">
        <w:rPr>
          <w:lang w:val="fr-FR"/>
        </w:rPr>
        <w:t xml:space="preserve">lées dans le document paru sous la cote UNEP/MC/COP.3/INF/14 </w:t>
      </w:r>
      <w:r w:rsidRPr="00D83AFA">
        <w:rPr>
          <w:lang w:val="fr-FR"/>
        </w:rPr>
        <w:lastRenderedPageBreak/>
        <w:t>et sont également disponibles sur le site de la Convention de Minamata, à l</w:t>
      </w:r>
      <w:r w:rsidR="002D4BF6" w:rsidRPr="00D83AFA">
        <w:rPr>
          <w:lang w:val="fr-FR"/>
        </w:rPr>
        <w:t>’</w:t>
      </w:r>
      <w:r w:rsidRPr="00D83AFA">
        <w:rPr>
          <w:lang w:val="fr-FR"/>
        </w:rPr>
        <w:t xml:space="preserve">adresse </w:t>
      </w:r>
      <w:r w:rsidR="003C230D" w:rsidRPr="00D83AFA">
        <w:rPr>
          <w:lang w:val="fr-FR"/>
        </w:rPr>
        <w:t xml:space="preserve">suivante : </w:t>
      </w:r>
      <w:hyperlink r:id="rId11" w:history="1">
        <w:r w:rsidR="003C230D" w:rsidRPr="00D83AFA">
          <w:rPr>
            <w:rStyle w:val="Hyperlink"/>
          </w:rPr>
          <w:t>http://www.mercuryconvention.org/Meetings/Intersessionalwork/tabid/7857/language/fr-FR/Default.aspx</w:t>
        </w:r>
      </w:hyperlink>
      <w:r w:rsidRPr="00D83AFA">
        <w:rPr>
          <w:lang w:val="fr-FR"/>
        </w:rPr>
        <w:t>.</w:t>
      </w:r>
    </w:p>
    <w:p w14:paraId="5B201C89" w14:textId="2433DCF2" w:rsidR="00A24D77" w:rsidRPr="00D83AFA" w:rsidRDefault="00A24D77" w:rsidP="00A24D77">
      <w:pPr>
        <w:pStyle w:val="Normalnumber"/>
        <w:keepNext/>
        <w:keepLines/>
        <w:numPr>
          <w:ilvl w:val="0"/>
          <w:numId w:val="2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rPr>
          <w:lang w:val="fr-FR"/>
        </w:rPr>
      </w:pPr>
      <w:r w:rsidRPr="00D83AFA">
        <w:rPr>
          <w:lang w:val="fr-FR"/>
        </w:rPr>
        <w:t>La première communication présente l</w:t>
      </w:r>
      <w:r w:rsidR="002D4BF6" w:rsidRPr="00D83AFA">
        <w:rPr>
          <w:lang w:val="fr-FR"/>
        </w:rPr>
        <w:t>’</w:t>
      </w:r>
      <w:r w:rsidRPr="00D83AFA">
        <w:rPr>
          <w:lang w:val="fr-FR"/>
        </w:rPr>
        <w:t>arrangement régional du Réseau intergouvernemental sur les produits chimiques et les déchets pour l</w:t>
      </w:r>
      <w:r w:rsidR="002D4BF6" w:rsidRPr="00D83AFA">
        <w:rPr>
          <w:lang w:val="fr-FR"/>
        </w:rPr>
        <w:t>’</w:t>
      </w:r>
      <w:r w:rsidRPr="00D83AFA">
        <w:rPr>
          <w:lang w:val="fr-FR"/>
        </w:rPr>
        <w:t>Amérique latine et les Caraïbes, décrivant les activités menées en 2017 et 2018, y compris l</w:t>
      </w:r>
      <w:r w:rsidR="002D4BF6" w:rsidRPr="00D83AFA">
        <w:rPr>
          <w:lang w:val="fr-FR"/>
        </w:rPr>
        <w:t>’</w:t>
      </w:r>
      <w:r w:rsidRPr="00D83AFA">
        <w:rPr>
          <w:lang w:val="fr-FR"/>
        </w:rPr>
        <w:t>adoption du Plan d</w:t>
      </w:r>
      <w:r w:rsidR="002D4BF6" w:rsidRPr="00D83AFA">
        <w:rPr>
          <w:lang w:val="fr-FR"/>
        </w:rPr>
        <w:t>’</w:t>
      </w:r>
      <w:r w:rsidRPr="00D83AFA">
        <w:rPr>
          <w:lang w:val="fr-FR"/>
        </w:rPr>
        <w:t xml:space="preserve">action </w:t>
      </w:r>
      <w:r w:rsidR="00E86B4E" w:rsidRPr="00D83AFA">
        <w:rPr>
          <w:lang w:val="fr-FR"/>
        </w:rPr>
        <w:t xml:space="preserve">pour </w:t>
      </w:r>
      <w:r w:rsidRPr="00D83AFA">
        <w:rPr>
          <w:lang w:val="fr-FR"/>
        </w:rPr>
        <w:t>2019</w:t>
      </w:r>
      <w:r w:rsidR="00BA29DF" w:rsidRPr="00D83AFA">
        <w:rPr>
          <w:lang w:val="fr-FR"/>
        </w:rPr>
        <w:t>–</w:t>
      </w:r>
      <w:r w:rsidRPr="00D83AFA">
        <w:rPr>
          <w:lang w:val="fr-FR"/>
        </w:rPr>
        <w:t xml:space="preserve">2020 </w:t>
      </w:r>
      <w:r w:rsidR="00E86B4E" w:rsidRPr="00D83AFA">
        <w:rPr>
          <w:lang w:val="fr-FR"/>
        </w:rPr>
        <w:t xml:space="preserve">en vue d’une </w:t>
      </w:r>
      <w:r w:rsidRPr="00D83AFA">
        <w:rPr>
          <w:lang w:val="fr-FR"/>
        </w:rPr>
        <w:t>coopération régionale en matière de gestion des produits chimiques et des déchets en Amérique latine et dans les Caraïbes. La seconde présente une initiative du Japon visant à appuyer les efforts des pays en développement en matière de gestion du mercure. Elle comprend également une annexe composée d</w:t>
      </w:r>
      <w:r w:rsidR="002D4BF6" w:rsidRPr="00D83AFA">
        <w:rPr>
          <w:lang w:val="fr-FR"/>
        </w:rPr>
        <w:t>’</w:t>
      </w:r>
      <w:r w:rsidRPr="00D83AFA">
        <w:rPr>
          <w:lang w:val="fr-FR"/>
        </w:rPr>
        <w:t>un aperçu des flux matériels de mercure au Japon et d</w:t>
      </w:r>
      <w:r w:rsidR="002D4BF6" w:rsidRPr="00D83AFA">
        <w:rPr>
          <w:lang w:val="fr-FR"/>
        </w:rPr>
        <w:t>’</w:t>
      </w:r>
      <w:r w:rsidRPr="00D83AFA">
        <w:rPr>
          <w:lang w:val="fr-FR"/>
        </w:rPr>
        <w:t>un rapport sur le sujet (données relatives à l</w:t>
      </w:r>
      <w:r w:rsidR="002D4BF6" w:rsidRPr="00D83AFA">
        <w:rPr>
          <w:lang w:val="fr-FR"/>
        </w:rPr>
        <w:t>’</w:t>
      </w:r>
      <w:r w:rsidRPr="00D83AFA">
        <w:rPr>
          <w:lang w:val="fr-FR"/>
        </w:rPr>
        <w:t>année 2014) qui portent sur l</w:t>
      </w:r>
      <w:r w:rsidR="002D4BF6" w:rsidRPr="00D83AFA">
        <w:rPr>
          <w:lang w:val="fr-FR"/>
        </w:rPr>
        <w:t>’</w:t>
      </w:r>
      <w:r w:rsidRPr="00D83AFA">
        <w:rPr>
          <w:lang w:val="fr-FR"/>
        </w:rPr>
        <w:t xml:space="preserve">importance des flux matériels de mercure comme données de référence dans le cadre des efforts pour promouvoir la gestion du mercure. </w:t>
      </w:r>
    </w:p>
    <w:p w14:paraId="79F3A6A2" w14:textId="19991580" w:rsidR="00A24D77" w:rsidRPr="00D83AFA" w:rsidRDefault="00A24D77" w:rsidP="00A24D77">
      <w:pPr>
        <w:pStyle w:val="CH2"/>
        <w:spacing w:before="240"/>
        <w:rPr>
          <w:b w:val="0"/>
          <w:lang w:val="fr-FR"/>
        </w:rPr>
      </w:pPr>
      <w:r w:rsidRPr="00D83AFA">
        <w:rPr>
          <w:lang w:val="fr-FR"/>
        </w:rPr>
        <w:tab/>
      </w:r>
      <w:r w:rsidRPr="00D83AFA">
        <w:rPr>
          <w:lang w:val="fr-FR"/>
        </w:rPr>
        <w:tab/>
      </w:r>
      <w:r w:rsidRPr="00D83AFA">
        <w:rPr>
          <w:bCs/>
          <w:lang w:val="fr-FR"/>
        </w:rPr>
        <w:t>Mesure que pourrait prendre la Conférence des Parties</w:t>
      </w:r>
    </w:p>
    <w:p w14:paraId="134C8027" w14:textId="7063EA16" w:rsidR="00A24D77" w:rsidRPr="00D83AFA" w:rsidRDefault="00A24D77" w:rsidP="00A24D77">
      <w:pPr>
        <w:pStyle w:val="Normalnumber"/>
        <w:numPr>
          <w:ilvl w:val="0"/>
          <w:numId w:val="2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rPr>
          <w:lang w:val="fr-FR"/>
        </w:rPr>
      </w:pPr>
      <w:r w:rsidRPr="00D83AFA">
        <w:rPr>
          <w:lang w:val="fr-FR"/>
        </w:rPr>
        <w:t>La Conférence des Parties souhaitera peut-être examiner les informations contenues dans les communications reçues et appeler l</w:t>
      </w:r>
      <w:r w:rsidR="002D4BF6" w:rsidRPr="00D83AFA">
        <w:rPr>
          <w:lang w:val="fr-FR"/>
        </w:rPr>
        <w:t>’</w:t>
      </w:r>
      <w:r w:rsidRPr="00D83AFA">
        <w:rPr>
          <w:lang w:val="fr-FR"/>
        </w:rPr>
        <w:t>attention des Parties et des parties prenantes concernées, en particulier celles qui fournissent le renforcement des capacités et l</w:t>
      </w:r>
      <w:r w:rsidR="002D4BF6" w:rsidRPr="00D83AFA">
        <w:rPr>
          <w:lang w:val="fr-FR"/>
        </w:rPr>
        <w:t>’</w:t>
      </w:r>
      <w:r w:rsidRPr="00D83AFA">
        <w:rPr>
          <w:lang w:val="fr-FR"/>
        </w:rPr>
        <w:t>assistance technique visés à</w:t>
      </w:r>
      <w:r w:rsidR="00970572" w:rsidRPr="00D83AFA">
        <w:rPr>
          <w:lang w:val="fr-FR"/>
        </w:rPr>
        <w:t> </w:t>
      </w:r>
      <w:r w:rsidRPr="00D83AFA">
        <w:rPr>
          <w:lang w:val="fr-FR"/>
        </w:rPr>
        <w:t>l</w:t>
      </w:r>
      <w:r w:rsidR="002D4BF6" w:rsidRPr="00D83AFA">
        <w:rPr>
          <w:lang w:val="fr-FR"/>
        </w:rPr>
        <w:t>’</w:t>
      </w:r>
      <w:r w:rsidRPr="00D83AFA">
        <w:rPr>
          <w:lang w:val="fr-FR"/>
        </w:rPr>
        <w:t>article</w:t>
      </w:r>
      <w:r w:rsidR="00970572" w:rsidRPr="00D83AFA">
        <w:rPr>
          <w:lang w:val="fr-FR"/>
        </w:rPr>
        <w:t> </w:t>
      </w:r>
      <w:r w:rsidRPr="00D83AFA">
        <w:rPr>
          <w:lang w:val="fr-FR"/>
        </w:rPr>
        <w:t>14, sur les activités, les initiatives et les rapports mentionnés dans les communications</w:t>
      </w:r>
      <w:r w:rsidR="00E86B4E" w:rsidRPr="00D83AFA">
        <w:rPr>
          <w:lang w:val="fr-FR"/>
        </w:rPr>
        <w:t>,</w:t>
      </w:r>
      <w:r w:rsidRPr="00D83AFA">
        <w:rPr>
          <w:lang w:val="fr-FR"/>
        </w:rPr>
        <w:t xml:space="preserve"> ainsi que sur les besoins et les problèmes qui y sont décrits. La Conférence des Parties souhaitera peut-être également examiner la question plus avant à ses prochaines réunions, en tenant compte de toute information supplémentaire communiquée par les Parties au titre de l</w:t>
      </w:r>
      <w:r w:rsidR="002D4BF6" w:rsidRPr="00D83AFA">
        <w:rPr>
          <w:lang w:val="fr-FR"/>
        </w:rPr>
        <w:t>’</w:t>
      </w:r>
      <w:r w:rsidRPr="00D83AFA">
        <w:rPr>
          <w:lang w:val="fr-FR"/>
        </w:rPr>
        <w:t>article 21 ou par d</w:t>
      </w:r>
      <w:r w:rsidR="002D4BF6" w:rsidRPr="00D83AFA">
        <w:rPr>
          <w:lang w:val="fr-FR"/>
        </w:rPr>
        <w:t>’</w:t>
      </w:r>
      <w:r w:rsidRPr="00D83AFA">
        <w:rPr>
          <w:lang w:val="fr-FR"/>
        </w:rPr>
        <w:t xml:space="preserve">autres parties prenantes. </w:t>
      </w:r>
    </w:p>
    <w:p w14:paraId="78DD0FD6" w14:textId="77777777" w:rsidR="00D013F5" w:rsidRPr="00D83AFA" w:rsidRDefault="00D013F5" w:rsidP="00A24D77">
      <w:pPr>
        <w:pStyle w:val="Normal-pool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E976AB" w:rsidRPr="00D83AFA" w14:paraId="71F3A665" w14:textId="77777777" w:rsidTr="00990918">
        <w:tc>
          <w:tcPr>
            <w:tcW w:w="1942" w:type="dxa"/>
            <w:shd w:val="clear" w:color="auto" w:fill="auto"/>
          </w:tcPr>
          <w:p w14:paraId="53B5835F" w14:textId="77777777" w:rsidR="00E976AB" w:rsidRPr="00D83AFA" w:rsidRDefault="00E976AB" w:rsidP="00990918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2" w:type="dxa"/>
            <w:shd w:val="clear" w:color="auto" w:fill="auto"/>
          </w:tcPr>
          <w:p w14:paraId="757DAC73" w14:textId="77777777" w:rsidR="00E976AB" w:rsidRPr="00D83AFA" w:rsidRDefault="00E976AB" w:rsidP="00990918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714DA8EB" w14:textId="77777777" w:rsidR="00E976AB" w:rsidRPr="00D83AFA" w:rsidRDefault="00E976AB" w:rsidP="00990918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3" w:type="dxa"/>
            <w:shd w:val="clear" w:color="auto" w:fill="auto"/>
          </w:tcPr>
          <w:p w14:paraId="4B562400" w14:textId="77777777" w:rsidR="00E976AB" w:rsidRPr="00D83AFA" w:rsidRDefault="00E976AB" w:rsidP="00990918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3" w:type="dxa"/>
            <w:shd w:val="clear" w:color="auto" w:fill="auto"/>
          </w:tcPr>
          <w:p w14:paraId="42AFEBBE" w14:textId="77777777" w:rsidR="00E976AB" w:rsidRPr="00D83AFA" w:rsidRDefault="00E976AB" w:rsidP="00990918">
            <w:pPr>
              <w:pStyle w:val="Normal-pool"/>
              <w:spacing w:before="520"/>
              <w:rPr>
                <w:lang w:val="fr-FR"/>
              </w:rPr>
            </w:pPr>
          </w:p>
        </w:tc>
      </w:tr>
    </w:tbl>
    <w:p w14:paraId="2B4370BF" w14:textId="77777777" w:rsidR="00032E4E" w:rsidRPr="00D83AFA" w:rsidRDefault="00032E4E" w:rsidP="00D013F5">
      <w:pPr>
        <w:pStyle w:val="Normal-pool"/>
        <w:rPr>
          <w:lang w:val="fr-FR"/>
        </w:rPr>
      </w:pPr>
    </w:p>
    <w:sectPr w:rsidR="00032E4E" w:rsidRPr="00D83AFA" w:rsidSect="00C771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ACED6" w14:textId="77777777" w:rsidR="006364F1" w:rsidRDefault="006364F1">
      <w:r>
        <w:separator/>
      </w:r>
    </w:p>
  </w:endnote>
  <w:endnote w:type="continuationSeparator" w:id="0">
    <w:p w14:paraId="431D81E9" w14:textId="77777777" w:rsidR="006364F1" w:rsidRDefault="0063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7AAA8" w14:textId="60145565" w:rsidR="00670FAE" w:rsidRDefault="00670FAE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1535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FA97D" w14:textId="77777777" w:rsidR="00670FAE" w:rsidRDefault="00670FAE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24D77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ED379" w14:textId="0C6DBD7F" w:rsidR="00731576" w:rsidRDefault="00731576">
    <w:pPr>
      <w:pStyle w:val="Footer"/>
    </w:pPr>
    <w:r>
      <w:t>K1</w:t>
    </w:r>
    <w:r w:rsidR="000A7C0C">
      <w:t>9</w:t>
    </w:r>
    <w:r w:rsidR="00A24D77">
      <w:t>0306</w:t>
    </w:r>
    <w:r w:rsidR="000F3B18">
      <w:t>8</w:t>
    </w:r>
    <w:r>
      <w:tab/>
    </w:r>
    <w:r w:rsidR="00391A2D">
      <w:t>1</w:t>
    </w:r>
    <w:r w:rsidR="000F3B18">
      <w:t>10</w:t>
    </w:r>
    <w:r w:rsidR="00391A2D">
      <w:t>9</w:t>
    </w:r>
    <w:r w:rsidR="000A7C0C">
      <w:t>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94925F" w14:textId="77777777" w:rsidR="006364F1" w:rsidRDefault="006364F1" w:rsidP="00D92DE0">
      <w:pPr>
        <w:ind w:left="624"/>
      </w:pPr>
      <w:r>
        <w:separator/>
      </w:r>
    </w:p>
  </w:footnote>
  <w:footnote w:type="continuationSeparator" w:id="0">
    <w:p w14:paraId="5AD9D78C" w14:textId="77777777" w:rsidR="006364F1" w:rsidRDefault="006364F1">
      <w:r>
        <w:continuationSeparator/>
      </w:r>
    </w:p>
  </w:footnote>
  <w:footnote w:id="1">
    <w:p w14:paraId="75C8C1B0" w14:textId="77777777" w:rsidR="00A24D77" w:rsidRPr="007E2D0E" w:rsidRDefault="00A24D77" w:rsidP="00A24D77">
      <w:pPr>
        <w:pStyle w:val="Standard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71"/>
          <w:tab w:val="left" w:pos="2494"/>
          <w:tab w:val="left" w:pos="3061"/>
          <w:tab w:val="left" w:pos="3628"/>
          <w:tab w:val="left" w:pos="4195"/>
          <w:tab w:val="left" w:pos="4762"/>
          <w:tab w:val="left" w:pos="5329"/>
        </w:tabs>
        <w:spacing w:before="20" w:after="40"/>
        <w:ind w:left="1247"/>
        <w:rPr>
          <w:sz w:val="18"/>
          <w:szCs w:val="18"/>
        </w:rPr>
      </w:pPr>
      <w:r w:rsidRPr="007E2D0E">
        <w:rPr>
          <w:sz w:val="18"/>
          <w:szCs w:val="18"/>
          <w:lang w:val="fr-FR"/>
        </w:rPr>
        <w:t>* UNEP/MC/COP.3/1.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B5C0D" w14:textId="1223231C" w:rsidR="00670FAE" w:rsidRPr="00CA5CA9" w:rsidRDefault="00670FAE" w:rsidP="00434321">
    <w:pPr>
      <w:pStyle w:val="Header"/>
      <w:rPr>
        <w:szCs w:val="18"/>
      </w:rPr>
    </w:pPr>
    <w:r w:rsidRPr="00A24D77">
      <w:rPr>
        <w:bCs/>
        <w:szCs w:val="18"/>
      </w:rPr>
      <w:t>UNEP</w:t>
    </w:r>
    <w:r w:rsidRPr="00A24D77">
      <w:rPr>
        <w:szCs w:val="18"/>
      </w:rPr>
      <w:t>/MC/COP.</w:t>
    </w:r>
    <w:r w:rsidR="000A7C0C" w:rsidRPr="00A24D77">
      <w:rPr>
        <w:szCs w:val="18"/>
      </w:rPr>
      <w:t>3</w:t>
    </w:r>
    <w:r w:rsidRPr="00A24D77">
      <w:rPr>
        <w:szCs w:val="18"/>
      </w:rPr>
      <w:t>/</w:t>
    </w:r>
    <w:r w:rsidR="00A24D77" w:rsidRPr="00A24D77">
      <w:rPr>
        <w:szCs w:val="18"/>
      </w:rPr>
      <w:t>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B057D" w14:textId="77777777" w:rsidR="00670FAE" w:rsidRPr="00CA5CA9" w:rsidRDefault="0061535D" w:rsidP="00F7137B">
    <w:pPr>
      <w:pStyle w:val="Header"/>
      <w:jc w:val="right"/>
      <w:rPr>
        <w:szCs w:val="18"/>
      </w:rPr>
    </w:pPr>
    <w:r>
      <w:rPr>
        <w:noProof/>
      </w:rPr>
      <w:pict w14:anchorId="026623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9408393" o:spid="_x0000_s2051" type="#_x0000_t136" style="position:absolute;left:0;text-align:left;margin-left:0;margin-top:0;width:520.65pt;height:148.75pt;rotation:315;z-index:-251658752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ADVANCE"/>
          <w10:wrap anchorx="margin" anchory="margin"/>
        </v:shape>
      </w:pict>
    </w:r>
    <w:r w:rsidR="00670FAE" w:rsidRPr="00CA5CA9">
      <w:rPr>
        <w:bCs/>
        <w:szCs w:val="18"/>
      </w:rPr>
      <w:t>UNEP</w:t>
    </w:r>
    <w:r w:rsidR="00670FAE" w:rsidRPr="00CA5CA9">
      <w:rPr>
        <w:szCs w:val="18"/>
      </w:rPr>
      <w:t>/</w:t>
    </w:r>
    <w:r w:rsidR="00670FAE">
      <w:rPr>
        <w:szCs w:val="18"/>
      </w:rPr>
      <w:t>MC</w:t>
    </w:r>
    <w:r w:rsidR="00670FAE" w:rsidRPr="00CA5CA9">
      <w:rPr>
        <w:szCs w:val="18"/>
      </w:rPr>
      <w:t>/</w:t>
    </w:r>
    <w:r w:rsidR="00670FAE">
      <w:rPr>
        <w:szCs w:val="18"/>
      </w:rPr>
      <w:t>COP.</w:t>
    </w:r>
    <w:r w:rsidR="000A7C0C">
      <w:rPr>
        <w:szCs w:val="18"/>
      </w:rPr>
      <w:t>3</w:t>
    </w:r>
    <w:r w:rsidR="00670FAE" w:rsidRPr="00CA5CA9">
      <w:rPr>
        <w:szCs w:val="18"/>
      </w:rPr>
      <w:t>/</w:t>
    </w:r>
    <w:r w:rsidR="000A7C0C" w:rsidRPr="000A7C0C">
      <w:rPr>
        <w:szCs w:val="18"/>
        <w:highlight w:val="yellow"/>
      </w:rPr>
      <w:t>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A2C61" w14:textId="7AFD94A9" w:rsidR="00670FAE" w:rsidRDefault="00670FAE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4"/>
  </w:num>
  <w:num w:numId="5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6">
    <w:abstractNumId w:val="1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2"/>
  </w:num>
  <w:num w:numId="23">
    <w:abstractNumId w:val="2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 w:comments="0" w:insDel="0" w:formatting="0" w:inkAnnotations="0"/>
  <w:defaultTabStop w:val="624"/>
  <w:hyphenationZone w:val="425"/>
  <w:evenAndOddHeaders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24A3"/>
    <w:rsid w:val="000057BB"/>
    <w:rsid w:val="000077AD"/>
    <w:rsid w:val="0000781D"/>
    <w:rsid w:val="00011A16"/>
    <w:rsid w:val="000149E6"/>
    <w:rsid w:val="00023DA9"/>
    <w:rsid w:val="000247B0"/>
    <w:rsid w:val="00026997"/>
    <w:rsid w:val="00026A08"/>
    <w:rsid w:val="00032E4E"/>
    <w:rsid w:val="00033E0B"/>
    <w:rsid w:val="00035EDE"/>
    <w:rsid w:val="000509B4"/>
    <w:rsid w:val="0006035B"/>
    <w:rsid w:val="0006096F"/>
    <w:rsid w:val="000649C5"/>
    <w:rsid w:val="000656E9"/>
    <w:rsid w:val="00071886"/>
    <w:rsid w:val="000742BC"/>
    <w:rsid w:val="00076CC6"/>
    <w:rsid w:val="00082A0C"/>
    <w:rsid w:val="00083504"/>
    <w:rsid w:val="0009640C"/>
    <w:rsid w:val="000A7C0C"/>
    <w:rsid w:val="000B22A2"/>
    <w:rsid w:val="000B541B"/>
    <w:rsid w:val="000B73F9"/>
    <w:rsid w:val="000C2A52"/>
    <w:rsid w:val="000C2A88"/>
    <w:rsid w:val="000D33C0"/>
    <w:rsid w:val="000D4CF6"/>
    <w:rsid w:val="000D6941"/>
    <w:rsid w:val="000F3B18"/>
    <w:rsid w:val="000F4829"/>
    <w:rsid w:val="000F6B21"/>
    <w:rsid w:val="00102EFB"/>
    <w:rsid w:val="001202E3"/>
    <w:rsid w:val="00123699"/>
    <w:rsid w:val="001241FB"/>
    <w:rsid w:val="0013059D"/>
    <w:rsid w:val="00136187"/>
    <w:rsid w:val="00141A55"/>
    <w:rsid w:val="0014293F"/>
    <w:rsid w:val="0014397D"/>
    <w:rsid w:val="001446A3"/>
    <w:rsid w:val="00152B6B"/>
    <w:rsid w:val="00155395"/>
    <w:rsid w:val="00155A2F"/>
    <w:rsid w:val="00156B6B"/>
    <w:rsid w:val="00160D74"/>
    <w:rsid w:val="001646EA"/>
    <w:rsid w:val="00167D02"/>
    <w:rsid w:val="001759D8"/>
    <w:rsid w:val="00177D7F"/>
    <w:rsid w:val="00180C3F"/>
    <w:rsid w:val="00181EC8"/>
    <w:rsid w:val="00184349"/>
    <w:rsid w:val="00195F33"/>
    <w:rsid w:val="001A47E5"/>
    <w:rsid w:val="001B1617"/>
    <w:rsid w:val="001B3EE0"/>
    <w:rsid w:val="001B504B"/>
    <w:rsid w:val="001B6F98"/>
    <w:rsid w:val="001C191A"/>
    <w:rsid w:val="001D3874"/>
    <w:rsid w:val="001D7E75"/>
    <w:rsid w:val="001E0D73"/>
    <w:rsid w:val="001E45BD"/>
    <w:rsid w:val="001E56D2"/>
    <w:rsid w:val="001E7D56"/>
    <w:rsid w:val="001F5186"/>
    <w:rsid w:val="001F75DE"/>
    <w:rsid w:val="00200D58"/>
    <w:rsid w:val="002011C1"/>
    <w:rsid w:val="002013BE"/>
    <w:rsid w:val="00201EDC"/>
    <w:rsid w:val="002024D4"/>
    <w:rsid w:val="002063A4"/>
    <w:rsid w:val="0021145B"/>
    <w:rsid w:val="00220C23"/>
    <w:rsid w:val="002247F6"/>
    <w:rsid w:val="00225E21"/>
    <w:rsid w:val="00225E44"/>
    <w:rsid w:val="00234E78"/>
    <w:rsid w:val="00243D36"/>
    <w:rsid w:val="00246151"/>
    <w:rsid w:val="00247707"/>
    <w:rsid w:val="00252456"/>
    <w:rsid w:val="0026018E"/>
    <w:rsid w:val="00284666"/>
    <w:rsid w:val="00286740"/>
    <w:rsid w:val="00291EAE"/>
    <w:rsid w:val="002929D8"/>
    <w:rsid w:val="002A237D"/>
    <w:rsid w:val="002A4C53"/>
    <w:rsid w:val="002B0672"/>
    <w:rsid w:val="002B247F"/>
    <w:rsid w:val="002B50D4"/>
    <w:rsid w:val="002B58BF"/>
    <w:rsid w:val="002C145D"/>
    <w:rsid w:val="002C2C3E"/>
    <w:rsid w:val="002C533E"/>
    <w:rsid w:val="002C59D4"/>
    <w:rsid w:val="002D027F"/>
    <w:rsid w:val="002D3E15"/>
    <w:rsid w:val="002D4BF6"/>
    <w:rsid w:val="002D7A85"/>
    <w:rsid w:val="002D7B60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D38"/>
    <w:rsid w:val="00326EF7"/>
    <w:rsid w:val="0035277E"/>
    <w:rsid w:val="00355EA9"/>
    <w:rsid w:val="003578DE"/>
    <w:rsid w:val="00361688"/>
    <w:rsid w:val="00380921"/>
    <w:rsid w:val="003877D5"/>
    <w:rsid w:val="00391A2D"/>
    <w:rsid w:val="003929B8"/>
    <w:rsid w:val="00393432"/>
    <w:rsid w:val="00396257"/>
    <w:rsid w:val="00397EB8"/>
    <w:rsid w:val="003A4FD0"/>
    <w:rsid w:val="003A69D1"/>
    <w:rsid w:val="003A7705"/>
    <w:rsid w:val="003A77F1"/>
    <w:rsid w:val="003B1545"/>
    <w:rsid w:val="003B30B0"/>
    <w:rsid w:val="003C230D"/>
    <w:rsid w:val="003C3219"/>
    <w:rsid w:val="003C409D"/>
    <w:rsid w:val="003C4544"/>
    <w:rsid w:val="003C5583"/>
    <w:rsid w:val="003C5BA6"/>
    <w:rsid w:val="003C74CF"/>
    <w:rsid w:val="003D1526"/>
    <w:rsid w:val="003D3752"/>
    <w:rsid w:val="003E35DA"/>
    <w:rsid w:val="003E455D"/>
    <w:rsid w:val="003F0E85"/>
    <w:rsid w:val="003F3F11"/>
    <w:rsid w:val="00410C55"/>
    <w:rsid w:val="00416854"/>
    <w:rsid w:val="00417725"/>
    <w:rsid w:val="00420827"/>
    <w:rsid w:val="00421782"/>
    <w:rsid w:val="0042266F"/>
    <w:rsid w:val="00434321"/>
    <w:rsid w:val="00437F26"/>
    <w:rsid w:val="00444097"/>
    <w:rsid w:val="00445487"/>
    <w:rsid w:val="00447E0D"/>
    <w:rsid w:val="00453EA8"/>
    <w:rsid w:val="00454769"/>
    <w:rsid w:val="00466991"/>
    <w:rsid w:val="0047064C"/>
    <w:rsid w:val="004822B7"/>
    <w:rsid w:val="0049469E"/>
    <w:rsid w:val="004A2217"/>
    <w:rsid w:val="004A24F9"/>
    <w:rsid w:val="004A42E1"/>
    <w:rsid w:val="004B162C"/>
    <w:rsid w:val="004B2ABE"/>
    <w:rsid w:val="004C3DBE"/>
    <w:rsid w:val="004C5C96"/>
    <w:rsid w:val="004D06A4"/>
    <w:rsid w:val="004F1A81"/>
    <w:rsid w:val="004F5D88"/>
    <w:rsid w:val="00501354"/>
    <w:rsid w:val="005050D2"/>
    <w:rsid w:val="005218D9"/>
    <w:rsid w:val="00536186"/>
    <w:rsid w:val="00544CBB"/>
    <w:rsid w:val="00551B65"/>
    <w:rsid w:val="00556704"/>
    <w:rsid w:val="005656D7"/>
    <w:rsid w:val="0057315F"/>
    <w:rsid w:val="00576104"/>
    <w:rsid w:val="00585175"/>
    <w:rsid w:val="00586418"/>
    <w:rsid w:val="00592B21"/>
    <w:rsid w:val="005B2DF4"/>
    <w:rsid w:val="005B44BF"/>
    <w:rsid w:val="005C5B32"/>
    <w:rsid w:val="005C67C8"/>
    <w:rsid w:val="005D0249"/>
    <w:rsid w:val="005D18FA"/>
    <w:rsid w:val="005D4FD4"/>
    <w:rsid w:val="005D5696"/>
    <w:rsid w:val="005D69A5"/>
    <w:rsid w:val="005D6E8C"/>
    <w:rsid w:val="005E3004"/>
    <w:rsid w:val="005F100C"/>
    <w:rsid w:val="005F68DA"/>
    <w:rsid w:val="005F7419"/>
    <w:rsid w:val="00601BC9"/>
    <w:rsid w:val="0060773B"/>
    <w:rsid w:val="00613FD6"/>
    <w:rsid w:val="0061535D"/>
    <w:rsid w:val="006157B5"/>
    <w:rsid w:val="00617224"/>
    <w:rsid w:val="00626FC6"/>
    <w:rsid w:val="006303B4"/>
    <w:rsid w:val="00630ADC"/>
    <w:rsid w:val="00633D3D"/>
    <w:rsid w:val="006364F1"/>
    <w:rsid w:val="00641703"/>
    <w:rsid w:val="006431A6"/>
    <w:rsid w:val="00643E3A"/>
    <w:rsid w:val="006459F6"/>
    <w:rsid w:val="006501AD"/>
    <w:rsid w:val="00651BFA"/>
    <w:rsid w:val="00654475"/>
    <w:rsid w:val="00656DF0"/>
    <w:rsid w:val="00665A4B"/>
    <w:rsid w:val="00670FAE"/>
    <w:rsid w:val="00692019"/>
    <w:rsid w:val="00692E2A"/>
    <w:rsid w:val="0069496A"/>
    <w:rsid w:val="00696C1C"/>
    <w:rsid w:val="006A76F2"/>
    <w:rsid w:val="006B7D29"/>
    <w:rsid w:val="006D19D4"/>
    <w:rsid w:val="006D5644"/>
    <w:rsid w:val="006D7EFB"/>
    <w:rsid w:val="006E413F"/>
    <w:rsid w:val="006E6672"/>
    <w:rsid w:val="006E6722"/>
    <w:rsid w:val="006F7AFF"/>
    <w:rsid w:val="007027B9"/>
    <w:rsid w:val="007066B5"/>
    <w:rsid w:val="007145DA"/>
    <w:rsid w:val="00715E88"/>
    <w:rsid w:val="00716D8B"/>
    <w:rsid w:val="00731576"/>
    <w:rsid w:val="00734CAA"/>
    <w:rsid w:val="00740EE2"/>
    <w:rsid w:val="00742680"/>
    <w:rsid w:val="0075533C"/>
    <w:rsid w:val="00755A18"/>
    <w:rsid w:val="00757581"/>
    <w:rsid w:val="007602F5"/>
    <w:rsid w:val="00760D36"/>
    <w:rsid w:val="007611A0"/>
    <w:rsid w:val="00772574"/>
    <w:rsid w:val="00773E54"/>
    <w:rsid w:val="00781A3F"/>
    <w:rsid w:val="00785156"/>
    <w:rsid w:val="00787688"/>
    <w:rsid w:val="007935E6"/>
    <w:rsid w:val="00796D3F"/>
    <w:rsid w:val="007A1683"/>
    <w:rsid w:val="007A5C12"/>
    <w:rsid w:val="007A7CB0"/>
    <w:rsid w:val="007B68A3"/>
    <w:rsid w:val="007C0306"/>
    <w:rsid w:val="007C2541"/>
    <w:rsid w:val="007C3EED"/>
    <w:rsid w:val="007C4FAB"/>
    <w:rsid w:val="007D66A8"/>
    <w:rsid w:val="007E003F"/>
    <w:rsid w:val="007E2D0E"/>
    <w:rsid w:val="007F0CF8"/>
    <w:rsid w:val="007F34C5"/>
    <w:rsid w:val="007F5E1B"/>
    <w:rsid w:val="007F62CB"/>
    <w:rsid w:val="008142EC"/>
    <w:rsid w:val="008164F2"/>
    <w:rsid w:val="00821395"/>
    <w:rsid w:val="00830E26"/>
    <w:rsid w:val="00834368"/>
    <w:rsid w:val="0083441A"/>
    <w:rsid w:val="00843576"/>
    <w:rsid w:val="00843B64"/>
    <w:rsid w:val="00845261"/>
    <w:rsid w:val="008478FC"/>
    <w:rsid w:val="00851C51"/>
    <w:rsid w:val="008538F7"/>
    <w:rsid w:val="00867BFF"/>
    <w:rsid w:val="00871542"/>
    <w:rsid w:val="00872BF6"/>
    <w:rsid w:val="0088480A"/>
    <w:rsid w:val="0088757A"/>
    <w:rsid w:val="0089431B"/>
    <w:rsid w:val="00895668"/>
    <w:rsid w:val="008957DD"/>
    <w:rsid w:val="00897D98"/>
    <w:rsid w:val="008A6DF2"/>
    <w:rsid w:val="008A7807"/>
    <w:rsid w:val="008B4CC9"/>
    <w:rsid w:val="008C0B15"/>
    <w:rsid w:val="008D75E4"/>
    <w:rsid w:val="008D7C99"/>
    <w:rsid w:val="008E0FCB"/>
    <w:rsid w:val="008F6DFE"/>
    <w:rsid w:val="0090529F"/>
    <w:rsid w:val="0092178C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486C"/>
    <w:rsid w:val="00966A53"/>
    <w:rsid w:val="00967621"/>
    <w:rsid w:val="00967E6A"/>
    <w:rsid w:val="00970572"/>
    <w:rsid w:val="009907B9"/>
    <w:rsid w:val="00990918"/>
    <w:rsid w:val="009A3A83"/>
    <w:rsid w:val="009B4A0F"/>
    <w:rsid w:val="009B6072"/>
    <w:rsid w:val="009C11D2"/>
    <w:rsid w:val="009C6C70"/>
    <w:rsid w:val="009C7B0A"/>
    <w:rsid w:val="009D0B63"/>
    <w:rsid w:val="009D5CB8"/>
    <w:rsid w:val="009E307E"/>
    <w:rsid w:val="00A04565"/>
    <w:rsid w:val="00A07870"/>
    <w:rsid w:val="00A07C54"/>
    <w:rsid w:val="00A07F19"/>
    <w:rsid w:val="00A10ABB"/>
    <w:rsid w:val="00A1348D"/>
    <w:rsid w:val="00A13C99"/>
    <w:rsid w:val="00A232EE"/>
    <w:rsid w:val="00A24D77"/>
    <w:rsid w:val="00A4175F"/>
    <w:rsid w:val="00A44411"/>
    <w:rsid w:val="00A469FA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A5BF4"/>
    <w:rsid w:val="00AB5340"/>
    <w:rsid w:val="00AC0A89"/>
    <w:rsid w:val="00AC6501"/>
    <w:rsid w:val="00AC7C96"/>
    <w:rsid w:val="00AD3593"/>
    <w:rsid w:val="00AE0812"/>
    <w:rsid w:val="00AE237D"/>
    <w:rsid w:val="00AE4103"/>
    <w:rsid w:val="00AE502A"/>
    <w:rsid w:val="00AF0010"/>
    <w:rsid w:val="00AF1AA8"/>
    <w:rsid w:val="00AF2C1F"/>
    <w:rsid w:val="00AF7C07"/>
    <w:rsid w:val="00B06C64"/>
    <w:rsid w:val="00B07D8E"/>
    <w:rsid w:val="00B11CAC"/>
    <w:rsid w:val="00B15A29"/>
    <w:rsid w:val="00B22C93"/>
    <w:rsid w:val="00B27589"/>
    <w:rsid w:val="00B405B7"/>
    <w:rsid w:val="00B41C8A"/>
    <w:rsid w:val="00B468C0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79E1"/>
    <w:rsid w:val="00B81E3A"/>
    <w:rsid w:val="00B85CFB"/>
    <w:rsid w:val="00B9017E"/>
    <w:rsid w:val="00B914E9"/>
    <w:rsid w:val="00B91EE1"/>
    <w:rsid w:val="00B94602"/>
    <w:rsid w:val="00BA0090"/>
    <w:rsid w:val="00BA1A67"/>
    <w:rsid w:val="00BA29DF"/>
    <w:rsid w:val="00BA6A80"/>
    <w:rsid w:val="00BB4ABB"/>
    <w:rsid w:val="00BC62BA"/>
    <w:rsid w:val="00BE5B5F"/>
    <w:rsid w:val="00BE7993"/>
    <w:rsid w:val="00BE7FD0"/>
    <w:rsid w:val="00C11971"/>
    <w:rsid w:val="00C146DD"/>
    <w:rsid w:val="00C179DE"/>
    <w:rsid w:val="00C26F55"/>
    <w:rsid w:val="00C30C63"/>
    <w:rsid w:val="00C30FF3"/>
    <w:rsid w:val="00C34D5C"/>
    <w:rsid w:val="00C36B8B"/>
    <w:rsid w:val="00C415C1"/>
    <w:rsid w:val="00C47DBF"/>
    <w:rsid w:val="00C51041"/>
    <w:rsid w:val="00C552FF"/>
    <w:rsid w:val="00C558DA"/>
    <w:rsid w:val="00C55AF3"/>
    <w:rsid w:val="00C771A9"/>
    <w:rsid w:val="00C82943"/>
    <w:rsid w:val="00C84759"/>
    <w:rsid w:val="00C93096"/>
    <w:rsid w:val="00CA5CA9"/>
    <w:rsid w:val="00CA6C7F"/>
    <w:rsid w:val="00CB007D"/>
    <w:rsid w:val="00CB60CA"/>
    <w:rsid w:val="00CC0FC7"/>
    <w:rsid w:val="00CC10A6"/>
    <w:rsid w:val="00CD5EB8"/>
    <w:rsid w:val="00CD7044"/>
    <w:rsid w:val="00CE08B9"/>
    <w:rsid w:val="00CE3515"/>
    <w:rsid w:val="00CE524C"/>
    <w:rsid w:val="00CF141F"/>
    <w:rsid w:val="00CF4777"/>
    <w:rsid w:val="00CF65C8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2696C"/>
    <w:rsid w:val="00D44172"/>
    <w:rsid w:val="00D47BE3"/>
    <w:rsid w:val="00D63B8C"/>
    <w:rsid w:val="00D739CC"/>
    <w:rsid w:val="00D806F9"/>
    <w:rsid w:val="00D8093D"/>
    <w:rsid w:val="00D8108C"/>
    <w:rsid w:val="00D83AFA"/>
    <w:rsid w:val="00D842AE"/>
    <w:rsid w:val="00D846BB"/>
    <w:rsid w:val="00D9211C"/>
    <w:rsid w:val="00D92DE0"/>
    <w:rsid w:val="00D92FEF"/>
    <w:rsid w:val="00D931F9"/>
    <w:rsid w:val="00D93A0F"/>
    <w:rsid w:val="00DA1BCA"/>
    <w:rsid w:val="00DA3663"/>
    <w:rsid w:val="00DC274A"/>
    <w:rsid w:val="00DC46FF"/>
    <w:rsid w:val="00DC5254"/>
    <w:rsid w:val="00DC569D"/>
    <w:rsid w:val="00DD1A4F"/>
    <w:rsid w:val="00DD3107"/>
    <w:rsid w:val="00DD7C2C"/>
    <w:rsid w:val="00DE5BDA"/>
    <w:rsid w:val="00DF433C"/>
    <w:rsid w:val="00DF519F"/>
    <w:rsid w:val="00E0035A"/>
    <w:rsid w:val="00E06797"/>
    <w:rsid w:val="00E1265B"/>
    <w:rsid w:val="00E12E09"/>
    <w:rsid w:val="00E13B48"/>
    <w:rsid w:val="00E1404F"/>
    <w:rsid w:val="00E21C83"/>
    <w:rsid w:val="00E24ADA"/>
    <w:rsid w:val="00E32F59"/>
    <w:rsid w:val="00E41908"/>
    <w:rsid w:val="00E46D9A"/>
    <w:rsid w:val="00E524A3"/>
    <w:rsid w:val="00E565FF"/>
    <w:rsid w:val="00E65388"/>
    <w:rsid w:val="00E6698D"/>
    <w:rsid w:val="00E7741D"/>
    <w:rsid w:val="00E808CD"/>
    <w:rsid w:val="00E8348F"/>
    <w:rsid w:val="00E85B7D"/>
    <w:rsid w:val="00E86B4E"/>
    <w:rsid w:val="00E9121B"/>
    <w:rsid w:val="00E9302E"/>
    <w:rsid w:val="00E976AB"/>
    <w:rsid w:val="00EA0AE2"/>
    <w:rsid w:val="00EA39E5"/>
    <w:rsid w:val="00EA57A3"/>
    <w:rsid w:val="00EC2813"/>
    <w:rsid w:val="00EC5A46"/>
    <w:rsid w:val="00EC63E2"/>
    <w:rsid w:val="00EC781A"/>
    <w:rsid w:val="00ED0225"/>
    <w:rsid w:val="00ED366A"/>
    <w:rsid w:val="00ED6BB7"/>
    <w:rsid w:val="00EF22B3"/>
    <w:rsid w:val="00F03B69"/>
    <w:rsid w:val="00F07A50"/>
    <w:rsid w:val="00F113DA"/>
    <w:rsid w:val="00F266FC"/>
    <w:rsid w:val="00F3037A"/>
    <w:rsid w:val="00F3465A"/>
    <w:rsid w:val="00F37DC8"/>
    <w:rsid w:val="00F439B3"/>
    <w:rsid w:val="00F5717D"/>
    <w:rsid w:val="00F650C3"/>
    <w:rsid w:val="00F65D85"/>
    <w:rsid w:val="00F6700B"/>
    <w:rsid w:val="00F7137B"/>
    <w:rsid w:val="00F8091E"/>
    <w:rsid w:val="00F8615C"/>
    <w:rsid w:val="00F969E5"/>
    <w:rsid w:val="00F96F7E"/>
    <w:rsid w:val="00FA4972"/>
    <w:rsid w:val="00FA6BB0"/>
    <w:rsid w:val="00FB2DBD"/>
    <w:rsid w:val="00FD4101"/>
    <w:rsid w:val="00FD48DF"/>
    <w:rsid w:val="00FD5860"/>
    <w:rsid w:val="00FE352D"/>
    <w:rsid w:val="00FE40EB"/>
    <w:rsid w:val="00FE4D02"/>
    <w:rsid w:val="00FE7D62"/>
    <w:rsid w:val="00FF0DA0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BDAA688"/>
  <w15:docId w15:val="{88933E7C-0AB0-4F52-A3DE-78B5D534C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0656E9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0656E9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0656E9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0656E9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0656E9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BBTitleChar">
    <w:name w:val="BB_Title Char"/>
    <w:link w:val="BBTitle"/>
    <w:rsid w:val="00A24D77"/>
    <w:rPr>
      <w:b/>
      <w:sz w:val="28"/>
      <w:szCs w:val="28"/>
      <w:lang w:eastAsia="en-US"/>
    </w:rPr>
  </w:style>
  <w:style w:type="character" w:customStyle="1" w:styleId="CH2Char">
    <w:name w:val="CH2 Char"/>
    <w:link w:val="CH2"/>
    <w:locked/>
    <w:rsid w:val="00A24D77"/>
    <w:rPr>
      <w:b/>
      <w:sz w:val="24"/>
      <w:szCs w:val="24"/>
      <w:lang w:eastAsia="en-US"/>
    </w:rPr>
  </w:style>
  <w:style w:type="character" w:customStyle="1" w:styleId="NormalnumberChar">
    <w:name w:val="Normal_number Char"/>
    <w:link w:val="Normalnumber"/>
    <w:locked/>
    <w:rsid w:val="00A24D77"/>
    <w:rPr>
      <w:lang w:eastAsia="en-US"/>
    </w:rPr>
  </w:style>
  <w:style w:type="paragraph" w:customStyle="1" w:styleId="Standard">
    <w:name w:val="Standard"/>
    <w:rsid w:val="00A24D77"/>
    <w:pPr>
      <w:tabs>
        <w:tab w:val="left" w:pos="1247"/>
        <w:tab w:val="left" w:pos="1814"/>
        <w:tab w:val="left" w:pos="2381"/>
        <w:tab w:val="left" w:pos="2948"/>
        <w:tab w:val="left" w:pos="3515"/>
      </w:tabs>
      <w:suppressAutoHyphens/>
      <w:autoSpaceDN w:val="0"/>
      <w:textAlignment w:val="baseline"/>
    </w:pPr>
    <w:rPr>
      <w:kern w:val="3"/>
      <w:lang w:eastAsia="en-US"/>
    </w:rPr>
  </w:style>
  <w:style w:type="numbering" w:customStyle="1" w:styleId="WWNum25">
    <w:name w:val="WWNum25"/>
    <w:basedOn w:val="NoList"/>
    <w:rsid w:val="00A24D77"/>
    <w:pPr>
      <w:numPr>
        <w:numId w:val="22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C23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rcuryconvention.org/Meetings/Intersessionalwork/tabid/7857/language/fr-FR/Default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2CC7A-0DC0-483A-AF75-332965BAB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Herimalala Raveloarinjato</cp:lastModifiedBy>
  <cp:revision>3</cp:revision>
  <cp:lastPrinted>2019-09-11T11:54:00Z</cp:lastPrinted>
  <dcterms:created xsi:type="dcterms:W3CDTF">2019-09-11T11:54:00Z</dcterms:created>
  <dcterms:modified xsi:type="dcterms:W3CDTF">2019-09-11T11:55:00Z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diane.belud</vt:lpwstr>
  </property>
  <property fmtid="{D5CDD505-2E9C-101B-9397-08002B2CF9AE}" pid="4" name="GeneratedDate">
    <vt:lpwstr>7/24/2019 11:42:56 AM</vt:lpwstr>
  </property>
  <property fmtid="{D5CDD505-2E9C-101B-9397-08002B2CF9AE}" pid="5" name="OriginalDocID">
    <vt:lpwstr>7e09ef28-b77f-403e-8e94-1308ed348e12</vt:lpwstr>
  </property>
</Properties>
</file>