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A24D77">
        <w:trPr>
          <w:cantSplit/>
          <w:trHeight w:val="57"/>
          <w:jc w:val="right"/>
        </w:trPr>
        <w:tc>
          <w:tcPr>
            <w:tcW w:w="1550" w:type="dxa"/>
          </w:tcPr>
          <w:p w14:paraId="2A9B9F9D" w14:textId="5E7D4162"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00F96F7E">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A24D77">
        <w:trPr>
          <w:cantSplit/>
          <w:trHeight w:val="57"/>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1701CA9B" w:rsidR="00032E4E" w:rsidRPr="00D25175" w:rsidRDefault="00032E4E" w:rsidP="00434321">
            <w:pPr>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0A7C0C">
              <w:t>3</w:t>
            </w:r>
            <w:r w:rsidRPr="00D25175">
              <w:t>/</w:t>
            </w:r>
            <w:r w:rsidR="00D013F5" w:rsidRPr="00D25175">
              <w:t>1</w:t>
            </w:r>
            <w:r w:rsidR="00AC6501">
              <w:t>2</w:t>
            </w:r>
          </w:p>
        </w:tc>
      </w:tr>
      <w:bookmarkStart w:id="2" w:name="_MON_1021710510"/>
      <w:bookmarkEnd w:id="2"/>
      <w:bookmarkStart w:id="3" w:name="_MON_1021710482"/>
      <w:bookmarkEnd w:id="3"/>
      <w:tr w:rsidR="00032E4E" w:rsidRPr="00D25175" w14:paraId="34AA74B4" w14:textId="77777777" w:rsidTr="00A24D77">
        <w:trPr>
          <w:cantSplit/>
          <w:trHeight w:val="57"/>
          <w:jc w:val="right"/>
        </w:trPr>
        <w:tc>
          <w:tcPr>
            <w:tcW w:w="1550" w:type="dxa"/>
            <w:tcBorders>
              <w:top w:val="single" w:sz="4" w:space="0" w:color="auto"/>
              <w:bottom w:val="single" w:sz="24" w:space="0" w:color="auto"/>
            </w:tcBorders>
          </w:tcPr>
          <w:p w14:paraId="02CDC318" w14:textId="77777777" w:rsidR="00032E4E" w:rsidRPr="00D25175" w:rsidRDefault="00032E4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60.35pt" o:ole="" fillcolor="window">
                  <v:imagedata r:id="rId8" o:title=""/>
                </v:shape>
                <o:OLEObject Type="Embed" ProgID="Word.Picture.8" ShapeID="_x0000_i1025" DrawAspect="Content" ObjectID="_1629198502" r:id="rId9"/>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04BCE9A0" w:rsidR="00032E4E" w:rsidRPr="00D25175" w:rsidRDefault="00032E4E" w:rsidP="00434321">
            <w:pPr>
              <w:spacing w:before="120"/>
            </w:pPr>
            <w:r w:rsidRPr="00D25175">
              <w:t>Distr.: General</w:t>
            </w:r>
            <w:r w:rsidR="005B2DF4">
              <w:t xml:space="preserve"> </w:t>
            </w:r>
            <w:r w:rsidR="00F96F7E">
              <w:br/>
            </w:r>
            <w:r w:rsidR="00A24D77">
              <w:t>15 July</w:t>
            </w:r>
            <w:r w:rsidR="000A7C0C">
              <w:t xml:space="preserve"> </w:t>
            </w:r>
            <w:r w:rsidR="0042266F" w:rsidRPr="00D25175">
              <w:t>201</w:t>
            </w:r>
            <w:r w:rsidR="000A7C0C">
              <w:t>9</w:t>
            </w:r>
          </w:p>
          <w:p w14:paraId="1A75CF9D" w14:textId="77777777" w:rsidR="00032E4E" w:rsidRPr="00D25175" w:rsidRDefault="00032E4E" w:rsidP="00023DA9">
            <w:pPr>
              <w:spacing w:before="240"/>
            </w:pPr>
            <w:r w:rsidRPr="00D25175">
              <w:t>Original: English</w:t>
            </w:r>
          </w:p>
        </w:tc>
      </w:tr>
    </w:tbl>
    <w:p w14:paraId="0A4BFFDA" w14:textId="30575E0E"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proofErr w:type="spellStart"/>
      <w:r w:rsidR="00787688" w:rsidRPr="00D25175">
        <w:t>Minamata</w:t>
      </w:r>
      <w:proofErr w:type="spellEnd"/>
      <w:r w:rsidR="00787688" w:rsidRPr="00D25175">
        <w:t xml:space="preserve"> Convention on Mercury</w:t>
      </w:r>
    </w:p>
    <w:p w14:paraId="26A6CAA0" w14:textId="65393398" w:rsidR="00E976AB" w:rsidRPr="00D25175" w:rsidRDefault="00F96F7E" w:rsidP="00E976AB">
      <w:pPr>
        <w:pStyle w:val="AATitle"/>
        <w:keepNext w:val="0"/>
        <w:keepLines w:val="0"/>
      </w:pPr>
      <w:r>
        <w:t>Third</w:t>
      </w:r>
      <w:r w:rsidR="00787688" w:rsidRPr="00D25175">
        <w:t xml:space="preserve"> meeting</w:t>
      </w:r>
      <w:bookmarkStart w:id="4" w:name="_GoBack"/>
      <w:bookmarkEnd w:id="4"/>
    </w:p>
    <w:p w14:paraId="67B82F12" w14:textId="613AD200" w:rsidR="00787688" w:rsidRPr="00D25175" w:rsidRDefault="00787688" w:rsidP="00434321">
      <w:pPr>
        <w:pStyle w:val="AATitle"/>
      </w:pPr>
      <w:r w:rsidRPr="00D25175">
        <w:rPr>
          <w:b w:val="0"/>
        </w:rPr>
        <w:t>Geneva</w:t>
      </w:r>
      <w:r w:rsidR="00E976AB" w:rsidRPr="00D25175">
        <w:rPr>
          <w:b w:val="0"/>
        </w:rPr>
        <w:t xml:space="preserve">, </w:t>
      </w:r>
      <w:r w:rsidR="000A7C0C">
        <w:rPr>
          <w:b w:val="0"/>
        </w:rPr>
        <w:t>25</w:t>
      </w:r>
      <w:r w:rsidR="00325D38" w:rsidRPr="00D25175">
        <w:rPr>
          <w:b w:val="0"/>
        </w:rPr>
        <w:t>–</w:t>
      </w:r>
      <w:r w:rsidR="000A7C0C">
        <w:rPr>
          <w:b w:val="0"/>
        </w:rPr>
        <w:t>29</w:t>
      </w:r>
      <w:r w:rsidR="00325D38" w:rsidRPr="00D25175">
        <w:rPr>
          <w:b w:val="0"/>
        </w:rPr>
        <w:t xml:space="preserve"> </w:t>
      </w:r>
      <w:r w:rsidR="00434321">
        <w:rPr>
          <w:b w:val="0"/>
        </w:rPr>
        <w:t>November 201</w:t>
      </w:r>
      <w:r w:rsidR="000A7C0C">
        <w:rPr>
          <w:b w:val="0"/>
        </w:rPr>
        <w:t>9</w:t>
      </w:r>
    </w:p>
    <w:p w14:paraId="5DA24A29" w14:textId="77777777" w:rsidR="00A24D77" w:rsidRDefault="00A24D77" w:rsidP="00A24D77">
      <w:pPr>
        <w:pStyle w:val="AATitle"/>
      </w:pPr>
      <w:r>
        <w:rPr>
          <w:b w:val="0"/>
        </w:rPr>
        <w:t>Item 5 (f) of the provisional agenda</w:t>
      </w:r>
      <w:r w:rsidRPr="00FC51B1">
        <w:rPr>
          <w:rStyle w:val="FootnoteReference"/>
          <w:vertAlign w:val="baseline"/>
        </w:rPr>
        <w:footnoteReference w:customMarkFollows="1" w:id="1"/>
        <w:t>*</w:t>
      </w:r>
    </w:p>
    <w:p w14:paraId="3603EA8D" w14:textId="77777777" w:rsidR="00A24D77" w:rsidRPr="00D25175" w:rsidRDefault="00A24D77" w:rsidP="00A24D77">
      <w:pPr>
        <w:pStyle w:val="AATitle2"/>
        <w:spacing w:before="60"/>
      </w:pPr>
      <w:r>
        <w:t xml:space="preserve">Matters for consideration or action by the </w:t>
      </w:r>
      <w:r>
        <w:br/>
        <w:t xml:space="preserve">Conference of the Parties: capacity-building, </w:t>
      </w:r>
      <w:r>
        <w:br/>
        <w:t>technical assistance and technology transfer</w:t>
      </w:r>
      <w:r w:rsidRPr="00FC51B1">
        <w:t xml:space="preserve"> </w:t>
      </w:r>
    </w:p>
    <w:p w14:paraId="4F49FB6A" w14:textId="4C946B1A" w:rsidR="00A24D77" w:rsidRPr="0096486C" w:rsidRDefault="00A24D77" w:rsidP="00A24D77">
      <w:pPr>
        <w:pStyle w:val="BBTitle"/>
      </w:pPr>
      <w:r>
        <w:t xml:space="preserve">Information </w:t>
      </w:r>
      <w:r w:rsidRPr="0096486C">
        <w:t xml:space="preserve">received from existing regional, sub-regional and national arrangements on their capacity-building and technical assistance to support </w:t>
      </w:r>
      <w:r w:rsidR="00AE4103" w:rsidRPr="0096486C">
        <w:t>p</w:t>
      </w:r>
      <w:r w:rsidRPr="0096486C">
        <w:t xml:space="preserve">arties in implementing their obligations under the </w:t>
      </w:r>
      <w:proofErr w:type="spellStart"/>
      <w:r w:rsidRPr="0096486C">
        <w:t>Minamata</w:t>
      </w:r>
      <w:proofErr w:type="spellEnd"/>
      <w:r w:rsidRPr="0096486C">
        <w:t xml:space="preserve"> Convention</w:t>
      </w:r>
    </w:p>
    <w:p w14:paraId="643EE354" w14:textId="77777777" w:rsidR="00A24D77" w:rsidRPr="0096486C" w:rsidRDefault="00A24D77" w:rsidP="00A24D77">
      <w:pPr>
        <w:pStyle w:val="CH2"/>
        <w:spacing w:before="240"/>
      </w:pPr>
      <w:r w:rsidRPr="0096486C">
        <w:tab/>
      </w:r>
      <w:r w:rsidRPr="0096486C">
        <w:tab/>
        <w:t>Note by the secretariat</w:t>
      </w:r>
    </w:p>
    <w:p w14:paraId="5BA3F4D7" w14:textId="608908E1" w:rsidR="00A24D77" w:rsidRDefault="00A24D77" w:rsidP="00A24D77">
      <w:pPr>
        <w:pStyle w:val="Normalnumber"/>
        <w:numPr>
          <w:ilvl w:val="0"/>
          <w:numId w:val="23"/>
        </w:numPr>
        <w:tabs>
          <w:tab w:val="clear" w:pos="1247"/>
          <w:tab w:val="clear" w:pos="1814"/>
          <w:tab w:val="clear" w:pos="2381"/>
          <w:tab w:val="clear" w:pos="2948"/>
          <w:tab w:val="clear" w:pos="3515"/>
          <w:tab w:val="clear" w:pos="4082"/>
          <w:tab w:val="left" w:pos="624"/>
        </w:tabs>
      </w:pPr>
      <w:r w:rsidRPr="0096486C">
        <w:t xml:space="preserve">At </w:t>
      </w:r>
      <w:r w:rsidR="00420827" w:rsidRPr="0096486C">
        <w:t xml:space="preserve">its </w:t>
      </w:r>
      <w:r w:rsidRPr="0096486C">
        <w:t>second meeting</w:t>
      </w:r>
      <w:r w:rsidR="00420827" w:rsidRPr="0096486C">
        <w:t>,</w:t>
      </w:r>
      <w:r w:rsidRPr="0096486C">
        <w:t xml:space="preserve"> the Conference of the Parties</w:t>
      </w:r>
      <w:r w:rsidR="00420827" w:rsidRPr="0096486C">
        <w:t xml:space="preserve"> </w:t>
      </w:r>
      <w:r w:rsidR="00FD4101" w:rsidRPr="0096486C">
        <w:t xml:space="preserve">to the </w:t>
      </w:r>
      <w:proofErr w:type="spellStart"/>
      <w:r w:rsidR="00FD4101" w:rsidRPr="0096486C">
        <w:t>Minamata</w:t>
      </w:r>
      <w:proofErr w:type="spellEnd"/>
      <w:r w:rsidR="00FD4101" w:rsidRPr="0096486C">
        <w:t xml:space="preserve"> Convention on Mercury </w:t>
      </w:r>
      <w:r w:rsidRPr="0096486C">
        <w:t xml:space="preserve">adopted </w:t>
      </w:r>
      <w:r w:rsidR="00420827" w:rsidRPr="0096486C">
        <w:t>d</w:t>
      </w:r>
      <w:r w:rsidRPr="0096486C">
        <w:t>ecision MC-2/11</w:t>
      </w:r>
      <w:r w:rsidR="00E524A3" w:rsidRPr="0096486C">
        <w:t>,</w:t>
      </w:r>
      <w:r w:rsidRPr="0096486C">
        <w:t xml:space="preserve"> </w:t>
      </w:r>
      <w:r w:rsidR="00FD4101" w:rsidRPr="0096486C">
        <w:t>entitled</w:t>
      </w:r>
      <w:r w:rsidRPr="0096486C">
        <w:t xml:space="preserve"> </w:t>
      </w:r>
      <w:r w:rsidR="00FD4101" w:rsidRPr="0096486C">
        <w:t>“A</w:t>
      </w:r>
      <w:r w:rsidRPr="0096486C">
        <w:t xml:space="preserve">rticle 14: </w:t>
      </w:r>
      <w:r w:rsidR="00FD4101" w:rsidRPr="0096486C">
        <w:t>C</w:t>
      </w:r>
      <w:r w:rsidRPr="0096486C">
        <w:t>apacity-building, technical assistance and technology transfer</w:t>
      </w:r>
      <w:r w:rsidR="00FD4101" w:rsidRPr="0096486C">
        <w:t>”</w:t>
      </w:r>
      <w:r w:rsidRPr="0096486C">
        <w:t xml:space="preserve">, </w:t>
      </w:r>
      <w:r w:rsidR="00E524A3" w:rsidRPr="0096486C">
        <w:t xml:space="preserve">in which it </w:t>
      </w:r>
      <w:r w:rsidRPr="0096486C">
        <w:t>recall</w:t>
      </w:r>
      <w:r w:rsidR="00E524A3" w:rsidRPr="0096486C">
        <w:t>ed</w:t>
      </w:r>
      <w:r w:rsidRPr="0096486C">
        <w:t xml:space="preserve"> </w:t>
      </w:r>
      <w:bookmarkStart w:id="5" w:name="_Hlk530301547"/>
      <w:r w:rsidR="00420827" w:rsidRPr="0096486C">
        <w:t>d</w:t>
      </w:r>
      <w:r w:rsidRPr="0096486C">
        <w:t xml:space="preserve">ecision </w:t>
      </w:r>
      <w:bookmarkStart w:id="6" w:name="_Toc495572439"/>
      <w:r w:rsidRPr="0096486C">
        <w:t>MC-1/21</w:t>
      </w:r>
      <w:bookmarkEnd w:id="5"/>
      <w:bookmarkEnd w:id="6"/>
      <w:r w:rsidRPr="0096486C">
        <w:t xml:space="preserve">, where it </w:t>
      </w:r>
      <w:r w:rsidR="00E524A3" w:rsidRPr="0096486C">
        <w:t>was</w:t>
      </w:r>
      <w:r w:rsidRPr="0096486C">
        <w:t xml:space="preserve"> recognized that some of the existing regional and </w:t>
      </w:r>
      <w:proofErr w:type="spellStart"/>
      <w:r w:rsidRPr="0096486C">
        <w:t>subregional</w:t>
      </w:r>
      <w:proofErr w:type="spellEnd"/>
      <w:r w:rsidRPr="0096486C">
        <w:t xml:space="preserve"> centres </w:t>
      </w:r>
      <w:r w:rsidR="00E524A3" w:rsidRPr="0096486C">
        <w:t>we</w:t>
      </w:r>
      <w:r w:rsidRPr="0096486C">
        <w:t xml:space="preserve">re already developing projects and activities regarding mercury issues. </w:t>
      </w:r>
      <w:r w:rsidR="00E524A3" w:rsidRPr="0096486C">
        <w:t>In d</w:t>
      </w:r>
      <w:r w:rsidRPr="0096486C">
        <w:t>ecision MC-2/11</w:t>
      </w:r>
      <w:r w:rsidR="00E524A3" w:rsidRPr="0096486C">
        <w:t>, the Conference of the Parties</w:t>
      </w:r>
      <w:r w:rsidRPr="0096486C">
        <w:t xml:space="preserve"> request</w:t>
      </w:r>
      <w:r w:rsidR="00E524A3" w:rsidRPr="0096486C">
        <w:t>ed</w:t>
      </w:r>
      <w:r w:rsidRPr="0096486C">
        <w:t xml:space="preserve"> the secretariat of the </w:t>
      </w:r>
      <w:proofErr w:type="spellStart"/>
      <w:r w:rsidRPr="0096486C">
        <w:t>Minamata</w:t>
      </w:r>
      <w:proofErr w:type="spellEnd"/>
      <w:r w:rsidRPr="0096486C">
        <w:t xml:space="preserve"> Convention to collect the information received from the existing regional, </w:t>
      </w:r>
      <w:proofErr w:type="spellStart"/>
      <w:r w:rsidRPr="0096486C">
        <w:t>subregional</w:t>
      </w:r>
      <w:proofErr w:type="spellEnd"/>
      <w:r w:rsidRPr="0096486C">
        <w:t xml:space="preserve"> and national arrangements on their capacity-building and technical assistance to support parties in implementing their obligations under the </w:t>
      </w:r>
      <w:proofErr w:type="spellStart"/>
      <w:r w:rsidRPr="0096486C">
        <w:t>Minamata</w:t>
      </w:r>
      <w:proofErr w:type="spellEnd"/>
      <w:r w:rsidRPr="0096486C">
        <w:t xml:space="preserve"> Convention. It also request</w:t>
      </w:r>
      <w:r w:rsidR="00E524A3" w:rsidRPr="0096486C">
        <w:t>ed</w:t>
      </w:r>
      <w:r w:rsidRPr="0096486C">
        <w:t xml:space="preserve"> the secretariat to report thereon to the Conference of the Parties at its third meeting</w:t>
      </w:r>
      <w:r w:rsidR="00420827" w:rsidRPr="0096486C">
        <w:t>,</w:t>
      </w:r>
      <w:r w:rsidRPr="0096486C">
        <w:t xml:space="preserve"> and</w:t>
      </w:r>
      <w:r>
        <w:t xml:space="preserve"> emphasize</w:t>
      </w:r>
      <w:r w:rsidR="00E524A3">
        <w:t>d</w:t>
      </w:r>
      <w:r>
        <w:t xml:space="preserve"> the relevance of using, </w:t>
      </w:r>
      <w:r w:rsidRPr="00C060CE">
        <w:t xml:space="preserve">as appropriate, regional, </w:t>
      </w:r>
      <w:proofErr w:type="spellStart"/>
      <w:r w:rsidRPr="00C060CE">
        <w:t>subregional</w:t>
      </w:r>
      <w:proofErr w:type="spellEnd"/>
      <w:r w:rsidRPr="00C060CE">
        <w:t xml:space="preserve"> and national arrangements, including existing regional and </w:t>
      </w:r>
      <w:proofErr w:type="spellStart"/>
      <w:r w:rsidRPr="00C060CE">
        <w:t>subregional</w:t>
      </w:r>
      <w:proofErr w:type="spellEnd"/>
      <w:r w:rsidRPr="00C060CE">
        <w:t xml:space="preserve"> centres, in the delivery of capacity-building and technical assistance consistent with article 14 of the Convention</w:t>
      </w:r>
      <w:r w:rsidR="00420827">
        <w:t>.</w:t>
      </w:r>
    </w:p>
    <w:p w14:paraId="3BF4C874" w14:textId="40E7779C" w:rsidR="00A24D77" w:rsidRDefault="00A24D77" w:rsidP="00A24D77">
      <w:pPr>
        <w:pStyle w:val="Normalnumber"/>
        <w:numPr>
          <w:ilvl w:val="0"/>
          <w:numId w:val="23"/>
        </w:numPr>
        <w:tabs>
          <w:tab w:val="clear" w:pos="1247"/>
          <w:tab w:val="clear" w:pos="1814"/>
          <w:tab w:val="clear" w:pos="2381"/>
          <w:tab w:val="clear" w:pos="2948"/>
          <w:tab w:val="clear" w:pos="3515"/>
          <w:tab w:val="clear" w:pos="4082"/>
          <w:tab w:val="left" w:pos="624"/>
        </w:tabs>
      </w:pPr>
      <w:r>
        <w:t xml:space="preserve">The secretariat sought information from parties and other stakeholders </w:t>
      </w:r>
      <w:r w:rsidR="00E524A3">
        <w:t>relevant to</w:t>
      </w:r>
      <w:r>
        <w:t xml:space="preserve"> </w:t>
      </w:r>
      <w:r w:rsidR="00AE4103">
        <w:t>d</w:t>
      </w:r>
      <w:r>
        <w:t xml:space="preserve">ecision MC-2/11 </w:t>
      </w:r>
      <w:r w:rsidR="00E524A3">
        <w:t xml:space="preserve">by means of </w:t>
      </w:r>
      <w:r>
        <w:t xml:space="preserve">a letter sent by the Executive Secretary on 3 December 2018 to all </w:t>
      </w:r>
      <w:r w:rsidR="00E524A3">
        <w:t xml:space="preserve">the </w:t>
      </w:r>
      <w:r>
        <w:t xml:space="preserve">participants </w:t>
      </w:r>
      <w:r w:rsidR="00E524A3">
        <w:t xml:space="preserve">in </w:t>
      </w:r>
      <w:r>
        <w:t xml:space="preserve">the second meeting of the Conference of the Parties, </w:t>
      </w:r>
      <w:r w:rsidR="00E524A3">
        <w:t xml:space="preserve">as well as </w:t>
      </w:r>
      <w:r w:rsidR="00AE4103">
        <w:t>n</w:t>
      </w:r>
      <w:r>
        <w:t xml:space="preserve">ational </w:t>
      </w:r>
      <w:r w:rsidR="00AE4103">
        <w:t>f</w:t>
      </w:r>
      <w:r>
        <w:t xml:space="preserve">ocal </w:t>
      </w:r>
      <w:r w:rsidR="00AE4103">
        <w:t>p</w:t>
      </w:r>
      <w:r>
        <w:t xml:space="preserve">oints for the Convention, permanent missions to the United Nations Environment Programme and </w:t>
      </w:r>
      <w:r w:rsidR="00AE4103">
        <w:t>p</w:t>
      </w:r>
      <w:r>
        <w:t xml:space="preserve">ermanent </w:t>
      </w:r>
      <w:r w:rsidR="00AE4103">
        <w:t>m</w:t>
      </w:r>
      <w:r>
        <w:t>issions to the United Nations in Geneva.</w:t>
      </w:r>
    </w:p>
    <w:p w14:paraId="38BAD6A5" w14:textId="780A039C" w:rsidR="00A24D77" w:rsidRDefault="00A24D77" w:rsidP="00A24D77">
      <w:pPr>
        <w:pStyle w:val="Normalnumber"/>
        <w:numPr>
          <w:ilvl w:val="0"/>
          <w:numId w:val="23"/>
        </w:numPr>
        <w:tabs>
          <w:tab w:val="clear" w:pos="1247"/>
          <w:tab w:val="clear" w:pos="1814"/>
          <w:tab w:val="clear" w:pos="2381"/>
          <w:tab w:val="clear" w:pos="2948"/>
          <w:tab w:val="clear" w:pos="3515"/>
          <w:tab w:val="clear" w:pos="4082"/>
          <w:tab w:val="left" w:pos="624"/>
        </w:tabs>
      </w:pPr>
      <w:r>
        <w:t>Two submissions were received in response to th</w:t>
      </w:r>
      <w:r w:rsidR="00E524A3">
        <w:t>e</w:t>
      </w:r>
      <w:r>
        <w:t xml:space="preserve"> call for input. The first submission was from the Chair of the Steering Committee of the Intergovernmental Network on Chemicals and Waste for Latin America and the Caribbean and the second submission was from the </w:t>
      </w:r>
      <w:r w:rsidR="00AE4103">
        <w:t>G</w:t>
      </w:r>
      <w:r>
        <w:t>overnment of Japan. The info</w:t>
      </w:r>
      <w:r w:rsidR="00AE4103">
        <w:t>r</w:t>
      </w:r>
      <w:r>
        <w:t xml:space="preserve">mation has been compiled in document </w:t>
      </w:r>
      <w:r w:rsidRPr="00FC51B1">
        <w:t>UNEP/MC/COP.</w:t>
      </w:r>
      <w:r>
        <w:t>3</w:t>
      </w:r>
      <w:r w:rsidRPr="00CC07D8">
        <w:t>/INF/1</w:t>
      </w:r>
      <w:r>
        <w:t>4</w:t>
      </w:r>
      <w:r w:rsidRPr="00CC07D8">
        <w:t xml:space="preserve"> and</w:t>
      </w:r>
      <w:r w:rsidRPr="00FC51B1">
        <w:t xml:space="preserve"> </w:t>
      </w:r>
      <w:r>
        <w:t>is also available</w:t>
      </w:r>
      <w:r w:rsidRPr="00FC51B1">
        <w:t xml:space="preserve"> on</w:t>
      </w:r>
      <w:r>
        <w:t xml:space="preserve"> the website of the </w:t>
      </w:r>
      <w:proofErr w:type="spellStart"/>
      <w:r>
        <w:t>Minamata</w:t>
      </w:r>
      <w:proofErr w:type="spellEnd"/>
      <w:r>
        <w:t xml:space="preserve"> Convention at</w:t>
      </w:r>
      <w:r w:rsidR="00E524A3">
        <w:t>:</w:t>
      </w:r>
      <w:r w:rsidR="00AE4103">
        <w:t xml:space="preserve"> </w:t>
      </w:r>
      <w:r w:rsidRPr="00243F00">
        <w:t>www.mercuryconvention.org/Meetings/Intersessionalwork/tabid/7857/language/en-US/Default.aspx</w:t>
      </w:r>
      <w:r>
        <w:t>.</w:t>
      </w:r>
    </w:p>
    <w:p w14:paraId="72C93CDF" w14:textId="232CF092" w:rsidR="00A24D77" w:rsidRPr="0052207E" w:rsidRDefault="00A24D77" w:rsidP="00A24D77">
      <w:pPr>
        <w:pStyle w:val="Normalnumber"/>
        <w:keepNext/>
        <w:keepLines/>
        <w:numPr>
          <w:ilvl w:val="0"/>
          <w:numId w:val="23"/>
        </w:numPr>
        <w:tabs>
          <w:tab w:val="clear" w:pos="1247"/>
          <w:tab w:val="clear" w:pos="1814"/>
          <w:tab w:val="clear" w:pos="2381"/>
          <w:tab w:val="clear" w:pos="2948"/>
          <w:tab w:val="clear" w:pos="3515"/>
          <w:tab w:val="clear" w:pos="4082"/>
          <w:tab w:val="left" w:pos="624"/>
        </w:tabs>
      </w:pPr>
      <w:r w:rsidRPr="0052207E">
        <w:lastRenderedPageBreak/>
        <w:t xml:space="preserve">The </w:t>
      </w:r>
      <w:r w:rsidR="00E524A3">
        <w:t xml:space="preserve">first </w:t>
      </w:r>
      <w:r w:rsidRPr="0052207E">
        <w:t>submission describes the regional arrangement of the Intergovernmental Network</w:t>
      </w:r>
      <w:r w:rsidR="0096486C">
        <w:t xml:space="preserve"> on Chemicals and Waste for Latin America and the Caribbean</w:t>
      </w:r>
      <w:r w:rsidRPr="0052207E">
        <w:t>, outlining activities in 2017 and 2018, including the adoption of the Action Plan for Regional Cooperation on Chemicals and Waste Management 2019</w:t>
      </w:r>
      <w:r w:rsidR="0096486C">
        <w:t>–</w:t>
      </w:r>
      <w:r w:rsidRPr="0052207E">
        <w:t>2020 for Latin America and the Caribbean. The</w:t>
      </w:r>
      <w:r w:rsidR="0096486C">
        <w:t xml:space="preserve"> second</w:t>
      </w:r>
      <w:r w:rsidRPr="0052207E">
        <w:t xml:space="preserve"> submission </w:t>
      </w:r>
      <w:r w:rsidR="00AE4103">
        <w:t xml:space="preserve">introduces </w:t>
      </w:r>
      <w:r w:rsidRPr="0052207E">
        <w:t xml:space="preserve">an initiative </w:t>
      </w:r>
      <w:r w:rsidR="0096486C">
        <w:t xml:space="preserve">by Japan </w:t>
      </w:r>
      <w:r w:rsidRPr="0052207E">
        <w:t xml:space="preserve">to support developing countries’ efforts in mercury management. The submission also includes an annex </w:t>
      </w:r>
      <w:r w:rsidR="00AE4103">
        <w:t>consisting of</w:t>
      </w:r>
      <w:r w:rsidRPr="0052207E">
        <w:t xml:space="preserve"> an overview and report on “Mercury Material Flow in Japan (FY2014)” </w:t>
      </w:r>
      <w:r w:rsidR="003F3F11">
        <w:t>based on</w:t>
      </w:r>
      <w:r w:rsidRPr="0052207E">
        <w:t xml:space="preserve"> the importance of mercury material flows as baselines in efforts to promote mercury management. </w:t>
      </w:r>
    </w:p>
    <w:p w14:paraId="2D313B69" w14:textId="77777777" w:rsidR="00A24D77" w:rsidRPr="00FC51B1" w:rsidRDefault="00A24D77" w:rsidP="00A24D77">
      <w:pPr>
        <w:pStyle w:val="CH2"/>
        <w:spacing w:before="240"/>
        <w:rPr>
          <w:b w:val="0"/>
        </w:rPr>
      </w:pPr>
      <w:r>
        <w:tab/>
      </w:r>
      <w:r>
        <w:tab/>
      </w:r>
      <w:r w:rsidRPr="00FC51B1">
        <w:t>Suggested action by the Conference of the Parties</w:t>
      </w:r>
    </w:p>
    <w:p w14:paraId="54C1037C" w14:textId="797ECFCE" w:rsidR="00A24D77" w:rsidRPr="0052207E" w:rsidRDefault="00A24D77" w:rsidP="00A24D77">
      <w:pPr>
        <w:pStyle w:val="Normalnumber"/>
        <w:numPr>
          <w:ilvl w:val="0"/>
          <w:numId w:val="23"/>
        </w:numPr>
        <w:tabs>
          <w:tab w:val="clear" w:pos="1247"/>
          <w:tab w:val="clear" w:pos="1814"/>
          <w:tab w:val="clear" w:pos="2381"/>
          <w:tab w:val="clear" w:pos="2948"/>
          <w:tab w:val="clear" w:pos="3515"/>
          <w:tab w:val="clear" w:pos="4082"/>
          <w:tab w:val="left" w:pos="624"/>
        </w:tabs>
      </w:pPr>
      <w:r w:rsidRPr="0052207E">
        <w:t>The Conference of the Parties may wish to consider the information provided in the submissions and draw the attention of parties and relevant stakeholders, especially those providing capacity-building and technical assistance pursuant to article 14, to the activities</w:t>
      </w:r>
      <w:r>
        <w:t>, initiatives and reports</w:t>
      </w:r>
      <w:r w:rsidRPr="0052207E">
        <w:t xml:space="preserve"> mentioned in the submissions as well as to the needs and challenges described therein. The Conference of the Parties may also wish to consider the issue further at </w:t>
      </w:r>
      <w:r w:rsidR="0096486C">
        <w:t xml:space="preserve">its </w:t>
      </w:r>
      <w:r>
        <w:t xml:space="preserve">subsequent </w:t>
      </w:r>
      <w:r w:rsidRPr="0052207E">
        <w:t>meeting</w:t>
      </w:r>
      <w:r>
        <w:t>s</w:t>
      </w:r>
      <w:r w:rsidRPr="0052207E">
        <w:t xml:space="preserve">, </w:t>
      </w:r>
      <w:proofErr w:type="gramStart"/>
      <w:r w:rsidRPr="0052207E">
        <w:t>taking into account</w:t>
      </w:r>
      <w:proofErr w:type="gramEnd"/>
      <w:r w:rsidRPr="0052207E">
        <w:t xml:space="preserve"> any further information reported by parties pursuant to article 2</w:t>
      </w:r>
      <w:r>
        <w:t xml:space="preserve">1 </w:t>
      </w:r>
      <w:r w:rsidR="0096486C">
        <w:t xml:space="preserve">or </w:t>
      </w:r>
      <w:r w:rsidRPr="0052207E">
        <w:t xml:space="preserve">provided by other stakeholders. </w:t>
      </w:r>
    </w:p>
    <w:p w14:paraId="45DCF724" w14:textId="77777777" w:rsidR="00D013F5" w:rsidRPr="00D25175" w:rsidRDefault="00D013F5" w:rsidP="00A24D77">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990918">
            <w:pPr>
              <w:pStyle w:val="Normal-pool"/>
              <w:spacing w:before="520"/>
            </w:pPr>
          </w:p>
        </w:tc>
        <w:tc>
          <w:tcPr>
            <w:tcW w:w="1942" w:type="dxa"/>
            <w:shd w:val="clear" w:color="auto" w:fill="auto"/>
          </w:tcPr>
          <w:p w14:paraId="378BA037" w14:textId="77777777" w:rsidR="00E976AB" w:rsidRPr="00D25175" w:rsidRDefault="00E976AB" w:rsidP="00990918">
            <w:pPr>
              <w:pStyle w:val="Normal-pool"/>
              <w:spacing w:before="520"/>
            </w:pPr>
          </w:p>
        </w:tc>
        <w:tc>
          <w:tcPr>
            <w:tcW w:w="1942" w:type="dxa"/>
            <w:tcBorders>
              <w:bottom w:val="single" w:sz="4" w:space="0" w:color="auto"/>
            </w:tcBorders>
            <w:shd w:val="clear" w:color="auto" w:fill="auto"/>
          </w:tcPr>
          <w:p w14:paraId="028E3E1E" w14:textId="77777777" w:rsidR="00E976AB" w:rsidRPr="00D25175" w:rsidRDefault="00E976AB" w:rsidP="00990918">
            <w:pPr>
              <w:pStyle w:val="Normal-pool"/>
              <w:spacing w:before="520"/>
            </w:pPr>
          </w:p>
        </w:tc>
        <w:tc>
          <w:tcPr>
            <w:tcW w:w="1943" w:type="dxa"/>
            <w:shd w:val="clear" w:color="auto" w:fill="auto"/>
          </w:tcPr>
          <w:p w14:paraId="25F1BA19" w14:textId="77777777" w:rsidR="00E976AB" w:rsidRPr="00D25175" w:rsidRDefault="00E976AB" w:rsidP="00990918">
            <w:pPr>
              <w:pStyle w:val="Normal-pool"/>
              <w:spacing w:before="520"/>
            </w:pPr>
          </w:p>
        </w:tc>
        <w:tc>
          <w:tcPr>
            <w:tcW w:w="1943" w:type="dxa"/>
            <w:shd w:val="clear" w:color="auto" w:fill="auto"/>
          </w:tcPr>
          <w:p w14:paraId="457D2993" w14:textId="77777777" w:rsidR="00E976AB" w:rsidRPr="00D25175" w:rsidRDefault="00E976AB" w:rsidP="00990918">
            <w:pPr>
              <w:pStyle w:val="Normal-pool"/>
              <w:spacing w:before="520"/>
            </w:pPr>
          </w:p>
        </w:tc>
      </w:tr>
    </w:tbl>
    <w:p w14:paraId="325E8270" w14:textId="77777777" w:rsidR="00032E4E" w:rsidRPr="00D25175" w:rsidRDefault="00032E4E" w:rsidP="00D013F5">
      <w:pPr>
        <w:pStyle w:val="Normal-pool"/>
      </w:pPr>
    </w:p>
    <w:sectPr w:rsidR="00032E4E" w:rsidRPr="00D25175"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F7E58" w14:textId="77777777" w:rsidR="004F5D88" w:rsidRDefault="004F5D88">
      <w:r>
        <w:separator/>
      </w:r>
    </w:p>
  </w:endnote>
  <w:endnote w:type="continuationSeparator" w:id="0">
    <w:p w14:paraId="40566C63" w14:textId="77777777" w:rsidR="004F5D88" w:rsidRDefault="004F5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1E177585"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105693">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7EBF2804"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24D77">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EB5F1" w14:textId="39BC5F3D" w:rsidR="00731576" w:rsidRDefault="00731576">
    <w:pPr>
      <w:pStyle w:val="Footer"/>
    </w:pPr>
    <w:r>
      <w:t>K1</w:t>
    </w:r>
    <w:r w:rsidR="000A7C0C">
      <w:t>9</w:t>
    </w:r>
    <w:r w:rsidR="00A24D77">
      <w:t>03067</w:t>
    </w:r>
    <w:r>
      <w:tab/>
    </w:r>
    <w:r w:rsidR="00105693">
      <w:t>0509</w:t>
    </w:r>
    <w:r w:rsidR="000A7C0C">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8FEDC" w14:textId="77777777" w:rsidR="004F5D88" w:rsidRDefault="004F5D88" w:rsidP="00D92DE0">
      <w:pPr>
        <w:ind w:left="624"/>
      </w:pPr>
      <w:r>
        <w:separator/>
      </w:r>
    </w:p>
  </w:footnote>
  <w:footnote w:type="continuationSeparator" w:id="0">
    <w:p w14:paraId="33704AB0" w14:textId="77777777" w:rsidR="004F5D88" w:rsidRDefault="004F5D88">
      <w:r>
        <w:continuationSeparator/>
      </w:r>
    </w:p>
  </w:footnote>
  <w:footnote w:id="1">
    <w:p w14:paraId="68933CEB" w14:textId="77777777" w:rsidR="00A24D77" w:rsidRPr="00A24D77" w:rsidRDefault="00A24D77" w:rsidP="00A24D77">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sz w:val="18"/>
          <w:szCs w:val="18"/>
        </w:rPr>
      </w:pPr>
      <w:r w:rsidRPr="00A24D77">
        <w:rPr>
          <w:rStyle w:val="FootnoteReference"/>
          <w:sz w:val="18"/>
          <w:vertAlign w:val="baseline"/>
        </w:rPr>
        <w:t>*</w:t>
      </w:r>
      <w:r w:rsidRPr="00A24D77">
        <w:rPr>
          <w:sz w:val="18"/>
          <w:szCs w:val="18"/>
        </w:rPr>
        <w:t xml:space="preserve"> UNEP/MC/COP.3/1.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1D3928DF" w:rsidR="00670FAE" w:rsidRPr="00CA5CA9" w:rsidRDefault="00670FAE" w:rsidP="00434321">
    <w:pPr>
      <w:pStyle w:val="Header"/>
      <w:rPr>
        <w:szCs w:val="18"/>
      </w:rPr>
    </w:pPr>
    <w:r w:rsidRPr="00A24D77">
      <w:rPr>
        <w:bCs/>
        <w:szCs w:val="18"/>
      </w:rPr>
      <w:t>UNEP</w:t>
    </w:r>
    <w:r w:rsidRPr="00A24D77">
      <w:rPr>
        <w:szCs w:val="18"/>
      </w:rPr>
      <w:t>/MC/COP.</w:t>
    </w:r>
    <w:r w:rsidR="000A7C0C" w:rsidRPr="00A24D77">
      <w:rPr>
        <w:szCs w:val="18"/>
      </w:rPr>
      <w:t>3</w:t>
    </w:r>
    <w:r w:rsidRPr="00A24D77">
      <w:rPr>
        <w:szCs w:val="18"/>
      </w:rPr>
      <w:t>/</w:t>
    </w:r>
    <w:r w:rsidR="00A24D77" w:rsidRPr="00A24D77">
      <w:rPr>
        <w:szCs w:val="18"/>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34E1A657" w:rsidR="00670FAE" w:rsidRPr="00CA5CA9" w:rsidRDefault="00670FA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0A7C0C">
      <w:rPr>
        <w:szCs w:val="18"/>
      </w:rPr>
      <w:t>3</w:t>
    </w:r>
    <w:r w:rsidRPr="00CA5CA9">
      <w:rPr>
        <w:szCs w:val="18"/>
      </w:rPr>
      <w:t>/</w:t>
    </w:r>
    <w:r w:rsidR="000A7C0C" w:rsidRPr="000A7C0C">
      <w:rPr>
        <w:szCs w:val="18"/>
        <w:highlight w:val="yellow"/>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414F6096"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3"/>
  </w:num>
  <w:num w:numId="4">
    <w:abstractNumId w:val="4"/>
  </w:num>
  <w:num w:numId="5">
    <w:abstractNumId w:val="4"/>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2"/>
  </w:num>
  <w:num w:numId="23">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84"/>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656E9"/>
    <w:rsid w:val="00071886"/>
    <w:rsid w:val="000742BC"/>
    <w:rsid w:val="00076CC6"/>
    <w:rsid w:val="00082A0C"/>
    <w:rsid w:val="00083504"/>
    <w:rsid w:val="0009640C"/>
    <w:rsid w:val="000A7C0C"/>
    <w:rsid w:val="000B22A2"/>
    <w:rsid w:val="000B541B"/>
    <w:rsid w:val="000B73F9"/>
    <w:rsid w:val="000C2A52"/>
    <w:rsid w:val="000C2A88"/>
    <w:rsid w:val="000D33C0"/>
    <w:rsid w:val="000D4CF6"/>
    <w:rsid w:val="000D6941"/>
    <w:rsid w:val="000F4829"/>
    <w:rsid w:val="000F6B21"/>
    <w:rsid w:val="00102EFB"/>
    <w:rsid w:val="00105693"/>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3EE0"/>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8DE"/>
    <w:rsid w:val="00361688"/>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3F3F11"/>
    <w:rsid w:val="00410C55"/>
    <w:rsid w:val="00416854"/>
    <w:rsid w:val="00417725"/>
    <w:rsid w:val="00420827"/>
    <w:rsid w:val="00421782"/>
    <w:rsid w:val="0042266F"/>
    <w:rsid w:val="00434321"/>
    <w:rsid w:val="00437F26"/>
    <w:rsid w:val="00444097"/>
    <w:rsid w:val="00445487"/>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D06A4"/>
    <w:rsid w:val="004F1A81"/>
    <w:rsid w:val="004F5D88"/>
    <w:rsid w:val="00501354"/>
    <w:rsid w:val="005050D2"/>
    <w:rsid w:val="005218D9"/>
    <w:rsid w:val="00536186"/>
    <w:rsid w:val="00544CBB"/>
    <w:rsid w:val="00551B65"/>
    <w:rsid w:val="00556704"/>
    <w:rsid w:val="005656D7"/>
    <w:rsid w:val="0057315F"/>
    <w:rsid w:val="00576104"/>
    <w:rsid w:val="00586418"/>
    <w:rsid w:val="00592B21"/>
    <w:rsid w:val="005B2DF4"/>
    <w:rsid w:val="005B44BF"/>
    <w:rsid w:val="005C67C8"/>
    <w:rsid w:val="005D0249"/>
    <w:rsid w:val="005D18FA"/>
    <w:rsid w:val="005D4FD4"/>
    <w:rsid w:val="005D5696"/>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92E2A"/>
    <w:rsid w:val="0069496A"/>
    <w:rsid w:val="00696C1C"/>
    <w:rsid w:val="006A76F2"/>
    <w:rsid w:val="006B7D29"/>
    <w:rsid w:val="006D19D4"/>
    <w:rsid w:val="006D5644"/>
    <w:rsid w:val="006D7EFB"/>
    <w:rsid w:val="006E6672"/>
    <w:rsid w:val="006E6722"/>
    <w:rsid w:val="006F7AFF"/>
    <w:rsid w:val="007027B9"/>
    <w:rsid w:val="007066B5"/>
    <w:rsid w:val="007145DA"/>
    <w:rsid w:val="00715E88"/>
    <w:rsid w:val="00716D8B"/>
    <w:rsid w:val="00731576"/>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C4FAB"/>
    <w:rsid w:val="007D66A8"/>
    <w:rsid w:val="007E003F"/>
    <w:rsid w:val="007F0CF8"/>
    <w:rsid w:val="007F5E1B"/>
    <w:rsid w:val="007F62CB"/>
    <w:rsid w:val="008142EC"/>
    <w:rsid w:val="008164F2"/>
    <w:rsid w:val="00821395"/>
    <w:rsid w:val="00830E26"/>
    <w:rsid w:val="00834368"/>
    <w:rsid w:val="0083441A"/>
    <w:rsid w:val="00843576"/>
    <w:rsid w:val="00843B64"/>
    <w:rsid w:val="00845261"/>
    <w:rsid w:val="008478FC"/>
    <w:rsid w:val="00851C51"/>
    <w:rsid w:val="008538F7"/>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486C"/>
    <w:rsid w:val="00966A53"/>
    <w:rsid w:val="00967621"/>
    <w:rsid w:val="00967E6A"/>
    <w:rsid w:val="009907B9"/>
    <w:rsid w:val="00990918"/>
    <w:rsid w:val="009A3A83"/>
    <w:rsid w:val="009B4A0F"/>
    <w:rsid w:val="009C11D2"/>
    <w:rsid w:val="009C6C70"/>
    <w:rsid w:val="009C7B0A"/>
    <w:rsid w:val="009D0B63"/>
    <w:rsid w:val="009D4233"/>
    <w:rsid w:val="009D5CB8"/>
    <w:rsid w:val="009E307E"/>
    <w:rsid w:val="00A07870"/>
    <w:rsid w:val="00A07C54"/>
    <w:rsid w:val="00A07F19"/>
    <w:rsid w:val="00A10ABB"/>
    <w:rsid w:val="00A1348D"/>
    <w:rsid w:val="00A13C99"/>
    <w:rsid w:val="00A232EE"/>
    <w:rsid w:val="00A24D77"/>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6501"/>
    <w:rsid w:val="00AC7C96"/>
    <w:rsid w:val="00AD3593"/>
    <w:rsid w:val="00AE0812"/>
    <w:rsid w:val="00AE237D"/>
    <w:rsid w:val="00AE4103"/>
    <w:rsid w:val="00AE502A"/>
    <w:rsid w:val="00AF0010"/>
    <w:rsid w:val="00AF1AA8"/>
    <w:rsid w:val="00AF2C1F"/>
    <w:rsid w:val="00AF7C07"/>
    <w:rsid w:val="00B06C64"/>
    <w:rsid w:val="00B07D8E"/>
    <w:rsid w:val="00B11CAC"/>
    <w:rsid w:val="00B15A29"/>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E5B5F"/>
    <w:rsid w:val="00BE7993"/>
    <w:rsid w:val="00BE7FD0"/>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6D9A"/>
    <w:rsid w:val="00E524A3"/>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C781A"/>
    <w:rsid w:val="00ED0225"/>
    <w:rsid w:val="00ED366A"/>
    <w:rsid w:val="00ED6BB7"/>
    <w:rsid w:val="00EF22B3"/>
    <w:rsid w:val="00F03B69"/>
    <w:rsid w:val="00F07A50"/>
    <w:rsid w:val="00F113DA"/>
    <w:rsid w:val="00F266FC"/>
    <w:rsid w:val="00F3037A"/>
    <w:rsid w:val="00F3465A"/>
    <w:rsid w:val="00F37DC8"/>
    <w:rsid w:val="00F439B3"/>
    <w:rsid w:val="00F5717D"/>
    <w:rsid w:val="00F650C3"/>
    <w:rsid w:val="00F65D85"/>
    <w:rsid w:val="00F6700B"/>
    <w:rsid w:val="00F7137B"/>
    <w:rsid w:val="00F8091E"/>
    <w:rsid w:val="00F8615C"/>
    <w:rsid w:val="00F969E5"/>
    <w:rsid w:val="00F96F7E"/>
    <w:rsid w:val="00FA4972"/>
    <w:rsid w:val="00FA6BB0"/>
    <w:rsid w:val="00FB2DBD"/>
    <w:rsid w:val="00FD4101"/>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4"/>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0656E9"/>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link w:val="NormalnumberChar"/>
    <w:rsid w:val="000656E9"/>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A24D77"/>
    <w:rPr>
      <w:b/>
      <w:sz w:val="28"/>
      <w:szCs w:val="28"/>
      <w:lang w:eastAsia="en-US"/>
    </w:rPr>
  </w:style>
  <w:style w:type="character" w:customStyle="1" w:styleId="CH2Char">
    <w:name w:val="CH2 Char"/>
    <w:link w:val="CH2"/>
    <w:locked/>
    <w:rsid w:val="00A24D77"/>
    <w:rPr>
      <w:b/>
      <w:sz w:val="24"/>
      <w:szCs w:val="24"/>
      <w:lang w:eastAsia="en-US"/>
    </w:rPr>
  </w:style>
  <w:style w:type="character" w:customStyle="1" w:styleId="NormalnumberChar">
    <w:name w:val="Normal_number Char"/>
    <w:link w:val="Normalnumber"/>
    <w:locked/>
    <w:rsid w:val="00A24D77"/>
    <w:rPr>
      <w:lang w:eastAsia="en-US"/>
    </w:rPr>
  </w:style>
  <w:style w:type="paragraph" w:customStyle="1" w:styleId="Standard">
    <w:name w:val="Standard"/>
    <w:rsid w:val="00A24D77"/>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A24D77"/>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A60FE-7274-4B91-B225-B0EAEBDD7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3</cp:revision>
  <cp:lastPrinted>2016-07-18T09:51:00Z</cp:lastPrinted>
  <dcterms:created xsi:type="dcterms:W3CDTF">2019-09-05T11:21:00Z</dcterms:created>
  <dcterms:modified xsi:type="dcterms:W3CDTF">2019-09-05T11:22:00Z</dcterms:modified>
</cp:coreProperties>
</file>