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8"/>
        <w:gridCol w:w="4643"/>
        <w:gridCol w:w="3335"/>
      </w:tblGrid>
      <w:tr w:rsidR="00555939" w:rsidRPr="003E69A0" w14:paraId="68C243AC" w14:textId="77777777" w:rsidTr="00BC41C1">
        <w:trPr>
          <w:cantSplit/>
          <w:trHeight w:val="850"/>
          <w:jc w:val="right"/>
        </w:trPr>
        <w:tc>
          <w:tcPr>
            <w:tcW w:w="1518" w:type="dxa"/>
          </w:tcPr>
          <w:p w14:paraId="7CDAA2CA" w14:textId="77777777" w:rsidR="00555939" w:rsidRPr="003E69A0" w:rsidRDefault="00555939" w:rsidP="00BC41C1">
            <w:pPr>
              <w:spacing w:after="0" w:line="240" w:lineRule="auto"/>
              <w:jc w:val="left"/>
              <w:rPr>
                <w:rFonts w:ascii="SimHei" w:eastAsia="SimHei" w:hAnsi="SimHei"/>
                <w:b/>
                <w:noProof/>
                <w:sz w:val="32"/>
                <w:szCs w:val="32"/>
                <w:lang w:val="en-GB"/>
              </w:rPr>
            </w:pPr>
            <w:r w:rsidRPr="003E69A0">
              <w:rPr>
                <w:rFonts w:ascii="SimHei" w:eastAsia="SimHei" w:hAnsi="SimHei" w:cs="Arial" w:hint="eastAsia"/>
                <w:b/>
                <w:noProof/>
                <w:sz w:val="32"/>
                <w:szCs w:val="32"/>
                <w:lang w:val="en-GB"/>
              </w:rPr>
              <w:t>联合国</w:t>
            </w:r>
          </w:p>
        </w:tc>
        <w:tc>
          <w:tcPr>
            <w:tcW w:w="4643" w:type="dxa"/>
          </w:tcPr>
          <w:p w14:paraId="6AA40AD4" w14:textId="77777777" w:rsidR="00555939" w:rsidRPr="003E69A0" w:rsidRDefault="00555939" w:rsidP="00BC41C1">
            <w:pPr>
              <w:spacing w:after="0" w:line="240" w:lineRule="auto"/>
              <w:jc w:val="left"/>
              <w:rPr>
                <w:rFonts w:ascii="Univers" w:eastAsiaTheme="minorEastAsia" w:hAnsi="Univers"/>
                <w:b/>
                <w:sz w:val="27"/>
                <w:szCs w:val="27"/>
                <w:lang w:val="en-GB" w:eastAsia="en-US"/>
              </w:rPr>
            </w:pPr>
          </w:p>
        </w:tc>
        <w:tc>
          <w:tcPr>
            <w:tcW w:w="3335" w:type="dxa"/>
          </w:tcPr>
          <w:p w14:paraId="32405323" w14:textId="77777777" w:rsidR="00555939" w:rsidRPr="003E69A0" w:rsidRDefault="00555939" w:rsidP="00BC41C1">
            <w:pPr>
              <w:spacing w:after="0" w:line="240" w:lineRule="auto"/>
              <w:jc w:val="right"/>
              <w:rPr>
                <w:rFonts w:ascii="Arial" w:eastAsiaTheme="minorEastAsia" w:hAnsi="Arial" w:cs="Arial"/>
                <w:b/>
                <w:sz w:val="64"/>
                <w:szCs w:val="64"/>
                <w:lang w:val="en-GB" w:eastAsia="en-US"/>
              </w:rPr>
            </w:pPr>
            <w:r w:rsidRPr="003E69A0">
              <w:rPr>
                <w:rFonts w:ascii="Arial" w:eastAsiaTheme="minorEastAsia" w:hAnsi="Arial" w:cs="Arial"/>
                <w:b/>
                <w:sz w:val="64"/>
                <w:szCs w:val="64"/>
                <w:lang w:val="en-GB" w:eastAsia="en-US"/>
              </w:rPr>
              <w:t>MC</w:t>
            </w:r>
          </w:p>
        </w:tc>
      </w:tr>
      <w:tr w:rsidR="00555939" w:rsidRPr="003E69A0" w14:paraId="43CA98EC" w14:textId="77777777" w:rsidTr="00BC41C1">
        <w:trPr>
          <w:cantSplit/>
          <w:trHeight w:val="281"/>
          <w:jc w:val="right"/>
        </w:trPr>
        <w:tc>
          <w:tcPr>
            <w:tcW w:w="1518" w:type="dxa"/>
            <w:tcBorders>
              <w:bottom w:val="single" w:sz="4" w:space="0" w:color="auto"/>
            </w:tcBorders>
          </w:tcPr>
          <w:p w14:paraId="7FAB1524" w14:textId="77777777" w:rsidR="00555939" w:rsidRPr="003E69A0" w:rsidRDefault="00555939" w:rsidP="00BC41C1">
            <w:pPr>
              <w:spacing w:after="0" w:line="240" w:lineRule="auto"/>
              <w:jc w:val="left"/>
              <w:rPr>
                <w:rFonts w:eastAsiaTheme="minorEastAsia"/>
                <w:noProof/>
                <w:sz w:val="18"/>
                <w:szCs w:val="18"/>
                <w:lang w:val="en-GB" w:eastAsia="en-US"/>
              </w:rPr>
            </w:pPr>
          </w:p>
        </w:tc>
        <w:tc>
          <w:tcPr>
            <w:tcW w:w="4643" w:type="dxa"/>
            <w:tcBorders>
              <w:bottom w:val="single" w:sz="4" w:space="0" w:color="auto"/>
            </w:tcBorders>
          </w:tcPr>
          <w:p w14:paraId="6157095A" w14:textId="77777777" w:rsidR="00555939" w:rsidRPr="003E69A0" w:rsidRDefault="00555939" w:rsidP="00BC41C1">
            <w:pPr>
              <w:spacing w:after="0" w:line="240" w:lineRule="auto"/>
              <w:jc w:val="left"/>
              <w:rPr>
                <w:rFonts w:ascii="Univers" w:eastAsiaTheme="minorEastAsia" w:hAnsi="Univers"/>
                <w:b/>
                <w:sz w:val="18"/>
                <w:szCs w:val="18"/>
                <w:lang w:val="en-GB" w:eastAsia="en-US"/>
              </w:rPr>
            </w:pPr>
          </w:p>
        </w:tc>
        <w:tc>
          <w:tcPr>
            <w:tcW w:w="3335" w:type="dxa"/>
            <w:tcBorders>
              <w:bottom w:val="single" w:sz="4" w:space="0" w:color="auto"/>
            </w:tcBorders>
          </w:tcPr>
          <w:p w14:paraId="630EA486" w14:textId="3C4231BE" w:rsidR="00555939" w:rsidRPr="003E69A0" w:rsidRDefault="00555939" w:rsidP="00BC41C1">
            <w:pPr>
              <w:spacing w:after="0" w:line="240" w:lineRule="auto"/>
              <w:ind w:left="269"/>
              <w:jc w:val="left"/>
              <w:rPr>
                <w:rFonts w:eastAsiaTheme="minorEastAsia"/>
                <w:noProof/>
                <w:sz w:val="18"/>
                <w:szCs w:val="18"/>
                <w:lang w:val="en-GB" w:eastAsia="en-US"/>
              </w:rPr>
            </w:pPr>
            <w:r w:rsidRPr="003E69A0">
              <w:rPr>
                <w:rFonts w:eastAsiaTheme="minorEastAsia"/>
                <w:b/>
                <w:bCs/>
                <w:sz w:val="28"/>
                <w:szCs w:val="20"/>
                <w:lang w:val="en-GB" w:eastAsia="en-US"/>
              </w:rPr>
              <w:t>UNEP</w:t>
            </w:r>
            <w:r w:rsidRPr="007E1CFC">
              <w:rPr>
                <w:rFonts w:eastAsiaTheme="minorEastAsia"/>
                <w:b/>
                <w:bCs/>
                <w:sz w:val="28"/>
                <w:szCs w:val="28"/>
                <w:lang w:val="en-GB" w:eastAsia="en-US"/>
              </w:rPr>
              <w:t>/</w:t>
            </w:r>
            <w:r w:rsidRPr="00481A2F">
              <w:rPr>
                <w:rFonts w:eastAsiaTheme="minorEastAsia"/>
                <w:sz w:val="20"/>
                <w:szCs w:val="20"/>
                <w:lang w:val="en-GB" w:eastAsia="en-US"/>
              </w:rPr>
              <w:t>MC/COP.3/1</w:t>
            </w:r>
            <w:r>
              <w:rPr>
                <w:rFonts w:eastAsiaTheme="minorEastAsia"/>
                <w:sz w:val="20"/>
                <w:szCs w:val="20"/>
                <w:lang w:val="en-GB" w:eastAsia="en-US"/>
              </w:rPr>
              <w:t>2</w:t>
            </w:r>
          </w:p>
        </w:tc>
      </w:tr>
      <w:bookmarkStart w:id="0" w:name="_MON_1021710510"/>
      <w:bookmarkEnd w:id="0"/>
      <w:bookmarkStart w:id="1" w:name="_MON_1021710482"/>
      <w:bookmarkEnd w:id="1"/>
      <w:tr w:rsidR="00555939" w:rsidRPr="003E69A0" w14:paraId="28330E76" w14:textId="77777777" w:rsidTr="00BC41C1">
        <w:trPr>
          <w:cantSplit/>
          <w:trHeight w:val="2549"/>
          <w:jc w:val="right"/>
        </w:trPr>
        <w:tc>
          <w:tcPr>
            <w:tcW w:w="1518" w:type="dxa"/>
            <w:tcBorders>
              <w:top w:val="single" w:sz="4" w:space="0" w:color="auto"/>
              <w:bottom w:val="single" w:sz="24" w:space="0" w:color="auto"/>
            </w:tcBorders>
          </w:tcPr>
          <w:p w14:paraId="4E597352" w14:textId="77777777" w:rsidR="00555939" w:rsidRPr="003E69A0" w:rsidRDefault="00555939" w:rsidP="00BC41C1">
            <w:pPr>
              <w:spacing w:after="0" w:line="240" w:lineRule="auto"/>
              <w:jc w:val="left"/>
              <w:rPr>
                <w:rFonts w:eastAsiaTheme="minorEastAsia"/>
                <w:noProof/>
                <w:sz w:val="20"/>
                <w:szCs w:val="20"/>
                <w:lang w:val="en-GB" w:eastAsia="en-US"/>
              </w:rPr>
            </w:pPr>
            <w:r w:rsidRPr="003E69A0">
              <w:rPr>
                <w:rFonts w:eastAsiaTheme="minorEastAsia"/>
                <w:noProof/>
                <w:sz w:val="20"/>
                <w:szCs w:val="20"/>
                <w:lang w:val="en-GB" w:eastAsia="en-US"/>
              </w:rPr>
              <w:object w:dxaOrig="1831" w:dyaOrig="1726" w14:anchorId="6759D8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5pt;height:62pt" o:ole="" fillcolor="window">
                  <v:imagedata r:id="rId8" o:title=""/>
                </v:shape>
                <o:OLEObject Type="Embed" ProgID="Word.Picture.8" ShapeID="_x0000_i1025" DrawAspect="Content" ObjectID="_1629267370" r:id="rId9"/>
              </w:object>
            </w:r>
            <w:r w:rsidRPr="003E69A0">
              <w:rPr>
                <w:rFonts w:eastAsiaTheme="minorEastAsia"/>
                <w:noProof/>
                <w:sz w:val="20"/>
                <w:szCs w:val="20"/>
              </w:rPr>
              <w:drawing>
                <wp:inline distT="0" distB="0" distL="0" distR="0" wp14:anchorId="49BE975D" wp14:editId="2FC1A41A">
                  <wp:extent cx="723900" cy="769620"/>
                  <wp:effectExtent l="0" t="0" r="0" b="0"/>
                  <wp:docPr id="1" name="Picture 1"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3" w:type="dxa"/>
            <w:tcBorders>
              <w:top w:val="single" w:sz="4" w:space="0" w:color="auto"/>
              <w:bottom w:val="single" w:sz="24" w:space="0" w:color="auto"/>
            </w:tcBorders>
          </w:tcPr>
          <w:p w14:paraId="58A9E59B" w14:textId="77777777" w:rsidR="00555939" w:rsidRPr="003E69A0" w:rsidRDefault="00555939" w:rsidP="00BC41C1">
            <w:pPr>
              <w:spacing w:after="0" w:line="240" w:lineRule="auto"/>
              <w:jc w:val="left"/>
              <w:rPr>
                <w:rFonts w:ascii="Arial" w:eastAsiaTheme="minorEastAsia" w:hAnsi="Arial" w:cs="Arial"/>
                <w:b/>
                <w:sz w:val="32"/>
                <w:szCs w:val="32"/>
                <w:lang w:val="en-GB"/>
              </w:rPr>
            </w:pPr>
          </w:p>
          <w:p w14:paraId="08DA5CD4" w14:textId="77777777" w:rsidR="00555939" w:rsidRPr="007E1CFC" w:rsidRDefault="00555939" w:rsidP="00BC41C1">
            <w:pPr>
              <w:spacing w:after="0" w:line="240" w:lineRule="auto"/>
              <w:jc w:val="left"/>
              <w:rPr>
                <w:rFonts w:ascii="Arial" w:eastAsiaTheme="minorEastAsia" w:hAnsi="Arial" w:cs="Arial"/>
                <w:b/>
                <w:sz w:val="24"/>
                <w:szCs w:val="24"/>
                <w:lang w:val="en-GB"/>
              </w:rPr>
            </w:pPr>
          </w:p>
          <w:p w14:paraId="3C27EB9C" w14:textId="77777777" w:rsidR="00555939" w:rsidRPr="003E69A0" w:rsidRDefault="00555939" w:rsidP="00BC41C1">
            <w:pPr>
              <w:spacing w:after="0" w:line="240" w:lineRule="auto"/>
              <w:jc w:val="left"/>
              <w:rPr>
                <w:rFonts w:ascii="Arial" w:eastAsiaTheme="minorEastAsia" w:hAnsi="Arial" w:cs="Arial"/>
                <w:b/>
                <w:sz w:val="32"/>
                <w:szCs w:val="32"/>
                <w:lang w:val="en-GB"/>
              </w:rPr>
            </w:pPr>
          </w:p>
          <w:p w14:paraId="62869B28" w14:textId="77777777" w:rsidR="00555939" w:rsidRPr="003E69A0" w:rsidRDefault="00555939" w:rsidP="00BC41C1">
            <w:pPr>
              <w:spacing w:after="0" w:line="240" w:lineRule="auto"/>
              <w:jc w:val="left"/>
              <w:rPr>
                <w:rFonts w:ascii="SimHei" w:eastAsia="SimHei" w:hAnsi="SimHei" w:cs="Arial"/>
                <w:b/>
                <w:sz w:val="32"/>
                <w:szCs w:val="32"/>
                <w:lang w:val="en-GB"/>
              </w:rPr>
            </w:pPr>
          </w:p>
          <w:p w14:paraId="60FB456A" w14:textId="77777777" w:rsidR="00555939" w:rsidRPr="003E69A0" w:rsidRDefault="00555939" w:rsidP="00BC41C1">
            <w:pPr>
              <w:spacing w:after="0" w:line="240" w:lineRule="auto"/>
              <w:jc w:val="left"/>
              <w:rPr>
                <w:rFonts w:ascii="SimHei" w:eastAsia="SimHei" w:hAnsi="SimHei" w:cs="Arial"/>
                <w:b/>
                <w:sz w:val="32"/>
                <w:szCs w:val="32"/>
                <w:lang w:val="en-GB"/>
              </w:rPr>
            </w:pPr>
            <w:r w:rsidRPr="003E69A0">
              <w:rPr>
                <w:rFonts w:ascii="SimHei" w:eastAsia="SimHei" w:hAnsi="SimHei" w:cs="Arial" w:hint="eastAsia"/>
                <w:b/>
                <w:sz w:val="32"/>
                <w:szCs w:val="32"/>
                <w:lang w:val="en-GB"/>
              </w:rPr>
              <w:t>联合国</w:t>
            </w:r>
          </w:p>
          <w:p w14:paraId="22A2E553" w14:textId="77777777" w:rsidR="00555939" w:rsidRPr="003E69A0" w:rsidRDefault="00555939" w:rsidP="00BC41C1">
            <w:pPr>
              <w:spacing w:after="0" w:line="240" w:lineRule="auto"/>
              <w:jc w:val="left"/>
              <w:rPr>
                <w:rFonts w:ascii="Arial" w:eastAsiaTheme="minorEastAsia" w:hAnsi="Arial" w:cs="Arial"/>
                <w:b/>
                <w:sz w:val="28"/>
                <w:szCs w:val="20"/>
                <w:lang w:val="en-GB"/>
              </w:rPr>
            </w:pPr>
            <w:r w:rsidRPr="003E69A0">
              <w:rPr>
                <w:rFonts w:ascii="SimHei" w:eastAsia="SimHei" w:hAnsi="SimHei" w:cs="Arial" w:hint="eastAsia"/>
                <w:b/>
                <w:sz w:val="32"/>
                <w:szCs w:val="32"/>
                <w:lang w:val="en-GB"/>
              </w:rPr>
              <w:t>环境规划署</w:t>
            </w:r>
          </w:p>
        </w:tc>
        <w:tc>
          <w:tcPr>
            <w:tcW w:w="3335" w:type="dxa"/>
            <w:tcBorders>
              <w:top w:val="single" w:sz="4" w:space="0" w:color="auto"/>
              <w:bottom w:val="single" w:sz="24" w:space="0" w:color="auto"/>
            </w:tcBorders>
          </w:tcPr>
          <w:p w14:paraId="5E44779E" w14:textId="0FD6EC74" w:rsidR="00555939" w:rsidRPr="003E69A0" w:rsidRDefault="00555939" w:rsidP="00BC41C1">
            <w:pPr>
              <w:spacing w:before="120" w:after="0" w:line="240" w:lineRule="auto"/>
              <w:ind w:left="269"/>
              <w:jc w:val="left"/>
              <w:rPr>
                <w:rFonts w:eastAsiaTheme="minorEastAsia"/>
                <w:sz w:val="20"/>
                <w:szCs w:val="20"/>
                <w:lang w:val="en-GB" w:eastAsia="en-US"/>
              </w:rPr>
            </w:pPr>
            <w:r w:rsidRPr="003E69A0">
              <w:rPr>
                <w:rFonts w:eastAsiaTheme="minorEastAsia"/>
                <w:sz w:val="20"/>
                <w:szCs w:val="20"/>
                <w:lang w:val="en-GB" w:eastAsia="en-US"/>
              </w:rPr>
              <w:t>Distr.: General</w:t>
            </w:r>
            <w:r w:rsidRPr="003E69A0">
              <w:rPr>
                <w:rFonts w:eastAsiaTheme="minorEastAsia"/>
                <w:sz w:val="20"/>
                <w:szCs w:val="20"/>
                <w:lang w:val="en-GB" w:eastAsia="en-US"/>
              </w:rPr>
              <w:br w:type="textWrapping" w:clear="all"/>
            </w:r>
            <w:r>
              <w:rPr>
                <w:rFonts w:eastAsiaTheme="minorEastAsia"/>
                <w:sz w:val="20"/>
                <w:szCs w:val="20"/>
                <w:lang w:val="en-GB" w:eastAsia="en-US"/>
              </w:rPr>
              <w:t>15 July</w:t>
            </w:r>
            <w:r w:rsidRPr="00C81602">
              <w:rPr>
                <w:rFonts w:eastAsiaTheme="minorEastAsia"/>
                <w:sz w:val="20"/>
                <w:szCs w:val="20"/>
                <w:lang w:val="en-GB" w:eastAsia="en-US"/>
              </w:rPr>
              <w:t xml:space="preserve"> 201</w:t>
            </w:r>
            <w:r>
              <w:rPr>
                <w:rFonts w:eastAsiaTheme="minorEastAsia"/>
                <w:sz w:val="20"/>
                <w:szCs w:val="20"/>
                <w:lang w:val="en-GB" w:eastAsia="en-US"/>
              </w:rPr>
              <w:t>9</w:t>
            </w:r>
          </w:p>
          <w:p w14:paraId="03ADD9C5" w14:textId="77777777" w:rsidR="00555939" w:rsidRPr="003E69A0" w:rsidRDefault="00555939" w:rsidP="00BC41C1">
            <w:pPr>
              <w:spacing w:after="0" w:line="240" w:lineRule="auto"/>
              <w:ind w:left="269"/>
              <w:jc w:val="left"/>
              <w:rPr>
                <w:rFonts w:eastAsiaTheme="minorEastAsia"/>
                <w:sz w:val="20"/>
                <w:szCs w:val="20"/>
                <w:lang w:val="en-GB"/>
              </w:rPr>
            </w:pPr>
          </w:p>
          <w:p w14:paraId="3F880739" w14:textId="77777777" w:rsidR="00555939" w:rsidRPr="003E69A0" w:rsidRDefault="00555939" w:rsidP="00BC41C1">
            <w:pPr>
              <w:spacing w:after="0" w:line="240" w:lineRule="auto"/>
              <w:ind w:left="269"/>
              <w:jc w:val="left"/>
              <w:rPr>
                <w:rFonts w:eastAsiaTheme="minorEastAsia"/>
                <w:sz w:val="20"/>
                <w:szCs w:val="20"/>
                <w:lang w:val="en-GB"/>
              </w:rPr>
            </w:pPr>
            <w:r w:rsidRPr="003E69A0">
              <w:rPr>
                <w:rFonts w:eastAsiaTheme="minorEastAsia" w:hint="eastAsia"/>
                <w:sz w:val="20"/>
                <w:szCs w:val="20"/>
                <w:lang w:val="en-GB"/>
              </w:rPr>
              <w:t>Chinese</w:t>
            </w:r>
          </w:p>
          <w:p w14:paraId="6089F96F" w14:textId="77777777" w:rsidR="00555939" w:rsidRPr="003E69A0" w:rsidRDefault="00555939" w:rsidP="00BC41C1">
            <w:pPr>
              <w:tabs>
                <w:tab w:val="clear" w:pos="2381"/>
                <w:tab w:val="clear" w:pos="2948"/>
                <w:tab w:val="clear" w:pos="3515"/>
              </w:tabs>
              <w:spacing w:after="0" w:line="240" w:lineRule="auto"/>
              <w:ind w:left="269"/>
              <w:jc w:val="left"/>
              <w:rPr>
                <w:rFonts w:eastAsiaTheme="minorEastAsia"/>
                <w:sz w:val="20"/>
                <w:szCs w:val="20"/>
                <w:lang w:val="en-GB" w:eastAsia="en-US"/>
              </w:rPr>
            </w:pPr>
            <w:r w:rsidRPr="003E69A0">
              <w:rPr>
                <w:rFonts w:eastAsiaTheme="minorEastAsia"/>
                <w:sz w:val="20"/>
                <w:szCs w:val="20"/>
                <w:lang w:val="en-GB" w:eastAsia="en-US"/>
              </w:rPr>
              <w:t>Original: English</w:t>
            </w:r>
            <w:r>
              <w:rPr>
                <w:rFonts w:eastAsiaTheme="minorEastAsia"/>
                <w:sz w:val="20"/>
                <w:szCs w:val="20"/>
                <w:lang w:val="en-GB" w:eastAsia="en-US"/>
              </w:rPr>
              <w:tab/>
            </w:r>
          </w:p>
        </w:tc>
      </w:tr>
    </w:tbl>
    <w:p w14:paraId="0A4BFFDA" w14:textId="30575E0E" w:rsidR="00E976AB" w:rsidRPr="00B817D5" w:rsidRDefault="00CB007D" w:rsidP="00E976AB">
      <w:pPr>
        <w:pStyle w:val="AATitle"/>
        <w:keepNext w:val="0"/>
        <w:keepLines w:val="0"/>
        <w:rPr>
          <w:rFonts w:ascii="SimHei" w:eastAsia="SimHei" w:hAnsi="SimHei"/>
          <w:sz w:val="24"/>
          <w:lang w:eastAsia="zh-CN"/>
        </w:rPr>
      </w:pPr>
      <w:r w:rsidRPr="00B817D5">
        <w:rPr>
          <w:rFonts w:ascii="SimHei" w:eastAsia="SimHei" w:hAnsi="SimHei"/>
          <w:bCs/>
          <w:sz w:val="24"/>
          <w:lang w:val="zh-CN" w:eastAsia="zh-CN"/>
        </w:rPr>
        <w:t>关于汞的水</w:t>
      </w:r>
      <w:proofErr w:type="gramStart"/>
      <w:r w:rsidRPr="00B817D5">
        <w:rPr>
          <w:rFonts w:ascii="SimHei" w:eastAsia="SimHei" w:hAnsi="SimHei"/>
          <w:bCs/>
          <w:sz w:val="24"/>
          <w:lang w:val="zh-CN" w:eastAsia="zh-CN"/>
        </w:rPr>
        <w:t>俣</w:t>
      </w:r>
      <w:proofErr w:type="gramEnd"/>
      <w:r w:rsidRPr="00B817D5">
        <w:rPr>
          <w:rFonts w:ascii="SimHei" w:eastAsia="SimHei" w:hAnsi="SimHei"/>
          <w:bCs/>
          <w:sz w:val="24"/>
          <w:lang w:val="zh-CN" w:eastAsia="zh-CN"/>
        </w:rPr>
        <w:t>公约缔约方大会</w:t>
      </w:r>
    </w:p>
    <w:p w14:paraId="26A6CAA0" w14:textId="65393398" w:rsidR="00E976AB" w:rsidRPr="00B817D5" w:rsidRDefault="00F96F7E" w:rsidP="00E976AB">
      <w:pPr>
        <w:pStyle w:val="AATitle"/>
        <w:keepNext w:val="0"/>
        <w:keepLines w:val="0"/>
        <w:rPr>
          <w:rFonts w:ascii="SimHei" w:eastAsia="SimHei" w:hAnsi="SimHei"/>
          <w:sz w:val="24"/>
          <w:lang w:eastAsia="zh-CN"/>
        </w:rPr>
      </w:pPr>
      <w:r w:rsidRPr="00B817D5">
        <w:rPr>
          <w:rFonts w:ascii="SimHei" w:eastAsia="SimHei" w:hAnsi="SimHei"/>
          <w:bCs/>
          <w:sz w:val="24"/>
          <w:lang w:val="zh-CN" w:eastAsia="zh-CN"/>
        </w:rPr>
        <w:t>第三次会议</w:t>
      </w:r>
    </w:p>
    <w:p w14:paraId="67B82F12" w14:textId="613AD200" w:rsidR="00787688" w:rsidRPr="00B817D5" w:rsidRDefault="00787688" w:rsidP="00434321">
      <w:pPr>
        <w:pStyle w:val="AATitle"/>
        <w:rPr>
          <w:b w:val="0"/>
          <w:sz w:val="24"/>
          <w:lang w:eastAsia="zh-CN"/>
        </w:rPr>
      </w:pPr>
      <w:r w:rsidRPr="00B817D5">
        <w:rPr>
          <w:b w:val="0"/>
          <w:sz w:val="24"/>
          <w:lang w:val="zh-CN" w:eastAsia="zh-CN"/>
        </w:rPr>
        <w:t>2019</w:t>
      </w:r>
      <w:r w:rsidRPr="00B817D5">
        <w:rPr>
          <w:b w:val="0"/>
          <w:sz w:val="24"/>
          <w:lang w:val="zh-CN" w:eastAsia="zh-CN"/>
        </w:rPr>
        <w:t>年</w:t>
      </w:r>
      <w:r w:rsidRPr="00B817D5">
        <w:rPr>
          <w:b w:val="0"/>
          <w:sz w:val="24"/>
          <w:lang w:val="zh-CN" w:eastAsia="zh-CN"/>
        </w:rPr>
        <w:t>11</w:t>
      </w:r>
      <w:r w:rsidRPr="00B817D5">
        <w:rPr>
          <w:b w:val="0"/>
          <w:sz w:val="24"/>
          <w:lang w:val="zh-CN" w:eastAsia="zh-CN"/>
        </w:rPr>
        <w:t>月</w:t>
      </w:r>
      <w:r w:rsidRPr="00B817D5">
        <w:rPr>
          <w:b w:val="0"/>
          <w:sz w:val="24"/>
          <w:lang w:val="zh-CN" w:eastAsia="zh-CN"/>
        </w:rPr>
        <w:t>25</w:t>
      </w:r>
      <w:r w:rsidRPr="00B817D5">
        <w:rPr>
          <w:b w:val="0"/>
          <w:sz w:val="24"/>
          <w:lang w:val="zh-CN" w:eastAsia="zh-CN"/>
        </w:rPr>
        <w:t>日至</w:t>
      </w:r>
      <w:r w:rsidRPr="00B817D5">
        <w:rPr>
          <w:b w:val="0"/>
          <w:sz w:val="24"/>
          <w:lang w:val="zh-CN" w:eastAsia="zh-CN"/>
        </w:rPr>
        <w:t>29</w:t>
      </w:r>
      <w:r w:rsidRPr="00B817D5">
        <w:rPr>
          <w:b w:val="0"/>
          <w:sz w:val="24"/>
          <w:lang w:val="zh-CN" w:eastAsia="zh-CN"/>
        </w:rPr>
        <w:t>日，日内瓦</w:t>
      </w:r>
    </w:p>
    <w:p w14:paraId="5DA24A29" w14:textId="205F2083" w:rsidR="00A24D77" w:rsidRPr="00B817D5" w:rsidRDefault="00A24D77" w:rsidP="00555939">
      <w:pPr>
        <w:pStyle w:val="AATitle"/>
        <w:ind w:right="5098"/>
        <w:rPr>
          <w:b w:val="0"/>
          <w:sz w:val="24"/>
          <w:lang w:eastAsia="zh-CN"/>
        </w:rPr>
      </w:pPr>
      <w:r w:rsidRPr="00B817D5">
        <w:rPr>
          <w:b w:val="0"/>
          <w:sz w:val="24"/>
          <w:lang w:val="zh-CN" w:eastAsia="zh-CN"/>
        </w:rPr>
        <w:t>临时议程</w:t>
      </w:r>
      <w:r w:rsidR="00B817D5" w:rsidRPr="00555939">
        <w:rPr>
          <w:rStyle w:val="a5"/>
          <w:b w:val="0"/>
          <w:spacing w:val="0"/>
          <w:w w:val="100"/>
          <w:position w:val="0"/>
          <w:sz w:val="24"/>
          <w:vertAlign w:val="baseline"/>
          <w:lang w:val="zh-CN" w:eastAsia="zh-CN"/>
        </w:rPr>
        <w:footnoteReference w:customMarkFollows="1" w:id="1"/>
        <w:t>*</w:t>
      </w:r>
      <w:r w:rsidRPr="00B817D5">
        <w:rPr>
          <w:b w:val="0"/>
          <w:sz w:val="24"/>
          <w:lang w:val="zh-CN" w:eastAsia="zh-CN"/>
        </w:rPr>
        <w:t>项目</w:t>
      </w:r>
      <w:r w:rsidRPr="00B817D5">
        <w:rPr>
          <w:b w:val="0"/>
          <w:sz w:val="24"/>
          <w:lang w:val="zh-CN" w:eastAsia="zh-CN"/>
        </w:rPr>
        <w:t>5(f)</w:t>
      </w:r>
    </w:p>
    <w:p w14:paraId="7CAF36FC" w14:textId="77777777" w:rsidR="00E540C0" w:rsidRDefault="00A24D77" w:rsidP="00555939">
      <w:pPr>
        <w:pStyle w:val="AATitle2"/>
        <w:spacing w:before="60" w:after="0"/>
        <w:contextualSpacing/>
        <w:rPr>
          <w:rFonts w:ascii="SimHei" w:eastAsia="SimHei" w:hAnsi="SimHei"/>
          <w:bCs/>
          <w:sz w:val="24"/>
          <w:lang w:val="zh-CN" w:eastAsia="zh-CN"/>
        </w:rPr>
      </w:pPr>
      <w:r w:rsidRPr="00B817D5">
        <w:rPr>
          <w:rFonts w:ascii="SimHei" w:eastAsia="SimHei" w:hAnsi="SimHei"/>
          <w:bCs/>
          <w:sz w:val="24"/>
          <w:lang w:val="zh-CN" w:eastAsia="zh-CN"/>
        </w:rPr>
        <w:t>供缔约方大会审议或采取行动的事项：</w:t>
      </w:r>
    </w:p>
    <w:p w14:paraId="3603EA8D" w14:textId="2C1A0143" w:rsidR="00A24D77" w:rsidRPr="00B817D5" w:rsidRDefault="00A24D77" w:rsidP="00555939">
      <w:pPr>
        <w:pStyle w:val="AATitle2"/>
        <w:spacing w:before="60" w:after="0"/>
        <w:contextualSpacing/>
        <w:rPr>
          <w:rFonts w:ascii="SimHei" w:eastAsia="SimHei" w:hAnsi="SimHei"/>
          <w:sz w:val="24"/>
          <w:lang w:eastAsia="zh-CN"/>
        </w:rPr>
      </w:pPr>
      <w:r w:rsidRPr="00B817D5">
        <w:rPr>
          <w:rFonts w:ascii="SimHei" w:eastAsia="SimHei" w:hAnsi="SimHei"/>
          <w:bCs/>
          <w:sz w:val="24"/>
          <w:lang w:val="zh-CN" w:eastAsia="zh-CN"/>
        </w:rPr>
        <w:t>能力建设、技术援助和技术转让</w:t>
      </w:r>
    </w:p>
    <w:p w14:paraId="4F49FB6A" w14:textId="594AA719" w:rsidR="00A24D77" w:rsidRPr="00555939" w:rsidRDefault="00A24D77" w:rsidP="00555939">
      <w:pPr>
        <w:pStyle w:val="BBTitle"/>
        <w:ind w:left="1253" w:right="-44"/>
        <w:rPr>
          <w:rFonts w:ascii="SimHei" w:eastAsia="SimHei" w:hAnsi="SimHei"/>
          <w:sz w:val="32"/>
          <w:lang w:eastAsia="zh-CN"/>
        </w:rPr>
      </w:pPr>
      <w:r w:rsidRPr="00555939">
        <w:rPr>
          <w:rFonts w:ascii="SimHei" w:eastAsia="SimHei" w:hAnsi="SimHei"/>
          <w:bCs/>
          <w:iCs/>
          <w:spacing w:val="-6"/>
          <w:sz w:val="32"/>
          <w:lang w:val="zh-CN" w:eastAsia="zh-CN"/>
        </w:rPr>
        <w:t>来自现有区域、次区域和国家安排的关于其</w:t>
      </w:r>
      <w:r w:rsidR="00D721C2" w:rsidRPr="00555939">
        <w:rPr>
          <w:rFonts w:ascii="SimHei" w:eastAsia="SimHei" w:hAnsi="SimHei" w:hint="eastAsia"/>
          <w:bCs/>
          <w:iCs/>
          <w:spacing w:val="-6"/>
          <w:sz w:val="32"/>
          <w:lang w:val="zh-CN" w:eastAsia="zh-CN"/>
        </w:rPr>
        <w:t>开展</w:t>
      </w:r>
      <w:r w:rsidRPr="00555939">
        <w:rPr>
          <w:rFonts w:ascii="SimHei" w:eastAsia="SimHei" w:hAnsi="SimHei"/>
          <w:bCs/>
          <w:iCs/>
          <w:spacing w:val="-6"/>
          <w:sz w:val="32"/>
          <w:lang w:val="zh-CN" w:eastAsia="zh-CN"/>
        </w:rPr>
        <w:t>能力建设和</w:t>
      </w:r>
      <w:r w:rsidRPr="00555939">
        <w:rPr>
          <w:rFonts w:ascii="SimHei" w:eastAsia="SimHei" w:hAnsi="SimHei"/>
          <w:bCs/>
          <w:iCs/>
          <w:sz w:val="32"/>
          <w:lang w:val="zh-CN" w:eastAsia="zh-CN"/>
        </w:rPr>
        <w:t>技术援助</w:t>
      </w:r>
      <w:r w:rsidR="00A84C5C" w:rsidRPr="00555939">
        <w:rPr>
          <w:rFonts w:ascii="SimHei" w:eastAsia="SimHei" w:hAnsi="SimHei"/>
          <w:bCs/>
          <w:iCs/>
          <w:sz w:val="32"/>
          <w:lang w:val="zh-CN" w:eastAsia="zh-CN"/>
        </w:rPr>
        <w:t>以支持缔约方履行《水俣公约》规定义务</w:t>
      </w:r>
      <w:r w:rsidRPr="00555939">
        <w:rPr>
          <w:rFonts w:ascii="SimHei" w:eastAsia="SimHei" w:hAnsi="SimHei"/>
          <w:bCs/>
          <w:iCs/>
          <w:sz w:val="32"/>
          <w:lang w:val="zh-CN" w:eastAsia="zh-CN"/>
        </w:rPr>
        <w:t>的信息</w:t>
      </w:r>
    </w:p>
    <w:p w14:paraId="643EE354" w14:textId="77777777" w:rsidR="00A24D77" w:rsidRPr="00B817D5" w:rsidRDefault="00A24D77" w:rsidP="00555939">
      <w:pPr>
        <w:pStyle w:val="CH2"/>
        <w:spacing w:before="0"/>
        <w:ind w:left="1253" w:right="288" w:hanging="1253"/>
        <w:rPr>
          <w:rFonts w:ascii="SimHei" w:eastAsia="SimHei" w:hAnsi="SimHei"/>
        </w:rPr>
      </w:pPr>
      <w:r>
        <w:rPr>
          <w:lang w:val="zh-CN" w:eastAsia="zh-CN"/>
        </w:rPr>
        <w:tab/>
      </w:r>
      <w:r>
        <w:rPr>
          <w:lang w:val="zh-CN" w:eastAsia="zh-CN"/>
        </w:rPr>
        <w:tab/>
      </w:r>
      <w:proofErr w:type="spellStart"/>
      <w:r w:rsidRPr="00B817D5">
        <w:rPr>
          <w:rFonts w:ascii="SimHei" w:eastAsia="SimHei" w:hAnsi="SimHei"/>
          <w:bCs/>
          <w:lang w:val="zh-CN"/>
        </w:rPr>
        <w:t>秘书处的说明</w:t>
      </w:r>
      <w:proofErr w:type="spellEnd"/>
    </w:p>
    <w:p w14:paraId="5BA3F4D7" w14:textId="05C3918C" w:rsidR="00A24D77" w:rsidRPr="00B817D5" w:rsidRDefault="00A24D77" w:rsidP="00B817D5">
      <w:pPr>
        <w:pStyle w:val="Normalnumber"/>
        <w:numPr>
          <w:ilvl w:val="0"/>
          <w:numId w:val="23"/>
        </w:numPr>
        <w:tabs>
          <w:tab w:val="clear" w:pos="1247"/>
          <w:tab w:val="clear" w:pos="1814"/>
          <w:tab w:val="clear" w:pos="2381"/>
          <w:tab w:val="clear" w:pos="2948"/>
          <w:tab w:val="clear" w:pos="3515"/>
          <w:tab w:val="clear" w:pos="4082"/>
          <w:tab w:val="left" w:pos="624"/>
        </w:tabs>
        <w:jc w:val="both"/>
        <w:rPr>
          <w:sz w:val="24"/>
          <w:szCs w:val="24"/>
          <w:lang w:eastAsia="zh-CN"/>
        </w:rPr>
      </w:pPr>
      <w:r w:rsidRPr="00555939">
        <w:rPr>
          <w:spacing w:val="-4"/>
          <w:sz w:val="24"/>
          <w:szCs w:val="24"/>
          <w:lang w:val="zh-CN" w:eastAsia="zh-CN"/>
        </w:rPr>
        <w:t>关于汞的水俣公约缔约方大会第二次会议通过了题为</w:t>
      </w:r>
      <w:r w:rsidRPr="00555939">
        <w:rPr>
          <w:rFonts w:ascii="SimSun" w:hAnsi="SimSun"/>
          <w:spacing w:val="-4"/>
          <w:sz w:val="24"/>
          <w:szCs w:val="24"/>
          <w:lang w:val="zh-CN" w:eastAsia="zh-CN"/>
        </w:rPr>
        <w:t>“</w:t>
      </w:r>
      <w:r w:rsidRPr="00555939">
        <w:rPr>
          <w:spacing w:val="-4"/>
          <w:sz w:val="24"/>
          <w:szCs w:val="24"/>
          <w:lang w:val="zh-CN" w:eastAsia="zh-CN"/>
        </w:rPr>
        <w:t>第</w:t>
      </w:r>
      <w:r w:rsidRPr="00555939">
        <w:rPr>
          <w:spacing w:val="-4"/>
          <w:sz w:val="24"/>
          <w:szCs w:val="24"/>
          <w:lang w:val="zh-CN" w:eastAsia="zh-CN"/>
        </w:rPr>
        <w:t>14</w:t>
      </w:r>
      <w:r w:rsidRPr="00555939">
        <w:rPr>
          <w:spacing w:val="-4"/>
          <w:sz w:val="24"/>
          <w:szCs w:val="24"/>
          <w:lang w:val="zh-CN" w:eastAsia="zh-CN"/>
        </w:rPr>
        <w:t>条：能力建设</w:t>
      </w:r>
      <w:r w:rsidRPr="00B817D5">
        <w:rPr>
          <w:sz w:val="24"/>
          <w:szCs w:val="24"/>
          <w:lang w:val="zh-CN" w:eastAsia="zh-CN"/>
        </w:rPr>
        <w:t>、技术援助和技术转让</w:t>
      </w:r>
      <w:r w:rsidRPr="00782514">
        <w:rPr>
          <w:rFonts w:ascii="SimSun" w:hAnsi="SimSun"/>
          <w:sz w:val="24"/>
          <w:szCs w:val="24"/>
          <w:lang w:val="zh-CN" w:eastAsia="zh-CN"/>
        </w:rPr>
        <w:t>”</w:t>
      </w:r>
      <w:r w:rsidRPr="00B817D5">
        <w:rPr>
          <w:sz w:val="24"/>
          <w:szCs w:val="24"/>
          <w:lang w:val="zh-CN" w:eastAsia="zh-CN"/>
        </w:rPr>
        <w:t>的</w:t>
      </w:r>
      <w:r w:rsidRPr="00B817D5">
        <w:rPr>
          <w:sz w:val="24"/>
          <w:szCs w:val="24"/>
          <w:lang w:val="zh-CN" w:eastAsia="zh-CN"/>
        </w:rPr>
        <w:t>MC-2/11</w:t>
      </w:r>
      <w:r w:rsidRPr="00B817D5">
        <w:rPr>
          <w:sz w:val="24"/>
          <w:szCs w:val="24"/>
          <w:lang w:val="zh-CN" w:eastAsia="zh-CN"/>
        </w:rPr>
        <w:t>号决定，其中缔约方大会回顾了</w:t>
      </w:r>
      <w:r w:rsidRPr="00B817D5">
        <w:rPr>
          <w:sz w:val="24"/>
          <w:szCs w:val="24"/>
          <w:lang w:val="zh-CN" w:eastAsia="zh-CN"/>
        </w:rPr>
        <w:t>MC-1/21</w:t>
      </w:r>
      <w:r w:rsidRPr="00B817D5">
        <w:rPr>
          <w:sz w:val="24"/>
          <w:szCs w:val="24"/>
          <w:lang w:val="zh-CN" w:eastAsia="zh-CN"/>
        </w:rPr>
        <w:t>号决定，其中认识到，一些现有的区域和次区域中心已经在制定有关汞问题的项目和活动。在</w:t>
      </w:r>
      <w:r w:rsidRPr="00B817D5">
        <w:rPr>
          <w:sz w:val="24"/>
          <w:szCs w:val="24"/>
          <w:lang w:val="zh-CN" w:eastAsia="zh-CN"/>
        </w:rPr>
        <w:t>MC-2/11</w:t>
      </w:r>
      <w:r w:rsidRPr="00B817D5">
        <w:rPr>
          <w:sz w:val="24"/>
          <w:szCs w:val="24"/>
          <w:lang w:val="zh-CN" w:eastAsia="zh-CN"/>
        </w:rPr>
        <w:t>号决定中，缔约方</w:t>
      </w:r>
      <w:r w:rsidR="00973359">
        <w:rPr>
          <w:rFonts w:hint="eastAsia"/>
          <w:sz w:val="24"/>
          <w:szCs w:val="24"/>
          <w:lang w:val="zh-CN" w:eastAsia="zh-CN"/>
        </w:rPr>
        <w:t>大</w:t>
      </w:r>
      <w:r w:rsidRPr="00B817D5">
        <w:rPr>
          <w:sz w:val="24"/>
          <w:szCs w:val="24"/>
          <w:lang w:val="zh-CN" w:eastAsia="zh-CN"/>
        </w:rPr>
        <w:t>会请水</w:t>
      </w:r>
      <w:proofErr w:type="gramStart"/>
      <w:r w:rsidRPr="00B817D5">
        <w:rPr>
          <w:sz w:val="24"/>
          <w:szCs w:val="24"/>
          <w:lang w:val="zh-CN" w:eastAsia="zh-CN"/>
        </w:rPr>
        <w:t>俣</w:t>
      </w:r>
      <w:proofErr w:type="gramEnd"/>
      <w:r w:rsidRPr="00B817D5">
        <w:rPr>
          <w:sz w:val="24"/>
          <w:szCs w:val="24"/>
          <w:lang w:val="zh-CN" w:eastAsia="zh-CN"/>
        </w:rPr>
        <w:t>公约秘书处收集来自现有区域、次区域和国家安排的关于其</w:t>
      </w:r>
      <w:r w:rsidR="00A84C5C">
        <w:rPr>
          <w:rFonts w:hint="eastAsia"/>
          <w:sz w:val="24"/>
          <w:szCs w:val="24"/>
          <w:lang w:val="zh-CN" w:eastAsia="zh-CN"/>
        </w:rPr>
        <w:t>开展</w:t>
      </w:r>
      <w:r w:rsidRPr="00B817D5">
        <w:rPr>
          <w:sz w:val="24"/>
          <w:szCs w:val="24"/>
          <w:lang w:val="zh-CN" w:eastAsia="zh-CN"/>
        </w:rPr>
        <w:t>能力建设和技术援助</w:t>
      </w:r>
      <w:r w:rsidR="00A84C5C" w:rsidRPr="00B817D5">
        <w:rPr>
          <w:sz w:val="24"/>
          <w:szCs w:val="24"/>
          <w:lang w:val="zh-CN" w:eastAsia="zh-CN"/>
        </w:rPr>
        <w:t>以支持缔约方履行《水俣公约》规定义务</w:t>
      </w:r>
      <w:r w:rsidRPr="00B817D5">
        <w:rPr>
          <w:sz w:val="24"/>
          <w:szCs w:val="24"/>
          <w:lang w:val="zh-CN" w:eastAsia="zh-CN"/>
        </w:rPr>
        <w:t>的信息。缔约方大会还请秘书处就此向缔约方大会第三次会议报告，并强调可酌情利用区域、次区域和国家安排，包括现有的区域和次区域中心，根据《公约》第</w:t>
      </w:r>
      <w:r w:rsidRPr="00B817D5">
        <w:rPr>
          <w:sz w:val="24"/>
          <w:szCs w:val="24"/>
          <w:lang w:val="zh-CN" w:eastAsia="zh-CN"/>
        </w:rPr>
        <w:t>14</w:t>
      </w:r>
      <w:r w:rsidRPr="00B817D5">
        <w:rPr>
          <w:sz w:val="24"/>
          <w:szCs w:val="24"/>
          <w:lang w:val="zh-CN" w:eastAsia="zh-CN"/>
        </w:rPr>
        <w:t>条提供能力建设和技术援助。</w:t>
      </w:r>
      <w:bookmarkStart w:id="2" w:name="_Hlk530301547"/>
      <w:bookmarkStart w:id="3" w:name="_Toc495572439"/>
      <w:bookmarkEnd w:id="2"/>
      <w:bookmarkEnd w:id="3"/>
    </w:p>
    <w:p w14:paraId="3BF4C874" w14:textId="3DA5B3EF" w:rsidR="00A24D77" w:rsidRPr="00B817D5" w:rsidRDefault="00A24D77" w:rsidP="00B817D5">
      <w:pPr>
        <w:pStyle w:val="Normalnumber"/>
        <w:numPr>
          <w:ilvl w:val="0"/>
          <w:numId w:val="23"/>
        </w:numPr>
        <w:tabs>
          <w:tab w:val="clear" w:pos="1247"/>
          <w:tab w:val="clear" w:pos="1814"/>
          <w:tab w:val="clear" w:pos="2381"/>
          <w:tab w:val="clear" w:pos="2948"/>
          <w:tab w:val="clear" w:pos="3515"/>
          <w:tab w:val="clear" w:pos="4082"/>
          <w:tab w:val="left" w:pos="624"/>
        </w:tabs>
        <w:jc w:val="both"/>
        <w:rPr>
          <w:sz w:val="24"/>
          <w:szCs w:val="24"/>
          <w:lang w:eastAsia="zh-CN"/>
        </w:rPr>
      </w:pPr>
      <w:r w:rsidRPr="00B817D5">
        <w:rPr>
          <w:sz w:val="24"/>
          <w:szCs w:val="24"/>
          <w:lang w:val="zh-CN" w:eastAsia="zh-CN"/>
        </w:rPr>
        <w:t>秘书处通过</w:t>
      </w:r>
      <w:r w:rsidRPr="00B817D5">
        <w:rPr>
          <w:sz w:val="24"/>
          <w:szCs w:val="24"/>
          <w:lang w:val="zh-CN" w:eastAsia="zh-CN"/>
        </w:rPr>
        <w:t>2018</w:t>
      </w:r>
      <w:r w:rsidRPr="00B817D5">
        <w:rPr>
          <w:sz w:val="24"/>
          <w:szCs w:val="24"/>
          <w:lang w:val="zh-CN" w:eastAsia="zh-CN"/>
        </w:rPr>
        <w:t>年</w:t>
      </w:r>
      <w:r w:rsidRPr="00B817D5">
        <w:rPr>
          <w:sz w:val="24"/>
          <w:szCs w:val="24"/>
          <w:lang w:val="zh-CN" w:eastAsia="zh-CN"/>
        </w:rPr>
        <w:t>12</w:t>
      </w:r>
      <w:r w:rsidRPr="00B817D5">
        <w:rPr>
          <w:sz w:val="24"/>
          <w:szCs w:val="24"/>
          <w:lang w:val="zh-CN" w:eastAsia="zh-CN"/>
        </w:rPr>
        <w:t>月</w:t>
      </w:r>
      <w:r w:rsidRPr="00B817D5">
        <w:rPr>
          <w:sz w:val="24"/>
          <w:szCs w:val="24"/>
          <w:lang w:val="zh-CN" w:eastAsia="zh-CN"/>
        </w:rPr>
        <w:t>3</w:t>
      </w:r>
      <w:r w:rsidRPr="00B817D5">
        <w:rPr>
          <w:sz w:val="24"/>
          <w:szCs w:val="24"/>
          <w:lang w:val="zh-CN" w:eastAsia="zh-CN"/>
        </w:rPr>
        <w:t>日</w:t>
      </w:r>
      <w:r w:rsidR="00370882" w:rsidRPr="00B817D5">
        <w:rPr>
          <w:sz w:val="24"/>
          <w:szCs w:val="24"/>
          <w:lang w:val="zh-CN" w:eastAsia="zh-CN"/>
        </w:rPr>
        <w:t>执行秘书</w:t>
      </w:r>
      <w:r w:rsidRPr="00B817D5">
        <w:rPr>
          <w:sz w:val="24"/>
          <w:szCs w:val="24"/>
          <w:lang w:val="zh-CN" w:eastAsia="zh-CN"/>
        </w:rPr>
        <w:t>致缔约方大会第二次会议所有与会者以及《公约》国家协调中心、常驻联合国环境规划署代表团和常驻联合国日内瓦办事处代表团的信，向缔约方和其他利益攸关方征求</w:t>
      </w:r>
      <w:r w:rsidR="000B72EC" w:rsidRPr="00B817D5">
        <w:rPr>
          <w:sz w:val="24"/>
          <w:szCs w:val="24"/>
          <w:lang w:val="zh-CN" w:eastAsia="zh-CN"/>
        </w:rPr>
        <w:t>与</w:t>
      </w:r>
      <w:r w:rsidR="000B72EC" w:rsidRPr="00B817D5">
        <w:rPr>
          <w:sz w:val="24"/>
          <w:szCs w:val="24"/>
          <w:lang w:val="zh-CN" w:eastAsia="zh-CN"/>
        </w:rPr>
        <w:t>MC-2/11</w:t>
      </w:r>
      <w:r w:rsidR="000B72EC" w:rsidRPr="00B817D5">
        <w:rPr>
          <w:sz w:val="24"/>
          <w:szCs w:val="24"/>
          <w:lang w:val="zh-CN" w:eastAsia="zh-CN"/>
        </w:rPr>
        <w:t>号决定</w:t>
      </w:r>
      <w:r w:rsidR="000B72EC">
        <w:rPr>
          <w:rFonts w:hint="eastAsia"/>
          <w:sz w:val="24"/>
          <w:szCs w:val="24"/>
          <w:lang w:val="zh-CN" w:eastAsia="zh-CN"/>
        </w:rPr>
        <w:t>相</w:t>
      </w:r>
      <w:r w:rsidR="000B72EC" w:rsidRPr="00B817D5">
        <w:rPr>
          <w:sz w:val="24"/>
          <w:szCs w:val="24"/>
          <w:lang w:val="zh-CN" w:eastAsia="zh-CN"/>
        </w:rPr>
        <w:t>关的</w:t>
      </w:r>
      <w:r w:rsidRPr="00B817D5">
        <w:rPr>
          <w:sz w:val="24"/>
          <w:szCs w:val="24"/>
          <w:lang w:val="zh-CN" w:eastAsia="zh-CN"/>
        </w:rPr>
        <w:t>信息。</w:t>
      </w:r>
    </w:p>
    <w:p w14:paraId="51E0611C" w14:textId="7D762241" w:rsidR="000E66E3" w:rsidRPr="000E66E3" w:rsidRDefault="006E5481" w:rsidP="00555939">
      <w:pPr>
        <w:pStyle w:val="Normalnumber"/>
        <w:numPr>
          <w:ilvl w:val="0"/>
          <w:numId w:val="23"/>
        </w:numPr>
        <w:tabs>
          <w:tab w:val="clear" w:pos="1247"/>
          <w:tab w:val="clear" w:pos="1814"/>
          <w:tab w:val="clear" w:pos="2381"/>
          <w:tab w:val="clear" w:pos="2948"/>
          <w:tab w:val="clear" w:pos="3515"/>
          <w:tab w:val="clear" w:pos="4082"/>
          <w:tab w:val="left" w:pos="624"/>
        </w:tabs>
        <w:ind w:left="1253"/>
        <w:contextualSpacing/>
        <w:jc w:val="both"/>
        <w:rPr>
          <w:sz w:val="24"/>
          <w:szCs w:val="24"/>
          <w:lang w:eastAsia="zh-CN"/>
        </w:rPr>
      </w:pPr>
      <w:r>
        <w:rPr>
          <w:rFonts w:hint="eastAsia"/>
          <w:sz w:val="24"/>
          <w:szCs w:val="24"/>
          <w:lang w:val="zh-CN" w:eastAsia="zh-CN"/>
        </w:rPr>
        <w:t>一共</w:t>
      </w:r>
      <w:r w:rsidR="00A24D77" w:rsidRPr="00B817D5">
        <w:rPr>
          <w:sz w:val="24"/>
          <w:szCs w:val="24"/>
          <w:lang w:val="zh-CN" w:eastAsia="zh-CN"/>
        </w:rPr>
        <w:t>收到了两份</w:t>
      </w:r>
      <w:r w:rsidRPr="009470FD">
        <w:rPr>
          <w:bCs/>
          <w:iCs/>
          <w:sz w:val="24"/>
          <w:szCs w:val="24"/>
          <w:lang w:val="zh-CN" w:eastAsia="zh-CN"/>
        </w:rPr>
        <w:t>应征求</w:t>
      </w:r>
      <w:r w:rsidR="00633630">
        <w:rPr>
          <w:rFonts w:hint="eastAsia"/>
          <w:bCs/>
          <w:iCs/>
          <w:sz w:val="24"/>
          <w:szCs w:val="24"/>
          <w:lang w:val="zh-CN" w:eastAsia="zh-CN"/>
        </w:rPr>
        <w:t>信息</w:t>
      </w:r>
      <w:r w:rsidRPr="009470FD">
        <w:rPr>
          <w:bCs/>
          <w:iCs/>
          <w:sz w:val="24"/>
          <w:szCs w:val="24"/>
          <w:lang w:val="zh-CN" w:eastAsia="zh-CN"/>
        </w:rPr>
        <w:t>要求</w:t>
      </w:r>
      <w:r w:rsidR="00A24D77" w:rsidRPr="00B817D5">
        <w:rPr>
          <w:sz w:val="24"/>
          <w:szCs w:val="24"/>
          <w:lang w:val="zh-CN" w:eastAsia="zh-CN"/>
        </w:rPr>
        <w:t>提交</w:t>
      </w:r>
      <w:r>
        <w:rPr>
          <w:rFonts w:hint="eastAsia"/>
          <w:sz w:val="24"/>
          <w:szCs w:val="24"/>
          <w:lang w:val="zh-CN" w:eastAsia="zh-CN"/>
        </w:rPr>
        <w:t>的</w:t>
      </w:r>
      <w:r w:rsidR="00A24D77" w:rsidRPr="00B817D5">
        <w:rPr>
          <w:sz w:val="24"/>
          <w:szCs w:val="24"/>
          <w:lang w:val="zh-CN" w:eastAsia="zh-CN"/>
        </w:rPr>
        <w:t>材料。第一份材料是拉丁美洲和加勒比政府间化学品和废物网络指导委员会主席提交的，第二份材料是日本政府提交的。这些资料已汇编入</w:t>
      </w:r>
      <w:r w:rsidR="00A24D77" w:rsidRPr="00B817D5">
        <w:rPr>
          <w:sz w:val="24"/>
          <w:szCs w:val="24"/>
          <w:lang w:val="zh-CN" w:eastAsia="zh-CN"/>
        </w:rPr>
        <w:t>UNEP/MC</w:t>
      </w:r>
      <w:bookmarkStart w:id="4" w:name="_GoBack"/>
      <w:bookmarkEnd w:id="4"/>
      <w:r w:rsidR="00A24D77" w:rsidRPr="00B817D5">
        <w:rPr>
          <w:sz w:val="24"/>
          <w:szCs w:val="24"/>
          <w:lang w:val="zh-CN" w:eastAsia="zh-CN"/>
        </w:rPr>
        <w:t>/COP.3/INF/14</w:t>
      </w:r>
      <w:r w:rsidR="00A24D77" w:rsidRPr="00B817D5">
        <w:rPr>
          <w:sz w:val="24"/>
          <w:szCs w:val="24"/>
          <w:lang w:val="zh-CN" w:eastAsia="zh-CN"/>
        </w:rPr>
        <w:t>号文件，并公布于《水俣公约》网站，网址为：</w:t>
      </w:r>
    </w:p>
    <w:p w14:paraId="38BAD6A5" w14:textId="67AC23A5" w:rsidR="00A24D77" w:rsidRPr="00B817D5" w:rsidRDefault="00A24D77" w:rsidP="00555939">
      <w:pPr>
        <w:pStyle w:val="Normalnumber"/>
        <w:numPr>
          <w:ilvl w:val="0"/>
          <w:numId w:val="0"/>
        </w:numPr>
        <w:tabs>
          <w:tab w:val="clear" w:pos="1247"/>
          <w:tab w:val="clear" w:pos="1814"/>
          <w:tab w:val="clear" w:pos="2381"/>
          <w:tab w:val="clear" w:pos="2948"/>
          <w:tab w:val="clear" w:pos="3515"/>
          <w:tab w:val="clear" w:pos="4082"/>
          <w:tab w:val="left" w:pos="624"/>
        </w:tabs>
        <w:ind w:left="1253"/>
        <w:contextualSpacing/>
        <w:jc w:val="both"/>
        <w:rPr>
          <w:sz w:val="24"/>
          <w:szCs w:val="24"/>
          <w:lang w:eastAsia="zh-CN"/>
        </w:rPr>
      </w:pPr>
      <w:r w:rsidRPr="00806128">
        <w:rPr>
          <w:sz w:val="24"/>
          <w:szCs w:val="24"/>
          <w:lang w:eastAsia="zh-CN"/>
        </w:rPr>
        <w:t>www.mercuryconvention.org/Meetings/Intersessionalwork/tabid/7857/language/en-US/Default.aspx</w:t>
      </w:r>
      <w:r w:rsidRPr="00B817D5">
        <w:rPr>
          <w:sz w:val="24"/>
          <w:szCs w:val="24"/>
          <w:lang w:val="zh-CN" w:eastAsia="zh-CN"/>
        </w:rPr>
        <w:t>。</w:t>
      </w:r>
    </w:p>
    <w:p w14:paraId="72C93CDF" w14:textId="380D1DA9" w:rsidR="00A24D77" w:rsidRPr="00B817D5" w:rsidRDefault="00A24D77" w:rsidP="00B817D5">
      <w:pPr>
        <w:pStyle w:val="Normalnumber"/>
        <w:keepNext/>
        <w:keepLines/>
        <w:numPr>
          <w:ilvl w:val="0"/>
          <w:numId w:val="23"/>
        </w:numPr>
        <w:tabs>
          <w:tab w:val="clear" w:pos="1247"/>
          <w:tab w:val="clear" w:pos="1814"/>
          <w:tab w:val="clear" w:pos="2381"/>
          <w:tab w:val="clear" w:pos="2948"/>
          <w:tab w:val="clear" w:pos="3515"/>
          <w:tab w:val="clear" w:pos="4082"/>
          <w:tab w:val="left" w:pos="624"/>
        </w:tabs>
        <w:jc w:val="both"/>
        <w:rPr>
          <w:sz w:val="24"/>
          <w:szCs w:val="24"/>
          <w:lang w:eastAsia="zh-CN"/>
        </w:rPr>
      </w:pPr>
      <w:r w:rsidRPr="00B817D5">
        <w:rPr>
          <w:sz w:val="24"/>
          <w:szCs w:val="24"/>
          <w:lang w:val="zh-CN" w:eastAsia="zh-CN"/>
        </w:rPr>
        <w:lastRenderedPageBreak/>
        <w:t>第一份</w:t>
      </w:r>
      <w:r w:rsidR="004A2D50">
        <w:rPr>
          <w:rFonts w:hint="eastAsia"/>
          <w:sz w:val="24"/>
          <w:szCs w:val="24"/>
          <w:lang w:val="zh-CN" w:eastAsia="zh-CN"/>
        </w:rPr>
        <w:t>提交</w:t>
      </w:r>
      <w:r w:rsidRPr="00B817D5">
        <w:rPr>
          <w:sz w:val="24"/>
          <w:szCs w:val="24"/>
          <w:lang w:val="zh-CN" w:eastAsia="zh-CN"/>
        </w:rPr>
        <w:t>材料介绍了拉丁美洲和加勒比政府间化学品和废物网络的区域安排，概述了</w:t>
      </w:r>
      <w:r w:rsidRPr="00B817D5">
        <w:rPr>
          <w:sz w:val="24"/>
          <w:szCs w:val="24"/>
          <w:lang w:val="zh-CN" w:eastAsia="zh-CN"/>
        </w:rPr>
        <w:t>2017</w:t>
      </w:r>
      <w:r w:rsidRPr="00B817D5">
        <w:rPr>
          <w:sz w:val="24"/>
          <w:szCs w:val="24"/>
          <w:lang w:val="zh-CN" w:eastAsia="zh-CN"/>
        </w:rPr>
        <w:t>年和</w:t>
      </w:r>
      <w:r w:rsidRPr="00B817D5">
        <w:rPr>
          <w:sz w:val="24"/>
          <w:szCs w:val="24"/>
          <w:lang w:val="zh-CN" w:eastAsia="zh-CN"/>
        </w:rPr>
        <w:t>2018</w:t>
      </w:r>
      <w:r w:rsidRPr="00B817D5">
        <w:rPr>
          <w:sz w:val="24"/>
          <w:szCs w:val="24"/>
          <w:lang w:val="zh-CN" w:eastAsia="zh-CN"/>
        </w:rPr>
        <w:t>年的活动，包括通过了</w:t>
      </w:r>
      <w:r w:rsidRPr="00806128">
        <w:rPr>
          <w:rFonts w:ascii="SimSun" w:hAnsi="SimSun"/>
          <w:sz w:val="24"/>
          <w:szCs w:val="24"/>
          <w:lang w:val="zh-CN" w:eastAsia="zh-CN"/>
        </w:rPr>
        <w:t>“</w:t>
      </w:r>
      <w:r w:rsidRPr="00B817D5">
        <w:rPr>
          <w:sz w:val="24"/>
          <w:szCs w:val="24"/>
          <w:lang w:val="zh-CN" w:eastAsia="zh-CN"/>
        </w:rPr>
        <w:t>2019-2020</w:t>
      </w:r>
      <w:r w:rsidRPr="00B817D5">
        <w:rPr>
          <w:sz w:val="24"/>
          <w:szCs w:val="24"/>
          <w:lang w:val="zh-CN" w:eastAsia="zh-CN"/>
        </w:rPr>
        <w:t>年拉丁美洲和加勒比化学品和废物管理区域合作行动计划</w:t>
      </w:r>
      <w:r w:rsidRPr="00806128">
        <w:rPr>
          <w:rFonts w:ascii="SimSun" w:hAnsi="SimSun"/>
          <w:sz w:val="24"/>
          <w:szCs w:val="24"/>
          <w:lang w:val="zh-CN" w:eastAsia="zh-CN"/>
        </w:rPr>
        <w:t>”</w:t>
      </w:r>
      <w:r w:rsidRPr="00B817D5">
        <w:rPr>
          <w:sz w:val="24"/>
          <w:szCs w:val="24"/>
          <w:lang w:val="zh-CN" w:eastAsia="zh-CN"/>
        </w:rPr>
        <w:t>。第二份</w:t>
      </w:r>
      <w:r w:rsidR="004A2D50">
        <w:rPr>
          <w:rFonts w:hint="eastAsia"/>
          <w:sz w:val="24"/>
          <w:szCs w:val="24"/>
          <w:lang w:val="zh-CN" w:eastAsia="zh-CN"/>
        </w:rPr>
        <w:t>提交</w:t>
      </w:r>
      <w:r w:rsidRPr="00B817D5">
        <w:rPr>
          <w:sz w:val="24"/>
          <w:szCs w:val="24"/>
          <w:lang w:val="zh-CN" w:eastAsia="zh-CN"/>
        </w:rPr>
        <w:t>材料介绍了日本提出的一项关于支持发展中国家</w:t>
      </w:r>
      <w:proofErr w:type="gramStart"/>
      <w:r w:rsidRPr="00B817D5">
        <w:rPr>
          <w:sz w:val="24"/>
          <w:szCs w:val="24"/>
          <w:lang w:val="zh-CN" w:eastAsia="zh-CN"/>
        </w:rPr>
        <w:t>汞管理</w:t>
      </w:r>
      <w:proofErr w:type="gramEnd"/>
      <w:r w:rsidRPr="00B817D5">
        <w:rPr>
          <w:sz w:val="24"/>
          <w:szCs w:val="24"/>
          <w:lang w:val="zh-CN" w:eastAsia="zh-CN"/>
        </w:rPr>
        <w:t>工作的</w:t>
      </w:r>
      <w:r w:rsidR="004E7ECC">
        <w:rPr>
          <w:rFonts w:hint="eastAsia"/>
          <w:sz w:val="24"/>
          <w:szCs w:val="24"/>
          <w:lang w:val="zh-CN" w:eastAsia="zh-CN"/>
        </w:rPr>
        <w:t>举措</w:t>
      </w:r>
      <w:r w:rsidRPr="00B817D5">
        <w:rPr>
          <w:sz w:val="24"/>
          <w:szCs w:val="24"/>
          <w:lang w:val="zh-CN" w:eastAsia="zh-CN"/>
        </w:rPr>
        <w:t>。这份材料还包括一个附件，内容为一份关于</w:t>
      </w:r>
      <w:r w:rsidRPr="00782514">
        <w:rPr>
          <w:rFonts w:ascii="SimSun" w:hAnsi="SimSun"/>
          <w:sz w:val="24"/>
          <w:szCs w:val="24"/>
          <w:lang w:val="zh-CN" w:eastAsia="zh-CN"/>
        </w:rPr>
        <w:t>“</w:t>
      </w:r>
      <w:r w:rsidRPr="00B817D5">
        <w:rPr>
          <w:sz w:val="24"/>
          <w:szCs w:val="24"/>
          <w:lang w:val="zh-CN" w:eastAsia="zh-CN"/>
        </w:rPr>
        <w:t>日本汞物质流（</w:t>
      </w:r>
      <w:r w:rsidRPr="00B817D5">
        <w:rPr>
          <w:sz w:val="24"/>
          <w:szCs w:val="24"/>
          <w:lang w:val="zh-CN" w:eastAsia="zh-CN"/>
        </w:rPr>
        <w:t>2014</w:t>
      </w:r>
      <w:r w:rsidRPr="00B817D5">
        <w:rPr>
          <w:sz w:val="24"/>
          <w:szCs w:val="24"/>
          <w:lang w:val="zh-CN" w:eastAsia="zh-CN"/>
        </w:rPr>
        <w:t>财年）</w:t>
      </w:r>
      <w:r w:rsidRPr="00782514">
        <w:rPr>
          <w:rFonts w:ascii="SimSun" w:hAnsi="SimSun"/>
          <w:sz w:val="24"/>
          <w:szCs w:val="24"/>
          <w:lang w:val="zh-CN" w:eastAsia="zh-CN"/>
        </w:rPr>
        <w:t>”</w:t>
      </w:r>
      <w:r w:rsidRPr="00B817D5">
        <w:rPr>
          <w:sz w:val="24"/>
          <w:szCs w:val="24"/>
          <w:lang w:val="zh-CN" w:eastAsia="zh-CN"/>
        </w:rPr>
        <w:t>的概述和报告，该报告依据</w:t>
      </w:r>
      <w:proofErr w:type="gramStart"/>
      <w:r w:rsidRPr="00B817D5">
        <w:rPr>
          <w:sz w:val="24"/>
          <w:szCs w:val="24"/>
          <w:lang w:val="zh-CN" w:eastAsia="zh-CN"/>
        </w:rPr>
        <w:t>的是汞物质流</w:t>
      </w:r>
      <w:proofErr w:type="gramEnd"/>
      <w:r w:rsidRPr="00B817D5">
        <w:rPr>
          <w:sz w:val="24"/>
          <w:szCs w:val="24"/>
          <w:lang w:val="zh-CN" w:eastAsia="zh-CN"/>
        </w:rPr>
        <w:t>作为促进</w:t>
      </w:r>
      <w:proofErr w:type="gramStart"/>
      <w:r w:rsidRPr="00B817D5">
        <w:rPr>
          <w:sz w:val="24"/>
          <w:szCs w:val="24"/>
          <w:lang w:val="zh-CN" w:eastAsia="zh-CN"/>
        </w:rPr>
        <w:t>汞管</w:t>
      </w:r>
      <w:proofErr w:type="gramEnd"/>
      <w:r w:rsidRPr="00B817D5">
        <w:rPr>
          <w:sz w:val="24"/>
          <w:szCs w:val="24"/>
          <w:lang w:val="zh-CN" w:eastAsia="zh-CN"/>
        </w:rPr>
        <w:t>理工作的基准的重要性。</w:t>
      </w:r>
    </w:p>
    <w:p w14:paraId="2D313B69" w14:textId="77777777" w:rsidR="00A24D77" w:rsidRPr="002C1DB9" w:rsidRDefault="00A24D77" w:rsidP="00A37CF2">
      <w:pPr>
        <w:pStyle w:val="CH2"/>
        <w:ind w:left="1253" w:right="288" w:hanging="1253"/>
        <w:rPr>
          <w:rFonts w:ascii="SimHei" w:eastAsia="SimHei" w:hAnsi="SimHei"/>
          <w:b w:val="0"/>
          <w:sz w:val="28"/>
          <w:lang w:eastAsia="zh-CN"/>
        </w:rPr>
      </w:pPr>
      <w:r w:rsidRPr="002C1DB9">
        <w:rPr>
          <w:rFonts w:ascii="SimHei" w:eastAsia="SimHei" w:hAnsi="SimHei"/>
          <w:sz w:val="28"/>
          <w:lang w:val="zh-CN" w:eastAsia="zh-CN"/>
        </w:rPr>
        <w:tab/>
      </w:r>
      <w:r w:rsidRPr="002C1DB9">
        <w:rPr>
          <w:rFonts w:ascii="SimHei" w:eastAsia="SimHei" w:hAnsi="SimHei"/>
          <w:sz w:val="28"/>
          <w:lang w:val="zh-CN" w:eastAsia="zh-CN"/>
        </w:rPr>
        <w:tab/>
      </w:r>
      <w:r w:rsidRPr="002C1DB9">
        <w:rPr>
          <w:rFonts w:ascii="SimHei" w:eastAsia="SimHei" w:hAnsi="SimHei"/>
          <w:bCs/>
          <w:sz w:val="28"/>
          <w:lang w:val="zh-CN" w:eastAsia="zh-CN"/>
        </w:rPr>
        <w:t>建议缔约方大会采取的行动</w:t>
      </w:r>
    </w:p>
    <w:p w14:paraId="54C1037C" w14:textId="05D3D464" w:rsidR="00A24D77" w:rsidRPr="00B817D5" w:rsidRDefault="00A24D77" w:rsidP="00B817D5">
      <w:pPr>
        <w:pStyle w:val="Normalnumber"/>
        <w:numPr>
          <w:ilvl w:val="0"/>
          <w:numId w:val="23"/>
        </w:numPr>
        <w:tabs>
          <w:tab w:val="clear" w:pos="1247"/>
          <w:tab w:val="clear" w:pos="1814"/>
          <w:tab w:val="clear" w:pos="2381"/>
          <w:tab w:val="clear" w:pos="2948"/>
          <w:tab w:val="clear" w:pos="3515"/>
          <w:tab w:val="clear" w:pos="4082"/>
          <w:tab w:val="left" w:pos="624"/>
        </w:tabs>
        <w:jc w:val="both"/>
        <w:rPr>
          <w:sz w:val="24"/>
          <w:szCs w:val="24"/>
          <w:lang w:eastAsia="zh-CN"/>
        </w:rPr>
      </w:pPr>
      <w:r w:rsidRPr="00B817D5">
        <w:rPr>
          <w:sz w:val="24"/>
          <w:szCs w:val="24"/>
          <w:lang w:val="zh-CN" w:eastAsia="zh-CN"/>
        </w:rPr>
        <w:t>缔约方大会不妨审议提交材料中提供的资料，并提请缔约方和相关利益攸关方（尤其是根据第</w:t>
      </w:r>
      <w:r w:rsidRPr="00B817D5">
        <w:rPr>
          <w:sz w:val="24"/>
          <w:szCs w:val="24"/>
          <w:lang w:val="zh-CN" w:eastAsia="zh-CN"/>
        </w:rPr>
        <w:t>14</w:t>
      </w:r>
      <w:r w:rsidRPr="00B817D5">
        <w:rPr>
          <w:sz w:val="24"/>
          <w:szCs w:val="24"/>
          <w:lang w:val="zh-CN" w:eastAsia="zh-CN"/>
        </w:rPr>
        <w:t>条提供能力建设和技术援助的各方）注意提交材料中提到的活动、举措和报告，以及其中介绍的需求和挑战。缔约方大会还不妨</w:t>
      </w:r>
      <w:r w:rsidR="008F2901">
        <w:rPr>
          <w:rFonts w:hint="eastAsia"/>
          <w:sz w:val="24"/>
          <w:szCs w:val="24"/>
          <w:lang w:val="zh-CN" w:eastAsia="zh-CN"/>
        </w:rPr>
        <w:t>结合</w:t>
      </w:r>
      <w:r w:rsidR="008F2901" w:rsidRPr="00B817D5">
        <w:rPr>
          <w:sz w:val="24"/>
          <w:szCs w:val="24"/>
          <w:lang w:val="zh-CN" w:eastAsia="zh-CN"/>
        </w:rPr>
        <w:t>缔约方根据第</w:t>
      </w:r>
      <w:r w:rsidR="008F2901" w:rsidRPr="00B817D5">
        <w:rPr>
          <w:sz w:val="24"/>
          <w:szCs w:val="24"/>
          <w:lang w:val="zh-CN" w:eastAsia="zh-CN"/>
        </w:rPr>
        <w:t>21</w:t>
      </w:r>
      <w:r w:rsidR="008F2901" w:rsidRPr="00B817D5">
        <w:rPr>
          <w:sz w:val="24"/>
          <w:szCs w:val="24"/>
          <w:lang w:val="zh-CN" w:eastAsia="zh-CN"/>
        </w:rPr>
        <w:t>条报告的或其他利益攸关方提供的任何进一步资料</w:t>
      </w:r>
      <w:r w:rsidR="008F2901">
        <w:rPr>
          <w:rFonts w:hint="eastAsia"/>
          <w:sz w:val="24"/>
          <w:szCs w:val="24"/>
          <w:lang w:val="zh-CN" w:eastAsia="zh-CN"/>
        </w:rPr>
        <w:t>，</w:t>
      </w:r>
      <w:r w:rsidRPr="00B817D5">
        <w:rPr>
          <w:sz w:val="24"/>
          <w:szCs w:val="24"/>
          <w:lang w:val="zh-CN" w:eastAsia="zh-CN"/>
        </w:rPr>
        <w:t>在以后的会议上进一步审议该问题。</w:t>
      </w:r>
    </w:p>
    <w:p w14:paraId="45DCF724" w14:textId="77777777" w:rsidR="00D013F5" w:rsidRPr="00D25175" w:rsidRDefault="00D013F5" w:rsidP="00A24D77">
      <w:pPr>
        <w:pStyle w:val="Normal-pool"/>
        <w:rPr>
          <w:lang w:eastAsia="zh-CN"/>
        </w:rPr>
      </w:pPr>
    </w:p>
    <w:tbl>
      <w:tblPr>
        <w:tblW w:w="0" w:type="auto"/>
        <w:jc w:val="center"/>
        <w:tblLayout w:type="fixed"/>
        <w:tblLook w:val="04A0" w:firstRow="1" w:lastRow="0" w:firstColumn="1" w:lastColumn="0" w:noHBand="0" w:noVBand="1"/>
      </w:tblPr>
      <w:tblGrid>
        <w:gridCol w:w="1942"/>
        <w:gridCol w:w="1942"/>
        <w:gridCol w:w="1942"/>
        <w:gridCol w:w="1943"/>
        <w:gridCol w:w="1943"/>
      </w:tblGrid>
      <w:tr w:rsidR="00E976AB" w:rsidRPr="00A37CF2" w14:paraId="6DB0CABC" w14:textId="77777777" w:rsidTr="00A37CF2">
        <w:trPr>
          <w:jc w:val="center"/>
        </w:trPr>
        <w:tc>
          <w:tcPr>
            <w:tcW w:w="1942" w:type="dxa"/>
            <w:shd w:val="clear" w:color="auto" w:fill="auto"/>
          </w:tcPr>
          <w:p w14:paraId="6D3F7C2C" w14:textId="77777777" w:rsidR="00E976AB" w:rsidRPr="00A37CF2" w:rsidRDefault="00E976AB" w:rsidP="00990918">
            <w:pPr>
              <w:pStyle w:val="Normal-pool"/>
              <w:spacing w:before="520"/>
              <w:rPr>
                <w:sz w:val="24"/>
                <w:szCs w:val="24"/>
                <w:lang w:eastAsia="zh-CN"/>
              </w:rPr>
            </w:pPr>
          </w:p>
        </w:tc>
        <w:tc>
          <w:tcPr>
            <w:tcW w:w="1942" w:type="dxa"/>
            <w:shd w:val="clear" w:color="auto" w:fill="auto"/>
          </w:tcPr>
          <w:p w14:paraId="378BA037" w14:textId="77777777" w:rsidR="00E976AB" w:rsidRPr="00A37CF2" w:rsidRDefault="00E976AB" w:rsidP="00990918">
            <w:pPr>
              <w:pStyle w:val="Normal-pool"/>
              <w:spacing w:before="520"/>
              <w:rPr>
                <w:sz w:val="24"/>
                <w:szCs w:val="24"/>
                <w:lang w:eastAsia="zh-CN"/>
              </w:rPr>
            </w:pPr>
          </w:p>
        </w:tc>
        <w:tc>
          <w:tcPr>
            <w:tcW w:w="1942" w:type="dxa"/>
            <w:tcBorders>
              <w:bottom w:val="single" w:sz="4" w:space="0" w:color="auto"/>
            </w:tcBorders>
            <w:shd w:val="clear" w:color="auto" w:fill="auto"/>
          </w:tcPr>
          <w:p w14:paraId="028E3E1E" w14:textId="77777777" w:rsidR="00E976AB" w:rsidRPr="00A37CF2" w:rsidRDefault="00E976AB" w:rsidP="00990918">
            <w:pPr>
              <w:pStyle w:val="Normal-pool"/>
              <w:spacing w:before="520"/>
              <w:rPr>
                <w:sz w:val="24"/>
                <w:szCs w:val="24"/>
                <w:lang w:eastAsia="zh-CN"/>
              </w:rPr>
            </w:pPr>
          </w:p>
        </w:tc>
        <w:tc>
          <w:tcPr>
            <w:tcW w:w="1943" w:type="dxa"/>
            <w:shd w:val="clear" w:color="auto" w:fill="auto"/>
          </w:tcPr>
          <w:p w14:paraId="25F1BA19" w14:textId="77777777" w:rsidR="00E976AB" w:rsidRPr="00A37CF2" w:rsidRDefault="00E976AB" w:rsidP="00990918">
            <w:pPr>
              <w:pStyle w:val="Normal-pool"/>
              <w:spacing w:before="520"/>
              <w:rPr>
                <w:sz w:val="24"/>
                <w:szCs w:val="24"/>
                <w:lang w:eastAsia="zh-CN"/>
              </w:rPr>
            </w:pPr>
          </w:p>
        </w:tc>
        <w:tc>
          <w:tcPr>
            <w:tcW w:w="1943" w:type="dxa"/>
            <w:shd w:val="clear" w:color="auto" w:fill="auto"/>
          </w:tcPr>
          <w:p w14:paraId="457D2993" w14:textId="77777777" w:rsidR="00E976AB" w:rsidRPr="00A37CF2" w:rsidRDefault="00E976AB" w:rsidP="00990918">
            <w:pPr>
              <w:pStyle w:val="Normal-pool"/>
              <w:spacing w:before="520"/>
              <w:rPr>
                <w:sz w:val="24"/>
                <w:szCs w:val="24"/>
                <w:lang w:eastAsia="zh-CN"/>
              </w:rPr>
            </w:pPr>
          </w:p>
        </w:tc>
      </w:tr>
    </w:tbl>
    <w:p w14:paraId="325E8270" w14:textId="77777777" w:rsidR="00032E4E" w:rsidRPr="00D25175" w:rsidRDefault="00032E4E" w:rsidP="00D013F5">
      <w:pPr>
        <w:pStyle w:val="Normal-pool"/>
        <w:rPr>
          <w:lang w:eastAsia="zh-CN"/>
        </w:rPr>
      </w:pPr>
    </w:p>
    <w:sectPr w:rsidR="00032E4E" w:rsidRPr="00D25175" w:rsidSect="00C771A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4B0107" w14:textId="77777777" w:rsidR="007F5C53" w:rsidRDefault="007F5C53">
      <w:r>
        <w:separator/>
      </w:r>
    </w:p>
  </w:endnote>
  <w:endnote w:type="continuationSeparator" w:id="0">
    <w:p w14:paraId="7848FFA4" w14:textId="77777777" w:rsidR="007F5C53" w:rsidRDefault="007F5C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Hei">
    <w:altName w:val="黑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AA827" w14:textId="4A4C567A" w:rsidR="00670FAE" w:rsidRPr="00A37CF2" w:rsidRDefault="00670FAE">
    <w:pPr>
      <w:pStyle w:val="af1"/>
      <w:rPr>
        <w:b w:val="0"/>
        <w:sz w:val="20"/>
        <w:szCs w:val="20"/>
      </w:rPr>
    </w:pPr>
    <w:r w:rsidRPr="00A37CF2">
      <w:rPr>
        <w:rStyle w:val="a3"/>
        <w:b/>
        <w:sz w:val="20"/>
        <w:szCs w:val="20"/>
      </w:rPr>
      <w:fldChar w:fldCharType="begin"/>
    </w:r>
    <w:r w:rsidRPr="00A37CF2">
      <w:rPr>
        <w:rStyle w:val="a3"/>
        <w:b/>
        <w:sz w:val="20"/>
        <w:szCs w:val="20"/>
      </w:rPr>
      <w:instrText xml:space="preserve"> PAGE </w:instrText>
    </w:r>
    <w:r w:rsidRPr="00A37CF2">
      <w:rPr>
        <w:rStyle w:val="a3"/>
        <w:b/>
        <w:sz w:val="20"/>
        <w:szCs w:val="20"/>
      </w:rPr>
      <w:fldChar w:fldCharType="separate"/>
    </w:r>
    <w:r w:rsidR="004A2D50" w:rsidRPr="00A37CF2">
      <w:rPr>
        <w:rStyle w:val="a3"/>
        <w:b/>
        <w:sz w:val="20"/>
        <w:szCs w:val="20"/>
      </w:rPr>
      <w:t>2</w:t>
    </w:r>
    <w:r w:rsidRPr="00A37CF2">
      <w:rPr>
        <w:rStyle w:val="a3"/>
        <w: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D48B7" w14:textId="7EBF2804" w:rsidR="00670FAE" w:rsidRDefault="00670FAE" w:rsidP="00035EDE">
    <w:pPr>
      <w:pStyle w:val="af1"/>
      <w:jc w:val="right"/>
    </w:pPr>
    <w:r>
      <w:rPr>
        <w:rStyle w:val="a3"/>
      </w:rPr>
      <w:fldChar w:fldCharType="begin"/>
    </w:r>
    <w:r>
      <w:rPr>
        <w:rStyle w:val="a3"/>
      </w:rPr>
      <w:instrText xml:space="preserve"> PAGE </w:instrText>
    </w:r>
    <w:r>
      <w:rPr>
        <w:rStyle w:val="a3"/>
      </w:rPr>
      <w:fldChar w:fldCharType="separate"/>
    </w:r>
    <w:r w:rsidR="00A24D77">
      <w:rPr>
        <w:rStyle w:val="a3"/>
      </w:rPr>
      <w:t>3</w:t>
    </w:r>
    <w:r>
      <w:rPr>
        <w:rStyle w:val="a3"/>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1EB5F1" w14:textId="4C9C7AD7" w:rsidR="00731576" w:rsidRPr="00A37CF2" w:rsidRDefault="00731576" w:rsidP="007E1CFC">
    <w:pPr>
      <w:pStyle w:val="af1"/>
      <w:spacing w:line="240" w:lineRule="auto"/>
      <w:jc w:val="left"/>
      <w:rPr>
        <w:sz w:val="20"/>
        <w:szCs w:val="20"/>
      </w:rPr>
    </w:pPr>
    <w:r w:rsidRPr="00A37CF2">
      <w:rPr>
        <w:sz w:val="20"/>
        <w:szCs w:val="20"/>
      </w:rPr>
      <w:t>K1</w:t>
    </w:r>
    <w:r w:rsidR="000A7C0C" w:rsidRPr="00A37CF2">
      <w:rPr>
        <w:sz w:val="20"/>
        <w:szCs w:val="20"/>
      </w:rPr>
      <w:t>9</w:t>
    </w:r>
    <w:r w:rsidR="00A24D77" w:rsidRPr="00A37CF2">
      <w:rPr>
        <w:sz w:val="20"/>
        <w:szCs w:val="20"/>
      </w:rPr>
      <w:t>0306</w:t>
    </w:r>
    <w:r w:rsidR="00782514" w:rsidRPr="00A37CF2">
      <w:rPr>
        <w:rFonts w:eastAsiaTheme="minorEastAsia"/>
        <w:sz w:val="20"/>
        <w:szCs w:val="20"/>
      </w:rPr>
      <w:t>6</w:t>
    </w:r>
    <w:r w:rsidRPr="00A37CF2">
      <w:rPr>
        <w:sz w:val="20"/>
        <w:szCs w:val="20"/>
      </w:rPr>
      <w:tab/>
    </w:r>
    <w:r w:rsidR="007E1CFC">
      <w:rPr>
        <w:sz w:val="20"/>
        <w:szCs w:val="20"/>
      </w:rPr>
      <w:t>06</w:t>
    </w:r>
    <w:r w:rsidR="00A24D77" w:rsidRPr="00A37CF2">
      <w:rPr>
        <w:sz w:val="20"/>
        <w:szCs w:val="20"/>
      </w:rPr>
      <w:t>0</w:t>
    </w:r>
    <w:r w:rsidR="007E1CFC">
      <w:rPr>
        <w:sz w:val="20"/>
        <w:szCs w:val="20"/>
      </w:rPr>
      <w:t>9</w:t>
    </w:r>
    <w:r w:rsidR="000A7C0C" w:rsidRPr="00A37CF2">
      <w:rPr>
        <w:sz w:val="20"/>
        <w:szCs w:val="20"/>
      </w:rPr>
      <w:t>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E18A60" w14:textId="77777777" w:rsidR="007F5C53" w:rsidRDefault="007F5C53" w:rsidP="00555939">
      <w:pPr>
        <w:spacing w:after="0" w:line="240" w:lineRule="auto"/>
        <w:ind w:left="619"/>
      </w:pPr>
      <w:r>
        <w:separator/>
      </w:r>
    </w:p>
  </w:footnote>
  <w:footnote w:type="continuationSeparator" w:id="0">
    <w:p w14:paraId="582301B2" w14:textId="77777777" w:rsidR="007F5C53" w:rsidRDefault="007F5C53">
      <w:r>
        <w:continuationSeparator/>
      </w:r>
    </w:p>
  </w:footnote>
  <w:footnote w:id="1">
    <w:p w14:paraId="7C6F12A9" w14:textId="77777777" w:rsidR="00B817D5" w:rsidRPr="00555939" w:rsidRDefault="00B817D5" w:rsidP="00B817D5">
      <w:pPr>
        <w:pStyle w:val="Standard"/>
        <w:tabs>
          <w:tab w:val="clear" w:pos="1247"/>
          <w:tab w:val="clear" w:pos="1814"/>
          <w:tab w:val="clear" w:pos="2381"/>
          <w:tab w:val="clear" w:pos="2948"/>
          <w:tab w:val="clear" w:pos="3515"/>
          <w:tab w:val="left" w:pos="1871"/>
          <w:tab w:val="left" w:pos="2494"/>
          <w:tab w:val="left" w:pos="3061"/>
          <w:tab w:val="left" w:pos="3628"/>
          <w:tab w:val="left" w:pos="4195"/>
          <w:tab w:val="left" w:pos="4762"/>
          <w:tab w:val="left" w:pos="5329"/>
        </w:tabs>
        <w:spacing w:before="20" w:after="40"/>
        <w:ind w:left="1247"/>
        <w:rPr>
          <w:kern w:val="0"/>
          <w:sz w:val="18"/>
          <w:szCs w:val="18"/>
        </w:rPr>
      </w:pPr>
      <w:r w:rsidRPr="00555939">
        <w:rPr>
          <w:kern w:val="0"/>
          <w:lang w:val="zh-CN"/>
        </w:rPr>
        <w:t>* UNEP/MC/COP.3/1</w:t>
      </w:r>
      <w:r w:rsidRPr="00555939">
        <w:rPr>
          <w:kern w:val="0"/>
          <w:lang w:val="zh-C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F4E3A" w14:textId="5CD244C8" w:rsidR="00670FAE" w:rsidRPr="00A37CF2" w:rsidRDefault="00670FAE" w:rsidP="007E1CFC">
    <w:pPr>
      <w:pStyle w:val="af2"/>
      <w:spacing w:after="0" w:line="240" w:lineRule="auto"/>
      <w:jc w:val="left"/>
      <w:rPr>
        <w:sz w:val="20"/>
        <w:szCs w:val="20"/>
      </w:rPr>
    </w:pPr>
    <w:r w:rsidRPr="00A37CF2">
      <w:rPr>
        <w:bCs/>
        <w:sz w:val="20"/>
        <w:szCs w:val="20"/>
      </w:rPr>
      <w:t>UNEP</w:t>
    </w:r>
    <w:r w:rsidRPr="00A37CF2">
      <w:rPr>
        <w:sz w:val="20"/>
        <w:szCs w:val="20"/>
      </w:rPr>
      <w:t>/MC/COP.</w:t>
    </w:r>
    <w:r w:rsidR="000A7C0C" w:rsidRPr="00A37CF2">
      <w:rPr>
        <w:sz w:val="20"/>
        <w:szCs w:val="20"/>
      </w:rPr>
      <w:t>3</w:t>
    </w:r>
    <w:r w:rsidRPr="00A37CF2">
      <w:rPr>
        <w:sz w:val="20"/>
        <w:szCs w:val="20"/>
      </w:rPr>
      <w:t>/</w:t>
    </w:r>
    <w:r w:rsidR="00A24D77" w:rsidRPr="00A37CF2">
      <w:rPr>
        <w:sz w:val="20"/>
        <w:szCs w:val="20"/>
      </w:rPr>
      <w:t>12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91C51" w14:textId="09A58CDE" w:rsidR="00670FAE" w:rsidRPr="00CA5CA9" w:rsidRDefault="00670FAE" w:rsidP="00F7137B">
    <w:pPr>
      <w:pStyle w:val="af2"/>
      <w:jc w:val="right"/>
      <w:rPr>
        <w:szCs w:val="18"/>
      </w:rPr>
    </w:pPr>
    <w:r w:rsidRPr="00CA5CA9">
      <w:rPr>
        <w:bCs/>
        <w:szCs w:val="18"/>
      </w:rPr>
      <w:t>UNEP</w:t>
    </w:r>
    <w:r w:rsidRPr="00CA5CA9">
      <w:rPr>
        <w:szCs w:val="18"/>
      </w:rPr>
      <w:t>/</w:t>
    </w:r>
    <w:r>
      <w:rPr>
        <w:szCs w:val="18"/>
      </w:rPr>
      <w:t>MC</w:t>
    </w:r>
    <w:r w:rsidRPr="00CA5CA9">
      <w:rPr>
        <w:szCs w:val="18"/>
      </w:rPr>
      <w:t>/</w:t>
    </w:r>
    <w:r>
      <w:rPr>
        <w:szCs w:val="18"/>
      </w:rPr>
      <w:t>COP.</w:t>
    </w:r>
    <w:r w:rsidR="000A7C0C">
      <w:rPr>
        <w:szCs w:val="18"/>
      </w:rPr>
      <w:t>3</w:t>
    </w:r>
    <w:r w:rsidRPr="00CA5CA9">
      <w:rPr>
        <w:szCs w:val="18"/>
      </w:rPr>
      <w:t>/</w:t>
    </w:r>
    <w:r w:rsidR="000A7C0C" w:rsidRPr="000A7C0C">
      <w:rPr>
        <w:szCs w:val="18"/>
        <w:highlight w:val="yellow"/>
      </w:rPr>
      <w:t>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28784" w14:textId="25DAFABF" w:rsidR="00670FAE" w:rsidRDefault="00670FAE" w:rsidP="00032E4E">
    <w:pPr>
      <w:pStyle w:val="af2"/>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571867"/>
    <w:multiLevelType w:val="singleLevel"/>
    <w:tmpl w:val="A2E252AA"/>
    <w:lvl w:ilvl="0">
      <w:start w:val="1"/>
      <w:numFmt w:val="upperRoman"/>
      <w:pStyle w:val="8"/>
      <w:lvlText w:val="%1."/>
      <w:lvlJc w:val="left"/>
      <w:pPr>
        <w:tabs>
          <w:tab w:val="num" w:pos="720"/>
        </w:tabs>
        <w:ind w:left="720" w:hanging="720"/>
      </w:pPr>
      <w:rPr>
        <w:rFonts w:hint="default"/>
      </w:rPr>
    </w:lvl>
  </w:abstractNum>
  <w:abstractNum w:abstractNumId="1"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3" w15:restartNumberingAfterBreak="0">
    <w:nsid w:val="35571603"/>
    <w:multiLevelType w:val="singleLevel"/>
    <w:tmpl w:val="2868AC2A"/>
    <w:lvl w:ilvl="0">
      <w:start w:val="6"/>
      <w:numFmt w:val="upperLetter"/>
      <w:pStyle w:val="9"/>
      <w:lvlText w:val="%1."/>
      <w:lvlJc w:val="left"/>
      <w:pPr>
        <w:tabs>
          <w:tab w:val="num" w:pos="360"/>
        </w:tabs>
        <w:ind w:left="360" w:hanging="360"/>
      </w:pPr>
      <w:rPr>
        <w:rFonts w:hint="default"/>
      </w:rPr>
    </w:lvl>
  </w:abstractNum>
  <w:abstractNum w:abstractNumId="4"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4"/>
  </w:num>
  <w:num w:numId="2">
    <w:abstractNumId w:val="0"/>
  </w:num>
  <w:num w:numId="3">
    <w:abstractNumId w:val="3"/>
  </w:num>
  <w:num w:numId="4">
    <w:abstractNumId w:val="4"/>
  </w:num>
  <w:num w:numId="5">
    <w:abstractNumId w:val="4"/>
    <w:lvlOverride w:ilvl="0">
      <w:lvl w:ilvl="0">
        <w:start w:val="1"/>
        <w:numFmt w:val="decimal"/>
        <w:pStyle w:val="Normalnumber"/>
        <w:lvlText w:val="%1."/>
        <w:lvlJc w:val="left"/>
        <w:pPr>
          <w:tabs>
            <w:tab w:val="num" w:pos="1134"/>
          </w:tabs>
          <w:ind w:left="1247" w:firstLine="0"/>
        </w:pPr>
        <w:rPr>
          <w:rFonts w:hint="default"/>
        </w:rPr>
      </w:lvl>
    </w:lvlOverride>
  </w:num>
  <w:num w:numId="6">
    <w:abstractNumId w:val="1"/>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2"/>
  </w:num>
  <w:num w:numId="23">
    <w:abstractNumId w:val="2"/>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fr-FR" w:vendorID="64" w:dllVersion="0" w:nlCheck="1" w:checkStyle="1"/>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activeWritingStyle w:appName="MSWord" w:lang="zh-CN" w:vendorID="64" w:dllVersion="0"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4097"/>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24A3"/>
    <w:rsid w:val="000057BB"/>
    <w:rsid w:val="000077AD"/>
    <w:rsid w:val="00011A16"/>
    <w:rsid w:val="000149E6"/>
    <w:rsid w:val="00023DA9"/>
    <w:rsid w:val="000247B0"/>
    <w:rsid w:val="00026997"/>
    <w:rsid w:val="00026A08"/>
    <w:rsid w:val="00032E4E"/>
    <w:rsid w:val="00033E0B"/>
    <w:rsid w:val="00035EDE"/>
    <w:rsid w:val="000509B4"/>
    <w:rsid w:val="0006035B"/>
    <w:rsid w:val="0006096F"/>
    <w:rsid w:val="000649C5"/>
    <w:rsid w:val="000656E9"/>
    <w:rsid w:val="00071886"/>
    <w:rsid w:val="000742BC"/>
    <w:rsid w:val="00076CC6"/>
    <w:rsid w:val="00082A0C"/>
    <w:rsid w:val="00083504"/>
    <w:rsid w:val="0009640C"/>
    <w:rsid w:val="000A7C0C"/>
    <w:rsid w:val="000B22A2"/>
    <w:rsid w:val="000B541B"/>
    <w:rsid w:val="000B72EC"/>
    <w:rsid w:val="000B73F9"/>
    <w:rsid w:val="000C2A52"/>
    <w:rsid w:val="000C2A88"/>
    <w:rsid w:val="000D33C0"/>
    <w:rsid w:val="000D4CF6"/>
    <w:rsid w:val="000D6941"/>
    <w:rsid w:val="000E66E3"/>
    <w:rsid w:val="000F4829"/>
    <w:rsid w:val="000F6B21"/>
    <w:rsid w:val="00102EFB"/>
    <w:rsid w:val="001202E3"/>
    <w:rsid w:val="00123699"/>
    <w:rsid w:val="001241FB"/>
    <w:rsid w:val="0013059D"/>
    <w:rsid w:val="00136187"/>
    <w:rsid w:val="001374D9"/>
    <w:rsid w:val="00141A55"/>
    <w:rsid w:val="0014293F"/>
    <w:rsid w:val="0014397D"/>
    <w:rsid w:val="001446A3"/>
    <w:rsid w:val="00152B6B"/>
    <w:rsid w:val="00155395"/>
    <w:rsid w:val="00155A2F"/>
    <w:rsid w:val="00156B6B"/>
    <w:rsid w:val="00160D74"/>
    <w:rsid w:val="001646EA"/>
    <w:rsid w:val="00167D02"/>
    <w:rsid w:val="001759D8"/>
    <w:rsid w:val="00177D7F"/>
    <w:rsid w:val="00180C3F"/>
    <w:rsid w:val="00181EC8"/>
    <w:rsid w:val="00184349"/>
    <w:rsid w:val="00195F33"/>
    <w:rsid w:val="001A47E5"/>
    <w:rsid w:val="001B1617"/>
    <w:rsid w:val="001B3EE0"/>
    <w:rsid w:val="001B504B"/>
    <w:rsid w:val="001B6F98"/>
    <w:rsid w:val="001C191A"/>
    <w:rsid w:val="001D3874"/>
    <w:rsid w:val="001D7E75"/>
    <w:rsid w:val="001E0D73"/>
    <w:rsid w:val="001E45BD"/>
    <w:rsid w:val="001E56D2"/>
    <w:rsid w:val="001E7D56"/>
    <w:rsid w:val="001F5186"/>
    <w:rsid w:val="001F75DE"/>
    <w:rsid w:val="00200D58"/>
    <w:rsid w:val="002011C1"/>
    <w:rsid w:val="002013BE"/>
    <w:rsid w:val="00201EDC"/>
    <w:rsid w:val="002063A4"/>
    <w:rsid w:val="0021145B"/>
    <w:rsid w:val="00220C23"/>
    <w:rsid w:val="002247F6"/>
    <w:rsid w:val="00225E21"/>
    <w:rsid w:val="00225E44"/>
    <w:rsid w:val="00234E78"/>
    <w:rsid w:val="00243D36"/>
    <w:rsid w:val="00246151"/>
    <w:rsid w:val="00247707"/>
    <w:rsid w:val="00252456"/>
    <w:rsid w:val="0026018E"/>
    <w:rsid w:val="00286740"/>
    <w:rsid w:val="00291EAE"/>
    <w:rsid w:val="002929D8"/>
    <w:rsid w:val="002A237D"/>
    <w:rsid w:val="002A4C53"/>
    <w:rsid w:val="002B0672"/>
    <w:rsid w:val="002B247F"/>
    <w:rsid w:val="002B50D4"/>
    <w:rsid w:val="002B58BF"/>
    <w:rsid w:val="002C145D"/>
    <w:rsid w:val="002C1DB9"/>
    <w:rsid w:val="002C2C3E"/>
    <w:rsid w:val="002C533E"/>
    <w:rsid w:val="002D027F"/>
    <w:rsid w:val="002D3E15"/>
    <w:rsid w:val="002D7A85"/>
    <w:rsid w:val="002D7B60"/>
    <w:rsid w:val="002F4761"/>
    <w:rsid w:val="002F5C79"/>
    <w:rsid w:val="002F68EE"/>
    <w:rsid w:val="003019E2"/>
    <w:rsid w:val="00310BEB"/>
    <w:rsid w:val="0031413F"/>
    <w:rsid w:val="00314854"/>
    <w:rsid w:val="003148BB"/>
    <w:rsid w:val="00317976"/>
    <w:rsid w:val="00320F2F"/>
    <w:rsid w:val="0032457E"/>
    <w:rsid w:val="00325D38"/>
    <w:rsid w:val="0035277E"/>
    <w:rsid w:val="00355EA9"/>
    <w:rsid w:val="003578DE"/>
    <w:rsid w:val="00361688"/>
    <w:rsid w:val="00370882"/>
    <w:rsid w:val="00380921"/>
    <w:rsid w:val="003877D5"/>
    <w:rsid w:val="003929B8"/>
    <w:rsid w:val="00393432"/>
    <w:rsid w:val="00396257"/>
    <w:rsid w:val="00397EB8"/>
    <w:rsid w:val="003A4FD0"/>
    <w:rsid w:val="003A69D1"/>
    <w:rsid w:val="003A7705"/>
    <w:rsid w:val="003A77F1"/>
    <w:rsid w:val="003B1545"/>
    <w:rsid w:val="003B4573"/>
    <w:rsid w:val="003C3219"/>
    <w:rsid w:val="003C409D"/>
    <w:rsid w:val="003C4544"/>
    <w:rsid w:val="003C5583"/>
    <w:rsid w:val="003C5BA6"/>
    <w:rsid w:val="003C74CF"/>
    <w:rsid w:val="003D3752"/>
    <w:rsid w:val="003E35DA"/>
    <w:rsid w:val="003E455D"/>
    <w:rsid w:val="003F0E85"/>
    <w:rsid w:val="003F3F11"/>
    <w:rsid w:val="00410C55"/>
    <w:rsid w:val="00416854"/>
    <w:rsid w:val="00417725"/>
    <w:rsid w:val="00420827"/>
    <w:rsid w:val="00421782"/>
    <w:rsid w:val="0042266F"/>
    <w:rsid w:val="00434321"/>
    <w:rsid w:val="00437F26"/>
    <w:rsid w:val="00444097"/>
    <w:rsid w:val="00445487"/>
    <w:rsid w:val="00447E0D"/>
    <w:rsid w:val="00453EA8"/>
    <w:rsid w:val="00454769"/>
    <w:rsid w:val="00466991"/>
    <w:rsid w:val="0047064C"/>
    <w:rsid w:val="004822B7"/>
    <w:rsid w:val="0049469E"/>
    <w:rsid w:val="004A2217"/>
    <w:rsid w:val="004A24F9"/>
    <w:rsid w:val="004A2D50"/>
    <w:rsid w:val="004A42E1"/>
    <w:rsid w:val="004B162C"/>
    <w:rsid w:val="004B2ABE"/>
    <w:rsid w:val="004C3DBE"/>
    <w:rsid w:val="004C5C96"/>
    <w:rsid w:val="004D06A4"/>
    <w:rsid w:val="004E7ECC"/>
    <w:rsid w:val="004F1A81"/>
    <w:rsid w:val="004F5D88"/>
    <w:rsid w:val="00501354"/>
    <w:rsid w:val="005050D2"/>
    <w:rsid w:val="005218D9"/>
    <w:rsid w:val="00536186"/>
    <w:rsid w:val="00544CBB"/>
    <w:rsid w:val="00551B65"/>
    <w:rsid w:val="00555939"/>
    <w:rsid w:val="00556704"/>
    <w:rsid w:val="005656D7"/>
    <w:rsid w:val="0057315F"/>
    <w:rsid w:val="00576104"/>
    <w:rsid w:val="00586418"/>
    <w:rsid w:val="00592B21"/>
    <w:rsid w:val="005B2DF4"/>
    <w:rsid w:val="005B44BF"/>
    <w:rsid w:val="005C67C8"/>
    <w:rsid w:val="005D0249"/>
    <w:rsid w:val="005D18FA"/>
    <w:rsid w:val="005D4FD4"/>
    <w:rsid w:val="005D5696"/>
    <w:rsid w:val="005D6E8C"/>
    <w:rsid w:val="005E3004"/>
    <w:rsid w:val="005F100C"/>
    <w:rsid w:val="005F68DA"/>
    <w:rsid w:val="005F7419"/>
    <w:rsid w:val="00601BC9"/>
    <w:rsid w:val="0060773B"/>
    <w:rsid w:val="00613FD6"/>
    <w:rsid w:val="006157B5"/>
    <w:rsid w:val="00617224"/>
    <w:rsid w:val="00626FC6"/>
    <w:rsid w:val="006303B4"/>
    <w:rsid w:val="00630ADC"/>
    <w:rsid w:val="00633630"/>
    <w:rsid w:val="00633D3D"/>
    <w:rsid w:val="00641703"/>
    <w:rsid w:val="006431A6"/>
    <w:rsid w:val="00643E3A"/>
    <w:rsid w:val="006459F6"/>
    <w:rsid w:val="006501AD"/>
    <w:rsid w:val="00651BFA"/>
    <w:rsid w:val="00654475"/>
    <w:rsid w:val="00656DF0"/>
    <w:rsid w:val="00665A4B"/>
    <w:rsid w:val="00670FAE"/>
    <w:rsid w:val="00692E2A"/>
    <w:rsid w:val="0069496A"/>
    <w:rsid w:val="00696C1C"/>
    <w:rsid w:val="006A76F2"/>
    <w:rsid w:val="006B7D29"/>
    <w:rsid w:val="006D19D4"/>
    <w:rsid w:val="006D5644"/>
    <w:rsid w:val="006D7EFB"/>
    <w:rsid w:val="006E5481"/>
    <w:rsid w:val="006E6672"/>
    <w:rsid w:val="006E6722"/>
    <w:rsid w:val="006F7AFF"/>
    <w:rsid w:val="007027B9"/>
    <w:rsid w:val="007066B5"/>
    <w:rsid w:val="007145DA"/>
    <w:rsid w:val="00715E88"/>
    <w:rsid w:val="00716D8B"/>
    <w:rsid w:val="00731576"/>
    <w:rsid w:val="00734CAA"/>
    <w:rsid w:val="00740EE2"/>
    <w:rsid w:val="00742680"/>
    <w:rsid w:val="0075533C"/>
    <w:rsid w:val="00755A18"/>
    <w:rsid w:val="00757581"/>
    <w:rsid w:val="007602F5"/>
    <w:rsid w:val="00760D36"/>
    <w:rsid w:val="007611A0"/>
    <w:rsid w:val="00772574"/>
    <w:rsid w:val="00773E54"/>
    <w:rsid w:val="00782514"/>
    <w:rsid w:val="00787688"/>
    <w:rsid w:val="007935E6"/>
    <w:rsid w:val="00796D3F"/>
    <w:rsid w:val="007A1683"/>
    <w:rsid w:val="007A5C12"/>
    <w:rsid w:val="007A7CB0"/>
    <w:rsid w:val="007B68A3"/>
    <w:rsid w:val="007C2541"/>
    <w:rsid w:val="007C4FAB"/>
    <w:rsid w:val="007D66A8"/>
    <w:rsid w:val="007E003F"/>
    <w:rsid w:val="007E1CFC"/>
    <w:rsid w:val="007F0CF8"/>
    <w:rsid w:val="007F5C53"/>
    <w:rsid w:val="007F5E1B"/>
    <w:rsid w:val="007F62CB"/>
    <w:rsid w:val="00806128"/>
    <w:rsid w:val="008142EC"/>
    <w:rsid w:val="008164F2"/>
    <w:rsid w:val="00821395"/>
    <w:rsid w:val="00830E26"/>
    <w:rsid w:val="00834368"/>
    <w:rsid w:val="0083441A"/>
    <w:rsid w:val="00843576"/>
    <w:rsid w:val="00843B64"/>
    <w:rsid w:val="00845261"/>
    <w:rsid w:val="008478FC"/>
    <w:rsid w:val="00851C51"/>
    <w:rsid w:val="008538F7"/>
    <w:rsid w:val="00867BFF"/>
    <w:rsid w:val="00871542"/>
    <w:rsid w:val="00872BF6"/>
    <w:rsid w:val="00883984"/>
    <w:rsid w:val="0088480A"/>
    <w:rsid w:val="0088757A"/>
    <w:rsid w:val="0089431B"/>
    <w:rsid w:val="00895668"/>
    <w:rsid w:val="008957DD"/>
    <w:rsid w:val="00897D98"/>
    <w:rsid w:val="008A6DF2"/>
    <w:rsid w:val="008A7807"/>
    <w:rsid w:val="008B4CC9"/>
    <w:rsid w:val="008C0B15"/>
    <w:rsid w:val="008D75E4"/>
    <w:rsid w:val="008D7C99"/>
    <w:rsid w:val="008E0FCB"/>
    <w:rsid w:val="008F2901"/>
    <w:rsid w:val="008F6DFE"/>
    <w:rsid w:val="0090529F"/>
    <w:rsid w:val="00915870"/>
    <w:rsid w:val="0092178C"/>
    <w:rsid w:val="00930B88"/>
    <w:rsid w:val="00935376"/>
    <w:rsid w:val="00940DCC"/>
    <w:rsid w:val="0094179A"/>
    <w:rsid w:val="0094459E"/>
    <w:rsid w:val="00944DBC"/>
    <w:rsid w:val="009470FD"/>
    <w:rsid w:val="00950977"/>
    <w:rsid w:val="00951A7B"/>
    <w:rsid w:val="00955512"/>
    <w:rsid w:val="009564A6"/>
    <w:rsid w:val="00957EF8"/>
    <w:rsid w:val="0096486C"/>
    <w:rsid w:val="00966A53"/>
    <w:rsid w:val="00967621"/>
    <w:rsid w:val="00967E6A"/>
    <w:rsid w:val="00973359"/>
    <w:rsid w:val="009907B9"/>
    <w:rsid w:val="00990918"/>
    <w:rsid w:val="009A3A83"/>
    <w:rsid w:val="009B4A0F"/>
    <w:rsid w:val="009C11D2"/>
    <w:rsid w:val="009C6C70"/>
    <w:rsid w:val="009C7B0A"/>
    <w:rsid w:val="009D0B63"/>
    <w:rsid w:val="009D5CB8"/>
    <w:rsid w:val="009E307E"/>
    <w:rsid w:val="00A07870"/>
    <w:rsid w:val="00A07C54"/>
    <w:rsid w:val="00A07F19"/>
    <w:rsid w:val="00A10ABB"/>
    <w:rsid w:val="00A1348D"/>
    <w:rsid w:val="00A13C99"/>
    <w:rsid w:val="00A16D4D"/>
    <w:rsid w:val="00A232EE"/>
    <w:rsid w:val="00A24D77"/>
    <w:rsid w:val="00A37CF2"/>
    <w:rsid w:val="00A4175F"/>
    <w:rsid w:val="00A44411"/>
    <w:rsid w:val="00A469FA"/>
    <w:rsid w:val="00A53662"/>
    <w:rsid w:val="00A55B01"/>
    <w:rsid w:val="00A56B5B"/>
    <w:rsid w:val="00A603FF"/>
    <w:rsid w:val="00A619B6"/>
    <w:rsid w:val="00A648CA"/>
    <w:rsid w:val="00A657DD"/>
    <w:rsid w:val="00A666A6"/>
    <w:rsid w:val="00A675FD"/>
    <w:rsid w:val="00A72437"/>
    <w:rsid w:val="00A8048B"/>
    <w:rsid w:val="00A80611"/>
    <w:rsid w:val="00A84C5C"/>
    <w:rsid w:val="00AA5BF4"/>
    <w:rsid w:val="00AB5340"/>
    <w:rsid w:val="00AC0A89"/>
    <w:rsid w:val="00AC6501"/>
    <w:rsid w:val="00AC7C96"/>
    <w:rsid w:val="00AD3593"/>
    <w:rsid w:val="00AE0812"/>
    <w:rsid w:val="00AE237D"/>
    <w:rsid w:val="00AE4103"/>
    <w:rsid w:val="00AE502A"/>
    <w:rsid w:val="00AF0010"/>
    <w:rsid w:val="00AF06E1"/>
    <w:rsid w:val="00AF1AA8"/>
    <w:rsid w:val="00AF2C1F"/>
    <w:rsid w:val="00AF7C07"/>
    <w:rsid w:val="00B06C64"/>
    <w:rsid w:val="00B07D8E"/>
    <w:rsid w:val="00B11CAC"/>
    <w:rsid w:val="00B15A29"/>
    <w:rsid w:val="00B22C93"/>
    <w:rsid w:val="00B27589"/>
    <w:rsid w:val="00B405B7"/>
    <w:rsid w:val="00B468C0"/>
    <w:rsid w:val="00B52222"/>
    <w:rsid w:val="00B531DA"/>
    <w:rsid w:val="00B54895"/>
    <w:rsid w:val="00B54FE7"/>
    <w:rsid w:val="00B647C6"/>
    <w:rsid w:val="00B655F9"/>
    <w:rsid w:val="00B66901"/>
    <w:rsid w:val="00B66F60"/>
    <w:rsid w:val="00B71E6D"/>
    <w:rsid w:val="00B72070"/>
    <w:rsid w:val="00B779E1"/>
    <w:rsid w:val="00B817D5"/>
    <w:rsid w:val="00B81E3A"/>
    <w:rsid w:val="00B85CFB"/>
    <w:rsid w:val="00B914E9"/>
    <w:rsid w:val="00B91EE1"/>
    <w:rsid w:val="00B94602"/>
    <w:rsid w:val="00BA0090"/>
    <w:rsid w:val="00BA1A67"/>
    <w:rsid w:val="00BA6A80"/>
    <w:rsid w:val="00BB4ABB"/>
    <w:rsid w:val="00BC62BA"/>
    <w:rsid w:val="00BE5B5F"/>
    <w:rsid w:val="00BE7993"/>
    <w:rsid w:val="00BE7FD0"/>
    <w:rsid w:val="00C11971"/>
    <w:rsid w:val="00C179DE"/>
    <w:rsid w:val="00C26F55"/>
    <w:rsid w:val="00C30C63"/>
    <w:rsid w:val="00C30FF3"/>
    <w:rsid w:val="00C34D5C"/>
    <w:rsid w:val="00C36B8B"/>
    <w:rsid w:val="00C415C1"/>
    <w:rsid w:val="00C47DBF"/>
    <w:rsid w:val="00C552FF"/>
    <w:rsid w:val="00C558DA"/>
    <w:rsid w:val="00C55AF3"/>
    <w:rsid w:val="00C771A9"/>
    <w:rsid w:val="00C82943"/>
    <w:rsid w:val="00C84759"/>
    <w:rsid w:val="00C93096"/>
    <w:rsid w:val="00CA5CA9"/>
    <w:rsid w:val="00CA6C7F"/>
    <w:rsid w:val="00CB007D"/>
    <w:rsid w:val="00CB60CA"/>
    <w:rsid w:val="00CC0FC7"/>
    <w:rsid w:val="00CC10A6"/>
    <w:rsid w:val="00CD5EB8"/>
    <w:rsid w:val="00CD7044"/>
    <w:rsid w:val="00CE08B9"/>
    <w:rsid w:val="00CE3515"/>
    <w:rsid w:val="00CE524C"/>
    <w:rsid w:val="00CF141F"/>
    <w:rsid w:val="00CF4777"/>
    <w:rsid w:val="00CF65C8"/>
    <w:rsid w:val="00D013F5"/>
    <w:rsid w:val="00D05E3F"/>
    <w:rsid w:val="00D067BB"/>
    <w:rsid w:val="00D1352A"/>
    <w:rsid w:val="00D1638E"/>
    <w:rsid w:val="00D169AF"/>
    <w:rsid w:val="00D200EF"/>
    <w:rsid w:val="00D25175"/>
    <w:rsid w:val="00D25249"/>
    <w:rsid w:val="00D26854"/>
    <w:rsid w:val="00D31D27"/>
    <w:rsid w:val="00D44172"/>
    <w:rsid w:val="00D47BE3"/>
    <w:rsid w:val="00D63B8C"/>
    <w:rsid w:val="00D721C2"/>
    <w:rsid w:val="00D739CC"/>
    <w:rsid w:val="00D806F9"/>
    <w:rsid w:val="00D8093D"/>
    <w:rsid w:val="00D8108C"/>
    <w:rsid w:val="00D842AE"/>
    <w:rsid w:val="00D9211C"/>
    <w:rsid w:val="00D92DE0"/>
    <w:rsid w:val="00D92FEF"/>
    <w:rsid w:val="00D931F9"/>
    <w:rsid w:val="00D93A0F"/>
    <w:rsid w:val="00DA1BCA"/>
    <w:rsid w:val="00DA3663"/>
    <w:rsid w:val="00DC274A"/>
    <w:rsid w:val="00DC46FF"/>
    <w:rsid w:val="00DC5254"/>
    <w:rsid w:val="00DC569D"/>
    <w:rsid w:val="00DD1A4F"/>
    <w:rsid w:val="00DD3107"/>
    <w:rsid w:val="00DD7C2C"/>
    <w:rsid w:val="00DE5BDA"/>
    <w:rsid w:val="00DF433C"/>
    <w:rsid w:val="00DF519F"/>
    <w:rsid w:val="00E0035A"/>
    <w:rsid w:val="00E06797"/>
    <w:rsid w:val="00E1265B"/>
    <w:rsid w:val="00E12E09"/>
    <w:rsid w:val="00E13B48"/>
    <w:rsid w:val="00E1404F"/>
    <w:rsid w:val="00E21C83"/>
    <w:rsid w:val="00E24ADA"/>
    <w:rsid w:val="00E26889"/>
    <w:rsid w:val="00E32F59"/>
    <w:rsid w:val="00E41908"/>
    <w:rsid w:val="00E46D9A"/>
    <w:rsid w:val="00E524A3"/>
    <w:rsid w:val="00E540C0"/>
    <w:rsid w:val="00E565FF"/>
    <w:rsid w:val="00E65388"/>
    <w:rsid w:val="00E7741D"/>
    <w:rsid w:val="00E808CD"/>
    <w:rsid w:val="00E8348F"/>
    <w:rsid w:val="00E85B7D"/>
    <w:rsid w:val="00E9121B"/>
    <w:rsid w:val="00E9302E"/>
    <w:rsid w:val="00E976AB"/>
    <w:rsid w:val="00EA0AE2"/>
    <w:rsid w:val="00EA39E5"/>
    <w:rsid w:val="00EA57A3"/>
    <w:rsid w:val="00EC2813"/>
    <w:rsid w:val="00EC5A46"/>
    <w:rsid w:val="00EC63E2"/>
    <w:rsid w:val="00EC781A"/>
    <w:rsid w:val="00ED0225"/>
    <w:rsid w:val="00ED366A"/>
    <w:rsid w:val="00ED6BB7"/>
    <w:rsid w:val="00EF22B3"/>
    <w:rsid w:val="00F03B69"/>
    <w:rsid w:val="00F07A50"/>
    <w:rsid w:val="00F113DA"/>
    <w:rsid w:val="00F266FC"/>
    <w:rsid w:val="00F3037A"/>
    <w:rsid w:val="00F3465A"/>
    <w:rsid w:val="00F37DC8"/>
    <w:rsid w:val="00F439B3"/>
    <w:rsid w:val="00F5717D"/>
    <w:rsid w:val="00F650C3"/>
    <w:rsid w:val="00F65D85"/>
    <w:rsid w:val="00F6700B"/>
    <w:rsid w:val="00F7137B"/>
    <w:rsid w:val="00F8091E"/>
    <w:rsid w:val="00F8615C"/>
    <w:rsid w:val="00F969E5"/>
    <w:rsid w:val="00F96F7E"/>
    <w:rsid w:val="00FA4972"/>
    <w:rsid w:val="00FA6BB0"/>
    <w:rsid w:val="00FB2DBD"/>
    <w:rsid w:val="00FD4101"/>
    <w:rsid w:val="00FD48DF"/>
    <w:rsid w:val="00FD5860"/>
    <w:rsid w:val="00FE352D"/>
    <w:rsid w:val="00FE40EB"/>
    <w:rsid w:val="00FE4D02"/>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4406B4B"/>
  <w15:docId w15:val="{88933E7C-0AB0-4F52-A3DE-78B5D534C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32E4E"/>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1">
    <w:name w:val="heading 1"/>
    <w:basedOn w:val="a"/>
    <w:next w:val="Normalnumber"/>
    <w:qFormat/>
    <w:rsid w:val="000D6941"/>
    <w:pPr>
      <w:keepNext/>
      <w:spacing w:before="240"/>
      <w:ind w:left="1247" w:hanging="680"/>
      <w:outlineLvl w:val="0"/>
    </w:pPr>
    <w:rPr>
      <w:b/>
      <w:sz w:val="28"/>
    </w:rPr>
  </w:style>
  <w:style w:type="paragraph" w:styleId="2">
    <w:name w:val="heading 2"/>
    <w:basedOn w:val="a"/>
    <w:next w:val="Normalnumber"/>
    <w:qFormat/>
    <w:rsid w:val="000D6941"/>
    <w:pPr>
      <w:keepNext/>
      <w:spacing w:before="240"/>
      <w:ind w:left="1247" w:hanging="680"/>
      <w:outlineLvl w:val="1"/>
    </w:pPr>
    <w:rPr>
      <w:b/>
      <w:sz w:val="24"/>
      <w:szCs w:val="24"/>
    </w:rPr>
  </w:style>
  <w:style w:type="paragraph" w:styleId="3">
    <w:name w:val="heading 3"/>
    <w:basedOn w:val="a"/>
    <w:next w:val="Normalnumber"/>
    <w:qFormat/>
    <w:rsid w:val="000D6941"/>
    <w:pPr>
      <w:ind w:left="1247" w:hanging="680"/>
      <w:outlineLvl w:val="2"/>
    </w:pPr>
    <w:rPr>
      <w:b/>
    </w:rPr>
  </w:style>
  <w:style w:type="paragraph" w:styleId="4">
    <w:name w:val="heading 4"/>
    <w:basedOn w:val="3"/>
    <w:next w:val="Normalnumber"/>
    <w:qFormat/>
    <w:rsid w:val="000D6941"/>
    <w:pPr>
      <w:keepNext/>
      <w:outlineLvl w:val="3"/>
    </w:pPr>
  </w:style>
  <w:style w:type="paragraph" w:styleId="5">
    <w:name w:val="heading 5"/>
    <w:basedOn w:val="a"/>
    <w:next w:val="a"/>
    <w:qFormat/>
    <w:rsid w:val="000D6941"/>
    <w:pPr>
      <w:keepNext/>
      <w:outlineLvl w:val="4"/>
    </w:pPr>
    <w:rPr>
      <w:rFonts w:ascii="Univers" w:hAnsi="Univers"/>
      <w:b/>
      <w:sz w:val="24"/>
    </w:rPr>
  </w:style>
  <w:style w:type="paragraph" w:styleId="6">
    <w:name w:val="heading 6"/>
    <w:basedOn w:val="a"/>
    <w:next w:val="a"/>
    <w:qFormat/>
    <w:rsid w:val="000D6941"/>
    <w:pPr>
      <w:keepNext/>
      <w:ind w:left="578"/>
      <w:outlineLvl w:val="5"/>
    </w:pPr>
    <w:rPr>
      <w:b/>
      <w:bCs/>
      <w:sz w:val="24"/>
    </w:rPr>
  </w:style>
  <w:style w:type="paragraph" w:styleId="7">
    <w:name w:val="heading 7"/>
    <w:basedOn w:val="a"/>
    <w:next w:val="a"/>
    <w:qFormat/>
    <w:rsid w:val="000D6941"/>
    <w:pPr>
      <w:keepNext/>
      <w:widowControl w:val="0"/>
      <w:jc w:val="center"/>
      <w:outlineLvl w:val="6"/>
    </w:pPr>
    <w:rPr>
      <w:snapToGrid w:val="0"/>
      <w:u w:val="single"/>
    </w:rPr>
  </w:style>
  <w:style w:type="paragraph" w:styleId="8">
    <w:name w:val="heading 8"/>
    <w:basedOn w:val="a"/>
    <w:next w:val="a"/>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9">
    <w:name w:val="heading 9"/>
    <w:basedOn w:val="a"/>
    <w:next w:val="a"/>
    <w:qFormat/>
    <w:rsid w:val="000D6941"/>
    <w:pPr>
      <w:keepNext/>
      <w:widowControl w:val="0"/>
      <w:numPr>
        <w:numId w:val="3"/>
      </w:numPr>
      <w:suppressAutoHyphens/>
      <w:jc w:val="center"/>
      <w:outlineLvl w:val="8"/>
    </w:pPr>
    <w:rPr>
      <w:snapToGrid w:val="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semiHidden/>
    <w:rsid w:val="000D6941"/>
    <w:rPr>
      <w:rFonts w:ascii="Times New Roman" w:hAnsi="Times New Roman"/>
      <w:b/>
      <w:sz w:val="18"/>
    </w:rPr>
  </w:style>
  <w:style w:type="table" w:customStyle="1" w:styleId="Tabledocright">
    <w:name w:val="Table_doc_right"/>
    <w:basedOn w:val="a1"/>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a"/>
    <w:next w:val="a"/>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a"/>
    <w:next w:val="a"/>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a"/>
    <w:next w:val="a"/>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a"/>
    <w:next w:val="a"/>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a4">
    <w:name w:val="table of figures"/>
    <w:basedOn w:val="a"/>
    <w:next w:val="a"/>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0656E9"/>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0656E9"/>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a1"/>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a"/>
    <w:next w:val="a"/>
    <w:semiHidden/>
    <w:rsid w:val="003A77F1"/>
    <w:pPr>
      <w:tabs>
        <w:tab w:val="left" w:pos="4321"/>
        <w:tab w:val="right" w:pos="8641"/>
      </w:tabs>
      <w:spacing w:before="60"/>
    </w:pPr>
    <w:rPr>
      <w:b/>
      <w:sz w:val="18"/>
    </w:rPr>
  </w:style>
  <w:style w:type="paragraph" w:customStyle="1" w:styleId="Headerpool">
    <w:name w:val="Header_pool"/>
    <w:basedOn w:val="a"/>
    <w:next w:val="a"/>
    <w:semiHidden/>
    <w:rsid w:val="003A77F1"/>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a5">
    <w:name w:val="footnote reference"/>
    <w:aliases w:val="16 Point,Superscript 6 Point,ftref,(Ref. de nota al pie),number,SUPERS,Footnote Reference Superscript"/>
    <w:rsid w:val="000D6941"/>
    <w:rPr>
      <w:rFonts w:ascii="Times New Roman" w:eastAsia="SimSun" w:hAnsi="Times New Roman"/>
      <w:color w:val="000000"/>
      <w:spacing w:val="-5"/>
      <w:w w:val="130"/>
      <w:position w:val="-4"/>
      <w:sz w:val="20"/>
      <w:szCs w:val="18"/>
      <w:vertAlign w:val="superscript"/>
    </w:rPr>
  </w:style>
  <w:style w:type="paragraph" w:styleId="a6">
    <w:name w:val="footnote text"/>
    <w:aliases w:val="DNV-FT,Geneva 9,Font: Geneva 9,Boston 10,f,footnote3,text,Geneva,92,Font:,Boston,10,FOOTNOTES,fn,single space,Footnote Text Rail EIS,ft,Footnotes,Footnote ak,fn cafc,Footnotes Char Char,Footnote Text Char Char,fn Char Char,footnote text"/>
    <w:basedOn w:val="a"/>
    <w:link w:val="a7"/>
    <w:uiPriority w:val="99"/>
    <w:rsid w:val="000D6941"/>
    <w:pPr>
      <w:spacing w:before="20" w:after="0" w:line="210" w:lineRule="exact"/>
      <w:ind w:left="475" w:hanging="475"/>
      <w:jc w:val="left"/>
    </w:pPr>
    <w:rPr>
      <w:noProof/>
      <w:spacing w:val="5"/>
      <w:w w:val="104"/>
      <w:kern w:val="14"/>
      <w:sz w:val="18"/>
      <w:szCs w:val="20"/>
    </w:rPr>
  </w:style>
  <w:style w:type="character" w:styleId="a8">
    <w:name w:val="annotation reference"/>
    <w:rsid w:val="003929B8"/>
    <w:rPr>
      <w:rFonts w:ascii="Times New Roman" w:eastAsia="SimSun" w:hAnsi="Times New Roman"/>
      <w:sz w:val="6"/>
      <w:szCs w:val="16"/>
    </w:rPr>
  </w:style>
  <w:style w:type="paragraph" w:styleId="a9">
    <w:name w:val="annotation text"/>
    <w:basedOn w:val="a"/>
    <w:link w:val="aa"/>
    <w:rsid w:val="003929B8"/>
  </w:style>
  <w:style w:type="character" w:customStyle="1" w:styleId="aa">
    <w:name w:val="批注文字 字符"/>
    <w:link w:val="a9"/>
    <w:rsid w:val="003929B8"/>
    <w:rPr>
      <w:lang w:eastAsia="en-US"/>
    </w:rPr>
  </w:style>
  <w:style w:type="paragraph" w:styleId="ab">
    <w:name w:val="annotation subject"/>
    <w:basedOn w:val="a9"/>
    <w:next w:val="a9"/>
    <w:link w:val="ac"/>
    <w:rsid w:val="003929B8"/>
    <w:rPr>
      <w:b/>
      <w:bCs/>
    </w:rPr>
  </w:style>
  <w:style w:type="character" w:customStyle="1" w:styleId="ac">
    <w:name w:val="批注主题 字符"/>
    <w:link w:val="ab"/>
    <w:rsid w:val="003929B8"/>
    <w:rPr>
      <w:b/>
      <w:bCs/>
      <w:lang w:eastAsia="en-US"/>
    </w:rPr>
  </w:style>
  <w:style w:type="paragraph" w:styleId="ad">
    <w:name w:val="Balloon Text"/>
    <w:basedOn w:val="a"/>
    <w:link w:val="ae"/>
    <w:rsid w:val="003929B8"/>
    <w:rPr>
      <w:rFonts w:ascii="Tahoma" w:hAnsi="Tahoma" w:cs="Tahoma"/>
      <w:sz w:val="16"/>
      <w:szCs w:val="16"/>
    </w:rPr>
  </w:style>
  <w:style w:type="character" w:customStyle="1" w:styleId="ae">
    <w:name w:val="批注框文本 字符"/>
    <w:link w:val="ad"/>
    <w:rsid w:val="003929B8"/>
    <w:rPr>
      <w:rFonts w:ascii="Tahoma" w:hAnsi="Tahoma" w:cs="Tahoma"/>
      <w:sz w:val="16"/>
      <w:szCs w:val="16"/>
      <w:lang w:eastAsia="en-US"/>
    </w:rPr>
  </w:style>
  <w:style w:type="character" w:customStyle="1" w:styleId="a7">
    <w:name w:val="脚注文本 字符"/>
    <w:aliases w:val="DNV-FT 字符,Geneva 9 字符,Font: Geneva 9 字符,Boston 10 字符,f 字符,footnote3 字符,text 字符,Geneva 字符,92 字符,Font: 字符,Boston 字符,10 字符,FOOTNOTES 字符,fn 字符,single space 字符,Footnote Text Rail EIS 字符,ft 字符,Footnotes 字符,Footnote ak 字符,fn cafc 字符,fn Char Char 字符"/>
    <w:link w:val="a6"/>
    <w:uiPriority w:val="99"/>
    <w:locked/>
    <w:rsid w:val="0014293F"/>
    <w:rPr>
      <w:sz w:val="18"/>
      <w:lang w:val="fr-FR" w:eastAsia="en-US"/>
    </w:rPr>
  </w:style>
  <w:style w:type="table" w:styleId="af">
    <w:name w:val="Table Grid"/>
    <w:basedOn w:val="a1"/>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4A24F9"/>
    <w:pPr>
      <w:ind w:left="720"/>
    </w:pPr>
  </w:style>
  <w:style w:type="table" w:customStyle="1" w:styleId="AATable">
    <w:name w:val="AA_Table"/>
    <w:basedOn w:val="a1"/>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0656E9"/>
    <w:pPr>
      <w:keepNext/>
      <w:keepLines/>
      <w:suppressAutoHyphens/>
      <w:spacing w:before="320" w:after="240"/>
      <w:ind w:left="1247" w:right="567"/>
    </w:pPr>
    <w:rPr>
      <w:b/>
      <w:sz w:val="28"/>
      <w:szCs w:val="28"/>
      <w:lang w:val="en-GB"/>
    </w:rPr>
  </w:style>
  <w:style w:type="paragraph" w:styleId="af1">
    <w:name w:val="footer"/>
    <w:basedOn w:val="a"/>
    <w:semiHidden/>
    <w:rsid w:val="00821395"/>
    <w:pPr>
      <w:tabs>
        <w:tab w:val="center" w:pos="4320"/>
        <w:tab w:val="right" w:pos="8640"/>
      </w:tabs>
      <w:spacing w:before="60"/>
    </w:pPr>
    <w:rPr>
      <w:rFonts w:eastAsia="PMingLiU"/>
      <w:b/>
      <w:noProof/>
      <w:sz w:val="17"/>
    </w:rPr>
  </w:style>
  <w:style w:type="paragraph" w:styleId="af2">
    <w:name w:val="header"/>
    <w:basedOn w:val="a"/>
    <w:semiHidden/>
    <w:rsid w:val="000D6941"/>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af3">
    <w:name w:val="Hyperlink"/>
    <w:semiHidden/>
    <w:rsid w:val="000D6941"/>
    <w:rPr>
      <w:rFonts w:ascii="Times New Roman" w:hAnsi="Times New Roman"/>
      <w:color w:val="auto"/>
      <w:sz w:val="20"/>
      <w:szCs w:val="20"/>
      <w:u w:val="none"/>
      <w:lang w:val="fr-FR"/>
    </w:rPr>
  </w:style>
  <w:style w:type="numbering" w:customStyle="1" w:styleId="Normallist">
    <w:name w:val="Normal_list"/>
    <w:basedOn w:val="a2"/>
    <w:rsid w:val="003A77F1"/>
    <w:pPr>
      <w:numPr>
        <w:numId w:val="1"/>
      </w:numPr>
    </w:pPr>
  </w:style>
  <w:style w:type="paragraph" w:customStyle="1" w:styleId="NormalNonumber">
    <w:name w:val="Normal_No_number"/>
    <w:basedOn w:val="Normalpool"/>
    <w:rsid w:val="000656E9"/>
    <w:pPr>
      <w:spacing w:after="120"/>
      <w:ind w:left="1247"/>
    </w:pPr>
    <w:rPr>
      <w:lang w:val="en-GB"/>
    </w:rPr>
  </w:style>
  <w:style w:type="paragraph" w:customStyle="1" w:styleId="Normalnumber">
    <w:name w:val="Normal_number"/>
    <w:basedOn w:val="Normalpool"/>
    <w:link w:val="NormalnumberChar"/>
    <w:rsid w:val="000656E9"/>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a"/>
    <w:next w:val="a"/>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paragraph" w:styleId="af4">
    <w:name w:val="Revision"/>
    <w:hidden/>
    <w:uiPriority w:val="99"/>
    <w:semiHidden/>
    <w:rsid w:val="00D806F9"/>
    <w:rPr>
      <w:lang w:eastAsia="en-US"/>
    </w:rPr>
  </w:style>
  <w:style w:type="character" w:styleId="af5">
    <w:name w:val="Emphasis"/>
    <w:basedOn w:val="a0"/>
    <w:qFormat/>
    <w:rsid w:val="00155A2F"/>
    <w:rPr>
      <w:i/>
      <w:iCs/>
    </w:rPr>
  </w:style>
  <w:style w:type="character" w:customStyle="1" w:styleId="BBTitleChar">
    <w:name w:val="BB_Title Char"/>
    <w:link w:val="BBTitle"/>
    <w:rsid w:val="00A24D77"/>
    <w:rPr>
      <w:b/>
      <w:sz w:val="28"/>
      <w:szCs w:val="28"/>
      <w:lang w:eastAsia="en-US"/>
    </w:rPr>
  </w:style>
  <w:style w:type="character" w:customStyle="1" w:styleId="CH2Char">
    <w:name w:val="CH2 Char"/>
    <w:link w:val="CH2"/>
    <w:locked/>
    <w:rsid w:val="00A24D77"/>
    <w:rPr>
      <w:b/>
      <w:sz w:val="24"/>
      <w:szCs w:val="24"/>
      <w:lang w:eastAsia="en-US"/>
    </w:rPr>
  </w:style>
  <w:style w:type="character" w:customStyle="1" w:styleId="NormalnumberChar">
    <w:name w:val="Normal_number Char"/>
    <w:link w:val="Normalnumber"/>
    <w:locked/>
    <w:rsid w:val="00A24D77"/>
    <w:rPr>
      <w:lang w:eastAsia="en-US"/>
    </w:rPr>
  </w:style>
  <w:style w:type="paragraph" w:customStyle="1" w:styleId="Standard">
    <w:name w:val="Standard"/>
    <w:rsid w:val="00A24D77"/>
    <w:pPr>
      <w:tabs>
        <w:tab w:val="left" w:pos="1247"/>
        <w:tab w:val="left" w:pos="1814"/>
        <w:tab w:val="left" w:pos="2381"/>
        <w:tab w:val="left" w:pos="2948"/>
        <w:tab w:val="left" w:pos="3515"/>
      </w:tabs>
      <w:suppressAutoHyphens/>
      <w:autoSpaceDN w:val="0"/>
      <w:textAlignment w:val="baseline"/>
    </w:pPr>
    <w:rPr>
      <w:kern w:val="3"/>
      <w:lang w:eastAsia="en-US"/>
    </w:rPr>
  </w:style>
  <w:style w:type="numbering" w:customStyle="1" w:styleId="WWNum25">
    <w:name w:val="WWNum25"/>
    <w:basedOn w:val="a2"/>
    <w:rsid w:val="00A24D77"/>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5D3FB3-C5A0-401D-BE35-844ABA1E8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186</Words>
  <Characters>1063</Characters>
  <Application>Microsoft Office Word</Application>
  <DocSecurity>4</DocSecurity>
  <Lines>8</Lines>
  <Paragraphs>2</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1247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Binhong Li</cp:lastModifiedBy>
  <cp:revision>2</cp:revision>
  <cp:lastPrinted>2016-07-18T09:51:00Z</cp:lastPrinted>
  <dcterms:created xsi:type="dcterms:W3CDTF">2019-09-06T06:29:00Z</dcterms:created>
  <dcterms:modified xsi:type="dcterms:W3CDTF">2019-09-06T06:29:00Z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bao.jin</vt:lpwstr>
  </property>
  <property fmtid="{D5CDD505-2E9C-101B-9397-08002B2CF9AE}" pid="4" name="GeneratedDate">
    <vt:lpwstr>8/19/2019 6:29:24 AM</vt:lpwstr>
  </property>
  <property fmtid="{D5CDD505-2E9C-101B-9397-08002B2CF9AE}" pid="5" name="OriginalDocID">
    <vt:lpwstr>89dde7c9-c718-4224-b8cc-49b71e1d5b36</vt:lpwstr>
  </property>
</Properties>
</file>