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10"/>
        <w:gridCol w:w="3292"/>
      </w:tblGrid>
      <w:tr w:rsidR="00F95F8F" w:rsidRPr="00C6062B" w14:paraId="53E14F08" w14:textId="77777777" w:rsidTr="002847B8">
        <w:trPr>
          <w:cantSplit/>
          <w:trHeight w:val="850"/>
          <w:jc w:val="right"/>
        </w:trPr>
        <w:tc>
          <w:tcPr>
            <w:tcW w:w="2695" w:type="dxa"/>
            <w:gridSpan w:val="2"/>
          </w:tcPr>
          <w:p w14:paraId="13261403" w14:textId="77777777" w:rsidR="00F95F8F" w:rsidRPr="002847B8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  <w:lang w:val="ru-RU"/>
              </w:rPr>
            </w:pPr>
            <w:r w:rsidRPr="002847B8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2847B8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2847B8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3510" w:type="dxa"/>
          </w:tcPr>
          <w:p w14:paraId="36DA69AB" w14:textId="77777777" w:rsidR="00F95F8F" w:rsidRPr="00C6062B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292" w:type="dxa"/>
          </w:tcPr>
          <w:p w14:paraId="74148FE6" w14:textId="77777777" w:rsidR="00F95F8F" w:rsidRPr="00C6062B" w:rsidRDefault="00F95F8F" w:rsidP="00B85FD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F95F8F" w:rsidRPr="00684351" w14:paraId="25658EC2" w14:textId="77777777" w:rsidTr="002847B8">
        <w:trPr>
          <w:cantSplit/>
          <w:trHeight w:val="281"/>
          <w:jc w:val="right"/>
        </w:trPr>
        <w:tc>
          <w:tcPr>
            <w:tcW w:w="1521" w:type="dxa"/>
            <w:tcBorders>
              <w:bottom w:val="single" w:sz="4" w:space="0" w:color="auto"/>
            </w:tcBorders>
          </w:tcPr>
          <w:p w14:paraId="05A1D614" w14:textId="77777777" w:rsidR="00F95F8F" w:rsidRPr="00C6062B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684" w:type="dxa"/>
            <w:gridSpan w:val="2"/>
            <w:tcBorders>
              <w:bottom w:val="single" w:sz="4" w:space="0" w:color="auto"/>
            </w:tcBorders>
          </w:tcPr>
          <w:p w14:paraId="2C9E6D85" w14:textId="77777777" w:rsidR="00F95F8F" w:rsidRPr="00C6062B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14:paraId="54DC6041" w14:textId="7AF3EA15" w:rsidR="00F95F8F" w:rsidRPr="00620245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>
              <w:rPr>
                <w:b/>
                <w:bCs/>
                <w:sz w:val="28"/>
                <w:lang w:val="en-US"/>
              </w:rPr>
              <w:t>P</w:t>
            </w:r>
            <w:r w:rsidRPr="00620245">
              <w:t>/</w:t>
            </w:r>
            <w:r>
              <w:rPr>
                <w:lang w:val="en-US"/>
              </w:rPr>
              <w:t>MC</w:t>
            </w:r>
            <w:r w:rsidRPr="00620245">
              <w:t>/</w:t>
            </w:r>
            <w:r>
              <w:rPr>
                <w:lang w:val="en-US"/>
              </w:rPr>
              <w:t>COP</w:t>
            </w:r>
            <w:r w:rsidRPr="00620245">
              <w:t>.</w:t>
            </w:r>
            <w:r>
              <w:rPr>
                <w:lang w:val="en-US"/>
              </w:rPr>
              <w:t>3</w:t>
            </w:r>
            <w:r w:rsidRPr="00620245">
              <w:t>/</w:t>
            </w:r>
            <w:r>
              <w:t>11</w:t>
            </w:r>
          </w:p>
        </w:tc>
      </w:tr>
      <w:tr w:rsidR="00F95F8F" w:rsidRPr="00AA738A" w14:paraId="3789CC80" w14:textId="77777777" w:rsidTr="002847B8">
        <w:trPr>
          <w:cantSplit/>
          <w:trHeight w:val="2549"/>
          <w:jc w:val="right"/>
        </w:trPr>
        <w:tc>
          <w:tcPr>
            <w:tcW w:w="1521" w:type="dxa"/>
            <w:tcBorders>
              <w:top w:val="single" w:sz="4" w:space="0" w:color="auto"/>
              <w:bottom w:val="single" w:sz="24" w:space="0" w:color="auto"/>
            </w:tcBorders>
          </w:tcPr>
          <w:p w14:paraId="44226698" w14:textId="77777777" w:rsidR="00F95F8F" w:rsidRPr="00C6062B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482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3C772936" wp14:editId="4274C6DF">
                  <wp:extent cx="826770" cy="7829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062B">
              <w:rPr>
                <w:noProof/>
                <w:lang w:eastAsia="en-GB"/>
              </w:rPr>
              <w:drawing>
                <wp:inline distT="0" distB="0" distL="0" distR="0" wp14:anchorId="14FE3314" wp14:editId="66C3CF78">
                  <wp:extent cx="723900" cy="768350"/>
                  <wp:effectExtent l="0" t="0" r="0" b="0"/>
                  <wp:docPr id="8" name="Picture 8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76C69EF2" w14:textId="77777777" w:rsidR="00F95F8F" w:rsidRPr="002847B8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2847B8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292" w:type="dxa"/>
            <w:tcBorders>
              <w:top w:val="single" w:sz="4" w:space="0" w:color="auto"/>
              <w:bottom w:val="single" w:sz="24" w:space="0" w:color="auto"/>
            </w:tcBorders>
          </w:tcPr>
          <w:p w14:paraId="3CCC9FED" w14:textId="77777777" w:rsidR="00F95F8F" w:rsidRPr="00826AF3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Distr</w:t>
            </w:r>
            <w:r w:rsidRPr="00826AF3">
              <w:t xml:space="preserve">.: </w:t>
            </w:r>
            <w:r>
              <w:t>General</w:t>
            </w:r>
          </w:p>
          <w:p w14:paraId="1120243D" w14:textId="6B5F80CE" w:rsidR="00F95F8F" w:rsidRPr="00620245" w:rsidRDefault="007C7079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t>2</w:t>
            </w:r>
            <w:r w:rsidR="002847B8" w:rsidRPr="0071386C">
              <w:rPr>
                <w:lang w:val="ru-RU"/>
              </w:rPr>
              <w:t xml:space="preserve">3 </w:t>
            </w:r>
            <w:r w:rsidR="00CB1BAB">
              <w:rPr>
                <w:lang w:val="en-US"/>
              </w:rPr>
              <w:t>September</w:t>
            </w:r>
            <w:r w:rsidR="002847B8" w:rsidRPr="0071386C">
              <w:rPr>
                <w:lang w:val="ru-RU"/>
              </w:rPr>
              <w:t xml:space="preserve"> 2019</w:t>
            </w:r>
          </w:p>
          <w:p w14:paraId="191AE32C" w14:textId="77777777" w:rsidR="00F95F8F" w:rsidRPr="00826AF3" w:rsidRDefault="00F95F8F" w:rsidP="00B85FD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Russian</w:t>
            </w:r>
            <w:r w:rsidRPr="00826AF3">
              <w:t xml:space="preserve"> </w:t>
            </w:r>
            <w:r w:rsidRPr="00826AF3">
              <w:br/>
            </w:r>
            <w:r w:rsidRPr="00200ABD">
              <w:t>Original</w:t>
            </w:r>
            <w:r w:rsidRPr="00826AF3">
              <w:t xml:space="preserve">: </w:t>
            </w:r>
            <w:r w:rsidRPr="00200ABD">
              <w:t>English</w:t>
            </w:r>
          </w:p>
        </w:tc>
      </w:tr>
    </w:tbl>
    <w:p w14:paraId="0EA5FC43" w14:textId="77777777" w:rsidR="009D2F5E" w:rsidRPr="009D2F5E" w:rsidRDefault="009D2F5E" w:rsidP="009D2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9D2F5E">
        <w:rPr>
          <w:b/>
          <w:lang w:val="ru-RU"/>
        </w:rPr>
        <w:t>Конференция Сторон Минаматской конвенции о ртути</w:t>
      </w:r>
    </w:p>
    <w:p w14:paraId="10CB458C" w14:textId="77777777" w:rsidR="009D2F5E" w:rsidRPr="009D2F5E" w:rsidRDefault="009D2F5E" w:rsidP="009D2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9D2F5E">
        <w:rPr>
          <w:b/>
          <w:lang w:val="ru-RU"/>
        </w:rPr>
        <w:t>Третье совещание</w:t>
      </w:r>
    </w:p>
    <w:p w14:paraId="21EF30BF" w14:textId="53B3E232" w:rsidR="00787688" w:rsidRPr="009D2F5E" w:rsidRDefault="00C523B9" w:rsidP="009D2F5E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9D2F5E">
        <w:rPr>
          <w:b w:val="0"/>
          <w:lang w:val="ru-RU"/>
        </w:rPr>
        <w:t>Женева, 25-29 ноября 2019 года</w:t>
      </w:r>
      <w:bookmarkStart w:id="1" w:name="_GoBack"/>
      <w:bookmarkEnd w:id="1"/>
    </w:p>
    <w:p w14:paraId="702DC3E9" w14:textId="42F87906" w:rsidR="00FE7303" w:rsidRPr="009D2F5E" w:rsidRDefault="00C523B9" w:rsidP="009D2F5E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9D2F5E">
        <w:rPr>
          <w:b w:val="0"/>
          <w:lang w:val="ru-RU"/>
        </w:rPr>
        <w:t>Пункт 5 e) iii) предварительной повестки дня</w:t>
      </w:r>
      <w:r w:rsidR="00FE7303" w:rsidRPr="009D2F5E">
        <w:rPr>
          <w:b w:val="0"/>
          <w:lang w:val="ru-RU"/>
        </w:rPr>
        <w:footnoteReference w:customMarkFollows="1" w:id="1"/>
        <w:t>*</w:t>
      </w:r>
    </w:p>
    <w:p w14:paraId="26C1A826" w14:textId="0A8DEECD" w:rsidR="00FE7303" w:rsidRPr="009D2F5E" w:rsidRDefault="00C523B9" w:rsidP="009D2F5E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right="1701"/>
        <w:rPr>
          <w:lang w:val="ru-RU"/>
        </w:rPr>
      </w:pPr>
      <w:r w:rsidRPr="009D2F5E">
        <w:rPr>
          <w:lang w:val="ru-RU"/>
        </w:rPr>
        <w:t>Вопросы для рассмотрения или принятия мер Конференцией Сторон: механизм финансирования: обзор механизма финансирования</w:t>
      </w:r>
    </w:p>
    <w:p w14:paraId="6E5C7FDC" w14:textId="727B08F9" w:rsidR="00FE7303" w:rsidRPr="005D14CB" w:rsidRDefault="00480D54" w:rsidP="005D14C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Первый </w:t>
      </w:r>
      <w:r w:rsidRPr="005D14CB">
        <w:rPr>
          <w:b/>
          <w:bCs/>
          <w:sz w:val="28"/>
          <w:szCs w:val="28"/>
          <w:lang w:val="ru-RU"/>
        </w:rPr>
        <w:t xml:space="preserve">обзор </w:t>
      </w:r>
      <w:r w:rsidR="008F145D" w:rsidRPr="005D14CB">
        <w:rPr>
          <w:b/>
          <w:bCs/>
          <w:sz w:val="28"/>
          <w:szCs w:val="28"/>
          <w:lang w:val="ru-RU"/>
        </w:rPr>
        <w:t>механизма финансирования</w:t>
      </w:r>
      <w:r w:rsidR="00511F58" w:rsidRPr="005D14CB">
        <w:rPr>
          <w:b/>
          <w:bCs/>
          <w:sz w:val="28"/>
          <w:szCs w:val="28"/>
          <w:lang w:val="ru-RU"/>
        </w:rPr>
        <w:t xml:space="preserve"> </w:t>
      </w:r>
    </w:p>
    <w:p w14:paraId="6DA214C1" w14:textId="27C3AA6A" w:rsidR="00FE7303" w:rsidRPr="005D14CB" w:rsidRDefault="00FE7303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  <w:lang w:val="ru-RU"/>
        </w:rPr>
      </w:pPr>
      <w:r w:rsidRPr="0014164A">
        <w:rPr>
          <w:lang w:val="ru-RU"/>
        </w:rPr>
        <w:tab/>
      </w:r>
      <w:r w:rsidR="008F145D" w:rsidRPr="005D14CB">
        <w:rPr>
          <w:b/>
          <w:bCs/>
          <w:sz w:val="24"/>
          <w:szCs w:val="24"/>
          <w:lang w:val="ru-RU"/>
        </w:rPr>
        <w:t>Записка секретариата</w:t>
      </w:r>
    </w:p>
    <w:p w14:paraId="7E031770" w14:textId="4B40C5D2" w:rsidR="00364032" w:rsidRPr="0014164A" w:rsidRDefault="005D14CB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bookmarkStart w:id="2" w:name="_Hlk525996886"/>
      <w:r>
        <w:t>1.</w:t>
      </w:r>
      <w:r>
        <w:tab/>
      </w:r>
      <w:r w:rsidR="00B95ED2" w:rsidRPr="0014164A">
        <w:rPr>
          <w:lang w:val="ru-RU"/>
        </w:rPr>
        <w:t>В пункте 5 статьи 13, касающейся финансовых ресурсов и механизма финансирования Минаматской конвенции о ртути</w:t>
      </w:r>
      <w:r w:rsidR="00A02185">
        <w:t>,</w:t>
      </w:r>
      <w:r w:rsidR="00B95ED2" w:rsidRPr="0014164A">
        <w:rPr>
          <w:lang w:val="ru-RU"/>
        </w:rPr>
        <w:t xml:space="preserve"> определяется механизм для своевременного обеспечения достаточных финансовых ресурсов на предсказуемой основе в целях оказания поддержки Сторонам, являющимся развивающимися странами и </w:t>
      </w:r>
      <w:r w:rsidR="00891A99">
        <w:rPr>
          <w:lang w:val="ru-RU"/>
        </w:rPr>
        <w:t xml:space="preserve">странами </w:t>
      </w:r>
      <w:r w:rsidR="00B95ED2" w:rsidRPr="0014164A">
        <w:rPr>
          <w:lang w:val="ru-RU"/>
        </w:rPr>
        <w:t>с переходной экономикой, в соблюдении ими своих обязательств в соответствии с Конвенцией</w:t>
      </w:r>
      <w:r w:rsidR="00D468FB" w:rsidRPr="0014164A">
        <w:rPr>
          <w:lang w:val="ru-RU"/>
        </w:rPr>
        <w:t xml:space="preserve">. </w:t>
      </w:r>
      <w:r w:rsidR="00B95ED2" w:rsidRPr="0014164A">
        <w:rPr>
          <w:lang w:val="ru-RU"/>
        </w:rPr>
        <w:t xml:space="preserve">В пункте 6 той же статьи предусматривается, что в состав механизма входят Целевой фонд Глобального экологического фонда и </w:t>
      </w:r>
      <w:r w:rsidR="00457158" w:rsidRPr="0014164A">
        <w:rPr>
          <w:lang w:val="ru-RU"/>
        </w:rPr>
        <w:t>Ц</w:t>
      </w:r>
      <w:r w:rsidR="00B95ED2" w:rsidRPr="0014164A">
        <w:rPr>
          <w:lang w:val="ru-RU"/>
        </w:rPr>
        <w:t>елевая международная программа для поддержки процессов создания потенциала и оказания технической помощи</w:t>
      </w:r>
      <w:r w:rsidR="00D468FB" w:rsidRPr="0014164A">
        <w:rPr>
          <w:lang w:val="ru-RU"/>
        </w:rPr>
        <w:t>.</w:t>
      </w:r>
      <w:bookmarkEnd w:id="2"/>
      <w:r w:rsidR="00D468FB" w:rsidRPr="0014164A">
        <w:rPr>
          <w:lang w:val="ru-RU"/>
        </w:rPr>
        <w:t xml:space="preserve"> </w:t>
      </w:r>
    </w:p>
    <w:p w14:paraId="57A7101C" w14:textId="79680447" w:rsidR="00656010" w:rsidRPr="0014164A" w:rsidRDefault="005D14CB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2.</w:t>
      </w:r>
      <w:r>
        <w:tab/>
      </w:r>
      <w:r w:rsidR="00D94713" w:rsidRPr="0014164A">
        <w:rPr>
          <w:lang w:val="ru-RU"/>
        </w:rPr>
        <w:t xml:space="preserve">В пункте 11 статьи 13 Конвенции предусматривается, что Конференция Сторон должна </w:t>
      </w:r>
      <w:r w:rsidR="00457158" w:rsidRPr="0014164A">
        <w:rPr>
          <w:lang w:val="ru-RU"/>
        </w:rPr>
        <w:t>проводить обзор</w:t>
      </w:r>
      <w:r w:rsidR="00D94713" w:rsidRPr="0014164A">
        <w:rPr>
          <w:lang w:val="ru-RU"/>
        </w:rPr>
        <w:t xml:space="preserve"> не позднее чем на своем третьем совещании, а далее – через регулярные промежутки времени</w:t>
      </w:r>
      <w:r w:rsidR="00656010" w:rsidRPr="0014164A">
        <w:rPr>
          <w:lang w:val="ru-RU"/>
        </w:rPr>
        <w:t xml:space="preserve">: </w:t>
      </w:r>
    </w:p>
    <w:p w14:paraId="3F21D5B8" w14:textId="10F88AE5" w:rsidR="00656010" w:rsidRPr="0014164A" w:rsidRDefault="005D14CB" w:rsidP="005D14C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a)</w:t>
      </w:r>
      <w:r>
        <w:tab/>
      </w:r>
      <w:r w:rsidR="00A57AF7" w:rsidRPr="0014164A">
        <w:rPr>
          <w:lang w:val="ru-RU"/>
        </w:rPr>
        <w:t>уров</w:t>
      </w:r>
      <w:r w:rsidR="00457158" w:rsidRPr="0014164A">
        <w:rPr>
          <w:lang w:val="ru-RU"/>
        </w:rPr>
        <w:t>ня</w:t>
      </w:r>
      <w:r w:rsidR="00A57AF7" w:rsidRPr="0014164A">
        <w:rPr>
          <w:lang w:val="ru-RU"/>
        </w:rPr>
        <w:t xml:space="preserve"> финансирования</w:t>
      </w:r>
      <w:r w:rsidR="008A11C8" w:rsidRPr="0014164A">
        <w:rPr>
          <w:lang w:val="ru-RU"/>
        </w:rPr>
        <w:t>;</w:t>
      </w:r>
      <w:r w:rsidR="00CC4807" w:rsidRPr="0014164A">
        <w:rPr>
          <w:lang w:val="ru-RU"/>
        </w:rPr>
        <w:t xml:space="preserve"> </w:t>
      </w:r>
    </w:p>
    <w:p w14:paraId="1010BBA1" w14:textId="46566952" w:rsidR="00656010" w:rsidRPr="0014164A" w:rsidRDefault="005D14CB" w:rsidP="005D14C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b)</w:t>
      </w:r>
      <w:r>
        <w:tab/>
      </w:r>
      <w:r w:rsidR="00A57AF7" w:rsidRPr="0014164A">
        <w:rPr>
          <w:lang w:val="ru-RU"/>
        </w:rPr>
        <w:t>руководящи</w:t>
      </w:r>
      <w:r w:rsidR="00457158" w:rsidRPr="0014164A">
        <w:rPr>
          <w:lang w:val="ru-RU"/>
        </w:rPr>
        <w:t>х</w:t>
      </w:r>
      <w:r w:rsidR="00A57AF7" w:rsidRPr="0014164A">
        <w:rPr>
          <w:lang w:val="ru-RU"/>
        </w:rPr>
        <w:t xml:space="preserve"> указани</w:t>
      </w:r>
      <w:r w:rsidR="00457158" w:rsidRPr="0014164A">
        <w:rPr>
          <w:lang w:val="ru-RU"/>
        </w:rPr>
        <w:t>й</w:t>
      </w:r>
      <w:r w:rsidR="00A57AF7" w:rsidRPr="0014164A">
        <w:rPr>
          <w:lang w:val="ru-RU"/>
        </w:rPr>
        <w:t xml:space="preserve"> Конференции Сторон для органов, которым поручено обеспечить работоспособность механизма;</w:t>
      </w:r>
    </w:p>
    <w:p w14:paraId="6CFAC369" w14:textId="2F626140" w:rsidR="00656010" w:rsidRPr="0014164A" w:rsidRDefault="005D14CB" w:rsidP="005D14C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c)</w:t>
      </w:r>
      <w:r>
        <w:tab/>
      </w:r>
      <w:r w:rsidR="00A80E06" w:rsidRPr="0014164A">
        <w:rPr>
          <w:lang w:val="ru-RU"/>
        </w:rPr>
        <w:t>эффективност</w:t>
      </w:r>
      <w:r w:rsidR="00457158" w:rsidRPr="0014164A">
        <w:rPr>
          <w:lang w:val="ru-RU"/>
        </w:rPr>
        <w:t>и</w:t>
      </w:r>
      <w:r w:rsidR="00A80E06" w:rsidRPr="0014164A">
        <w:rPr>
          <w:lang w:val="ru-RU"/>
        </w:rPr>
        <w:t xml:space="preserve"> этих органов</w:t>
      </w:r>
      <w:r w:rsidR="008A11C8" w:rsidRPr="0014164A">
        <w:rPr>
          <w:lang w:val="ru-RU"/>
        </w:rPr>
        <w:t>;</w:t>
      </w:r>
      <w:r w:rsidR="00CC4807" w:rsidRPr="0014164A">
        <w:rPr>
          <w:lang w:val="ru-RU"/>
        </w:rPr>
        <w:t xml:space="preserve"> </w:t>
      </w:r>
    </w:p>
    <w:p w14:paraId="6B278EA0" w14:textId="551C473A" w:rsidR="00CC4807" w:rsidRPr="0014164A" w:rsidRDefault="005D14CB" w:rsidP="005D14C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d)</w:t>
      </w:r>
      <w:r>
        <w:tab/>
      </w:r>
      <w:r w:rsidR="00A80E06" w:rsidRPr="0014164A">
        <w:rPr>
          <w:lang w:val="ru-RU"/>
        </w:rPr>
        <w:t>способност</w:t>
      </w:r>
      <w:r w:rsidR="00457158" w:rsidRPr="0014164A">
        <w:rPr>
          <w:lang w:val="ru-RU"/>
        </w:rPr>
        <w:t>и</w:t>
      </w:r>
      <w:r w:rsidR="00A80E06" w:rsidRPr="0014164A">
        <w:rPr>
          <w:lang w:val="ru-RU"/>
        </w:rPr>
        <w:t xml:space="preserve"> этих органов удовлетворять изменяющиеся потребности Сторон, являющихся развивающимися странами, и Сторон с переходной экономикой</w:t>
      </w:r>
      <w:r w:rsidR="00CC4807" w:rsidRPr="0014164A">
        <w:rPr>
          <w:lang w:val="ru-RU"/>
        </w:rPr>
        <w:t xml:space="preserve">. </w:t>
      </w:r>
    </w:p>
    <w:p w14:paraId="67977726" w14:textId="3146E7F4" w:rsidR="00656010" w:rsidRPr="0014164A" w:rsidRDefault="00580880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3.</w:t>
      </w:r>
      <w:r>
        <w:tab/>
      </w:r>
      <w:r w:rsidR="00A80E06" w:rsidRPr="0014164A">
        <w:rPr>
          <w:lang w:val="ru-RU"/>
        </w:rPr>
        <w:t>В том же пункте также указано, что на основе обзора Конференция Сторон принимает соответствующие меры для повышения эффективности механизма финансирования</w:t>
      </w:r>
      <w:r w:rsidR="00656010" w:rsidRPr="0014164A">
        <w:rPr>
          <w:lang w:val="ru-RU"/>
        </w:rPr>
        <w:t>.</w:t>
      </w:r>
    </w:p>
    <w:p w14:paraId="38C2E3B7" w14:textId="087C6BC0" w:rsidR="00CC4807" w:rsidRPr="0014164A" w:rsidRDefault="00580880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4.</w:t>
      </w:r>
      <w:r>
        <w:tab/>
      </w:r>
      <w:r w:rsidR="00933441" w:rsidRPr="0014164A">
        <w:rPr>
          <w:lang w:val="ru-RU"/>
        </w:rPr>
        <w:t>На своем втором совещании Конференция Сторон просила секретариат подготовить компиляцию информации, которую должны предоставить Глобальный экологический фонд (</w:t>
      </w:r>
      <w:proofErr w:type="spellStart"/>
      <w:r w:rsidR="00933441" w:rsidRPr="0014164A">
        <w:rPr>
          <w:lang w:val="ru-RU"/>
        </w:rPr>
        <w:t>ГЭФ</w:t>
      </w:r>
      <w:proofErr w:type="spellEnd"/>
      <w:r w:rsidR="00933441" w:rsidRPr="0014164A">
        <w:rPr>
          <w:lang w:val="ru-RU"/>
        </w:rPr>
        <w:t xml:space="preserve">), Целевая международная программа для поддержки процессов создания потенциала и оказания технической помощи, </w:t>
      </w:r>
      <w:r w:rsidR="00457158" w:rsidRPr="0014164A">
        <w:rPr>
          <w:lang w:val="ru-RU"/>
        </w:rPr>
        <w:t>С</w:t>
      </w:r>
      <w:r w:rsidR="00933441" w:rsidRPr="0014164A">
        <w:rPr>
          <w:lang w:val="ru-RU"/>
        </w:rPr>
        <w:t xml:space="preserve">тороны и другие соответствующие источники, указанные в пункте 11 статьи 13, как необходимую для обзора механизма финансирования, и представить обобщение полученной информации для рассмотрения Конференцией Сторон на ее третьем совещании </w:t>
      </w:r>
      <w:r w:rsidR="0059564D" w:rsidRPr="0014164A">
        <w:rPr>
          <w:lang w:val="ru-RU"/>
        </w:rPr>
        <w:t>(</w:t>
      </w:r>
      <w:proofErr w:type="spellStart"/>
      <w:r w:rsidR="0059564D" w:rsidRPr="0014164A">
        <w:rPr>
          <w:lang w:val="ru-RU"/>
        </w:rPr>
        <w:t>UNEP</w:t>
      </w:r>
      <w:proofErr w:type="spellEnd"/>
      <w:r w:rsidR="0059564D" w:rsidRPr="0014164A">
        <w:rPr>
          <w:lang w:val="ru-RU"/>
        </w:rPr>
        <w:t>/</w:t>
      </w:r>
      <w:proofErr w:type="spellStart"/>
      <w:r w:rsidR="0059564D" w:rsidRPr="0014164A">
        <w:rPr>
          <w:lang w:val="ru-RU"/>
        </w:rPr>
        <w:t>MC</w:t>
      </w:r>
      <w:proofErr w:type="spellEnd"/>
      <w:r w:rsidR="0059564D" w:rsidRPr="0014164A">
        <w:rPr>
          <w:lang w:val="ru-RU"/>
        </w:rPr>
        <w:t>/</w:t>
      </w:r>
      <w:proofErr w:type="spellStart"/>
      <w:r w:rsidR="0059564D" w:rsidRPr="0014164A">
        <w:rPr>
          <w:lang w:val="ru-RU"/>
        </w:rPr>
        <w:t>COP.2</w:t>
      </w:r>
      <w:proofErr w:type="spellEnd"/>
      <w:r w:rsidR="0059564D" w:rsidRPr="0014164A">
        <w:rPr>
          <w:lang w:val="ru-RU"/>
        </w:rPr>
        <w:t xml:space="preserve">/19, </w:t>
      </w:r>
      <w:r w:rsidR="00933441" w:rsidRPr="0014164A">
        <w:rPr>
          <w:lang w:val="ru-RU"/>
        </w:rPr>
        <w:t>п</w:t>
      </w:r>
      <w:r>
        <w:rPr>
          <w:lang w:val="ru-RU"/>
        </w:rPr>
        <w:t>ункт</w:t>
      </w:r>
      <w:r w:rsidR="0059564D" w:rsidRPr="0014164A">
        <w:rPr>
          <w:lang w:val="ru-RU"/>
        </w:rPr>
        <w:t xml:space="preserve"> 120)</w:t>
      </w:r>
      <w:r w:rsidR="00CC4807" w:rsidRPr="0014164A">
        <w:rPr>
          <w:lang w:val="ru-RU"/>
        </w:rPr>
        <w:t xml:space="preserve">. </w:t>
      </w:r>
    </w:p>
    <w:p w14:paraId="27A6C770" w14:textId="0A5804FE" w:rsidR="00CC4807" w:rsidRPr="0014164A" w:rsidRDefault="00C65A27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lastRenderedPageBreak/>
        <w:t>5.</w:t>
      </w:r>
      <w:r>
        <w:tab/>
      </w:r>
      <w:r w:rsidR="008102E2" w:rsidRPr="0014164A">
        <w:rPr>
          <w:lang w:val="ru-RU"/>
        </w:rPr>
        <w:t xml:space="preserve">После второго совещания </w:t>
      </w:r>
      <w:r w:rsidR="00FB16AE" w:rsidRPr="0014164A">
        <w:rPr>
          <w:lang w:val="ru-RU"/>
        </w:rPr>
        <w:t xml:space="preserve">Исполнительный </w:t>
      </w:r>
      <w:r w:rsidR="008102E2" w:rsidRPr="0014164A">
        <w:rPr>
          <w:lang w:val="ru-RU"/>
        </w:rPr>
        <w:t xml:space="preserve">секретарь просил секретариат </w:t>
      </w:r>
      <w:proofErr w:type="spellStart"/>
      <w:r w:rsidR="008102E2" w:rsidRPr="0014164A">
        <w:rPr>
          <w:lang w:val="ru-RU"/>
        </w:rPr>
        <w:t>ГЭФ</w:t>
      </w:r>
      <w:proofErr w:type="spellEnd"/>
      <w:r w:rsidR="008102E2" w:rsidRPr="0014164A">
        <w:rPr>
          <w:lang w:val="ru-RU"/>
        </w:rPr>
        <w:t xml:space="preserve"> и </w:t>
      </w:r>
      <w:r w:rsidR="001344E7" w:rsidRPr="0014164A">
        <w:rPr>
          <w:lang w:val="ru-RU"/>
        </w:rPr>
        <w:t xml:space="preserve">Правление </w:t>
      </w:r>
      <w:r w:rsidR="00FB16AE" w:rsidRPr="0014164A">
        <w:rPr>
          <w:lang w:val="ru-RU"/>
        </w:rPr>
        <w:t xml:space="preserve">Целевой </w:t>
      </w:r>
      <w:r w:rsidR="008102E2" w:rsidRPr="0014164A">
        <w:rPr>
          <w:lang w:val="ru-RU"/>
        </w:rPr>
        <w:t>международной программы предоставить необходимую информацию</w:t>
      </w:r>
      <w:r w:rsidR="00CC4807" w:rsidRPr="0014164A">
        <w:rPr>
          <w:lang w:val="ru-RU"/>
        </w:rPr>
        <w:t xml:space="preserve">. </w:t>
      </w:r>
      <w:r w:rsidR="008102E2" w:rsidRPr="0014164A">
        <w:rPr>
          <w:lang w:val="ru-RU"/>
        </w:rPr>
        <w:t>Исполнительный секретарь также направил запрос информации Сторонам и другим заинтересованным лицам в письме от 3 декабря 2018 года, в котором им предлагалось представить такую информацию в секретариат до 30 мая 2019 года</w:t>
      </w:r>
      <w:r w:rsidR="00CC4807" w:rsidRPr="0014164A">
        <w:rPr>
          <w:lang w:val="ru-RU"/>
        </w:rPr>
        <w:t xml:space="preserve">. </w:t>
      </w:r>
    </w:p>
    <w:p w14:paraId="443DD301" w14:textId="1EE00CCA" w:rsidR="00CC4807" w:rsidRPr="0014164A" w:rsidRDefault="00C65A27" w:rsidP="00480D5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>
        <w:t>6.</w:t>
      </w:r>
      <w:r>
        <w:tab/>
      </w:r>
      <w:r w:rsidR="001344E7" w:rsidRPr="0014164A">
        <w:rPr>
          <w:lang w:val="ru-RU"/>
        </w:rPr>
        <w:t>Информация, полученная секретариатом, содержится в приложениях к настоящей записке для рассмотрения Конференцией Сторон на ее третьем совещании</w:t>
      </w:r>
      <w:r w:rsidR="00CC4807" w:rsidRPr="0014164A">
        <w:rPr>
          <w:lang w:val="ru-RU"/>
        </w:rPr>
        <w:t xml:space="preserve">. </w:t>
      </w:r>
      <w:r w:rsidR="001344E7" w:rsidRPr="0014164A">
        <w:rPr>
          <w:lang w:val="ru-RU"/>
        </w:rPr>
        <w:t xml:space="preserve">В приложении I приводится информация, полученная от секретариата </w:t>
      </w:r>
      <w:proofErr w:type="spellStart"/>
      <w:r w:rsidR="001344E7" w:rsidRPr="0014164A">
        <w:rPr>
          <w:lang w:val="ru-RU"/>
        </w:rPr>
        <w:t>ГЭФ</w:t>
      </w:r>
      <w:proofErr w:type="spellEnd"/>
      <w:r w:rsidR="001344E7" w:rsidRPr="0014164A">
        <w:rPr>
          <w:lang w:val="ru-RU"/>
        </w:rPr>
        <w:t xml:space="preserve"> в соответствии со статьей 13, а в приложении II приводится информация, полученная от Правления </w:t>
      </w:r>
      <w:r w:rsidR="00FB16AE" w:rsidRPr="0014164A">
        <w:rPr>
          <w:lang w:val="ru-RU"/>
        </w:rPr>
        <w:t xml:space="preserve">Целевой </w:t>
      </w:r>
      <w:r w:rsidR="001344E7" w:rsidRPr="0014164A">
        <w:rPr>
          <w:lang w:val="ru-RU"/>
        </w:rPr>
        <w:t>международной программы в соответствии со статьей 13</w:t>
      </w:r>
      <w:r w:rsidR="00270AB2" w:rsidRPr="0014164A">
        <w:rPr>
          <w:lang w:val="ru-RU"/>
        </w:rPr>
        <w:t xml:space="preserve">. </w:t>
      </w:r>
      <w:r w:rsidR="00656101" w:rsidRPr="0014164A">
        <w:rPr>
          <w:lang w:val="ru-RU"/>
        </w:rPr>
        <w:t>Приложения воспроизводятся без официального редактирования</w:t>
      </w:r>
      <w:r w:rsidR="00457158" w:rsidRPr="0014164A">
        <w:rPr>
          <w:lang w:val="ru-RU"/>
        </w:rPr>
        <w:t xml:space="preserve">. </w:t>
      </w:r>
      <w:r w:rsidR="00656101" w:rsidRPr="0014164A">
        <w:rPr>
          <w:lang w:val="ru-RU"/>
        </w:rPr>
        <w:t>Стороны и заинтересованные лица не предоставили никакую информацию.</w:t>
      </w:r>
    </w:p>
    <w:p w14:paraId="12D49380" w14:textId="09F6F625" w:rsidR="00AF398A" w:rsidRPr="00480D54" w:rsidRDefault="00AF398A" w:rsidP="00C65A27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480D54">
        <w:rPr>
          <w:b/>
          <w:bCs/>
          <w:sz w:val="28"/>
          <w:szCs w:val="28"/>
          <w:lang w:val="ru-RU"/>
        </w:rPr>
        <w:tab/>
      </w:r>
      <w:r w:rsidR="005043CE">
        <w:rPr>
          <w:b/>
          <w:bCs/>
          <w:sz w:val="28"/>
          <w:szCs w:val="28"/>
        </w:rPr>
        <w:t>I</w:t>
      </w:r>
      <w:r w:rsidRPr="00480D54">
        <w:rPr>
          <w:b/>
          <w:bCs/>
          <w:sz w:val="28"/>
          <w:szCs w:val="28"/>
          <w:lang w:val="ru-RU"/>
        </w:rPr>
        <w:t>.</w:t>
      </w:r>
      <w:r w:rsidRPr="00480D54">
        <w:rPr>
          <w:b/>
          <w:bCs/>
          <w:sz w:val="28"/>
          <w:szCs w:val="28"/>
          <w:lang w:val="ru-RU"/>
        </w:rPr>
        <w:tab/>
      </w:r>
      <w:r w:rsidR="0008194C" w:rsidRPr="00480D54">
        <w:rPr>
          <w:b/>
          <w:bCs/>
          <w:sz w:val="28"/>
          <w:szCs w:val="28"/>
          <w:lang w:val="ru-RU"/>
        </w:rPr>
        <w:t>Поддержка Минаматской конвенции Глобальным экологическим фондом</w:t>
      </w:r>
    </w:p>
    <w:p w14:paraId="002B4994" w14:textId="5B23C404" w:rsidR="00414D69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7.</w:t>
      </w:r>
      <w:r>
        <w:tab/>
      </w:r>
      <w:r w:rsidR="003707F3" w:rsidRPr="0014164A">
        <w:rPr>
          <w:lang w:val="ru-RU"/>
        </w:rPr>
        <w:t xml:space="preserve">В пункте 7 статьи 13 предусматривается, что Целевой фонд Глобального экологического фонда своевременно обеспечивает новые и достаточные финансовые ресурсы на предсказуемой основе для покрытия расходов по поддержке осуществления настоящей Конвенции в соответствии с решениями Конференции Сторон. Там также указывается, что для целей Конвенции Целевой фонд </w:t>
      </w:r>
      <w:proofErr w:type="spellStart"/>
      <w:r w:rsidR="003707F3" w:rsidRPr="0014164A">
        <w:rPr>
          <w:lang w:val="ru-RU"/>
        </w:rPr>
        <w:t>ГЭФ</w:t>
      </w:r>
      <w:proofErr w:type="spellEnd"/>
      <w:r w:rsidR="003707F3" w:rsidRPr="0014164A">
        <w:rPr>
          <w:lang w:val="ru-RU"/>
        </w:rPr>
        <w:t xml:space="preserve"> функционирует под руководством Конференции Сторон и подотчетен ей.</w:t>
      </w:r>
      <w:r w:rsidR="00414D69" w:rsidRPr="0014164A">
        <w:rPr>
          <w:lang w:val="ru-RU"/>
        </w:rPr>
        <w:t xml:space="preserve"> </w:t>
      </w:r>
      <w:r w:rsidR="003707F3" w:rsidRPr="0014164A">
        <w:rPr>
          <w:lang w:val="ru-RU"/>
        </w:rPr>
        <w:t xml:space="preserve">Конференция Сторон </w:t>
      </w:r>
      <w:r w:rsidR="00457158" w:rsidRPr="0014164A">
        <w:rPr>
          <w:lang w:val="ru-RU"/>
        </w:rPr>
        <w:t>предоставляет</w:t>
      </w:r>
      <w:r w:rsidR="003707F3" w:rsidRPr="0014164A">
        <w:rPr>
          <w:lang w:val="ru-RU"/>
        </w:rPr>
        <w:t xml:space="preserve"> указания относительно общих стратегий, политики, программных приоритетов и правомочности доступа к финансовым ресурсам и их использования. Кроме того, Конференция Сторон </w:t>
      </w:r>
      <w:r w:rsidR="00457158" w:rsidRPr="0014164A">
        <w:rPr>
          <w:lang w:val="ru-RU"/>
        </w:rPr>
        <w:t xml:space="preserve">предоставляет </w:t>
      </w:r>
      <w:r w:rsidR="003707F3" w:rsidRPr="0014164A">
        <w:rPr>
          <w:lang w:val="ru-RU"/>
        </w:rPr>
        <w:t>указания относительно ориентировочного перечня категорий видов деятельности для получения поддержки от Целевого фонда.</w:t>
      </w:r>
      <w:r w:rsidR="00457158" w:rsidRPr="0014164A">
        <w:rPr>
          <w:lang w:val="ru-RU"/>
        </w:rPr>
        <w:t xml:space="preserve"> </w:t>
      </w:r>
      <w:r w:rsidR="003707F3" w:rsidRPr="0014164A">
        <w:rPr>
          <w:lang w:val="ru-RU"/>
        </w:rPr>
        <w:t xml:space="preserve">Целевой фонд Глобального экологического фонда также предоставляет ресурсы для покрытия согласованных дополнительных расходов, связанных с получением глобальных экологических выгод, и </w:t>
      </w:r>
      <w:r w:rsidR="00457158" w:rsidRPr="0014164A">
        <w:rPr>
          <w:lang w:val="ru-RU"/>
        </w:rPr>
        <w:t xml:space="preserve">всех </w:t>
      </w:r>
      <w:r w:rsidR="003707F3" w:rsidRPr="0014164A">
        <w:rPr>
          <w:lang w:val="ru-RU"/>
        </w:rPr>
        <w:t xml:space="preserve">согласованных </w:t>
      </w:r>
      <w:r w:rsidR="00457158" w:rsidRPr="0014164A">
        <w:rPr>
          <w:lang w:val="ru-RU"/>
        </w:rPr>
        <w:t>издержек</w:t>
      </w:r>
      <w:r w:rsidR="003707F3" w:rsidRPr="0014164A">
        <w:rPr>
          <w:lang w:val="ru-RU"/>
        </w:rPr>
        <w:t xml:space="preserve"> на некоторые стимулирующие мероприятия</w:t>
      </w:r>
      <w:r w:rsidR="00414D69" w:rsidRPr="0014164A">
        <w:rPr>
          <w:lang w:val="ru-RU"/>
        </w:rPr>
        <w:t>.</w:t>
      </w:r>
    </w:p>
    <w:p w14:paraId="17B26F76" w14:textId="65BD71FA" w:rsidR="00414D69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8.</w:t>
      </w:r>
      <w:r>
        <w:tab/>
      </w:r>
      <w:r w:rsidR="0046393E" w:rsidRPr="0014164A">
        <w:rPr>
          <w:lang w:val="ru-RU"/>
        </w:rPr>
        <w:t xml:space="preserve">В пункте 8 той же статьи предусматривается, что при предоставлении ресурсов для мероприятий </w:t>
      </w:r>
      <w:proofErr w:type="spellStart"/>
      <w:r w:rsidR="0046393E" w:rsidRPr="0014164A">
        <w:rPr>
          <w:lang w:val="ru-RU"/>
        </w:rPr>
        <w:t>ГЭФ</w:t>
      </w:r>
      <w:proofErr w:type="spellEnd"/>
      <w:r w:rsidR="0046393E" w:rsidRPr="0014164A">
        <w:rPr>
          <w:lang w:val="ru-RU"/>
        </w:rPr>
        <w:t xml:space="preserve"> должен принимать во внимание потенциальное сокращение ртути в результате осуществления предлагаемого мероприятия в соотношении с расходами на него</w:t>
      </w:r>
      <w:r w:rsidR="003E12A0" w:rsidRPr="0014164A">
        <w:rPr>
          <w:lang w:val="ru-RU"/>
        </w:rPr>
        <w:t>.</w:t>
      </w:r>
    </w:p>
    <w:p w14:paraId="2079887A" w14:textId="247CDC90" w:rsidR="00853128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9.</w:t>
      </w:r>
      <w:r>
        <w:tab/>
      </w:r>
      <w:r w:rsidR="009D4586" w:rsidRPr="0014164A">
        <w:rPr>
          <w:lang w:val="ru-RU"/>
        </w:rPr>
        <w:t xml:space="preserve">Документ о создании реорганизованного Глобального экологического фонда (Документ </w:t>
      </w:r>
      <w:proofErr w:type="spellStart"/>
      <w:r w:rsidR="009D4586" w:rsidRPr="0014164A">
        <w:rPr>
          <w:lang w:val="ru-RU"/>
        </w:rPr>
        <w:t>ГЭФ</w:t>
      </w:r>
      <w:proofErr w:type="spellEnd"/>
      <w:r w:rsidR="009D4586" w:rsidRPr="0014164A">
        <w:rPr>
          <w:lang w:val="ru-RU"/>
        </w:rPr>
        <w:t xml:space="preserve">) был изменен на пятой Ассамблее </w:t>
      </w:r>
      <w:proofErr w:type="spellStart"/>
      <w:r w:rsidR="009D4586" w:rsidRPr="0014164A">
        <w:rPr>
          <w:lang w:val="ru-RU"/>
        </w:rPr>
        <w:t>ГЭФ</w:t>
      </w:r>
      <w:proofErr w:type="spellEnd"/>
      <w:r w:rsidR="009D4586" w:rsidRPr="0014164A">
        <w:rPr>
          <w:lang w:val="ru-RU"/>
        </w:rPr>
        <w:t xml:space="preserve">, состоявшейся в </w:t>
      </w:r>
      <w:proofErr w:type="spellStart"/>
      <w:r w:rsidR="009D4586" w:rsidRPr="0014164A">
        <w:rPr>
          <w:lang w:val="ru-RU"/>
        </w:rPr>
        <w:t>Канкуне</w:t>
      </w:r>
      <w:proofErr w:type="spellEnd"/>
      <w:r w:rsidR="009D4586" w:rsidRPr="0014164A">
        <w:rPr>
          <w:lang w:val="ru-RU"/>
        </w:rPr>
        <w:t>, Мексика, в мае 2014</w:t>
      </w:r>
      <w:r>
        <w:t> </w:t>
      </w:r>
      <w:r w:rsidR="009D4586" w:rsidRPr="0014164A">
        <w:rPr>
          <w:lang w:val="ru-RU"/>
        </w:rPr>
        <w:t xml:space="preserve">года с целью включения Минаматской конвенции в список конвенций, обслуживаемых </w:t>
      </w:r>
      <w:proofErr w:type="spellStart"/>
      <w:r w:rsidR="009D4586" w:rsidRPr="0014164A">
        <w:rPr>
          <w:lang w:val="ru-RU"/>
        </w:rPr>
        <w:t>ГЭФ</w:t>
      </w:r>
      <w:proofErr w:type="spellEnd"/>
      <w:r w:rsidR="00853128" w:rsidRPr="0014164A">
        <w:rPr>
          <w:lang w:val="ru-RU"/>
        </w:rPr>
        <w:t>.</w:t>
      </w:r>
    </w:p>
    <w:p w14:paraId="717562F8" w14:textId="3CE4A9CC" w:rsidR="0020077E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10.</w:t>
      </w:r>
      <w:r>
        <w:tab/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 xml:space="preserve"> оказывает поддержку программ регулирования ртути после пятого пополнения </w:t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 xml:space="preserve"> (</w:t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 xml:space="preserve">-5), когда Совет </w:t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 xml:space="preserve"> на своем сорок четвертом совещании в июне 2013 года выделил 10</w:t>
      </w:r>
      <w:r>
        <w:t> </w:t>
      </w:r>
      <w:r w:rsidR="00E210FB" w:rsidRPr="0014164A">
        <w:rPr>
          <w:lang w:val="ru-RU"/>
        </w:rPr>
        <w:t>млн. долл. США для стимулирующей деятельности в рамках Минаматской конвенции. Эта сумма увеличилась на 141 млн. долл. США в рамках шестого пополнения (</w:t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>-6) и на 206 млн. долл. США в рамках седьмого пополнения (</w:t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 xml:space="preserve">-7). По состоянию на май 2019 года </w:t>
      </w:r>
      <w:proofErr w:type="spellStart"/>
      <w:r w:rsidR="00E210FB" w:rsidRPr="0014164A">
        <w:rPr>
          <w:lang w:val="ru-RU"/>
        </w:rPr>
        <w:t>ГЭФ</w:t>
      </w:r>
      <w:proofErr w:type="spellEnd"/>
      <w:r w:rsidR="00E210FB" w:rsidRPr="0014164A">
        <w:rPr>
          <w:lang w:val="ru-RU"/>
        </w:rPr>
        <w:t xml:space="preserve"> оказал поддержку в общей сложности 111 странам в развитии их первоначальных оценок в рамках Минаматской конвенции и 35 странам в подготовке их национальных планов действий (НПД) по кустарной и мелкомасштабной золотодобыче (</w:t>
      </w:r>
      <w:proofErr w:type="spellStart"/>
      <w:r w:rsidR="00E210FB" w:rsidRPr="0014164A">
        <w:rPr>
          <w:lang w:val="ru-RU"/>
        </w:rPr>
        <w:t>КМЗ</w:t>
      </w:r>
      <w:proofErr w:type="spellEnd"/>
      <w:r w:rsidR="00E210FB" w:rsidRPr="0014164A">
        <w:rPr>
          <w:lang w:val="ru-RU"/>
        </w:rPr>
        <w:t>).</w:t>
      </w:r>
      <w:r w:rsidR="00853128" w:rsidRPr="0014164A">
        <w:rPr>
          <w:lang w:val="ru-RU"/>
        </w:rPr>
        <w:t xml:space="preserve"> </w:t>
      </w:r>
      <w:r w:rsidR="005857B6" w:rsidRPr="0014164A">
        <w:rPr>
          <w:lang w:val="ru-RU"/>
        </w:rPr>
        <w:t xml:space="preserve">Из 111 стран, в отношении которых были профинансированы первоначальные оценки в рамках Минаматской конвенции, 17 стран не подписали Конвенцию и не являются Сторонами Минаматской конвенции, 33 подписали Конвенцию, но не являются ее Сторонами и 61 страна является Стороной Конвенции. В общей сложности 18 странам будет необходимо ратифицировать Конвенцию, чтобы иметь право на получение финансирования первоначальных оценок </w:t>
      </w:r>
      <w:r w:rsidR="00992BA8" w:rsidRPr="0014164A">
        <w:rPr>
          <w:lang w:val="ru-RU"/>
        </w:rPr>
        <w:t>(</w:t>
      </w:r>
      <w:proofErr w:type="spellStart"/>
      <w:r w:rsidR="00992BA8" w:rsidRPr="0014164A">
        <w:rPr>
          <w:lang w:val="ru-RU"/>
        </w:rPr>
        <w:t>GEF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A.6</w:t>
      </w:r>
      <w:proofErr w:type="spellEnd"/>
      <w:r w:rsidR="00992BA8" w:rsidRPr="0014164A">
        <w:rPr>
          <w:lang w:val="ru-RU"/>
        </w:rPr>
        <w:t>/05/</w:t>
      </w:r>
      <w:proofErr w:type="spellStart"/>
      <w:r w:rsidR="00992BA8" w:rsidRPr="0014164A">
        <w:rPr>
          <w:lang w:val="ru-RU"/>
        </w:rPr>
        <w:t>Rev.01</w:t>
      </w:r>
      <w:proofErr w:type="spellEnd"/>
      <w:r w:rsidR="00992BA8" w:rsidRPr="0014164A">
        <w:rPr>
          <w:lang w:val="ru-RU"/>
        </w:rPr>
        <w:t>)</w:t>
      </w:r>
      <w:r w:rsidR="00564176" w:rsidRPr="0014164A">
        <w:rPr>
          <w:lang w:val="ru-RU"/>
        </w:rPr>
        <w:t xml:space="preserve">. </w:t>
      </w:r>
    </w:p>
    <w:p w14:paraId="3F62BC34" w14:textId="2A2CF3D6" w:rsidR="006C5732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11.</w:t>
      </w:r>
      <w:r>
        <w:tab/>
      </w:r>
      <w:r w:rsidR="00B571A7" w:rsidRPr="0014164A">
        <w:rPr>
          <w:lang w:val="ru-RU"/>
        </w:rPr>
        <w:t xml:space="preserve">В своем решении МК-1/5 Конференция Сторон приняла руководящие указания для </w:t>
      </w:r>
      <w:proofErr w:type="spellStart"/>
      <w:r w:rsidR="00B571A7" w:rsidRPr="0014164A">
        <w:rPr>
          <w:lang w:val="ru-RU"/>
        </w:rPr>
        <w:t>ГЭФ</w:t>
      </w:r>
      <w:proofErr w:type="spellEnd"/>
      <w:r w:rsidR="00B571A7" w:rsidRPr="0014164A">
        <w:rPr>
          <w:lang w:val="ru-RU"/>
        </w:rPr>
        <w:t xml:space="preserve"> в отношении общих стратегий, политики, программных приоритетов и правомочности доступа к финансовым ресурсам и их использования, а также в отношении ориентировочного перечня категорий видов деятельности, которые могут претендовать на получение поддержки по линии Целевого фонда </w:t>
      </w:r>
      <w:proofErr w:type="spellStart"/>
      <w:r w:rsidR="00B571A7" w:rsidRPr="0014164A">
        <w:rPr>
          <w:lang w:val="ru-RU"/>
        </w:rPr>
        <w:t>ГЭФ</w:t>
      </w:r>
      <w:proofErr w:type="spellEnd"/>
      <w:r w:rsidR="006C5732" w:rsidRPr="0014164A">
        <w:rPr>
          <w:lang w:val="ru-RU"/>
        </w:rPr>
        <w:t xml:space="preserve">. </w:t>
      </w:r>
    </w:p>
    <w:p w14:paraId="49DAF753" w14:textId="0C50AFFD" w:rsidR="0032612A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12.</w:t>
      </w:r>
      <w:r>
        <w:tab/>
      </w:r>
      <w:r w:rsidR="00E50CBA" w:rsidRPr="0014164A">
        <w:rPr>
          <w:lang w:val="ru-RU"/>
        </w:rPr>
        <w:t xml:space="preserve">На своем втором совещании, состоявшемся в ноябре 2018 года, Конференция Сторон приняла меморандум о взаимопонимании между Конференцией Сторон и Советом </w:t>
      </w:r>
      <w:proofErr w:type="spellStart"/>
      <w:r w:rsidR="00E50CBA" w:rsidRPr="0014164A">
        <w:rPr>
          <w:lang w:val="ru-RU"/>
        </w:rPr>
        <w:t>ГЭФ</w:t>
      </w:r>
      <w:proofErr w:type="spellEnd"/>
      <w:r w:rsidR="00E50CBA" w:rsidRPr="0014164A">
        <w:rPr>
          <w:lang w:val="ru-RU"/>
        </w:rPr>
        <w:t xml:space="preserve"> </w:t>
      </w:r>
      <w:r w:rsidR="0032612A" w:rsidRPr="0014164A">
        <w:rPr>
          <w:lang w:val="ru-RU"/>
        </w:rPr>
        <w:t>(</w:t>
      </w:r>
      <w:proofErr w:type="spellStart"/>
      <w:r w:rsidR="0032612A" w:rsidRPr="0014164A">
        <w:rPr>
          <w:lang w:val="ru-RU"/>
        </w:rPr>
        <w:t>UNEP</w:t>
      </w:r>
      <w:proofErr w:type="spellEnd"/>
      <w:r w:rsidR="0032612A" w:rsidRPr="0014164A">
        <w:rPr>
          <w:lang w:val="ru-RU"/>
        </w:rPr>
        <w:t>/</w:t>
      </w:r>
      <w:proofErr w:type="spellStart"/>
      <w:r w:rsidR="0032612A" w:rsidRPr="0014164A">
        <w:rPr>
          <w:lang w:val="ru-RU"/>
        </w:rPr>
        <w:t>MC</w:t>
      </w:r>
      <w:proofErr w:type="spellEnd"/>
      <w:r w:rsidR="0032612A" w:rsidRPr="0014164A">
        <w:rPr>
          <w:lang w:val="ru-RU"/>
        </w:rPr>
        <w:t>/</w:t>
      </w:r>
      <w:proofErr w:type="spellStart"/>
      <w:r w:rsidR="0032612A" w:rsidRPr="0014164A">
        <w:rPr>
          <w:lang w:val="ru-RU"/>
        </w:rPr>
        <w:t>COP.2</w:t>
      </w:r>
      <w:proofErr w:type="spellEnd"/>
      <w:r w:rsidR="0032612A" w:rsidRPr="0014164A">
        <w:rPr>
          <w:lang w:val="ru-RU"/>
        </w:rPr>
        <w:t xml:space="preserve">/19, </w:t>
      </w:r>
      <w:r w:rsidR="00E50CBA" w:rsidRPr="0014164A">
        <w:rPr>
          <w:lang w:val="ru-RU"/>
        </w:rPr>
        <w:t>п</w:t>
      </w:r>
      <w:r w:rsidR="00165264">
        <w:rPr>
          <w:lang w:val="ru-RU"/>
        </w:rPr>
        <w:t>ункт</w:t>
      </w:r>
      <w:r w:rsidR="0032612A" w:rsidRPr="0014164A">
        <w:rPr>
          <w:lang w:val="ru-RU"/>
        </w:rPr>
        <w:t xml:space="preserve"> 83)</w:t>
      </w:r>
      <w:r w:rsidR="006C5732" w:rsidRPr="0014164A">
        <w:rPr>
          <w:lang w:val="ru-RU"/>
        </w:rPr>
        <w:t xml:space="preserve">. </w:t>
      </w:r>
    </w:p>
    <w:p w14:paraId="704EFC39" w14:textId="506704E5" w:rsidR="0032612A" w:rsidRPr="0014164A" w:rsidRDefault="00A373C9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13.</w:t>
      </w:r>
      <w:r>
        <w:tab/>
      </w:r>
      <w:r w:rsidR="008915FE" w:rsidRPr="0014164A">
        <w:rPr>
          <w:lang w:val="ru-RU"/>
        </w:rPr>
        <w:t xml:space="preserve">После завершения второго совещания Конференции Сторон принятый меморандум о взаимопонимании был доведен до сведения Совета </w:t>
      </w:r>
      <w:proofErr w:type="spellStart"/>
      <w:r w:rsidR="008915FE" w:rsidRPr="0014164A">
        <w:rPr>
          <w:lang w:val="ru-RU"/>
        </w:rPr>
        <w:t>ГЭФ</w:t>
      </w:r>
      <w:proofErr w:type="spellEnd"/>
      <w:r w:rsidR="008915FE" w:rsidRPr="0014164A">
        <w:rPr>
          <w:lang w:val="ru-RU"/>
        </w:rPr>
        <w:t xml:space="preserve">, который рассмотрел и одобрил </w:t>
      </w:r>
      <w:r w:rsidR="008915FE" w:rsidRPr="0014164A">
        <w:rPr>
          <w:lang w:val="ru-RU"/>
        </w:rPr>
        <w:lastRenderedPageBreak/>
        <w:t>меморандум на своем пятьдесят шестом совещании в том виде, в котором он был принят Конференцией Сторон</w:t>
      </w:r>
      <w:r w:rsidR="00165264" w:rsidRPr="00165264">
        <w:rPr>
          <w:vertAlign w:val="superscript"/>
          <w:lang w:val="ru-RU"/>
        </w:rPr>
        <w:footnoteReference w:id="2"/>
      </w:r>
      <w:r w:rsidR="0032612A" w:rsidRPr="0014164A">
        <w:rPr>
          <w:lang w:val="ru-RU"/>
        </w:rPr>
        <w:t>.</w:t>
      </w:r>
    </w:p>
    <w:p w14:paraId="212F0514" w14:textId="168E8A7D" w:rsidR="0032612A" w:rsidRPr="0014164A" w:rsidRDefault="0016526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14.</w:t>
      </w:r>
      <w:r>
        <w:tab/>
      </w:r>
      <w:r w:rsidR="007E3C20" w:rsidRPr="0014164A">
        <w:rPr>
          <w:lang w:val="ru-RU"/>
        </w:rPr>
        <w:t xml:space="preserve">Меморандум о </w:t>
      </w:r>
      <w:r w:rsidR="00457158" w:rsidRPr="0014164A">
        <w:rPr>
          <w:lang w:val="ru-RU"/>
        </w:rPr>
        <w:t>взаимо</w:t>
      </w:r>
      <w:r w:rsidR="007E3C20" w:rsidRPr="0014164A">
        <w:rPr>
          <w:lang w:val="ru-RU"/>
        </w:rPr>
        <w:t xml:space="preserve">понимании между Конференцией Сторон и Советом </w:t>
      </w:r>
      <w:proofErr w:type="spellStart"/>
      <w:r w:rsidR="007E3C20" w:rsidRPr="0014164A">
        <w:rPr>
          <w:lang w:val="ru-RU"/>
        </w:rPr>
        <w:t>ГЭФ</w:t>
      </w:r>
      <w:proofErr w:type="spellEnd"/>
      <w:r w:rsidR="007E3C20" w:rsidRPr="0014164A">
        <w:rPr>
          <w:lang w:val="ru-RU"/>
        </w:rPr>
        <w:t xml:space="preserve"> в настоящее время находится в силе</w:t>
      </w:r>
      <w:r w:rsidR="0032612A" w:rsidRPr="0014164A">
        <w:rPr>
          <w:lang w:val="ru-RU"/>
        </w:rPr>
        <w:t xml:space="preserve">. </w:t>
      </w:r>
    </w:p>
    <w:p w14:paraId="471AFCB5" w14:textId="34B2F1E9" w:rsidR="00BD5045" w:rsidRPr="0014164A" w:rsidRDefault="00165264" w:rsidP="005043C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>
        <w:t>15.</w:t>
      </w:r>
      <w:r>
        <w:tab/>
      </w:r>
      <w:r w:rsidR="00CB0310" w:rsidRPr="0014164A">
        <w:rPr>
          <w:lang w:val="ru-RU"/>
        </w:rPr>
        <w:t xml:space="preserve">Обновленная информация о </w:t>
      </w:r>
      <w:proofErr w:type="spellStart"/>
      <w:r w:rsidR="00CB0310" w:rsidRPr="0014164A">
        <w:rPr>
          <w:lang w:val="ru-RU"/>
        </w:rPr>
        <w:t>ГЭФ</w:t>
      </w:r>
      <w:proofErr w:type="spellEnd"/>
      <w:r w:rsidR="00CB0310" w:rsidRPr="0014164A">
        <w:rPr>
          <w:lang w:val="ru-RU"/>
        </w:rPr>
        <w:t xml:space="preserve"> была представлена Конференции Сторон на ее первом, втором и третьем совещаниях </w:t>
      </w:r>
      <w:r w:rsidR="00D45B7D" w:rsidRPr="0014164A">
        <w:rPr>
          <w:lang w:val="ru-RU"/>
        </w:rPr>
        <w:t>(</w:t>
      </w:r>
      <w:proofErr w:type="spellStart"/>
      <w:r w:rsidR="00D45B7D" w:rsidRPr="0014164A">
        <w:rPr>
          <w:lang w:val="ru-RU"/>
        </w:rPr>
        <w:t>UNEP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MC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COP.1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INF</w:t>
      </w:r>
      <w:proofErr w:type="spellEnd"/>
      <w:r w:rsidR="00D45B7D" w:rsidRPr="0014164A">
        <w:rPr>
          <w:lang w:val="ru-RU"/>
        </w:rPr>
        <w:t xml:space="preserve">/3, </w:t>
      </w:r>
      <w:proofErr w:type="spellStart"/>
      <w:r w:rsidR="00D45B7D" w:rsidRPr="0014164A">
        <w:rPr>
          <w:lang w:val="ru-RU"/>
        </w:rPr>
        <w:t>UNEP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MC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COP.2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INF</w:t>
      </w:r>
      <w:proofErr w:type="spellEnd"/>
      <w:r w:rsidR="00D45B7D" w:rsidRPr="0014164A">
        <w:rPr>
          <w:lang w:val="ru-RU"/>
        </w:rPr>
        <w:t xml:space="preserve">/3, </w:t>
      </w:r>
      <w:proofErr w:type="spellStart"/>
      <w:r w:rsidR="00D45B7D" w:rsidRPr="0014164A">
        <w:rPr>
          <w:lang w:val="ru-RU"/>
        </w:rPr>
        <w:t>UNEP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MC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COP.3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INF</w:t>
      </w:r>
      <w:proofErr w:type="spellEnd"/>
      <w:r w:rsidR="00D45B7D" w:rsidRPr="0014164A">
        <w:rPr>
          <w:lang w:val="ru-RU"/>
        </w:rPr>
        <w:t>/2)</w:t>
      </w:r>
      <w:r w:rsidR="00656010" w:rsidRPr="0014164A">
        <w:rPr>
          <w:lang w:val="ru-RU"/>
        </w:rPr>
        <w:t xml:space="preserve">. </w:t>
      </w:r>
      <w:r w:rsidR="00CB0310" w:rsidRPr="0014164A">
        <w:rPr>
          <w:lang w:val="ru-RU"/>
        </w:rPr>
        <w:t xml:space="preserve">Информация об эффективности средств, выделенных </w:t>
      </w:r>
      <w:proofErr w:type="spellStart"/>
      <w:r w:rsidR="00CB0310" w:rsidRPr="0014164A">
        <w:rPr>
          <w:lang w:val="ru-RU"/>
        </w:rPr>
        <w:t>ГЭФ</w:t>
      </w:r>
      <w:proofErr w:type="spellEnd"/>
      <w:r w:rsidR="00CB0310" w:rsidRPr="0014164A">
        <w:rPr>
          <w:lang w:val="ru-RU"/>
        </w:rPr>
        <w:t xml:space="preserve">, и способности </w:t>
      </w:r>
      <w:proofErr w:type="spellStart"/>
      <w:r w:rsidR="00CB0310" w:rsidRPr="0014164A">
        <w:rPr>
          <w:lang w:val="ru-RU"/>
        </w:rPr>
        <w:t>ГЭФ</w:t>
      </w:r>
      <w:proofErr w:type="spellEnd"/>
      <w:r w:rsidR="00CB0310" w:rsidRPr="0014164A">
        <w:rPr>
          <w:lang w:val="ru-RU"/>
        </w:rPr>
        <w:t xml:space="preserve"> удовлетворять изменяющи</w:t>
      </w:r>
      <w:r w:rsidR="009371DB" w:rsidRPr="0014164A">
        <w:rPr>
          <w:lang w:val="ru-RU"/>
        </w:rPr>
        <w:t>е</w:t>
      </w:r>
      <w:r w:rsidR="00CB0310" w:rsidRPr="0014164A">
        <w:rPr>
          <w:lang w:val="ru-RU"/>
        </w:rPr>
        <w:t>ся потребност</w:t>
      </w:r>
      <w:r w:rsidR="009371DB" w:rsidRPr="0014164A">
        <w:rPr>
          <w:lang w:val="ru-RU"/>
        </w:rPr>
        <w:t>и</w:t>
      </w:r>
      <w:r w:rsidR="00CB0310" w:rsidRPr="0014164A">
        <w:rPr>
          <w:lang w:val="ru-RU"/>
        </w:rPr>
        <w:t xml:space="preserve"> Сторон, являющихся развивающимися странами, и Сторон с переходной экономикой приводится в докладах Независимого управления оценки </w:t>
      </w:r>
      <w:proofErr w:type="spellStart"/>
      <w:r w:rsidR="00CB0310" w:rsidRPr="0014164A">
        <w:rPr>
          <w:lang w:val="ru-RU"/>
        </w:rPr>
        <w:t>ГЭФ</w:t>
      </w:r>
      <w:proofErr w:type="spellEnd"/>
      <w:r w:rsidRPr="00165264">
        <w:rPr>
          <w:vertAlign w:val="superscript"/>
          <w:lang w:val="ru-RU"/>
        </w:rPr>
        <w:footnoteReference w:id="3"/>
      </w:r>
      <w:r w:rsidR="00BD5045" w:rsidRPr="0014164A">
        <w:rPr>
          <w:lang w:val="ru-RU"/>
        </w:rPr>
        <w:t xml:space="preserve">. </w:t>
      </w:r>
    </w:p>
    <w:p w14:paraId="715D8FC8" w14:textId="45804EBE" w:rsidR="00364032" w:rsidRPr="005043CE" w:rsidRDefault="00364032" w:rsidP="00C65A27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5043CE">
        <w:rPr>
          <w:b/>
          <w:bCs/>
          <w:sz w:val="28"/>
          <w:szCs w:val="28"/>
          <w:lang w:val="ru-RU"/>
        </w:rPr>
        <w:tab/>
      </w:r>
      <w:r w:rsidR="005043CE">
        <w:rPr>
          <w:b/>
          <w:bCs/>
          <w:sz w:val="28"/>
          <w:szCs w:val="28"/>
        </w:rPr>
        <w:t>II</w:t>
      </w:r>
      <w:r w:rsidRPr="005043CE">
        <w:rPr>
          <w:b/>
          <w:bCs/>
          <w:sz w:val="28"/>
          <w:szCs w:val="28"/>
          <w:lang w:val="ru-RU"/>
        </w:rPr>
        <w:t>.</w:t>
      </w:r>
      <w:r w:rsidRPr="005043CE">
        <w:rPr>
          <w:b/>
          <w:bCs/>
          <w:sz w:val="28"/>
          <w:szCs w:val="28"/>
          <w:lang w:val="ru-RU"/>
        </w:rPr>
        <w:tab/>
      </w:r>
      <w:r w:rsidR="00864828" w:rsidRPr="005043CE">
        <w:rPr>
          <w:b/>
          <w:bCs/>
          <w:sz w:val="28"/>
          <w:szCs w:val="28"/>
          <w:lang w:val="ru-RU"/>
        </w:rPr>
        <w:t>Поддержка Минаматской конвенции Целевой международной программой</w:t>
      </w:r>
    </w:p>
    <w:p w14:paraId="2D61D84E" w14:textId="7224D113" w:rsidR="003E12A0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16.</w:t>
      </w:r>
      <w:r>
        <w:tab/>
      </w:r>
      <w:r w:rsidR="00407A4D" w:rsidRPr="0014164A">
        <w:rPr>
          <w:lang w:val="ru-RU"/>
        </w:rPr>
        <w:t xml:space="preserve">В пункте 9 статьи 13 указано, что Целевая международная программа функционирует под руководством Конференции Сторон и подотчетна ей. На своем первом совещании в своем решении МК-1/6 Конференция Сторон постановила, что </w:t>
      </w:r>
      <w:r w:rsidR="00AA2849" w:rsidRPr="0014164A">
        <w:rPr>
          <w:lang w:val="ru-RU"/>
        </w:rPr>
        <w:t>П</w:t>
      </w:r>
      <w:r w:rsidR="00407A4D" w:rsidRPr="0014164A">
        <w:rPr>
          <w:lang w:val="ru-RU"/>
        </w:rPr>
        <w:t xml:space="preserve">рограмма будет открыта для приема взносов и заявок на оказание поддержки в течение десяти лет после создания целевого фонда, и что Конференция Сторон может принять решение продлить этот срок на период, не превышающий семи лет дополнительно, с учетом процесса </w:t>
      </w:r>
      <w:r w:rsidR="00AA2849" w:rsidRPr="0014164A">
        <w:rPr>
          <w:lang w:val="ru-RU"/>
        </w:rPr>
        <w:t>обзора</w:t>
      </w:r>
      <w:r w:rsidR="00407A4D" w:rsidRPr="0014164A">
        <w:rPr>
          <w:lang w:val="ru-RU"/>
        </w:rPr>
        <w:t>, о котором говорится в пункте 11 статьи</w:t>
      </w:r>
      <w:r w:rsidR="005043CE">
        <w:t xml:space="preserve"> 13</w:t>
      </w:r>
      <w:r w:rsidR="00407A4D" w:rsidRPr="0014164A">
        <w:rPr>
          <w:lang w:val="ru-RU"/>
        </w:rPr>
        <w:t xml:space="preserve"> и в пунктах 2 и 3 настоящей записки.</w:t>
      </w:r>
      <w:r w:rsidR="003E12A0" w:rsidRPr="0014164A">
        <w:rPr>
          <w:lang w:val="ru-RU"/>
        </w:rPr>
        <w:t xml:space="preserve"> </w:t>
      </w:r>
      <w:r w:rsidR="00407A4D" w:rsidRPr="0014164A">
        <w:rPr>
          <w:lang w:val="ru-RU"/>
        </w:rPr>
        <w:t xml:space="preserve">Таким образом, после создания </w:t>
      </w:r>
      <w:proofErr w:type="spellStart"/>
      <w:r w:rsidR="00407A4D" w:rsidRPr="0014164A">
        <w:rPr>
          <w:lang w:val="ru-RU"/>
        </w:rPr>
        <w:t>ЮНЕП</w:t>
      </w:r>
      <w:proofErr w:type="spellEnd"/>
      <w:r w:rsidR="00407A4D" w:rsidRPr="0014164A">
        <w:rPr>
          <w:lang w:val="ru-RU"/>
        </w:rPr>
        <w:t xml:space="preserve"> </w:t>
      </w:r>
      <w:r w:rsidR="00AA2849" w:rsidRPr="0014164A">
        <w:rPr>
          <w:lang w:val="ru-RU"/>
        </w:rPr>
        <w:t>Особого</w:t>
      </w:r>
      <w:r w:rsidR="00407A4D" w:rsidRPr="0014164A">
        <w:rPr>
          <w:lang w:val="ru-RU"/>
        </w:rPr>
        <w:t xml:space="preserve"> целевого фонда в январе 2018 года в соответствии с решением МК‑1/10 эта </w:t>
      </w:r>
      <w:r w:rsidR="00AA2849" w:rsidRPr="0014164A">
        <w:rPr>
          <w:lang w:val="ru-RU"/>
        </w:rPr>
        <w:t>П</w:t>
      </w:r>
      <w:r w:rsidR="00407A4D" w:rsidRPr="0014164A">
        <w:rPr>
          <w:lang w:val="ru-RU"/>
        </w:rPr>
        <w:t>рограмма осуществляется на срок в 10 лет, первоначально до 2028 года</w:t>
      </w:r>
      <w:r w:rsidR="003E12A0" w:rsidRPr="0014164A">
        <w:rPr>
          <w:lang w:val="ru-RU"/>
        </w:rPr>
        <w:t>.</w:t>
      </w:r>
    </w:p>
    <w:p w14:paraId="1A37F2E4" w14:textId="362D2290" w:rsidR="00C0264B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17.</w:t>
      </w:r>
      <w:r>
        <w:tab/>
      </w:r>
      <w:r w:rsidR="00407A4D" w:rsidRPr="0014164A">
        <w:rPr>
          <w:lang w:val="ru-RU"/>
        </w:rPr>
        <w:t xml:space="preserve">Несмотря на то, что </w:t>
      </w:r>
      <w:proofErr w:type="spellStart"/>
      <w:r w:rsidR="00407A4D" w:rsidRPr="0014164A">
        <w:rPr>
          <w:lang w:val="ru-RU"/>
        </w:rPr>
        <w:t>ГЭФ</w:t>
      </w:r>
      <w:proofErr w:type="spellEnd"/>
      <w:r w:rsidR="00407A4D" w:rsidRPr="0014164A">
        <w:rPr>
          <w:lang w:val="ru-RU"/>
        </w:rPr>
        <w:t xml:space="preserve"> выделял финансовые средства на мероприятия, имеющие отношение к ртути, в течение последних 6 лет, начиная с 2013 года, Целевая международная программа действует лишь в течение 18 месяцев. С января 2018 года был открыт Особый целевой фонд для приняти</w:t>
      </w:r>
      <w:r w:rsidR="001D72C2" w:rsidRPr="0014164A">
        <w:rPr>
          <w:lang w:val="ru-RU"/>
        </w:rPr>
        <w:t>я</w:t>
      </w:r>
      <w:r w:rsidR="00407A4D" w:rsidRPr="0014164A">
        <w:rPr>
          <w:lang w:val="ru-RU"/>
        </w:rPr>
        <w:t xml:space="preserve"> взносов</w:t>
      </w:r>
      <w:r w:rsidR="00C414DD" w:rsidRPr="0014164A">
        <w:rPr>
          <w:lang w:val="ru-RU"/>
        </w:rPr>
        <w:t xml:space="preserve">. </w:t>
      </w:r>
      <w:r w:rsidR="00AA2849" w:rsidRPr="0014164A">
        <w:rPr>
          <w:lang w:val="ru-RU"/>
        </w:rPr>
        <w:t>П</w:t>
      </w:r>
      <w:r w:rsidR="001D72C2" w:rsidRPr="0014164A">
        <w:rPr>
          <w:lang w:val="ru-RU"/>
        </w:rPr>
        <w:t xml:space="preserve">равление было учреждено в начале 2018 года, и первый раунд подачи заявок на </w:t>
      </w:r>
      <w:r w:rsidR="00947C5F" w:rsidRPr="0014164A">
        <w:rPr>
          <w:lang w:val="ru-RU"/>
        </w:rPr>
        <w:t xml:space="preserve">участие в </w:t>
      </w:r>
      <w:r w:rsidR="001D72C2" w:rsidRPr="0014164A">
        <w:rPr>
          <w:lang w:val="ru-RU"/>
        </w:rPr>
        <w:t>Целев</w:t>
      </w:r>
      <w:r w:rsidR="00947C5F" w:rsidRPr="0014164A">
        <w:rPr>
          <w:lang w:val="ru-RU"/>
        </w:rPr>
        <w:t>ой</w:t>
      </w:r>
      <w:r w:rsidR="001D72C2" w:rsidRPr="0014164A">
        <w:rPr>
          <w:lang w:val="ru-RU"/>
        </w:rPr>
        <w:t xml:space="preserve"> международн</w:t>
      </w:r>
      <w:r w:rsidR="00947C5F" w:rsidRPr="0014164A">
        <w:rPr>
          <w:lang w:val="ru-RU"/>
        </w:rPr>
        <w:t>ой</w:t>
      </w:r>
      <w:r w:rsidR="001D72C2" w:rsidRPr="0014164A">
        <w:rPr>
          <w:lang w:val="ru-RU"/>
        </w:rPr>
        <w:t xml:space="preserve"> программ</w:t>
      </w:r>
      <w:r w:rsidR="00947C5F" w:rsidRPr="0014164A">
        <w:rPr>
          <w:lang w:val="ru-RU"/>
        </w:rPr>
        <w:t>е</w:t>
      </w:r>
      <w:r w:rsidR="001D72C2" w:rsidRPr="0014164A">
        <w:rPr>
          <w:lang w:val="ru-RU"/>
        </w:rPr>
        <w:t xml:space="preserve"> был открыт с 5 июня по 31 августа 2018 года. После первого раунда подачи заявок </w:t>
      </w:r>
      <w:r w:rsidR="00AA2849" w:rsidRPr="0014164A">
        <w:rPr>
          <w:lang w:val="ru-RU"/>
        </w:rPr>
        <w:t>П</w:t>
      </w:r>
      <w:r w:rsidR="001D72C2" w:rsidRPr="0014164A">
        <w:rPr>
          <w:lang w:val="ru-RU"/>
        </w:rPr>
        <w:t>равление утвердило пять проектов для финансирования в октябре 2018 года</w:t>
      </w:r>
      <w:r w:rsidR="00FB16AE" w:rsidRPr="00FB16AE">
        <w:rPr>
          <w:vertAlign w:val="superscript"/>
          <w:lang w:val="ru-RU"/>
        </w:rPr>
        <w:footnoteReference w:id="4"/>
      </w:r>
      <w:r w:rsidR="00C414DD" w:rsidRPr="0014164A">
        <w:rPr>
          <w:lang w:val="ru-RU"/>
        </w:rPr>
        <w:t xml:space="preserve">. </w:t>
      </w:r>
      <w:r w:rsidR="00947C5F" w:rsidRPr="0014164A">
        <w:rPr>
          <w:lang w:val="ru-RU"/>
        </w:rPr>
        <w:t xml:space="preserve">Второй раунд подачи заявок на участие в </w:t>
      </w:r>
      <w:r w:rsidR="00AA2849" w:rsidRPr="0014164A">
        <w:rPr>
          <w:lang w:val="ru-RU"/>
        </w:rPr>
        <w:t>П</w:t>
      </w:r>
      <w:r w:rsidR="00947C5F" w:rsidRPr="0014164A">
        <w:rPr>
          <w:lang w:val="ru-RU"/>
        </w:rPr>
        <w:t>рограмме был открыт с 5 марта по 14 июня 2019 года</w:t>
      </w:r>
      <w:r w:rsidR="00C414DD" w:rsidRPr="0014164A">
        <w:rPr>
          <w:lang w:val="ru-RU"/>
        </w:rPr>
        <w:t xml:space="preserve">. </w:t>
      </w:r>
      <w:r w:rsidR="002E29CB" w:rsidRPr="0014164A">
        <w:rPr>
          <w:lang w:val="ru-RU"/>
        </w:rPr>
        <w:t>На своем четвертом совещании, состо</w:t>
      </w:r>
      <w:r w:rsidR="00731A83">
        <w:rPr>
          <w:lang w:val="ru-RU"/>
        </w:rPr>
        <w:t>явшем</w:t>
      </w:r>
      <w:r w:rsidR="002E29CB" w:rsidRPr="0014164A">
        <w:rPr>
          <w:lang w:val="ru-RU"/>
        </w:rPr>
        <w:t xml:space="preserve">ся в сентябре 2019 года, </w:t>
      </w:r>
      <w:r w:rsidR="00AA2849" w:rsidRPr="0014164A">
        <w:rPr>
          <w:lang w:val="ru-RU"/>
        </w:rPr>
        <w:t>П</w:t>
      </w:r>
      <w:r w:rsidR="002E29CB" w:rsidRPr="0014164A">
        <w:rPr>
          <w:lang w:val="ru-RU"/>
        </w:rPr>
        <w:t>равление утвер</w:t>
      </w:r>
      <w:r w:rsidR="00731A83">
        <w:rPr>
          <w:lang w:val="ru-RU"/>
        </w:rPr>
        <w:t>дило</w:t>
      </w:r>
      <w:r w:rsidR="002E29CB" w:rsidRPr="0014164A">
        <w:rPr>
          <w:lang w:val="ru-RU"/>
        </w:rPr>
        <w:t xml:space="preserve"> проекты второго раунда в отношении средств, полученных до совещания</w:t>
      </w:r>
      <w:r w:rsidR="00B87A21" w:rsidRPr="0014164A">
        <w:rPr>
          <w:lang w:val="ru-RU"/>
        </w:rPr>
        <w:t xml:space="preserve">. </w:t>
      </w:r>
      <w:r w:rsidR="00C86596" w:rsidRPr="0014164A">
        <w:rPr>
          <w:lang w:val="ru-RU"/>
        </w:rPr>
        <w:t xml:space="preserve">Результаты четвертого совещания </w:t>
      </w:r>
      <w:r w:rsidR="00AA2849" w:rsidRPr="0014164A">
        <w:rPr>
          <w:lang w:val="ru-RU"/>
        </w:rPr>
        <w:t>П</w:t>
      </w:r>
      <w:r w:rsidR="00C86596" w:rsidRPr="0014164A">
        <w:rPr>
          <w:lang w:val="ru-RU"/>
        </w:rPr>
        <w:t>равления представлены в приложении III к документу</w:t>
      </w:r>
      <w:r w:rsidR="00B87A21" w:rsidRPr="0014164A">
        <w:rPr>
          <w:lang w:val="ru-RU"/>
        </w:rPr>
        <w:t xml:space="preserve"> </w:t>
      </w:r>
      <w:proofErr w:type="spellStart"/>
      <w:r w:rsidR="00B87A21" w:rsidRPr="0014164A">
        <w:rPr>
          <w:lang w:val="ru-RU"/>
        </w:rPr>
        <w:t>UNEP</w:t>
      </w:r>
      <w:proofErr w:type="spellEnd"/>
      <w:r w:rsidR="00B87A21" w:rsidRPr="0014164A">
        <w:rPr>
          <w:lang w:val="ru-RU"/>
        </w:rPr>
        <w:t>/</w:t>
      </w:r>
      <w:proofErr w:type="spellStart"/>
      <w:r w:rsidR="00B87A21" w:rsidRPr="0014164A">
        <w:rPr>
          <w:lang w:val="ru-RU"/>
        </w:rPr>
        <w:t>MC</w:t>
      </w:r>
      <w:proofErr w:type="spellEnd"/>
      <w:r w:rsidR="00B87A21" w:rsidRPr="0014164A">
        <w:rPr>
          <w:lang w:val="ru-RU"/>
        </w:rPr>
        <w:t>/</w:t>
      </w:r>
      <w:proofErr w:type="spellStart"/>
      <w:r w:rsidR="00B87A21" w:rsidRPr="0014164A">
        <w:rPr>
          <w:lang w:val="ru-RU"/>
        </w:rPr>
        <w:t>COP.3</w:t>
      </w:r>
      <w:proofErr w:type="spellEnd"/>
      <w:r w:rsidR="00B87A21" w:rsidRPr="0014164A">
        <w:rPr>
          <w:lang w:val="ru-RU"/>
        </w:rPr>
        <w:t>/10/</w:t>
      </w:r>
      <w:proofErr w:type="spellStart"/>
      <w:r w:rsidR="00B87A21" w:rsidRPr="0014164A">
        <w:rPr>
          <w:lang w:val="ru-RU"/>
        </w:rPr>
        <w:t>Add.1</w:t>
      </w:r>
      <w:proofErr w:type="spellEnd"/>
      <w:r w:rsidR="00B87A21" w:rsidRPr="0014164A">
        <w:rPr>
          <w:lang w:val="ru-RU"/>
        </w:rPr>
        <w:t>.</w:t>
      </w:r>
      <w:r w:rsidR="00420FA9" w:rsidRPr="0014164A">
        <w:rPr>
          <w:lang w:val="ru-RU"/>
        </w:rPr>
        <w:t xml:space="preserve"> </w:t>
      </w:r>
    </w:p>
    <w:p w14:paraId="6F6DC5C1" w14:textId="470761B0" w:rsidR="00656010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18.</w:t>
      </w:r>
      <w:r>
        <w:tab/>
      </w:r>
      <w:r w:rsidR="004552E2" w:rsidRPr="0014164A">
        <w:rPr>
          <w:lang w:val="ru-RU"/>
        </w:rPr>
        <w:t xml:space="preserve">Осуществление четырех из пяти проектов, утвержденных в первом раунде заявок, началось во втором квартале 2019 </w:t>
      </w:r>
      <w:r w:rsidR="00AA2849" w:rsidRPr="0014164A">
        <w:rPr>
          <w:lang w:val="ru-RU"/>
        </w:rPr>
        <w:t xml:space="preserve">года </w:t>
      </w:r>
      <w:r w:rsidR="004552E2" w:rsidRPr="0014164A">
        <w:rPr>
          <w:lang w:val="ru-RU"/>
        </w:rPr>
        <w:t>после заключения необходимых юридических соглашений</w:t>
      </w:r>
      <w:r w:rsidR="007F7E21" w:rsidRPr="0014164A">
        <w:rPr>
          <w:lang w:val="ru-RU"/>
        </w:rPr>
        <w:t xml:space="preserve">. </w:t>
      </w:r>
      <w:r w:rsidR="00396179" w:rsidRPr="0014164A">
        <w:rPr>
          <w:lang w:val="ru-RU"/>
        </w:rPr>
        <w:t xml:space="preserve">Учитывая опыт длительностью всего 18 месяцев, </w:t>
      </w:r>
      <w:r w:rsidR="00AA2849" w:rsidRPr="0014164A">
        <w:rPr>
          <w:lang w:val="ru-RU"/>
        </w:rPr>
        <w:t>П</w:t>
      </w:r>
      <w:r w:rsidR="00396179" w:rsidRPr="0014164A">
        <w:rPr>
          <w:lang w:val="ru-RU"/>
        </w:rPr>
        <w:t xml:space="preserve">равление решило, что еще слишком рано оценивать эффективность </w:t>
      </w:r>
      <w:r w:rsidR="00AA2849" w:rsidRPr="0014164A">
        <w:rPr>
          <w:lang w:val="ru-RU"/>
        </w:rPr>
        <w:t>П</w:t>
      </w:r>
      <w:r w:rsidR="00396179" w:rsidRPr="0014164A">
        <w:rPr>
          <w:lang w:val="ru-RU"/>
        </w:rPr>
        <w:t>рограммы и ее способность удовлетворять изменяющи</w:t>
      </w:r>
      <w:r w:rsidR="00AA2849" w:rsidRPr="0014164A">
        <w:rPr>
          <w:lang w:val="ru-RU"/>
        </w:rPr>
        <w:t>е</w:t>
      </w:r>
      <w:r w:rsidR="00396179" w:rsidRPr="0014164A">
        <w:rPr>
          <w:lang w:val="ru-RU"/>
        </w:rPr>
        <w:t>ся потребност</w:t>
      </w:r>
      <w:r w:rsidR="00AA2849" w:rsidRPr="0014164A">
        <w:rPr>
          <w:lang w:val="ru-RU"/>
        </w:rPr>
        <w:t>и</w:t>
      </w:r>
      <w:r w:rsidR="00396179" w:rsidRPr="0014164A">
        <w:rPr>
          <w:lang w:val="ru-RU"/>
        </w:rPr>
        <w:t xml:space="preserve"> Сторон, являющихся развивающимися странами, и Сторон</w:t>
      </w:r>
      <w:r w:rsidR="00AA2849" w:rsidRPr="0014164A">
        <w:rPr>
          <w:lang w:val="ru-RU"/>
        </w:rPr>
        <w:t xml:space="preserve"> </w:t>
      </w:r>
      <w:r w:rsidR="00396179" w:rsidRPr="0014164A">
        <w:rPr>
          <w:lang w:val="ru-RU"/>
        </w:rPr>
        <w:t>с переходной экономикой</w:t>
      </w:r>
      <w:r w:rsidR="00AC6678" w:rsidRPr="0014164A">
        <w:rPr>
          <w:lang w:val="ru-RU"/>
        </w:rPr>
        <w:t>.</w:t>
      </w:r>
      <w:r w:rsidR="004F3FCB" w:rsidRPr="0014164A">
        <w:rPr>
          <w:lang w:val="ru-RU"/>
        </w:rPr>
        <w:t xml:space="preserve"> </w:t>
      </w:r>
    </w:p>
    <w:p w14:paraId="61486E67" w14:textId="1001350D" w:rsidR="00BD5045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19.</w:t>
      </w:r>
      <w:r>
        <w:tab/>
      </w:r>
      <w:r w:rsidR="00851BCC" w:rsidRPr="0014164A">
        <w:rPr>
          <w:lang w:val="ru-RU"/>
        </w:rPr>
        <w:t xml:space="preserve">С точки зрения уровня финансирования Целевой международной программы донорами </w:t>
      </w:r>
      <w:r w:rsidR="00F57BF5" w:rsidRPr="0014164A">
        <w:rPr>
          <w:lang w:val="ru-RU"/>
        </w:rPr>
        <w:t>П</w:t>
      </w:r>
      <w:r w:rsidR="00851BCC" w:rsidRPr="0014164A">
        <w:rPr>
          <w:lang w:val="ru-RU"/>
        </w:rPr>
        <w:t xml:space="preserve">рограммы на сегодняшний день являются </w:t>
      </w:r>
      <w:r w:rsidR="00422549" w:rsidRPr="0014164A">
        <w:rPr>
          <w:lang w:val="ru-RU"/>
        </w:rPr>
        <w:t>Австрия,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Германия,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Дания,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Нидерланды,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Норвегия,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Соединенное Королевство Великобритании и Северной Ирландии</w:t>
      </w:r>
      <w:r w:rsidR="00720787">
        <w:t>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Швейцария,</w:t>
      </w:r>
      <w:r w:rsidR="00422549">
        <w:rPr>
          <w:lang w:val="ru-RU"/>
        </w:rPr>
        <w:t xml:space="preserve"> </w:t>
      </w:r>
      <w:r w:rsidR="00422549" w:rsidRPr="0014164A">
        <w:rPr>
          <w:lang w:val="ru-RU"/>
        </w:rPr>
        <w:t>Швеция</w:t>
      </w:r>
      <w:r w:rsidR="00720787">
        <w:t xml:space="preserve"> </w:t>
      </w:r>
      <w:r w:rsidR="00720787">
        <w:rPr>
          <w:lang w:val="ru-RU"/>
        </w:rPr>
        <w:t>и</w:t>
      </w:r>
      <w:r w:rsidR="00422549">
        <w:rPr>
          <w:lang w:val="ru-RU"/>
        </w:rPr>
        <w:t xml:space="preserve"> </w:t>
      </w:r>
      <w:r w:rsidR="00851BCC" w:rsidRPr="0014164A">
        <w:rPr>
          <w:lang w:val="ru-RU"/>
        </w:rPr>
        <w:t xml:space="preserve">Соединенные Штаты Америки. </w:t>
      </w:r>
      <w:r w:rsidR="004F15F9" w:rsidRPr="0014164A">
        <w:rPr>
          <w:lang w:val="ru-RU"/>
        </w:rPr>
        <w:t>В общей сложности было получено 1</w:t>
      </w:r>
      <w:r w:rsidR="000D1012" w:rsidRPr="0014164A">
        <w:rPr>
          <w:lang w:val="ru-RU"/>
        </w:rPr>
        <w:t> </w:t>
      </w:r>
      <w:r w:rsidR="004F15F9" w:rsidRPr="0014164A">
        <w:rPr>
          <w:lang w:val="ru-RU"/>
        </w:rPr>
        <w:t>281</w:t>
      </w:r>
      <w:r w:rsidR="000D1012" w:rsidRPr="0014164A">
        <w:rPr>
          <w:lang w:val="ru-RU"/>
        </w:rPr>
        <w:t> </w:t>
      </w:r>
      <w:r w:rsidR="004F15F9" w:rsidRPr="0014164A">
        <w:rPr>
          <w:lang w:val="ru-RU"/>
        </w:rPr>
        <w:t>448 долл. США для первого раунда заявок (2018 год) и 2</w:t>
      </w:r>
      <w:r w:rsidR="000D1012" w:rsidRPr="0014164A">
        <w:rPr>
          <w:lang w:val="ru-RU"/>
        </w:rPr>
        <w:t> </w:t>
      </w:r>
      <w:r w:rsidR="004F15F9" w:rsidRPr="0014164A">
        <w:rPr>
          <w:lang w:val="ru-RU"/>
        </w:rPr>
        <w:t>414</w:t>
      </w:r>
      <w:r w:rsidR="000D1012" w:rsidRPr="0014164A">
        <w:rPr>
          <w:lang w:val="ru-RU"/>
        </w:rPr>
        <w:t> </w:t>
      </w:r>
      <w:r w:rsidR="004F15F9" w:rsidRPr="0014164A">
        <w:rPr>
          <w:lang w:val="ru-RU"/>
        </w:rPr>
        <w:t xml:space="preserve">413 долл. США – что почти в два раза превышает объявленную и внесенную на первом раунде сумму – для второго раунда заявок (2019 год). Увеличение объема взносов ясно свидетельствует о </w:t>
      </w:r>
      <w:r w:rsidR="00F57BF5" w:rsidRPr="0014164A">
        <w:rPr>
          <w:lang w:val="ru-RU"/>
        </w:rPr>
        <w:t>высоком доверии</w:t>
      </w:r>
      <w:r w:rsidR="004F15F9" w:rsidRPr="0014164A">
        <w:rPr>
          <w:lang w:val="ru-RU"/>
        </w:rPr>
        <w:t xml:space="preserve"> доноров </w:t>
      </w:r>
      <w:r w:rsidR="00F57BF5" w:rsidRPr="0014164A">
        <w:rPr>
          <w:lang w:val="ru-RU"/>
        </w:rPr>
        <w:t>к</w:t>
      </w:r>
      <w:r w:rsidR="004F15F9" w:rsidRPr="0014164A">
        <w:rPr>
          <w:lang w:val="ru-RU"/>
        </w:rPr>
        <w:t xml:space="preserve"> </w:t>
      </w:r>
      <w:r w:rsidR="00F57BF5" w:rsidRPr="0014164A">
        <w:rPr>
          <w:lang w:val="ru-RU"/>
        </w:rPr>
        <w:t>П</w:t>
      </w:r>
      <w:r w:rsidR="004F15F9" w:rsidRPr="0014164A">
        <w:rPr>
          <w:lang w:val="ru-RU"/>
        </w:rPr>
        <w:t>рограмм</w:t>
      </w:r>
      <w:r w:rsidR="00F57BF5" w:rsidRPr="0014164A">
        <w:rPr>
          <w:lang w:val="ru-RU"/>
        </w:rPr>
        <w:t>е</w:t>
      </w:r>
      <w:r w:rsidR="004F15F9" w:rsidRPr="0014164A">
        <w:rPr>
          <w:lang w:val="ru-RU"/>
        </w:rPr>
        <w:t>.</w:t>
      </w:r>
      <w:r w:rsidR="005752C8" w:rsidRPr="0014164A">
        <w:rPr>
          <w:lang w:val="ru-RU"/>
        </w:rPr>
        <w:t xml:space="preserve"> </w:t>
      </w:r>
    </w:p>
    <w:p w14:paraId="17F66E3B" w14:textId="53D3DA97" w:rsidR="00FF1401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20.</w:t>
      </w:r>
      <w:r>
        <w:tab/>
      </w:r>
      <w:r w:rsidR="000D1012" w:rsidRPr="0014164A">
        <w:rPr>
          <w:lang w:val="ru-RU"/>
        </w:rPr>
        <w:t>Тем не менее, несмотря на существенное увеличение объема финансовых средств, сумма, выделяемая для второго раунда, представляет собой лишь половину суммы, которая может потребоваться для финансирования всех заявок, полученных на рассмотрение в ходе второго раунда, а именно 4 284 393 долл. США</w:t>
      </w:r>
      <w:r w:rsidR="00B87A21" w:rsidRPr="0014164A">
        <w:rPr>
          <w:lang w:val="ru-RU"/>
        </w:rPr>
        <w:t>.</w:t>
      </w:r>
      <w:r w:rsidR="005752C8" w:rsidRPr="0014164A">
        <w:rPr>
          <w:lang w:val="ru-RU"/>
        </w:rPr>
        <w:t xml:space="preserve"> </w:t>
      </w:r>
    </w:p>
    <w:p w14:paraId="63EF9DD4" w14:textId="79972DED" w:rsidR="00FF1401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lastRenderedPageBreak/>
        <w:t>21.</w:t>
      </w:r>
      <w:r>
        <w:tab/>
      </w:r>
      <w:r w:rsidR="00E57037" w:rsidRPr="0014164A">
        <w:rPr>
          <w:lang w:val="ru-RU"/>
        </w:rPr>
        <w:t xml:space="preserve">В части В приложения I к решению МК-1/6 Конференция Сторон предоставляет руководящие указания по вопросам охвата, критериев, операций и ресурсов Целевой международной программы, а в приложении II приводится круг ведения </w:t>
      </w:r>
      <w:r w:rsidR="000A54FE" w:rsidRPr="0014164A">
        <w:rPr>
          <w:lang w:val="ru-RU"/>
        </w:rPr>
        <w:t>Программы</w:t>
      </w:r>
      <w:r w:rsidR="00E57037" w:rsidRPr="0014164A">
        <w:rPr>
          <w:lang w:val="ru-RU"/>
        </w:rPr>
        <w:t xml:space="preserve">. Как руководство, так и круг ведения были включены в правила процедуры, принятые </w:t>
      </w:r>
      <w:r w:rsidR="00C91EC9" w:rsidRPr="0014164A">
        <w:rPr>
          <w:lang w:val="ru-RU"/>
        </w:rPr>
        <w:t>П</w:t>
      </w:r>
      <w:r w:rsidR="00E57037" w:rsidRPr="0014164A">
        <w:rPr>
          <w:lang w:val="ru-RU"/>
        </w:rPr>
        <w:t>равлением на его первой сессии, состоявшейся в Женеве в мае 2018 года, вместе с критериями оценки для первого раунда и рамками для принятия решений по заявкам второго раунда, согласованными на третьем совещании, состоявшемся в феврале 2019 года</w:t>
      </w:r>
      <w:r w:rsidR="000F09C6" w:rsidRPr="0014164A">
        <w:rPr>
          <w:lang w:val="ru-RU"/>
        </w:rPr>
        <w:t xml:space="preserve">. </w:t>
      </w:r>
    </w:p>
    <w:p w14:paraId="7A86CA65" w14:textId="708C52F1" w:rsidR="004E0DFF" w:rsidRPr="0014164A" w:rsidRDefault="005D1AE4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22.</w:t>
      </w:r>
      <w:r>
        <w:tab/>
      </w:r>
      <w:r w:rsidR="00EF4671" w:rsidRPr="0014164A">
        <w:rPr>
          <w:lang w:val="ru-RU"/>
        </w:rPr>
        <w:t>Доклады, касающиеся Целевой международной программы, были представлены Конференции Сторон</w:t>
      </w:r>
      <w:r w:rsidR="00DF02C2">
        <w:t xml:space="preserve"> </w:t>
      </w:r>
      <w:r w:rsidR="00DF02C2">
        <w:rPr>
          <w:lang w:val="ru-RU"/>
        </w:rPr>
        <w:t>для рассмотрения</w:t>
      </w:r>
      <w:r w:rsidR="00EF4671" w:rsidRPr="0014164A">
        <w:rPr>
          <w:lang w:val="ru-RU"/>
        </w:rPr>
        <w:t xml:space="preserve"> на ее втором и третьем совещаниях </w:t>
      </w:r>
      <w:r w:rsidR="00D45B7D" w:rsidRPr="0014164A">
        <w:rPr>
          <w:lang w:val="ru-RU"/>
        </w:rPr>
        <w:t>(</w:t>
      </w:r>
      <w:proofErr w:type="spellStart"/>
      <w:r w:rsidR="00D45B7D" w:rsidRPr="0014164A">
        <w:rPr>
          <w:lang w:val="ru-RU"/>
        </w:rPr>
        <w:t>UNEP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MC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COP.2</w:t>
      </w:r>
      <w:proofErr w:type="spellEnd"/>
      <w:r w:rsidR="00D45B7D" w:rsidRPr="0014164A">
        <w:rPr>
          <w:lang w:val="ru-RU"/>
        </w:rPr>
        <w:t>/9</w:t>
      </w:r>
      <w:r w:rsidR="00992BA8" w:rsidRPr="0014164A">
        <w:rPr>
          <w:lang w:val="ru-RU"/>
        </w:rPr>
        <w:t>;</w:t>
      </w:r>
      <w:r w:rsidR="00D45B7D" w:rsidRPr="0014164A">
        <w:rPr>
          <w:lang w:val="ru-RU"/>
        </w:rPr>
        <w:t xml:space="preserve"> </w:t>
      </w:r>
      <w:proofErr w:type="spellStart"/>
      <w:r w:rsidR="00D45B7D" w:rsidRPr="0014164A">
        <w:rPr>
          <w:lang w:val="ru-RU"/>
        </w:rPr>
        <w:t>UNEP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MC</w:t>
      </w:r>
      <w:proofErr w:type="spellEnd"/>
      <w:r w:rsidR="00D45B7D" w:rsidRPr="0014164A">
        <w:rPr>
          <w:lang w:val="ru-RU"/>
        </w:rPr>
        <w:t>/</w:t>
      </w:r>
      <w:proofErr w:type="spellStart"/>
      <w:r w:rsidR="00D45B7D" w:rsidRPr="0014164A">
        <w:rPr>
          <w:lang w:val="ru-RU"/>
        </w:rPr>
        <w:t>COP</w:t>
      </w:r>
      <w:r w:rsidR="000A54FE">
        <w:rPr>
          <w:lang w:val="ru-RU"/>
        </w:rPr>
        <w:t>.</w:t>
      </w:r>
      <w:r w:rsidR="00D45B7D" w:rsidRPr="0014164A">
        <w:rPr>
          <w:lang w:val="ru-RU"/>
        </w:rPr>
        <w:t>3</w:t>
      </w:r>
      <w:proofErr w:type="spellEnd"/>
      <w:r w:rsidR="00D45B7D" w:rsidRPr="0014164A">
        <w:rPr>
          <w:lang w:val="ru-RU"/>
        </w:rPr>
        <w:t>/10)</w:t>
      </w:r>
      <w:r w:rsidR="00B17D36" w:rsidRPr="0014164A">
        <w:rPr>
          <w:lang w:val="ru-RU"/>
        </w:rPr>
        <w:t xml:space="preserve">. </w:t>
      </w:r>
      <w:r w:rsidR="00EF4671" w:rsidRPr="0014164A">
        <w:rPr>
          <w:lang w:val="ru-RU"/>
        </w:rPr>
        <w:t xml:space="preserve">Кроме того, доклады о работе первого, второго и третьего совещаний </w:t>
      </w:r>
      <w:r w:rsidR="008628E8" w:rsidRPr="0014164A">
        <w:rPr>
          <w:lang w:val="ru-RU"/>
        </w:rPr>
        <w:t>П</w:t>
      </w:r>
      <w:r w:rsidR="00EF4671" w:rsidRPr="0014164A">
        <w:rPr>
          <w:lang w:val="ru-RU"/>
        </w:rPr>
        <w:t xml:space="preserve">равления </w:t>
      </w:r>
      <w:r w:rsidR="00992BA8" w:rsidRPr="0014164A">
        <w:rPr>
          <w:lang w:val="ru-RU"/>
        </w:rPr>
        <w:t>(</w:t>
      </w:r>
      <w:proofErr w:type="spellStart"/>
      <w:r w:rsidR="00992BA8" w:rsidRPr="0014164A">
        <w:rPr>
          <w:lang w:val="ru-RU"/>
        </w:rPr>
        <w:t>UNEP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MC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SIP.GB.1</w:t>
      </w:r>
      <w:proofErr w:type="spellEnd"/>
      <w:r w:rsidR="00992BA8" w:rsidRPr="0014164A">
        <w:rPr>
          <w:lang w:val="ru-RU"/>
        </w:rPr>
        <w:t xml:space="preserve">/6; </w:t>
      </w:r>
      <w:proofErr w:type="spellStart"/>
      <w:r w:rsidR="00992BA8" w:rsidRPr="0014164A">
        <w:rPr>
          <w:lang w:val="ru-RU"/>
        </w:rPr>
        <w:t>UNEP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MC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SIP.GB.3</w:t>
      </w:r>
      <w:proofErr w:type="spellEnd"/>
      <w:r w:rsidR="00992BA8" w:rsidRPr="0014164A">
        <w:rPr>
          <w:lang w:val="ru-RU"/>
        </w:rPr>
        <w:t xml:space="preserve">/2; </w:t>
      </w:r>
      <w:proofErr w:type="spellStart"/>
      <w:r w:rsidR="00992BA8" w:rsidRPr="0014164A">
        <w:rPr>
          <w:lang w:val="ru-RU"/>
        </w:rPr>
        <w:t>UNEP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MC</w:t>
      </w:r>
      <w:proofErr w:type="spellEnd"/>
      <w:r w:rsidR="00992BA8" w:rsidRPr="0014164A">
        <w:rPr>
          <w:lang w:val="ru-RU"/>
        </w:rPr>
        <w:t>/</w:t>
      </w:r>
      <w:proofErr w:type="spellStart"/>
      <w:r w:rsidR="00992BA8" w:rsidRPr="0014164A">
        <w:rPr>
          <w:lang w:val="ru-RU"/>
        </w:rPr>
        <w:t>COP</w:t>
      </w:r>
      <w:r w:rsidR="000A54FE">
        <w:rPr>
          <w:lang w:val="ru-RU"/>
        </w:rPr>
        <w:t>.</w:t>
      </w:r>
      <w:r w:rsidR="00992BA8" w:rsidRPr="0014164A">
        <w:rPr>
          <w:lang w:val="ru-RU"/>
        </w:rPr>
        <w:t>3</w:t>
      </w:r>
      <w:proofErr w:type="spellEnd"/>
      <w:r w:rsidR="00992BA8" w:rsidRPr="0014164A">
        <w:rPr>
          <w:lang w:val="ru-RU"/>
        </w:rPr>
        <w:t>/10/</w:t>
      </w:r>
      <w:proofErr w:type="spellStart"/>
      <w:r w:rsidR="00992BA8" w:rsidRPr="0014164A">
        <w:rPr>
          <w:lang w:val="ru-RU"/>
        </w:rPr>
        <w:t>Add.1</w:t>
      </w:r>
      <w:proofErr w:type="spellEnd"/>
      <w:r w:rsidR="00992BA8" w:rsidRPr="0014164A">
        <w:rPr>
          <w:lang w:val="ru-RU"/>
        </w:rPr>
        <w:t xml:space="preserve">, </w:t>
      </w:r>
      <w:r w:rsidR="00EF4671" w:rsidRPr="0014164A">
        <w:rPr>
          <w:lang w:val="ru-RU"/>
        </w:rPr>
        <w:t>приложение</w:t>
      </w:r>
      <w:r w:rsidR="00992BA8" w:rsidRPr="0014164A">
        <w:rPr>
          <w:lang w:val="ru-RU"/>
        </w:rPr>
        <w:t xml:space="preserve"> I)</w:t>
      </w:r>
      <w:r w:rsidR="003609A4" w:rsidRPr="0014164A">
        <w:rPr>
          <w:lang w:val="ru-RU"/>
        </w:rPr>
        <w:t xml:space="preserve"> </w:t>
      </w:r>
      <w:r w:rsidR="00EF4671" w:rsidRPr="0014164A">
        <w:rPr>
          <w:lang w:val="ru-RU"/>
        </w:rPr>
        <w:t>доступны на веб-сайте Минаматской конвенции</w:t>
      </w:r>
      <w:r w:rsidR="000A54FE" w:rsidRPr="00BA5DD6">
        <w:rPr>
          <w:vertAlign w:val="superscript"/>
          <w:lang w:val="ru-RU"/>
        </w:rPr>
        <w:footnoteReference w:id="5"/>
      </w:r>
      <w:r w:rsidR="003609A4" w:rsidRPr="0014164A">
        <w:rPr>
          <w:lang w:val="ru-RU"/>
        </w:rPr>
        <w:t>.</w:t>
      </w:r>
      <w:r w:rsidR="00B17D36" w:rsidRPr="0014164A">
        <w:rPr>
          <w:lang w:val="ru-RU"/>
        </w:rPr>
        <w:t xml:space="preserve"> </w:t>
      </w:r>
    </w:p>
    <w:p w14:paraId="200F729D" w14:textId="6258F71C" w:rsidR="00FE7303" w:rsidRPr="004618C1" w:rsidRDefault="00FE7303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4618C1">
        <w:rPr>
          <w:b/>
          <w:bCs/>
          <w:lang w:val="ru-RU"/>
        </w:rPr>
        <w:tab/>
      </w:r>
      <w:r w:rsidR="001C61BE" w:rsidRPr="004618C1">
        <w:rPr>
          <w:b/>
          <w:bCs/>
          <w:lang w:val="ru-RU"/>
        </w:rPr>
        <w:t>Предлагаемые меры для принятия Конференцией Сторон</w:t>
      </w:r>
    </w:p>
    <w:p w14:paraId="6B6F277D" w14:textId="22021069" w:rsidR="00AF1011" w:rsidRPr="0014164A" w:rsidRDefault="004618C1" w:rsidP="00707E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>
        <w:t>23.</w:t>
      </w:r>
      <w:r>
        <w:tab/>
      </w:r>
      <w:r w:rsidR="008B6D0C" w:rsidRPr="0014164A">
        <w:rPr>
          <w:lang w:val="ru-RU"/>
        </w:rPr>
        <w:t>В свете требования Конвенции о том, что Конференция Сторон должна пров</w:t>
      </w:r>
      <w:r w:rsidR="0099544B" w:rsidRPr="0014164A">
        <w:rPr>
          <w:lang w:val="ru-RU"/>
        </w:rPr>
        <w:t>ести</w:t>
      </w:r>
      <w:r w:rsidR="008B6D0C" w:rsidRPr="0014164A">
        <w:rPr>
          <w:lang w:val="ru-RU"/>
        </w:rPr>
        <w:t xml:space="preserve"> обзор механизма финансирования, учрежденного в соответствии со статьей 13, не позднее чем на своем третьем совещании, Конференция Сторон, возможно, пожелает рассмотреть информацию, содержащуюся в настоящей записке, в рамках </w:t>
      </w:r>
      <w:r w:rsidR="00507F5D">
        <w:rPr>
          <w:lang w:val="ru-RU"/>
        </w:rPr>
        <w:t>своего первого</w:t>
      </w:r>
      <w:r w:rsidR="008B6D0C" w:rsidRPr="0014164A">
        <w:rPr>
          <w:lang w:val="ru-RU"/>
        </w:rPr>
        <w:t xml:space="preserve"> обзора</w:t>
      </w:r>
      <w:r w:rsidR="00507F5D">
        <w:rPr>
          <w:lang w:val="ru-RU"/>
        </w:rPr>
        <w:t xml:space="preserve"> и принять предлагаемые ниже решения</w:t>
      </w:r>
      <w:r w:rsidR="000265A2" w:rsidRPr="0014164A">
        <w:rPr>
          <w:lang w:val="ru-RU"/>
        </w:rPr>
        <w:t>.</w:t>
      </w:r>
    </w:p>
    <w:p w14:paraId="2C05833C" w14:textId="7198EDB0" w:rsidR="00AF1011" w:rsidRPr="00594E3C" w:rsidRDefault="00507F5D" w:rsidP="001416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8"/>
          <w:szCs w:val="28"/>
        </w:rPr>
      </w:pPr>
      <w:r w:rsidRPr="00594E3C">
        <w:rPr>
          <w:b/>
          <w:bCs/>
          <w:sz w:val="28"/>
          <w:szCs w:val="28"/>
          <w:lang w:val="ru-RU"/>
        </w:rPr>
        <w:t>Решение МК-3</w:t>
      </w:r>
      <w:r w:rsidR="00D25F5A" w:rsidRPr="00594E3C">
        <w:rPr>
          <w:b/>
          <w:bCs/>
          <w:sz w:val="28"/>
          <w:szCs w:val="28"/>
          <w:lang w:val="ru-RU"/>
        </w:rPr>
        <w:t>/</w:t>
      </w:r>
      <w:r w:rsidR="00D25F5A" w:rsidRPr="00594E3C">
        <w:rPr>
          <w:b/>
          <w:bCs/>
          <w:sz w:val="28"/>
          <w:szCs w:val="28"/>
        </w:rPr>
        <w:t>[--]</w:t>
      </w:r>
    </w:p>
    <w:p w14:paraId="12E3771F" w14:textId="07F96878" w:rsidR="00D25F5A" w:rsidRDefault="00D25F5A" w:rsidP="00594E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07E60">
        <w:rPr>
          <w:i/>
          <w:iCs/>
          <w:lang w:val="ru-RU"/>
        </w:rPr>
        <w:t>Конференция Сторон</w:t>
      </w:r>
      <w:r>
        <w:rPr>
          <w:lang w:val="ru-RU"/>
        </w:rPr>
        <w:t>,</w:t>
      </w:r>
    </w:p>
    <w:p w14:paraId="062981A3" w14:textId="56EABEF9" w:rsidR="00D25F5A" w:rsidRDefault="00D25F5A" w:rsidP="00594E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07E60">
        <w:rPr>
          <w:i/>
          <w:iCs/>
          <w:lang w:val="ru-RU"/>
        </w:rPr>
        <w:t>принимая во внимание</w:t>
      </w:r>
      <w:r>
        <w:rPr>
          <w:lang w:val="ru-RU"/>
        </w:rPr>
        <w:t xml:space="preserve"> пункт 11 статьи 13 об обзоре механизма финансирования</w:t>
      </w:r>
      <w:r w:rsidR="00AB0E7C">
        <w:rPr>
          <w:lang w:val="ru-RU"/>
        </w:rPr>
        <w:t>,</w:t>
      </w:r>
    </w:p>
    <w:p w14:paraId="06AD41D5" w14:textId="0943F6CA" w:rsidR="00AB0E7C" w:rsidRDefault="00AB0E7C" w:rsidP="00594E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Pr="00707E60">
        <w:rPr>
          <w:i/>
          <w:iCs/>
          <w:lang w:val="ru-RU"/>
        </w:rPr>
        <w:t>с удовлетворением отмечает</w:t>
      </w:r>
      <w:r>
        <w:rPr>
          <w:lang w:val="ru-RU"/>
        </w:rPr>
        <w:t xml:space="preserve"> доклад о первом обзоре механизма финансирования, на основе которого Конференция Сторон провела обзор в соответствии с пунктом 11 статьи 13</w:t>
      </w:r>
      <w:r w:rsidR="00594E3C">
        <w:rPr>
          <w:lang w:val="ru-RU"/>
        </w:rPr>
        <w:t>;</w:t>
      </w:r>
    </w:p>
    <w:p w14:paraId="0F5F5178" w14:textId="41FFB8CA" w:rsidR="00594E3C" w:rsidRPr="00D25F5A" w:rsidRDefault="00594E3C" w:rsidP="00594E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</w:r>
      <w:r w:rsidRPr="00707E60">
        <w:rPr>
          <w:i/>
          <w:iCs/>
          <w:lang w:val="ru-RU"/>
        </w:rPr>
        <w:t xml:space="preserve">поручает </w:t>
      </w:r>
      <w:r>
        <w:rPr>
          <w:lang w:val="ru-RU"/>
        </w:rPr>
        <w:t>секретариату подготовить круг ведения для второго обзора для рассмотрения на четвертом совещании Конференции Сторон.</w:t>
      </w:r>
    </w:p>
    <w:p w14:paraId="2496B47E" w14:textId="4EA53E94" w:rsidR="00FE7303" w:rsidRPr="004618C1" w:rsidRDefault="00FE7303" w:rsidP="004618C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bCs/>
          <w:sz w:val="28"/>
          <w:szCs w:val="28"/>
          <w:lang w:val="ru-RU"/>
        </w:rPr>
      </w:pPr>
      <w:r w:rsidRPr="00AF1011">
        <w:rPr>
          <w:lang w:val="ru-RU"/>
        </w:rPr>
        <w:br w:type="page"/>
      </w:r>
      <w:r w:rsidR="0098725D" w:rsidRPr="004618C1">
        <w:rPr>
          <w:b/>
          <w:bCs/>
          <w:sz w:val="28"/>
          <w:szCs w:val="28"/>
          <w:lang w:val="ru-RU"/>
        </w:rPr>
        <w:lastRenderedPageBreak/>
        <w:t xml:space="preserve">Приложение </w:t>
      </w:r>
      <w:r w:rsidRPr="004618C1">
        <w:rPr>
          <w:b/>
          <w:bCs/>
          <w:sz w:val="28"/>
          <w:szCs w:val="28"/>
          <w:lang w:val="ru-RU"/>
        </w:rPr>
        <w:t xml:space="preserve">I </w:t>
      </w:r>
    </w:p>
    <w:p w14:paraId="4496FAE6" w14:textId="468EFCBC" w:rsidR="00493097" w:rsidRPr="004618C1" w:rsidRDefault="0098725D" w:rsidP="004618C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b/>
          <w:bCs/>
          <w:sz w:val="28"/>
          <w:szCs w:val="28"/>
          <w:lang w:val="ru-RU"/>
        </w:rPr>
      </w:pPr>
      <w:r w:rsidRPr="004618C1">
        <w:rPr>
          <w:b/>
          <w:bCs/>
          <w:sz w:val="28"/>
          <w:szCs w:val="28"/>
          <w:lang w:val="ru-RU"/>
        </w:rPr>
        <w:t xml:space="preserve">Информация, представленная Глобальным экологическим фондом в соответствии со статьей 13 Минаматской </w:t>
      </w:r>
      <w:r w:rsidR="00BF70DE">
        <w:rPr>
          <w:b/>
          <w:bCs/>
          <w:sz w:val="28"/>
          <w:szCs w:val="28"/>
          <w:lang w:val="ru-RU"/>
        </w:rPr>
        <w:br/>
      </w:r>
      <w:r w:rsidRPr="004618C1">
        <w:rPr>
          <w:b/>
          <w:bCs/>
          <w:sz w:val="28"/>
          <w:szCs w:val="28"/>
          <w:lang w:val="ru-RU"/>
        </w:rPr>
        <w:t>конвенции о ртути</w:t>
      </w:r>
      <w:r w:rsidR="00DD02D3" w:rsidRPr="004618C1">
        <w:rPr>
          <w:b/>
          <w:bCs/>
          <w:sz w:val="28"/>
          <w:szCs w:val="28"/>
          <w:lang w:val="ru-RU"/>
        </w:rPr>
        <w:t xml:space="preserve"> </w:t>
      </w:r>
    </w:p>
    <w:p w14:paraId="15BF728B" w14:textId="77777777" w:rsidR="00E953EE" w:rsidRPr="0071386C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 w:after="240"/>
        <w:jc w:val="center"/>
        <w:rPr>
          <w:rFonts w:ascii="Calibri" w:eastAsia="SimSun" w:hAnsi="Calibri"/>
          <w:szCs w:val="22"/>
          <w:lang w:val="ru-RU" w:eastAsia="zh-CN"/>
        </w:rPr>
      </w:pPr>
      <w:r w:rsidRPr="0071386C">
        <w:rPr>
          <w:rFonts w:ascii="Calibri" w:eastAsia="SimSun" w:hAnsi="Calibri"/>
          <w:noProof/>
          <w:szCs w:val="22"/>
          <w:lang w:eastAsia="en-GB"/>
        </w:rPr>
        <w:drawing>
          <wp:anchor distT="0" distB="0" distL="114300" distR="114300" simplePos="0" relativeHeight="251659264" behindDoc="0" locked="0" layoutInCell="1" allowOverlap="1" wp14:anchorId="6760C79A" wp14:editId="06D6593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625215" cy="802640"/>
            <wp:effectExtent l="0" t="0" r="0" b="0"/>
            <wp:wrapThrough wrapText="bothSides">
              <wp:wrapPolygon edited="0">
                <wp:start x="0" y="0"/>
                <wp:lineTo x="0" y="21019"/>
                <wp:lineTo x="21452" y="21019"/>
                <wp:lineTo x="21452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470" w:type="dxa"/>
        <w:tblBorders>
          <w:bottom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0"/>
      </w:tblGrid>
      <w:tr w:rsidR="00E953EE" w:rsidRPr="00BF70DE" w14:paraId="27E1242A" w14:textId="77777777" w:rsidTr="006909EB">
        <w:trPr>
          <w:trHeight w:val="711"/>
        </w:trPr>
        <w:tc>
          <w:tcPr>
            <w:tcW w:w="9470" w:type="dxa"/>
            <w:tcBorders>
              <w:bottom w:val="single" w:sz="18" w:space="0" w:color="auto"/>
            </w:tcBorders>
            <w:vAlign w:val="bottom"/>
          </w:tcPr>
          <w:p w14:paraId="6C99FBB6" w14:textId="77777777" w:rsidR="00E953EE" w:rsidRPr="00BF70DE" w:rsidRDefault="00E953EE" w:rsidP="00BF70D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eastAsia="SimSun"/>
                <w:lang w:val="ru-RU" w:eastAsia="zh-CN"/>
              </w:rPr>
            </w:pPr>
          </w:p>
          <w:p w14:paraId="6A5A5E50" w14:textId="062BB658" w:rsidR="00E953EE" w:rsidRPr="00BF70DE" w:rsidRDefault="00E953EE" w:rsidP="00BF70D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eastAsia="SimSun"/>
                <w:i/>
                <w:lang w:val="ru-RU" w:eastAsia="zh-CN"/>
              </w:rPr>
            </w:pPr>
            <w:r w:rsidRPr="00BF70DE">
              <w:rPr>
                <w:rFonts w:eastAsia="SimSun"/>
                <w:lang w:val="ru-RU" w:eastAsia="zh-CN"/>
              </w:rPr>
              <w:t>28</w:t>
            </w:r>
            <w:r w:rsidR="00C75D14" w:rsidRPr="00BF70DE">
              <w:rPr>
                <w:rFonts w:eastAsia="SimSun"/>
                <w:lang w:val="ru-RU" w:eastAsia="zh-CN"/>
              </w:rPr>
              <w:t xml:space="preserve"> мая</w:t>
            </w:r>
            <w:r w:rsidRPr="00BF70DE">
              <w:rPr>
                <w:rFonts w:eastAsia="SimSun"/>
                <w:lang w:val="ru-RU" w:eastAsia="zh-CN"/>
              </w:rPr>
              <w:t xml:space="preserve"> 2019</w:t>
            </w:r>
            <w:r w:rsidR="00C75D14" w:rsidRPr="00BF70DE">
              <w:rPr>
                <w:rFonts w:eastAsia="SimSun"/>
                <w:lang w:val="ru-RU" w:eastAsia="zh-CN"/>
              </w:rPr>
              <w:t xml:space="preserve"> года</w:t>
            </w:r>
          </w:p>
        </w:tc>
      </w:tr>
    </w:tbl>
    <w:p w14:paraId="033537D4" w14:textId="77777777" w:rsidR="00E953EE" w:rsidRPr="00BF70D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2BAB67F4" w14:textId="77777777" w:rsidR="00E953EE" w:rsidRPr="00BF70D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69BFCE5D" w14:textId="77777777" w:rsidR="00E953EE" w:rsidRPr="00BF70D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7E5CA4A4" w14:textId="77777777" w:rsidR="00E953EE" w:rsidRPr="00BF70D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43252622" w14:textId="77777777" w:rsidR="00E953EE" w:rsidRPr="00BF70D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0334B841" w14:textId="77777777" w:rsidR="00E953EE" w:rsidRPr="00BF70D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188D372F" w14:textId="4C46E8E6" w:rsidR="00E953EE" w:rsidRDefault="00E953E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57618F81" w14:textId="41D1C7CF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27EB2073" w14:textId="0248A3DD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37C2FEB9" w14:textId="4EB2C3D8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3B100EA2" w14:textId="720E3C88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27352BE3" w14:textId="05F785FA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03DB6E30" w14:textId="5043309A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3CAC523F" w14:textId="39DC0D9C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4A02E187" w14:textId="6B92D94C" w:rsid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7BA72FF8" w14:textId="77777777" w:rsidR="00BF70DE" w:rsidRPr="00BF70DE" w:rsidRDefault="00BF70DE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</w:p>
    <w:p w14:paraId="7C8AC7EF" w14:textId="12214869" w:rsidR="00E953EE" w:rsidRPr="00BF70DE" w:rsidRDefault="00C75D14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jc w:val="center"/>
        <w:rPr>
          <w:rFonts w:eastAsia="SimSun"/>
          <w:b/>
          <w:bCs/>
          <w:sz w:val="36"/>
          <w:szCs w:val="36"/>
          <w:lang w:val="ru-RU"/>
        </w:rPr>
      </w:pPr>
      <w:r w:rsidRPr="00BF70DE">
        <w:rPr>
          <w:rFonts w:eastAsia="SimSun"/>
          <w:b/>
          <w:bCs/>
          <w:sz w:val="36"/>
          <w:szCs w:val="36"/>
          <w:lang w:val="ru-RU"/>
        </w:rPr>
        <w:t xml:space="preserve">Информация, представленная Глобальным экологическим фондом в соответствии со </w:t>
      </w:r>
      <w:r w:rsidR="000317BB">
        <w:rPr>
          <w:rFonts w:eastAsia="SimSun"/>
          <w:b/>
          <w:bCs/>
          <w:sz w:val="36"/>
          <w:szCs w:val="36"/>
          <w:lang w:val="ru-RU"/>
        </w:rPr>
        <w:br/>
      </w:r>
      <w:r w:rsidRPr="00BF70DE">
        <w:rPr>
          <w:rFonts w:eastAsia="SimSun"/>
          <w:b/>
          <w:bCs/>
          <w:sz w:val="36"/>
          <w:szCs w:val="36"/>
          <w:lang w:val="ru-RU"/>
        </w:rPr>
        <w:t>статьей 13 Минаматской конвенции о ртути</w:t>
      </w:r>
      <w:r w:rsidR="00E953EE" w:rsidRPr="00BF70DE">
        <w:rPr>
          <w:rFonts w:eastAsia="SimSun"/>
          <w:b/>
          <w:bCs/>
          <w:sz w:val="36"/>
          <w:szCs w:val="36"/>
          <w:lang w:val="ru-RU"/>
        </w:rPr>
        <w:br/>
      </w:r>
    </w:p>
    <w:p w14:paraId="02EBC486" w14:textId="77777777" w:rsidR="00C75B4C" w:rsidRPr="00BF70DE" w:rsidRDefault="00C75B4C" w:rsidP="00BF70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SimSun"/>
          <w:lang w:val="ru-RU"/>
        </w:rPr>
      </w:pPr>
      <w:bookmarkStart w:id="3" w:name="_Toc9942382"/>
      <w:r w:rsidRPr="00BF70DE">
        <w:rPr>
          <w:rFonts w:eastAsia="SimSun"/>
          <w:lang w:val="ru-RU"/>
        </w:rPr>
        <w:br w:type="page"/>
      </w:r>
    </w:p>
    <w:p w14:paraId="68C006AA" w14:textId="6DE42327" w:rsidR="00E953EE" w:rsidRPr="0071386C" w:rsidRDefault="00845D8B" w:rsidP="00A854D4">
      <w:pPr>
        <w:pStyle w:val="Heading1"/>
        <w:keepNext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 w:after="0"/>
        <w:ind w:firstLine="0"/>
        <w:rPr>
          <w:lang w:val="ru-RU"/>
        </w:rPr>
      </w:pPr>
      <w:r w:rsidRPr="0071386C">
        <w:rPr>
          <w:lang w:val="ru-RU"/>
        </w:rPr>
        <w:lastRenderedPageBreak/>
        <w:t>Содержание</w:t>
      </w:r>
      <w:bookmarkEnd w:id="3"/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id w:val="1553426983"/>
        <w:docPartObj>
          <w:docPartGallery w:val="Table of Contents"/>
          <w:docPartUnique/>
        </w:docPartObj>
      </w:sdtPr>
      <w:sdtEndPr>
        <w:rPr>
          <w:rFonts w:eastAsia="Times New Roman"/>
          <w:b/>
          <w:bCs/>
          <w:noProof/>
          <w:sz w:val="20"/>
          <w:szCs w:val="20"/>
        </w:rPr>
      </w:sdtEndPr>
      <w:sdtContent>
        <w:p w14:paraId="260D56D3" w14:textId="77777777" w:rsidR="00E953EE" w:rsidRPr="00A854D4" w:rsidRDefault="00E953EE" w:rsidP="00670912">
          <w:pPr>
            <w:pStyle w:val="TOCHeading"/>
            <w:keepNext w:val="0"/>
            <w:keepLines w:val="0"/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rPr>
              <w:rFonts w:ascii="Times New Roman" w:hAnsi="Times New Roman" w:cs="Times New Roman"/>
              <w:color w:val="auto"/>
              <w:sz w:val="18"/>
              <w:szCs w:val="18"/>
              <w:lang w:val="ru-RU"/>
            </w:rPr>
          </w:pPr>
        </w:p>
        <w:p w14:paraId="68C8A269" w14:textId="3BC529C8" w:rsidR="00E953EE" w:rsidRPr="0071386C" w:rsidRDefault="00E953EE" w:rsidP="002F7012">
          <w:pPr>
            <w:pStyle w:val="TOC1"/>
            <w:tabs>
              <w:tab w:val="clear" w:pos="1247"/>
              <w:tab w:val="clear" w:pos="1814"/>
              <w:tab w:val="right" w:pos="9550"/>
            </w:tabs>
            <w:spacing w:before="0" w:after="120"/>
            <w:ind w:left="1701" w:firstLine="0"/>
            <w:rPr>
              <w:rFonts w:eastAsiaTheme="minorEastAsia"/>
              <w:b/>
              <w:bCs w:val="0"/>
              <w:caps/>
              <w:noProof/>
              <w:sz w:val="22"/>
              <w:szCs w:val="22"/>
              <w:lang w:val="ru-RU"/>
            </w:rPr>
          </w:pPr>
          <w:r w:rsidRPr="0071386C">
            <w:rPr>
              <w:b/>
              <w:caps/>
              <w:noProof/>
              <w:lang w:val="ru-RU"/>
            </w:rPr>
            <w:fldChar w:fldCharType="begin"/>
          </w:r>
          <w:r w:rsidRPr="0071386C">
            <w:rPr>
              <w:noProof/>
              <w:lang w:val="ru-RU"/>
            </w:rPr>
            <w:instrText xml:space="preserve"> TOC \o "1-3" \h \z \u </w:instrText>
          </w:r>
          <w:r w:rsidRPr="0071386C">
            <w:rPr>
              <w:b/>
              <w:caps/>
              <w:noProof/>
              <w:lang w:val="ru-RU"/>
            </w:rPr>
            <w:fldChar w:fldCharType="separate"/>
          </w:r>
          <w:hyperlink w:anchor="_Toc9942382" w:history="1">
            <w:r w:rsidR="007C61C5">
              <w:rPr>
                <w:rStyle w:val="Hyperlink"/>
                <w:noProof/>
                <w:lang w:val="ru-RU"/>
              </w:rPr>
              <w:t>Содержание</w:t>
            </w:r>
            <w:r w:rsidRPr="0071386C">
              <w:rPr>
                <w:noProof/>
                <w:webHidden/>
                <w:lang w:val="ru-RU"/>
              </w:rPr>
              <w:tab/>
            </w:r>
            <w:r w:rsidRPr="0071386C">
              <w:rPr>
                <w:b/>
                <w:noProof/>
                <w:webHidden/>
                <w:lang w:val="ru-RU"/>
              </w:rPr>
              <w:fldChar w:fldCharType="begin"/>
            </w:r>
            <w:r w:rsidRPr="0071386C">
              <w:rPr>
                <w:noProof/>
                <w:webHidden/>
                <w:lang w:val="ru-RU"/>
              </w:rPr>
              <w:instrText xml:space="preserve"> PAGEREF _Toc9942382 \h </w:instrText>
            </w:r>
            <w:r w:rsidRPr="0071386C">
              <w:rPr>
                <w:b/>
                <w:noProof/>
                <w:webHidden/>
                <w:lang w:val="ru-RU"/>
              </w:rPr>
            </w:r>
            <w:r w:rsidRPr="0071386C">
              <w:rPr>
                <w:b/>
                <w:noProof/>
                <w:webHidden/>
                <w:lang w:val="ru-RU"/>
              </w:rPr>
              <w:fldChar w:fldCharType="separate"/>
            </w:r>
            <w:r w:rsidR="00A114FE">
              <w:rPr>
                <w:noProof/>
                <w:webHidden/>
                <w:lang w:val="ru-RU"/>
              </w:rPr>
              <w:t>6</w:t>
            </w:r>
            <w:r w:rsidRPr="0071386C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740B741A" w14:textId="2309A606" w:rsidR="00E953EE" w:rsidRPr="0071386C" w:rsidRDefault="007C61C5" w:rsidP="002F7012">
          <w:pPr>
            <w:pStyle w:val="TOC1"/>
            <w:tabs>
              <w:tab w:val="clear" w:pos="1247"/>
              <w:tab w:val="clear" w:pos="1814"/>
              <w:tab w:val="right" w:pos="9550"/>
            </w:tabs>
            <w:spacing w:before="0" w:after="120"/>
            <w:ind w:left="1701" w:firstLine="0"/>
            <w:rPr>
              <w:rFonts w:eastAsiaTheme="minorEastAsia"/>
              <w:b/>
              <w:bCs w:val="0"/>
              <w:caps/>
              <w:noProof/>
              <w:sz w:val="22"/>
              <w:szCs w:val="22"/>
              <w:lang w:val="ru-RU"/>
            </w:rPr>
          </w:pPr>
          <w:r>
            <w:rPr>
              <w:noProof/>
              <w:lang w:val="ru-RU"/>
            </w:rPr>
            <w:t>Введение</w:t>
          </w:r>
          <w:hyperlink w:anchor="_Toc9942383" w:history="1">
            <w:r w:rsidR="00E953EE" w:rsidRPr="0071386C">
              <w:rPr>
                <w:noProof/>
                <w:webHidden/>
                <w:lang w:val="ru-RU"/>
              </w:rPr>
              <w:tab/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begin"/>
            </w:r>
            <w:r w:rsidR="00E953EE" w:rsidRPr="0071386C">
              <w:rPr>
                <w:noProof/>
                <w:webHidden/>
                <w:lang w:val="ru-RU"/>
              </w:rPr>
              <w:instrText xml:space="preserve"> PAGEREF _Toc9942383 \h </w:instrText>
            </w:r>
            <w:r w:rsidR="00E953EE" w:rsidRPr="0071386C">
              <w:rPr>
                <w:b/>
                <w:noProof/>
                <w:webHidden/>
                <w:lang w:val="ru-RU"/>
              </w:rPr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separate"/>
            </w:r>
            <w:r w:rsidR="00A114FE">
              <w:rPr>
                <w:noProof/>
                <w:webHidden/>
                <w:lang w:val="ru-RU"/>
              </w:rPr>
              <w:t>7</w:t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7672011A" w14:textId="71E21333" w:rsidR="00E953EE" w:rsidRPr="0071386C" w:rsidRDefault="00C36F94" w:rsidP="002F7012">
          <w:pPr>
            <w:pStyle w:val="TOC1"/>
            <w:tabs>
              <w:tab w:val="clear" w:pos="1247"/>
              <w:tab w:val="clear" w:pos="1814"/>
              <w:tab w:val="right" w:pos="9550"/>
            </w:tabs>
            <w:spacing w:before="0" w:after="120"/>
            <w:ind w:left="1701" w:firstLine="0"/>
            <w:rPr>
              <w:rFonts w:eastAsiaTheme="minorEastAsia"/>
              <w:b/>
              <w:bCs w:val="0"/>
              <w:caps/>
              <w:noProof/>
              <w:sz w:val="22"/>
              <w:szCs w:val="22"/>
              <w:lang w:val="ru-RU"/>
            </w:rPr>
          </w:pPr>
          <w:r w:rsidRPr="00C36F94">
            <w:rPr>
              <w:noProof/>
              <w:lang w:val="ru-RU"/>
            </w:rPr>
            <w:t xml:space="preserve">Компиляция ответа Совета ГЭФ на руководящие указания, полученные </w:t>
          </w:r>
          <w:r w:rsidR="00393D38">
            <w:rPr>
              <w:noProof/>
              <w:lang w:val="ru-RU"/>
            </w:rPr>
            <w:br/>
          </w:r>
          <w:r w:rsidRPr="00C36F94">
            <w:rPr>
              <w:noProof/>
              <w:lang w:val="ru-RU"/>
            </w:rPr>
            <w:t>от Минаматской конвенции о ртути</w:t>
          </w:r>
          <w:hyperlink w:anchor="_Toc9942384" w:history="1">
            <w:r w:rsidR="00E953EE" w:rsidRPr="0071386C">
              <w:rPr>
                <w:noProof/>
                <w:webHidden/>
                <w:lang w:val="ru-RU"/>
              </w:rPr>
              <w:tab/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begin"/>
            </w:r>
            <w:r w:rsidR="00E953EE" w:rsidRPr="0071386C">
              <w:rPr>
                <w:noProof/>
                <w:webHidden/>
                <w:lang w:val="ru-RU"/>
              </w:rPr>
              <w:instrText xml:space="preserve"> PAGEREF _Toc9942384 \h </w:instrText>
            </w:r>
            <w:r w:rsidR="00E953EE" w:rsidRPr="0071386C">
              <w:rPr>
                <w:b/>
                <w:noProof/>
                <w:webHidden/>
                <w:lang w:val="ru-RU"/>
              </w:rPr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separate"/>
            </w:r>
            <w:r w:rsidR="00A114FE">
              <w:rPr>
                <w:noProof/>
                <w:webHidden/>
                <w:lang w:val="ru-RU"/>
              </w:rPr>
              <w:t>8</w:t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0EA145CC" w14:textId="7D7D853C" w:rsidR="00E953EE" w:rsidRPr="0071386C" w:rsidRDefault="00C36F94" w:rsidP="002F7012">
          <w:pPr>
            <w:pStyle w:val="TOC2"/>
            <w:tabs>
              <w:tab w:val="clear" w:pos="1247"/>
              <w:tab w:val="right" w:pos="9550"/>
            </w:tabs>
            <w:spacing w:after="120"/>
            <w:ind w:left="1701" w:firstLine="0"/>
            <w:rPr>
              <w:rFonts w:eastAsiaTheme="minorEastAsia"/>
              <w:b/>
              <w:bCs/>
              <w:noProof/>
              <w:sz w:val="22"/>
              <w:szCs w:val="22"/>
              <w:lang w:val="ru-RU"/>
            </w:rPr>
          </w:pPr>
          <w:r w:rsidRPr="00C36F94">
            <w:rPr>
              <w:noProof/>
              <w:lang w:val="ru-RU"/>
            </w:rPr>
            <w:t>Первоначальные руководящие указания для ГЭФ, полученные на КС</w:t>
          </w:r>
          <w:r w:rsidR="00670912">
            <w:rPr>
              <w:noProof/>
              <w:lang w:val="en-GB"/>
            </w:rPr>
            <w:t>-</w:t>
          </w:r>
          <w:r w:rsidRPr="00C36F94">
            <w:rPr>
              <w:noProof/>
              <w:lang w:val="ru-RU"/>
            </w:rPr>
            <w:t>1</w:t>
          </w:r>
          <w:hyperlink w:anchor="_Toc9942385" w:history="1">
            <w:r w:rsidR="00E953EE" w:rsidRPr="0071386C">
              <w:rPr>
                <w:noProof/>
                <w:webHidden/>
                <w:lang w:val="ru-RU"/>
              </w:rPr>
              <w:tab/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begin"/>
            </w:r>
            <w:r w:rsidR="00E953EE" w:rsidRPr="0071386C">
              <w:rPr>
                <w:noProof/>
                <w:webHidden/>
                <w:lang w:val="ru-RU"/>
              </w:rPr>
              <w:instrText xml:space="preserve"> PAGEREF _Toc9942385 \h </w:instrText>
            </w:r>
            <w:r w:rsidR="00E953EE" w:rsidRPr="0071386C">
              <w:rPr>
                <w:b/>
                <w:noProof/>
                <w:webHidden/>
                <w:lang w:val="ru-RU"/>
              </w:rPr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separate"/>
            </w:r>
            <w:r w:rsidR="00A114FE">
              <w:rPr>
                <w:noProof/>
                <w:webHidden/>
                <w:lang w:val="ru-RU"/>
              </w:rPr>
              <w:t>8</w:t>
            </w:r>
            <w:r w:rsidR="00E953EE" w:rsidRPr="0071386C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5BFF669E" w14:textId="2293AF4D" w:rsidR="00E953EE" w:rsidRPr="00232E5A" w:rsidRDefault="00A114FE" w:rsidP="002F7012">
          <w:pPr>
            <w:pStyle w:val="TOC2"/>
            <w:tabs>
              <w:tab w:val="clear" w:pos="1247"/>
              <w:tab w:val="right" w:pos="9550"/>
            </w:tabs>
            <w:spacing w:after="120"/>
            <w:ind w:left="1701" w:firstLine="0"/>
            <w:rPr>
              <w:rFonts w:eastAsiaTheme="minorEastAsia"/>
              <w:b/>
              <w:bCs/>
              <w:noProof/>
              <w:lang w:val="ru-RU"/>
            </w:rPr>
          </w:pPr>
          <w:hyperlink w:anchor="_Toc9942386" w:history="1">
            <w:r w:rsidR="00232E5A" w:rsidRPr="00232E5A">
              <w:rPr>
                <w:noProof/>
                <w:lang w:val="ru-RU"/>
              </w:rPr>
              <w:t>Руководящие указания, полученные в МКП</w:t>
            </w:r>
            <w:r w:rsidR="00232E5A" w:rsidRPr="00232E5A">
              <w:rPr>
                <w:noProof/>
              </w:rPr>
              <w:t>-</w:t>
            </w:r>
            <w:r w:rsidR="00232E5A" w:rsidRPr="00232E5A">
              <w:rPr>
                <w:noProof/>
                <w:lang w:val="ru-RU"/>
              </w:rPr>
              <w:t>6</w:t>
            </w:r>
            <w:r w:rsidR="00E953EE" w:rsidRPr="00232E5A">
              <w:rPr>
                <w:noProof/>
                <w:webHidden/>
                <w:lang w:val="ru-RU"/>
              </w:rPr>
              <w:tab/>
            </w:r>
            <w:r w:rsidR="00E953EE" w:rsidRPr="00232E5A">
              <w:rPr>
                <w:b/>
                <w:noProof/>
                <w:webHidden/>
                <w:lang w:val="ru-RU"/>
              </w:rPr>
              <w:fldChar w:fldCharType="begin"/>
            </w:r>
            <w:r w:rsidR="00E953EE" w:rsidRPr="00232E5A">
              <w:rPr>
                <w:noProof/>
                <w:webHidden/>
                <w:lang w:val="ru-RU"/>
              </w:rPr>
              <w:instrText xml:space="preserve"> PAGEREF _Toc9942386 \h </w:instrText>
            </w:r>
            <w:r w:rsidR="00E953EE" w:rsidRPr="00232E5A">
              <w:rPr>
                <w:b/>
                <w:noProof/>
                <w:webHidden/>
                <w:lang w:val="ru-RU"/>
              </w:rPr>
            </w:r>
            <w:r w:rsidR="00E953EE" w:rsidRPr="00232E5A">
              <w:rPr>
                <w:b/>
                <w:noProof/>
                <w:webHidden/>
                <w:lang w:val="ru-RU"/>
              </w:rPr>
              <w:fldChar w:fldCharType="separate"/>
            </w:r>
            <w:r>
              <w:rPr>
                <w:noProof/>
                <w:webHidden/>
                <w:lang w:val="ru-RU"/>
              </w:rPr>
              <w:t>14</w:t>
            </w:r>
            <w:r w:rsidR="00E953EE" w:rsidRPr="00232E5A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7010AE7C" w14:textId="4B6F39F5" w:rsidR="00E953EE" w:rsidRPr="00A96D21" w:rsidRDefault="00A114FE" w:rsidP="002F7012">
          <w:pPr>
            <w:pStyle w:val="TOC2"/>
            <w:tabs>
              <w:tab w:val="clear" w:pos="1247"/>
              <w:tab w:val="right" w:pos="9550"/>
            </w:tabs>
            <w:spacing w:after="120"/>
            <w:ind w:left="1701" w:firstLine="0"/>
            <w:rPr>
              <w:rFonts w:eastAsiaTheme="minorEastAsia"/>
              <w:b/>
              <w:bCs/>
              <w:noProof/>
              <w:lang w:val="ru-RU"/>
            </w:rPr>
          </w:pPr>
          <w:hyperlink w:anchor="_Toc9942387" w:history="1">
            <w:r w:rsidR="00A96D21" w:rsidRPr="00A96D21">
              <w:rPr>
                <w:noProof/>
                <w:lang w:val="ru-RU"/>
              </w:rPr>
              <w:t>Резолюции, принятые Конференцией полномочных представителей по Минаматской конвенции по ртути, и ответные меры ГЭФ</w:t>
            </w:r>
            <w:r w:rsidR="00E953EE" w:rsidRPr="00A96D21">
              <w:rPr>
                <w:noProof/>
                <w:webHidden/>
                <w:lang w:val="ru-RU"/>
              </w:rPr>
              <w:tab/>
            </w:r>
            <w:r w:rsidR="00E953EE" w:rsidRPr="00A96D21">
              <w:rPr>
                <w:b/>
                <w:noProof/>
                <w:webHidden/>
                <w:lang w:val="ru-RU"/>
              </w:rPr>
              <w:fldChar w:fldCharType="begin"/>
            </w:r>
            <w:r w:rsidR="00E953EE" w:rsidRPr="00A96D21">
              <w:rPr>
                <w:noProof/>
                <w:webHidden/>
                <w:lang w:val="ru-RU"/>
              </w:rPr>
              <w:instrText xml:space="preserve"> PAGEREF _Toc9942387 \h </w:instrText>
            </w:r>
            <w:r w:rsidR="00E953EE" w:rsidRPr="00A96D21">
              <w:rPr>
                <w:b/>
                <w:noProof/>
                <w:webHidden/>
                <w:lang w:val="ru-RU"/>
              </w:rPr>
            </w:r>
            <w:r w:rsidR="00E953EE" w:rsidRPr="00A96D21">
              <w:rPr>
                <w:b/>
                <w:noProof/>
                <w:webHidden/>
                <w:lang w:val="ru-RU"/>
              </w:rPr>
              <w:fldChar w:fldCharType="separate"/>
            </w:r>
            <w:r>
              <w:rPr>
                <w:noProof/>
                <w:webHidden/>
                <w:lang w:val="ru-RU"/>
              </w:rPr>
              <w:t>15</w:t>
            </w:r>
            <w:r w:rsidR="00E953EE" w:rsidRPr="00A96D21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4B02CB40" w14:textId="36789B52" w:rsidR="00E953EE" w:rsidRPr="00A96D21" w:rsidRDefault="00A114FE" w:rsidP="006909EB">
          <w:pPr>
            <w:pStyle w:val="TOC1"/>
            <w:tabs>
              <w:tab w:val="clear" w:pos="1247"/>
              <w:tab w:val="clear" w:pos="1814"/>
              <w:tab w:val="right" w:pos="9550"/>
            </w:tabs>
            <w:ind w:left="1701" w:firstLine="0"/>
            <w:rPr>
              <w:rFonts w:eastAsiaTheme="minorEastAsia"/>
              <w:b/>
              <w:bCs w:val="0"/>
              <w:caps/>
              <w:noProof/>
              <w:lang w:val="ru-RU"/>
            </w:rPr>
          </w:pPr>
          <w:hyperlink w:anchor="_Toc9942388" w:history="1">
            <w:r w:rsidR="00A96D21" w:rsidRPr="00A96D21">
              <w:rPr>
                <w:noProof/>
                <w:lang w:val="ru-RU"/>
              </w:rPr>
              <w:t xml:space="preserve">Ресурсы, запрограммированные для Минаматской конвенции с июля </w:t>
            </w:r>
            <w:r w:rsidR="00A96D21">
              <w:rPr>
                <w:noProof/>
                <w:lang w:val="ru-RU"/>
              </w:rPr>
              <w:br/>
            </w:r>
            <w:r w:rsidR="00A96D21" w:rsidRPr="00A96D21">
              <w:rPr>
                <w:noProof/>
                <w:lang w:val="ru-RU"/>
              </w:rPr>
              <w:t>2010 года по май 2019 года</w:t>
            </w:r>
            <w:r w:rsidR="00E953EE" w:rsidRPr="00A96D21">
              <w:rPr>
                <w:noProof/>
                <w:webHidden/>
                <w:lang w:val="ru-RU"/>
              </w:rPr>
              <w:tab/>
            </w:r>
            <w:r w:rsidR="00E953EE" w:rsidRPr="00A96D21">
              <w:rPr>
                <w:b/>
                <w:noProof/>
                <w:webHidden/>
                <w:lang w:val="ru-RU"/>
              </w:rPr>
              <w:fldChar w:fldCharType="begin"/>
            </w:r>
            <w:r w:rsidR="00E953EE" w:rsidRPr="00A96D21">
              <w:rPr>
                <w:noProof/>
                <w:webHidden/>
                <w:lang w:val="ru-RU"/>
              </w:rPr>
              <w:instrText xml:space="preserve"> PAGEREF _Toc9942388 \h </w:instrText>
            </w:r>
            <w:r w:rsidR="00E953EE" w:rsidRPr="00A96D21">
              <w:rPr>
                <w:b/>
                <w:noProof/>
                <w:webHidden/>
                <w:lang w:val="ru-RU"/>
              </w:rPr>
            </w:r>
            <w:r w:rsidR="00E953EE" w:rsidRPr="00A96D21">
              <w:rPr>
                <w:b/>
                <w:noProof/>
                <w:webHidden/>
                <w:lang w:val="ru-RU"/>
              </w:rPr>
              <w:fldChar w:fldCharType="separate"/>
            </w:r>
            <w:r>
              <w:rPr>
                <w:noProof/>
                <w:webHidden/>
                <w:lang w:val="ru-RU"/>
              </w:rPr>
              <w:t>17</w:t>
            </w:r>
            <w:r w:rsidR="00E953EE" w:rsidRPr="00A96D21">
              <w:rPr>
                <w:b/>
                <w:noProof/>
                <w:webHidden/>
                <w:lang w:val="ru-RU"/>
              </w:rPr>
              <w:fldChar w:fldCharType="end"/>
            </w:r>
          </w:hyperlink>
        </w:p>
        <w:p w14:paraId="453C27FF" w14:textId="77777777" w:rsidR="00E953EE" w:rsidRPr="0071386C" w:rsidRDefault="00E953EE" w:rsidP="00E953EE">
          <w:pPr>
            <w:rPr>
              <w:lang w:val="ru-RU"/>
            </w:rPr>
          </w:pPr>
          <w:r w:rsidRPr="0071386C">
            <w:rPr>
              <w:bCs/>
              <w:noProof/>
              <w:lang w:val="ru-RU"/>
            </w:rPr>
            <w:fldChar w:fldCharType="end"/>
          </w:r>
        </w:p>
      </w:sdtContent>
    </w:sdt>
    <w:p w14:paraId="4D98DF3E" w14:textId="77777777" w:rsidR="00C75B4C" w:rsidRPr="0071386C" w:rsidRDefault="00C75B4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bookmarkStart w:id="4" w:name="_Toc9941937"/>
      <w:bookmarkStart w:id="5" w:name="_Toc9942383"/>
      <w:r w:rsidRPr="0071386C">
        <w:rPr>
          <w:b/>
          <w:lang w:val="ru-RU"/>
        </w:rPr>
        <w:br w:type="page"/>
      </w:r>
    </w:p>
    <w:p w14:paraId="08AF4E27" w14:textId="00502814" w:rsidR="00E953EE" w:rsidRPr="0071386C" w:rsidRDefault="00F54AD0" w:rsidP="00393D38">
      <w:pPr>
        <w:pStyle w:val="Heading1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  <w:rPr>
          <w:b w:val="0"/>
          <w:sz w:val="22"/>
          <w:szCs w:val="22"/>
          <w:lang w:val="ru-RU"/>
        </w:rPr>
      </w:pPr>
      <w:r w:rsidRPr="0071386C">
        <w:rPr>
          <w:sz w:val="24"/>
          <w:szCs w:val="24"/>
          <w:lang w:val="ru-RU"/>
        </w:rPr>
        <w:lastRenderedPageBreak/>
        <w:t>Введение</w:t>
      </w:r>
      <w:bookmarkEnd w:id="4"/>
      <w:bookmarkEnd w:id="5"/>
    </w:p>
    <w:p w14:paraId="4855F6A0" w14:textId="1F0306C2" w:rsidR="00E953EE" w:rsidRPr="0036641F" w:rsidRDefault="00D01B15" w:rsidP="0036641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ru-RU"/>
        </w:rPr>
      </w:pPr>
      <w:r>
        <w:t>1.</w:t>
      </w:r>
      <w:r>
        <w:tab/>
      </w:r>
      <w:r w:rsidR="00F54AD0" w:rsidRPr="0036641F">
        <w:rPr>
          <w:lang w:val="ru-RU"/>
        </w:rPr>
        <w:t>В пункте 5 статьи 13 Минаматской конвенции о ртути определяется механизм для своевременного обеспечения достаточных финансовых ресурсов на предсказуемой основе в целях оказания поддержки Сторонам, являющимся развивающимися странами, и Сторонам с переходной экономикой в соблюдении ими своих обязательств в соответствии с Конвенцией</w:t>
      </w:r>
      <w:r w:rsidR="00E953EE" w:rsidRPr="0036641F">
        <w:rPr>
          <w:lang w:val="ru-RU"/>
        </w:rPr>
        <w:t>.</w:t>
      </w:r>
    </w:p>
    <w:p w14:paraId="24E32467" w14:textId="1E0237E3" w:rsidR="00E953EE" w:rsidRPr="0036641F" w:rsidRDefault="00D01B15" w:rsidP="0036641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ru-RU"/>
        </w:rPr>
      </w:pPr>
      <w:r>
        <w:t>2.</w:t>
      </w:r>
      <w:r>
        <w:tab/>
      </w:r>
      <w:r w:rsidR="00F54AD0" w:rsidRPr="0036641F">
        <w:rPr>
          <w:lang w:val="ru-RU"/>
        </w:rPr>
        <w:t>В пункте 6 статьи 13 предусматривается, что в состав механизма входят Целевой фонд Глобального экологического фонда и Целевая международная программа для поддержки процессов создания потенциала и оказания технической помощи.</w:t>
      </w:r>
    </w:p>
    <w:p w14:paraId="38F859D0" w14:textId="1D0D3A2D" w:rsidR="00E953EE" w:rsidRPr="0036641F" w:rsidRDefault="00D01B15" w:rsidP="0036641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ru-RU"/>
        </w:rPr>
      </w:pPr>
      <w:r>
        <w:t>3.</w:t>
      </w:r>
      <w:r>
        <w:tab/>
      </w:r>
      <w:r w:rsidR="00100F8C" w:rsidRPr="0036641F">
        <w:rPr>
          <w:lang w:val="ru-RU"/>
        </w:rPr>
        <w:t>В пункте 11 статьи 13 Минаматской конвенции о ртути предусматривается, что</w:t>
      </w:r>
      <w:r w:rsidR="00E953EE" w:rsidRPr="0036641F">
        <w:rPr>
          <w:lang w:val="ru-RU"/>
        </w:rPr>
        <w:t xml:space="preserve">: </w:t>
      </w:r>
    </w:p>
    <w:p w14:paraId="2A9A4499" w14:textId="40F7704F" w:rsidR="00E953EE" w:rsidRPr="0036641F" w:rsidRDefault="00BE1E16" w:rsidP="00BA5DD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lang w:val="ru-RU"/>
        </w:rPr>
      </w:pPr>
      <w:r w:rsidRPr="0036641F">
        <w:rPr>
          <w:lang w:val="ru-RU"/>
        </w:rPr>
        <w:t>«Конференция Сторон, не позднее чем на своем третьем совещании, а далее – через регулярные промежутки времени, рассматривает уровень финансирования, руководящие указания Конференции Сторон в адрес органов, которым поручено обеспечить работоспособность механизма, учрежденного в соответствии с настоящей статьей, и их эффективность, а также их способность удовлетворять изменяющиеся потребности Сторон, являющихся развивающимися странами и странами с переходной экономикой</w:t>
      </w:r>
      <w:r w:rsidR="00BF3DD1" w:rsidRPr="0036641F">
        <w:rPr>
          <w:lang w:val="ru-RU"/>
        </w:rPr>
        <w:t>. На основе такого рассмотрения она принимает соответствующие меры для повышения эффективности механизма</w:t>
      </w:r>
      <w:r w:rsidRPr="0036641F">
        <w:rPr>
          <w:lang w:val="ru-RU"/>
        </w:rPr>
        <w:t>».</w:t>
      </w:r>
    </w:p>
    <w:p w14:paraId="7B4678B8" w14:textId="658BA3A5" w:rsidR="00E953EE" w:rsidRPr="0036641F" w:rsidRDefault="00D01B15" w:rsidP="0036641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ru-RU"/>
        </w:rPr>
      </w:pPr>
      <w:r>
        <w:t>4.</w:t>
      </w:r>
      <w:r>
        <w:tab/>
      </w:r>
      <w:r w:rsidR="005B421E" w:rsidRPr="0036641F">
        <w:rPr>
          <w:lang w:val="ru-RU"/>
        </w:rPr>
        <w:t xml:space="preserve">В настоящем документе содержится информация об уровне финансирования со стороны </w:t>
      </w:r>
      <w:proofErr w:type="spellStart"/>
      <w:r w:rsidR="005B421E" w:rsidRPr="0036641F">
        <w:rPr>
          <w:lang w:val="ru-RU"/>
        </w:rPr>
        <w:t>ГЭФ</w:t>
      </w:r>
      <w:proofErr w:type="spellEnd"/>
      <w:r w:rsidR="005B421E" w:rsidRPr="0036641F">
        <w:rPr>
          <w:lang w:val="ru-RU"/>
        </w:rPr>
        <w:t xml:space="preserve"> в целях оказания поддержки Сторонам, являющимся развивающимися странами и </w:t>
      </w:r>
      <w:r w:rsidR="006837BB">
        <w:rPr>
          <w:lang w:val="ru-RU"/>
        </w:rPr>
        <w:t xml:space="preserve">странами </w:t>
      </w:r>
      <w:r w:rsidR="005B421E" w:rsidRPr="0036641F">
        <w:rPr>
          <w:lang w:val="ru-RU"/>
        </w:rPr>
        <w:t>с переходной экономикой</w:t>
      </w:r>
      <w:r w:rsidR="006837BB">
        <w:rPr>
          <w:lang w:val="ru-RU"/>
        </w:rPr>
        <w:t>,</w:t>
      </w:r>
      <w:r w:rsidR="005B421E" w:rsidRPr="0036641F">
        <w:rPr>
          <w:lang w:val="ru-RU"/>
        </w:rPr>
        <w:t xml:space="preserve"> в соблюдении ими своих обязательств в соответствии с Конвенцией и ответ</w:t>
      </w:r>
      <w:r w:rsidR="00DE670E" w:rsidRPr="0036641F">
        <w:rPr>
          <w:lang w:val="ru-RU"/>
        </w:rPr>
        <w:t xml:space="preserve">ные </w:t>
      </w:r>
      <w:r w:rsidR="00C43DBC" w:rsidRPr="0036641F">
        <w:rPr>
          <w:lang w:val="ru-RU"/>
        </w:rPr>
        <w:t>меры</w:t>
      </w:r>
      <w:r w:rsidR="005B421E" w:rsidRPr="0036641F">
        <w:rPr>
          <w:lang w:val="ru-RU"/>
        </w:rPr>
        <w:t xml:space="preserve"> на руководящие указания Конференции Сторон (КС) и Межправительственного комитета по ведению переговоров (</w:t>
      </w:r>
      <w:proofErr w:type="spellStart"/>
      <w:r w:rsidR="005B421E" w:rsidRPr="0036641F">
        <w:rPr>
          <w:lang w:val="ru-RU"/>
        </w:rPr>
        <w:t>МКП</w:t>
      </w:r>
      <w:proofErr w:type="spellEnd"/>
      <w:r w:rsidR="005B421E" w:rsidRPr="0036641F">
        <w:rPr>
          <w:lang w:val="ru-RU"/>
        </w:rPr>
        <w:t>), а также Конференции полномочных представителей по Минаматской конвенции о ртути</w:t>
      </w:r>
      <w:r w:rsidR="00E953EE" w:rsidRPr="0036641F" w:rsidDel="00D32145">
        <w:rPr>
          <w:lang w:val="ru-RU"/>
        </w:rPr>
        <w:t>.</w:t>
      </w:r>
    </w:p>
    <w:p w14:paraId="7E0EBA3D" w14:textId="77777777" w:rsidR="00A01C48" w:rsidRDefault="00A01C48" w:rsidP="00E953EE">
      <w:pPr>
        <w:rPr>
          <w:rFonts w:eastAsiaTheme="majorEastAsia"/>
          <w:b/>
          <w:lang w:val="ru-RU"/>
        </w:rPr>
        <w:sectPr w:rsidR="00A01C48" w:rsidSect="00F90F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type w:val="continuous"/>
          <w:pgSz w:w="11907" w:h="16840" w:code="9"/>
          <w:pgMar w:top="907" w:right="992" w:bottom="1418" w:left="1418" w:header="539" w:footer="975" w:gutter="0"/>
          <w:cols w:space="539"/>
          <w:titlePg/>
          <w:docGrid w:linePitch="360"/>
        </w:sectPr>
      </w:pPr>
      <w:bookmarkStart w:id="6" w:name="_Toc9941938"/>
      <w:bookmarkStart w:id="7" w:name="_Toc9942384"/>
    </w:p>
    <w:p w14:paraId="22487D27" w14:textId="5673C74C" w:rsidR="00E953EE" w:rsidRPr="0071386C" w:rsidRDefault="00905DAF" w:rsidP="005072C2">
      <w:pPr>
        <w:pStyle w:val="Heading1"/>
        <w:keepNext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  <w:rPr>
          <w:rFonts w:eastAsiaTheme="minorHAnsi"/>
          <w:lang w:val="ru-RU"/>
        </w:rPr>
      </w:pPr>
      <w:r w:rsidRPr="0071386C">
        <w:rPr>
          <w:b w:val="0"/>
          <w:sz w:val="24"/>
          <w:szCs w:val="24"/>
          <w:lang w:val="ru-RU"/>
        </w:rPr>
        <w:lastRenderedPageBreak/>
        <w:t xml:space="preserve">Компиляция ответа Совета </w:t>
      </w:r>
      <w:proofErr w:type="spellStart"/>
      <w:r w:rsidRPr="0071386C">
        <w:rPr>
          <w:b w:val="0"/>
          <w:sz w:val="24"/>
          <w:szCs w:val="24"/>
          <w:lang w:val="ru-RU"/>
        </w:rPr>
        <w:t>ГЭФ</w:t>
      </w:r>
      <w:proofErr w:type="spellEnd"/>
      <w:r w:rsidRPr="0071386C">
        <w:rPr>
          <w:b w:val="0"/>
          <w:sz w:val="24"/>
          <w:szCs w:val="24"/>
          <w:lang w:val="ru-RU"/>
        </w:rPr>
        <w:t xml:space="preserve"> на руководящие указания, полученные от Минаматской конвенции о ртути</w:t>
      </w:r>
      <w:bookmarkEnd w:id="6"/>
      <w:bookmarkEnd w:id="7"/>
    </w:p>
    <w:p w14:paraId="51F6105E" w14:textId="06C5FA8C" w:rsidR="00E953EE" w:rsidRPr="0071386C" w:rsidRDefault="00905DAF" w:rsidP="005072C2">
      <w:pPr>
        <w:pStyle w:val="Heading2"/>
        <w:keepNext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  <w:rPr>
          <w:lang w:val="ru-RU"/>
        </w:rPr>
      </w:pPr>
      <w:bookmarkStart w:id="8" w:name="_Toc9941939"/>
      <w:bookmarkStart w:id="9" w:name="_Toc9942385"/>
      <w:r w:rsidRPr="0071386C">
        <w:rPr>
          <w:lang w:val="ru-RU"/>
        </w:rPr>
        <w:t xml:space="preserve">Первоначальные руководящие указания для </w:t>
      </w:r>
      <w:proofErr w:type="spellStart"/>
      <w:r w:rsidRPr="0071386C">
        <w:rPr>
          <w:lang w:val="ru-RU"/>
        </w:rPr>
        <w:t>ГЭФ</w:t>
      </w:r>
      <w:proofErr w:type="spellEnd"/>
      <w:r w:rsidRPr="0071386C">
        <w:rPr>
          <w:lang w:val="ru-RU"/>
        </w:rPr>
        <w:t>, полученные на КС</w:t>
      </w:r>
      <w:r w:rsidR="00C508DA">
        <w:t>-</w:t>
      </w:r>
      <w:r w:rsidR="00E953EE" w:rsidRPr="0071386C">
        <w:rPr>
          <w:lang w:val="ru-RU"/>
        </w:rPr>
        <w:t>1</w:t>
      </w:r>
      <w:r w:rsidR="00E953EE" w:rsidRPr="0071386C">
        <w:rPr>
          <w:rStyle w:val="FootnoteReference"/>
          <w:lang w:val="ru-RU"/>
        </w:rPr>
        <w:footnoteReference w:id="6"/>
      </w:r>
      <w:bookmarkEnd w:id="8"/>
      <w:bookmarkEnd w:id="9"/>
    </w:p>
    <w:tbl>
      <w:tblPr>
        <w:tblStyle w:val="GridTable5Dark-Accent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0"/>
        <w:gridCol w:w="4618"/>
        <w:gridCol w:w="4439"/>
      </w:tblGrid>
      <w:tr w:rsidR="00F97219" w:rsidRPr="00F14EA1" w14:paraId="3B66D5D9" w14:textId="77777777" w:rsidTr="006909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EBFC3" w14:textId="4EDF8B9C" w:rsidR="00E953EE" w:rsidRPr="00F14EA1" w:rsidRDefault="00E62E26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Руководящие указания 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F7EF8" w14:textId="3FC4C705" w:rsidR="00E953EE" w:rsidRPr="00F14EA1" w:rsidRDefault="0017523A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Ответные меры </w:t>
            </w:r>
            <w:proofErr w:type="spellStart"/>
            <w:r w:rsidRPr="00F14EA1">
              <w:rPr>
                <w:color w:val="auto"/>
                <w:szCs w:val="20"/>
                <w:lang w:val="ru-RU"/>
              </w:rPr>
              <w:t>ГЭФ</w:t>
            </w:r>
            <w:proofErr w:type="spellEnd"/>
          </w:p>
        </w:tc>
      </w:tr>
      <w:tr w:rsidR="00E953EE" w:rsidRPr="00F14EA1" w14:paraId="2EAB5125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26B2EE" w14:textId="432137C3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I. </w:t>
            </w:r>
            <w:r w:rsidR="00E62E26" w:rsidRPr="00F14EA1">
              <w:rPr>
                <w:color w:val="auto"/>
                <w:szCs w:val="20"/>
                <w:lang w:val="ru-RU"/>
              </w:rPr>
              <w:t>Правомочность доступа к финансовым ресурсам и их использования</w:t>
            </w:r>
          </w:p>
        </w:tc>
      </w:tr>
      <w:tr w:rsidR="00F97219" w:rsidRPr="00F14EA1" w14:paraId="5173C5FE" w14:textId="77777777" w:rsidTr="000B622B">
        <w:trPr>
          <w:trHeight w:val="19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54B581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35C4177D" w14:textId="1D8A9B36" w:rsidR="00E953EE" w:rsidRPr="00F14EA1" w:rsidRDefault="000B3C9D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Для того, чтобы иметь право на получение доступа к финансированию по линии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как одного из органов, входящих в состав механизма финансирования Минаматской конвенции, страна должна быть Стороной Конвенции и являться развивающейся страной или страной с переходной экономикой.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3EC5F98A" w14:textId="59B0F2AB" w:rsidR="00E953EE" w:rsidRPr="00F14EA1" w:rsidRDefault="000B3C9D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Политика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в отношении права доступа к финансированию по ртути включает критерии финансирования стимулирующей деятельности. Руководящие </w:t>
            </w:r>
            <w:r w:rsidR="008C655B" w:rsidRPr="00F14EA1">
              <w:rPr>
                <w:szCs w:val="20"/>
                <w:lang w:val="ru-RU"/>
              </w:rPr>
              <w:t>указания</w:t>
            </w:r>
            <w:r w:rsidRPr="00F14EA1">
              <w:rPr>
                <w:szCs w:val="20"/>
                <w:lang w:val="ru-RU"/>
              </w:rPr>
              <w:t xml:space="preserve"> в отношении стимулирующей деятельности содержатся в информационном документе 45-го совещания Совета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, пересмотренного в январе 2014</w:t>
            </w:r>
            <w:r w:rsidR="00E3651D">
              <w:rPr>
                <w:szCs w:val="20"/>
                <w:lang w:val="en-GB"/>
              </w:rPr>
              <w:t> </w:t>
            </w:r>
            <w:r w:rsidRPr="00F14EA1">
              <w:rPr>
                <w:szCs w:val="20"/>
                <w:lang w:val="ru-RU"/>
              </w:rPr>
              <w:t>года</w:t>
            </w:r>
            <w:r w:rsidR="00E3651D" w:rsidRPr="00F14EA1">
              <w:rPr>
                <w:rStyle w:val="FootnoteReference"/>
                <w:szCs w:val="20"/>
                <w:lang w:val="ru-RU"/>
              </w:rPr>
              <w:footnoteReference w:id="7"/>
            </w:r>
            <w:r w:rsidR="00E953EE" w:rsidRPr="00F14EA1">
              <w:rPr>
                <w:szCs w:val="20"/>
                <w:lang w:val="ru-RU"/>
              </w:rPr>
              <w:t>.</w:t>
            </w:r>
          </w:p>
          <w:p w14:paraId="2B78B991" w14:textId="0AD93FD3" w:rsidR="00E953EE" w:rsidRPr="00F14EA1" w:rsidRDefault="00195C08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до проведения Конференции Сторон и страны, подписавшие соглашение, и Стороны имели право на получение финансирования от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.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-7 только Стороны имеют право на доступ к ресурсам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.</w:t>
            </w:r>
          </w:p>
        </w:tc>
      </w:tr>
      <w:tr w:rsidR="00F97219" w:rsidRPr="00F14EA1" w14:paraId="50E86532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7F84B4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7412C8A7" w14:textId="4D741E7A" w:rsidR="00E953EE" w:rsidRPr="00F14EA1" w:rsidRDefault="00B77342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Мероприятия, </w:t>
            </w:r>
            <w:r w:rsidR="005B618B">
              <w:rPr>
                <w:szCs w:val="20"/>
                <w:lang w:val="ru-RU"/>
              </w:rPr>
              <w:t>отвечающие критериям для получения</w:t>
            </w:r>
            <w:r w:rsidRPr="00F14EA1">
              <w:rPr>
                <w:szCs w:val="20"/>
                <w:lang w:val="ru-RU"/>
              </w:rPr>
              <w:t xml:space="preserve"> финансировани</w:t>
            </w:r>
            <w:r w:rsidR="005B618B">
              <w:rPr>
                <w:szCs w:val="20"/>
                <w:lang w:val="ru-RU"/>
              </w:rPr>
              <w:t>я</w:t>
            </w:r>
            <w:r w:rsidRPr="00F14EA1">
              <w:rPr>
                <w:szCs w:val="20"/>
                <w:lang w:val="ru-RU"/>
              </w:rPr>
              <w:t xml:space="preserve"> по линии Целевого фонда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, должны быть направлены на достижение целей Конвенции и должны соответствовать настоящим руководящим указаниям.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0FA891A7" w14:textId="551DC204" w:rsidR="00E953EE" w:rsidRPr="00F14EA1" w:rsidRDefault="00B77342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соответствии с пунктом 6 e) Документа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Глобальный экологический фонд должен: действовать в качестве одного из органов, входящих в состав механизма финансирования Минаматской конвенции о ртути</w:t>
            </w:r>
            <w:r w:rsidR="002C201E">
              <w:rPr>
                <w:szCs w:val="20"/>
                <w:lang w:val="ru-RU"/>
              </w:rPr>
              <w:t>,</w:t>
            </w:r>
            <w:r w:rsidRPr="00F14EA1">
              <w:rPr>
                <w:szCs w:val="20"/>
                <w:lang w:val="ru-RU"/>
              </w:rPr>
              <w:t xml:space="preserve"> во исполнение статьи 13, пунктов 5, 6 и 8.</w:t>
            </w:r>
            <w:r w:rsidR="00E953EE" w:rsidRPr="00F14EA1">
              <w:rPr>
                <w:szCs w:val="20"/>
                <w:lang w:val="ru-RU"/>
              </w:rPr>
              <w:t xml:space="preserve"> </w:t>
            </w:r>
            <w:r w:rsidR="00A76F33" w:rsidRPr="00F14EA1">
              <w:rPr>
                <w:szCs w:val="20"/>
                <w:lang w:val="ru-RU"/>
              </w:rPr>
              <w:t xml:space="preserve">В этих случаях </w:t>
            </w:r>
            <w:proofErr w:type="spellStart"/>
            <w:r w:rsidR="00A76F33" w:rsidRPr="00F14EA1">
              <w:rPr>
                <w:szCs w:val="20"/>
                <w:lang w:val="ru-RU"/>
              </w:rPr>
              <w:t>ГЭФ</w:t>
            </w:r>
            <w:proofErr w:type="spellEnd"/>
            <w:r w:rsidR="00A76F33" w:rsidRPr="00F14EA1">
              <w:rPr>
                <w:szCs w:val="20"/>
                <w:lang w:val="ru-RU"/>
              </w:rPr>
              <w:t xml:space="preserve"> действует под руководством и отчитывается перед Конференцией Сторон, которая будет предоставлять руководящие </w:t>
            </w:r>
            <w:r w:rsidR="009D4498" w:rsidRPr="00F14EA1">
              <w:rPr>
                <w:szCs w:val="20"/>
                <w:lang w:val="ru-RU"/>
              </w:rPr>
              <w:t>указания</w:t>
            </w:r>
            <w:r w:rsidR="00A76F33" w:rsidRPr="00F14EA1">
              <w:rPr>
                <w:szCs w:val="20"/>
                <w:lang w:val="ru-RU"/>
              </w:rPr>
              <w:t xml:space="preserve"> по общим стратегиям, политик</w:t>
            </w:r>
            <w:r w:rsidR="009D4498" w:rsidRPr="00F14EA1">
              <w:rPr>
                <w:szCs w:val="20"/>
                <w:lang w:val="ru-RU"/>
              </w:rPr>
              <w:t>е</w:t>
            </w:r>
            <w:r w:rsidR="00A76F33" w:rsidRPr="00F14EA1">
              <w:rPr>
                <w:szCs w:val="20"/>
                <w:lang w:val="ru-RU"/>
              </w:rPr>
              <w:t xml:space="preserve">, приоритетности программ и квалификационным критериям доступа к финансовым ресурсам и их использования. Кроме того, </w:t>
            </w:r>
            <w:proofErr w:type="spellStart"/>
            <w:r w:rsidR="00A76F33" w:rsidRPr="00F14EA1">
              <w:rPr>
                <w:szCs w:val="20"/>
                <w:lang w:val="ru-RU"/>
              </w:rPr>
              <w:t>ГЭФ</w:t>
            </w:r>
            <w:proofErr w:type="spellEnd"/>
            <w:r w:rsidR="00A76F33" w:rsidRPr="00F14EA1">
              <w:rPr>
                <w:szCs w:val="20"/>
                <w:lang w:val="ru-RU"/>
              </w:rPr>
              <w:t xml:space="preserve"> получает указания от Конференции Сторон относительно ориентировочного перечня категорий видов деятельности для получения поддержки; </w:t>
            </w:r>
            <w:r w:rsidR="00982F6E" w:rsidRPr="00F14EA1">
              <w:rPr>
                <w:szCs w:val="20"/>
                <w:lang w:val="ru-RU"/>
              </w:rPr>
              <w:t>и предоставляет ресурсы для покрытия согласованных дополнительных затрат, связанных с получением глобальных экологических выгод, и всех согласованных издержек на некоторые стимулирующие мероприятия в соответствии с пунктом 7 статьи</w:t>
            </w:r>
            <w:r w:rsidR="009A6FC1">
              <w:rPr>
                <w:szCs w:val="20"/>
                <w:lang w:val="en-GB"/>
              </w:rPr>
              <w:t> </w:t>
            </w:r>
            <w:r w:rsidR="00982F6E" w:rsidRPr="00F14EA1">
              <w:rPr>
                <w:szCs w:val="20"/>
                <w:lang w:val="ru-RU"/>
              </w:rPr>
              <w:t>13 Минаматской конвенции о ртути.</w:t>
            </w:r>
          </w:p>
        </w:tc>
      </w:tr>
      <w:tr w:rsidR="00F97219" w:rsidRPr="00F14EA1" w14:paraId="6A036116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E7F0B79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AE818C4" w14:textId="12E4FDE8" w:rsidR="00E953EE" w:rsidRPr="00F14EA1" w:rsidRDefault="00DA56CF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Подписавшие Конвенцию государства имеют право на доступ к финансированию по линии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для стимулирующей деятельности при условии, что любое такое государство, подписавшее Конвенцию, предпринимает реальные шаги к тому, чтобы стать Стороной Конвенции, что подтверждается письмом соответствующего министра на имя Директора-исполнителя Программы Организации Объединенных Наций по окружающей среде, а также на имя Главного административного сотрудника и Председателя Глобального экологического фонда.</w:t>
            </w:r>
          </w:p>
        </w:tc>
        <w:tc>
          <w:tcPr>
            <w:tcW w:w="0" w:type="auto"/>
            <w:shd w:val="clear" w:color="auto" w:fill="FFFFFF" w:themeFill="background1"/>
          </w:tcPr>
          <w:p w14:paraId="044F1C75" w14:textId="0E392310" w:rsidR="00E953EE" w:rsidRPr="00F14EA1" w:rsidRDefault="00DA56CF" w:rsidP="009A6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По состоянию на 30 июня 2018 года в рамках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-5 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оказал поддержку в осуществлении первоначальных оценок в рамках Минаматской конвенции в общей сложности 110 странам и 32 странам в проведении их национальных планов действий (НПД) в области кустарной и мелкомасштабной золотодобычи (</w:t>
            </w:r>
            <w:proofErr w:type="spellStart"/>
            <w:r w:rsidRPr="00F14EA1">
              <w:rPr>
                <w:szCs w:val="20"/>
                <w:lang w:val="ru-RU"/>
              </w:rPr>
              <w:t>КМЗ</w:t>
            </w:r>
            <w:proofErr w:type="spellEnd"/>
            <w:r w:rsidRPr="00F14EA1">
              <w:rPr>
                <w:szCs w:val="20"/>
                <w:lang w:val="ru-RU"/>
              </w:rPr>
              <w:t>).</w:t>
            </w:r>
            <w:r w:rsidR="0061797D" w:rsidRPr="00F14EA1">
              <w:rPr>
                <w:szCs w:val="20"/>
                <w:lang w:val="ru-RU"/>
              </w:rPr>
              <w:t xml:space="preserve"> </w:t>
            </w:r>
            <w:r w:rsidR="002F0439">
              <w:rPr>
                <w:szCs w:val="20"/>
                <w:lang w:val="ru-RU"/>
              </w:rPr>
              <w:t xml:space="preserve">Семьдесят восемь </w:t>
            </w:r>
            <w:r w:rsidR="0061797D" w:rsidRPr="00F14EA1">
              <w:rPr>
                <w:szCs w:val="20"/>
                <w:lang w:val="ru-RU"/>
              </w:rPr>
              <w:t xml:space="preserve">из </w:t>
            </w:r>
            <w:r w:rsidR="002F0439">
              <w:rPr>
                <w:szCs w:val="20"/>
                <w:lang w:val="ru-RU"/>
              </w:rPr>
              <w:t xml:space="preserve">восьмидесяти девяти </w:t>
            </w:r>
            <w:r w:rsidR="0061797D" w:rsidRPr="00F14EA1">
              <w:rPr>
                <w:szCs w:val="20"/>
                <w:lang w:val="ru-RU"/>
              </w:rPr>
              <w:t xml:space="preserve">государств, подписавших </w:t>
            </w:r>
            <w:r w:rsidR="004F77A1" w:rsidRPr="00F14EA1">
              <w:rPr>
                <w:szCs w:val="20"/>
                <w:lang w:val="ru-RU"/>
              </w:rPr>
              <w:t>Конвенцию</w:t>
            </w:r>
            <w:r w:rsidR="0061797D" w:rsidRPr="00F14EA1">
              <w:rPr>
                <w:szCs w:val="20"/>
                <w:lang w:val="ru-RU"/>
              </w:rPr>
              <w:t>, получили финансирование для проведения стимулирующих мероприятий.</w:t>
            </w:r>
            <w:r w:rsidR="00E953EE" w:rsidRPr="00F14EA1">
              <w:rPr>
                <w:szCs w:val="20"/>
                <w:lang w:val="ru-RU"/>
              </w:rPr>
              <w:t xml:space="preserve"> </w:t>
            </w:r>
            <w:r w:rsidR="0061797D" w:rsidRPr="00F14EA1">
              <w:rPr>
                <w:szCs w:val="20"/>
                <w:lang w:val="ru-RU"/>
              </w:rPr>
              <w:t xml:space="preserve">Из оставшихся </w:t>
            </w:r>
            <w:r w:rsidR="004C0690">
              <w:rPr>
                <w:szCs w:val="20"/>
                <w:lang w:val="ru-RU"/>
              </w:rPr>
              <w:t>11</w:t>
            </w:r>
            <w:r w:rsidR="004C0690" w:rsidRPr="00F14EA1">
              <w:rPr>
                <w:szCs w:val="20"/>
                <w:lang w:val="ru-RU"/>
              </w:rPr>
              <w:t xml:space="preserve"> </w:t>
            </w:r>
            <w:r w:rsidR="0061797D" w:rsidRPr="00F14EA1">
              <w:rPr>
                <w:szCs w:val="20"/>
                <w:lang w:val="ru-RU"/>
              </w:rPr>
              <w:t xml:space="preserve">стран </w:t>
            </w:r>
            <w:r w:rsidR="00DC6902">
              <w:rPr>
                <w:szCs w:val="20"/>
                <w:lang w:val="ru-RU"/>
              </w:rPr>
              <w:t>6</w:t>
            </w:r>
            <w:r w:rsidR="0061797D" w:rsidRPr="00F14EA1">
              <w:rPr>
                <w:szCs w:val="20"/>
                <w:lang w:val="ru-RU"/>
              </w:rPr>
              <w:t xml:space="preserve"> стали Сторонами к настоящему времени. </w:t>
            </w:r>
            <w:r w:rsidR="006216FF" w:rsidRPr="00F14EA1">
              <w:rPr>
                <w:szCs w:val="20"/>
                <w:lang w:val="ru-RU"/>
              </w:rPr>
              <w:t xml:space="preserve">Двадцать три страны, не </w:t>
            </w:r>
            <w:r w:rsidR="006216FF" w:rsidRPr="00F14EA1">
              <w:rPr>
                <w:szCs w:val="20"/>
                <w:lang w:val="ru-RU"/>
              </w:rPr>
              <w:lastRenderedPageBreak/>
              <w:t xml:space="preserve">подписавшие </w:t>
            </w:r>
            <w:r w:rsidR="004F77A1" w:rsidRPr="00F14EA1">
              <w:rPr>
                <w:szCs w:val="20"/>
                <w:lang w:val="ru-RU"/>
              </w:rPr>
              <w:t xml:space="preserve">Конвенцию </w:t>
            </w:r>
            <w:r w:rsidR="006216FF" w:rsidRPr="00F14EA1">
              <w:rPr>
                <w:szCs w:val="20"/>
                <w:lang w:val="ru-RU"/>
              </w:rPr>
              <w:t xml:space="preserve">и не являвшиеся Сторонами, получили </w:t>
            </w:r>
            <w:proofErr w:type="spellStart"/>
            <w:r w:rsidR="00307829">
              <w:rPr>
                <w:szCs w:val="20"/>
                <w:lang w:val="ru-RU"/>
              </w:rPr>
              <w:t>ю</w:t>
            </w:r>
            <w:r w:rsidR="006216FF" w:rsidRPr="00F14EA1">
              <w:rPr>
                <w:szCs w:val="20"/>
                <w:lang w:val="ru-RU"/>
              </w:rPr>
              <w:t>доступ</w:t>
            </w:r>
            <w:proofErr w:type="spellEnd"/>
            <w:r w:rsidR="006216FF" w:rsidRPr="00F14EA1">
              <w:rPr>
                <w:szCs w:val="20"/>
                <w:lang w:val="ru-RU"/>
              </w:rPr>
              <w:t xml:space="preserve"> к ресурсам для стимулирующей деятельности благодаря различным квалификационным критериям, установленным Советом </w:t>
            </w:r>
            <w:proofErr w:type="spellStart"/>
            <w:r w:rsidR="006216FF" w:rsidRPr="00F14EA1">
              <w:rPr>
                <w:szCs w:val="20"/>
                <w:lang w:val="ru-RU"/>
              </w:rPr>
              <w:t>ГЭФ</w:t>
            </w:r>
            <w:proofErr w:type="spellEnd"/>
            <w:r w:rsidR="006216FF" w:rsidRPr="00F14EA1">
              <w:rPr>
                <w:szCs w:val="20"/>
                <w:lang w:val="ru-RU"/>
              </w:rPr>
              <w:t xml:space="preserve"> в решении, принятом по почте 14 января 2015 года по просьбе шестой сессии Межправительственного комитета по ртути (</w:t>
            </w:r>
            <w:proofErr w:type="spellStart"/>
            <w:r w:rsidR="00DC6902">
              <w:rPr>
                <w:szCs w:val="20"/>
                <w:lang w:val="ru-RU"/>
              </w:rPr>
              <w:t>МКП</w:t>
            </w:r>
            <w:proofErr w:type="spellEnd"/>
            <w:r w:rsidR="00DC6902">
              <w:rPr>
                <w:szCs w:val="20"/>
                <w:lang w:val="ru-RU"/>
              </w:rPr>
              <w:noBreakHyphen/>
              <w:t>6</w:t>
            </w:r>
            <w:r w:rsidR="006216FF" w:rsidRPr="00F14EA1">
              <w:rPr>
                <w:szCs w:val="20"/>
                <w:lang w:val="ru-RU"/>
              </w:rPr>
              <w:t xml:space="preserve">) о предоставлении не подписавшим </w:t>
            </w:r>
            <w:r w:rsidR="004F77A1" w:rsidRPr="00F14EA1">
              <w:rPr>
                <w:szCs w:val="20"/>
                <w:lang w:val="ru-RU"/>
              </w:rPr>
              <w:t xml:space="preserve">Конвенцию </w:t>
            </w:r>
            <w:r w:rsidR="006216FF" w:rsidRPr="00F14EA1">
              <w:rPr>
                <w:szCs w:val="20"/>
                <w:lang w:val="ru-RU"/>
              </w:rPr>
              <w:t xml:space="preserve">и не являющимся Сторонами странам доступа к ресурсам для стимулирующей деятельности </w:t>
            </w:r>
            <w:proofErr w:type="spellStart"/>
            <w:r w:rsidR="006216FF" w:rsidRPr="00F14EA1">
              <w:rPr>
                <w:szCs w:val="20"/>
                <w:lang w:val="ru-RU"/>
              </w:rPr>
              <w:t>ГЭФ</w:t>
            </w:r>
            <w:proofErr w:type="spellEnd"/>
            <w:r w:rsidR="006216FF" w:rsidRPr="00F14EA1">
              <w:rPr>
                <w:szCs w:val="20"/>
                <w:lang w:val="ru-RU"/>
              </w:rPr>
              <w:t xml:space="preserve">. </w:t>
            </w:r>
            <w:r w:rsidR="00002B9E" w:rsidRPr="00F14EA1">
              <w:rPr>
                <w:szCs w:val="20"/>
                <w:lang w:val="ru-RU"/>
              </w:rPr>
              <w:t xml:space="preserve">Это изменение критериев для стран, не подписавших </w:t>
            </w:r>
            <w:r w:rsidR="004F77A1" w:rsidRPr="00F14EA1">
              <w:rPr>
                <w:szCs w:val="20"/>
                <w:lang w:val="ru-RU"/>
              </w:rPr>
              <w:t xml:space="preserve">Конвенцию </w:t>
            </w:r>
            <w:r w:rsidR="00002B9E" w:rsidRPr="00F14EA1">
              <w:rPr>
                <w:szCs w:val="20"/>
                <w:lang w:val="ru-RU"/>
              </w:rPr>
              <w:t>и не являющихся Сторонами, больше не применяется, так как руководящие указания КС</w:t>
            </w:r>
            <w:r w:rsidR="00DC6902">
              <w:rPr>
                <w:szCs w:val="20"/>
                <w:lang w:val="ru-RU"/>
              </w:rPr>
              <w:t>-</w:t>
            </w:r>
            <w:r w:rsidR="00002B9E" w:rsidRPr="00F14EA1">
              <w:rPr>
                <w:szCs w:val="20"/>
                <w:lang w:val="ru-RU"/>
              </w:rPr>
              <w:t xml:space="preserve">1 в отношении доступа к финансированию стимулирующей деятельности применяются только к странам, подписавшим </w:t>
            </w:r>
            <w:r w:rsidR="004F77A1" w:rsidRPr="00F14EA1">
              <w:rPr>
                <w:szCs w:val="20"/>
                <w:lang w:val="ru-RU"/>
              </w:rPr>
              <w:t xml:space="preserve">Конвенцию </w:t>
            </w:r>
            <w:r w:rsidR="00002B9E" w:rsidRPr="00F14EA1">
              <w:rPr>
                <w:szCs w:val="20"/>
                <w:lang w:val="ru-RU"/>
              </w:rPr>
              <w:t>и являющимся Сторонами</w:t>
            </w:r>
            <w:r w:rsidR="009A6FC1" w:rsidRPr="00F14EA1">
              <w:rPr>
                <w:rStyle w:val="FootnoteReference"/>
                <w:szCs w:val="20"/>
                <w:lang w:val="ru-RU"/>
              </w:rPr>
              <w:footnoteReference w:id="8"/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</w:tr>
      <w:tr w:rsidR="00E953EE" w:rsidRPr="00F14EA1" w14:paraId="703C7201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  <w:bottom w:val="single" w:sz="4" w:space="0" w:color="auto"/>
            </w:tcBorders>
            <w:shd w:val="clear" w:color="auto" w:fill="FFFFFF" w:themeFill="background1"/>
          </w:tcPr>
          <w:p w14:paraId="1EB065C1" w14:textId="0BC60ED9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lastRenderedPageBreak/>
              <w:t xml:space="preserve">II. </w:t>
            </w:r>
            <w:r w:rsidR="00540C0E" w:rsidRPr="00F14EA1">
              <w:rPr>
                <w:color w:val="auto"/>
                <w:szCs w:val="20"/>
                <w:lang w:val="ru-RU"/>
              </w:rPr>
              <w:t>Общие стратегии и политика</w:t>
            </w:r>
          </w:p>
        </w:tc>
      </w:tr>
      <w:tr w:rsidR="00F97219" w:rsidRPr="00F14EA1" w14:paraId="586BD391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59EE88D9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14:paraId="2F04C9AB" w14:textId="5F0A4873" w:rsidR="00E953EE" w:rsidRPr="00F14EA1" w:rsidRDefault="00825494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соответствии с пунктом 7 статьи 13 Конвенции Целевой фонд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своевременно предоставляет новые и достаточные финансовые ресурсы на предсказуемой основе для покрытия расходов на поддержку осуществления Конвенции в соответствии с решениями Конференции Сторон, включая расходы, связанные с мероприятиями, которые</w:t>
            </w:r>
            <w:r w:rsidR="00E953EE" w:rsidRPr="00F14EA1">
              <w:rPr>
                <w:szCs w:val="20"/>
                <w:lang w:val="ru-RU"/>
              </w:rPr>
              <w:t xml:space="preserve">: </w:t>
            </w:r>
          </w:p>
          <w:p w14:paraId="65B980FB" w14:textId="3FDF2EEF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a) </w:t>
            </w:r>
            <w:r w:rsidR="007B32EC" w:rsidRPr="00F14EA1">
              <w:rPr>
                <w:szCs w:val="20"/>
                <w:lang w:val="ru-RU"/>
              </w:rPr>
              <w:t>опираются на инициативное участие стран</w:t>
            </w:r>
            <w:r w:rsidRPr="00F14EA1">
              <w:rPr>
                <w:szCs w:val="20"/>
                <w:lang w:val="ru-RU"/>
              </w:rPr>
              <w:t xml:space="preserve">; </w:t>
            </w:r>
          </w:p>
          <w:p w14:paraId="1896118D" w14:textId="7018519A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b) </w:t>
            </w:r>
            <w:r w:rsidR="007B32EC" w:rsidRPr="00F14EA1">
              <w:rPr>
                <w:szCs w:val="20"/>
                <w:lang w:val="ru-RU"/>
              </w:rPr>
              <w:t>соответствуют программным приоритетам, отраженным в соответствующих руководящих указаниях Конференции Сторон</w:t>
            </w:r>
            <w:r w:rsidRPr="00F14EA1">
              <w:rPr>
                <w:szCs w:val="20"/>
                <w:lang w:val="ru-RU"/>
              </w:rPr>
              <w:t>;</w:t>
            </w:r>
          </w:p>
          <w:p w14:paraId="502C0512" w14:textId="6FFF656C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c) </w:t>
            </w:r>
            <w:r w:rsidR="007B32EC" w:rsidRPr="00F14EA1">
              <w:rPr>
                <w:szCs w:val="20"/>
                <w:lang w:val="ru-RU"/>
              </w:rPr>
              <w:t>направлены на создание потенциала и содействие использованию местного или регионального экспертного потенциала, если это применимо</w:t>
            </w:r>
            <w:r w:rsidRPr="00F14EA1">
              <w:rPr>
                <w:szCs w:val="20"/>
                <w:lang w:val="ru-RU"/>
              </w:rPr>
              <w:t xml:space="preserve">; </w:t>
            </w:r>
          </w:p>
          <w:p w14:paraId="43CB5BE1" w14:textId="33E2D06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d) </w:t>
            </w:r>
            <w:r w:rsidR="007B32EC" w:rsidRPr="00F14EA1">
              <w:rPr>
                <w:szCs w:val="20"/>
                <w:lang w:val="ru-RU"/>
              </w:rPr>
              <w:t xml:space="preserve">содействуют синергии с другими тематическими </w:t>
            </w:r>
            <w:r w:rsidR="002E3A44" w:rsidRPr="00F14EA1">
              <w:rPr>
                <w:szCs w:val="20"/>
                <w:lang w:val="ru-RU"/>
              </w:rPr>
              <w:t>областями</w:t>
            </w:r>
            <w:r w:rsidRPr="00F14EA1">
              <w:rPr>
                <w:szCs w:val="20"/>
                <w:lang w:val="ru-RU"/>
              </w:rPr>
              <w:t>;</w:t>
            </w:r>
          </w:p>
          <w:p w14:paraId="6B90A67F" w14:textId="1F61D61D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e) </w:t>
            </w:r>
            <w:r w:rsidR="001725CB" w:rsidRPr="00F14EA1">
              <w:rPr>
                <w:szCs w:val="20"/>
                <w:lang w:val="ru-RU"/>
              </w:rPr>
              <w:t>продолжают усиливать синергию и расширять совместные выгоды в тематической области, охватывающей химические вещества и отходы</w:t>
            </w:r>
            <w:r w:rsidRPr="00F14EA1">
              <w:rPr>
                <w:szCs w:val="20"/>
                <w:lang w:val="ru-RU"/>
              </w:rPr>
              <w:t>;</w:t>
            </w:r>
          </w:p>
          <w:p w14:paraId="27503539" w14:textId="075FD015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f) </w:t>
            </w:r>
            <w:r w:rsidR="001725CB" w:rsidRPr="00F14EA1">
              <w:rPr>
                <w:szCs w:val="20"/>
                <w:lang w:val="ru-RU"/>
              </w:rPr>
              <w:t>содействуют применению подходов, механизмов и договоренностей, предусматривающих обеспечение финансирования из самых различных источников, в том числе из частного сектора, если это применимо; а также</w:t>
            </w:r>
            <w:r w:rsidRPr="00F14EA1">
              <w:rPr>
                <w:szCs w:val="20"/>
                <w:lang w:val="ru-RU"/>
              </w:rPr>
              <w:t xml:space="preserve"> </w:t>
            </w:r>
          </w:p>
          <w:p w14:paraId="4B169284" w14:textId="01BE7C4A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lastRenderedPageBreak/>
              <w:t xml:space="preserve">g) </w:t>
            </w:r>
            <w:r w:rsidR="001725CB" w:rsidRPr="00F14EA1">
              <w:rPr>
                <w:szCs w:val="20"/>
                <w:lang w:val="ru-RU"/>
              </w:rPr>
              <w:t>способствуют устойчивому национальному социально-экономическому развитию, сокращению масштабов нищеты и осуществлению мероприятий, согласующихся с реализуемыми национальными программами рационального природопользования, которые ориентированы на охрану здоровья человека и окружающей среды</w:t>
            </w:r>
            <w:r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3BFF9E61" w14:textId="290F01D8" w:rsidR="00E953EE" w:rsidRPr="00F14EA1" w:rsidRDefault="00DC48F6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lastRenderedPageBreak/>
              <w:t xml:space="preserve">Это руководство использовалось при разработке программ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и было учтено в ходе переговоров о пополнении ресурсов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-7, которые завершились в апреле 2018 года. Новая стратегия включена в резюме переговоров по седьмому пополнению Целевого фонда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="009A6FC1" w:rsidRPr="00F14EA1">
              <w:rPr>
                <w:rStyle w:val="FootnoteReference"/>
                <w:szCs w:val="20"/>
                <w:lang w:val="ru-RU"/>
              </w:rPr>
              <w:footnoteReference w:id="9"/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</w:tr>
      <w:tr w:rsidR="00E953EE" w:rsidRPr="00F14EA1" w14:paraId="0E571A46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  <w:bottom w:val="single" w:sz="4" w:space="0" w:color="auto"/>
            </w:tcBorders>
            <w:shd w:val="clear" w:color="auto" w:fill="FFFFFF" w:themeFill="background1"/>
          </w:tcPr>
          <w:p w14:paraId="3BA043D5" w14:textId="4F09B10D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III. </w:t>
            </w:r>
            <w:r w:rsidR="00743A15" w:rsidRPr="00F14EA1">
              <w:rPr>
                <w:color w:val="auto"/>
                <w:szCs w:val="20"/>
                <w:lang w:val="ru-RU"/>
              </w:rPr>
              <w:t>Программные приоритеты</w:t>
            </w:r>
          </w:p>
        </w:tc>
      </w:tr>
      <w:tr w:rsidR="00F97219" w:rsidRPr="00F14EA1" w14:paraId="28676948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97A561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5AB04BAF" w14:textId="2EDE99E7" w:rsidR="00E953EE" w:rsidRPr="00F14EA1" w:rsidRDefault="00795C84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соответствии с пунктом 7 статьи 13 Конвенции Целевой фонд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предоставляет ресурсы на цели покрытия согласованных дополнительных расходов, связанных с получением глобальных экологических выгод, и </w:t>
            </w:r>
            <w:r w:rsidR="00436CF0" w:rsidRPr="00F14EA1">
              <w:rPr>
                <w:szCs w:val="20"/>
                <w:lang w:val="ru-RU"/>
              </w:rPr>
              <w:t xml:space="preserve">всех </w:t>
            </w:r>
            <w:r w:rsidRPr="00F14EA1">
              <w:rPr>
                <w:szCs w:val="20"/>
                <w:lang w:val="ru-RU"/>
              </w:rPr>
              <w:t xml:space="preserve">согласованных </w:t>
            </w:r>
            <w:r w:rsidR="00436CF0" w:rsidRPr="00F14EA1">
              <w:rPr>
                <w:szCs w:val="20"/>
                <w:lang w:val="ru-RU"/>
              </w:rPr>
              <w:t>издержек</w:t>
            </w:r>
            <w:r w:rsidRPr="00F14EA1">
              <w:rPr>
                <w:szCs w:val="20"/>
                <w:lang w:val="ru-RU"/>
              </w:rPr>
              <w:t xml:space="preserve"> на некоторые стимулирующие мероприятия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3854636C" w14:textId="47F4BE20" w:rsidR="00E953EE" w:rsidRPr="00F14EA1" w:rsidRDefault="00795C84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Это отражено в стратегии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="00E953EE" w:rsidRPr="00F14EA1">
              <w:rPr>
                <w:szCs w:val="20"/>
                <w:lang w:val="ru-RU"/>
              </w:rPr>
              <w:t>.</w:t>
            </w:r>
          </w:p>
          <w:p w14:paraId="187700D3" w14:textId="5A2B4EAA" w:rsidR="00E953EE" w:rsidRPr="00F14EA1" w:rsidRDefault="00665E29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рамках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был выделен 141 млн. долл. США для осуществления Минаматской конвенции.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запрограммировал ресурсы для покрытия всех расходов на первоначальные оценки и НПД в области </w:t>
            </w:r>
            <w:proofErr w:type="spellStart"/>
            <w:r w:rsidRPr="00F14EA1">
              <w:rPr>
                <w:szCs w:val="20"/>
                <w:lang w:val="ru-RU"/>
              </w:rPr>
              <w:t>КМЗ</w:t>
            </w:r>
            <w:proofErr w:type="spellEnd"/>
            <w:r w:rsidRPr="00F14EA1">
              <w:rPr>
                <w:szCs w:val="20"/>
                <w:lang w:val="ru-RU"/>
              </w:rPr>
              <w:t xml:space="preserve">. </w:t>
            </w:r>
            <w:proofErr w:type="spellStart"/>
            <w:r w:rsidR="004108C4" w:rsidRPr="00F14EA1">
              <w:rPr>
                <w:szCs w:val="20"/>
                <w:lang w:val="ru-RU"/>
              </w:rPr>
              <w:t>ГЭФ</w:t>
            </w:r>
            <w:proofErr w:type="spellEnd"/>
            <w:r w:rsidR="004108C4" w:rsidRPr="00F14EA1">
              <w:rPr>
                <w:szCs w:val="20"/>
                <w:lang w:val="ru-RU"/>
              </w:rPr>
              <w:t xml:space="preserve"> запрограммировал ресурсы для нескольких проектов, направленных на скорейшее осуществление, особенно в секторе </w:t>
            </w:r>
            <w:proofErr w:type="spellStart"/>
            <w:r w:rsidR="004108C4" w:rsidRPr="00F14EA1">
              <w:rPr>
                <w:szCs w:val="20"/>
                <w:lang w:val="ru-RU"/>
              </w:rPr>
              <w:t>КМЗ</w:t>
            </w:r>
            <w:proofErr w:type="spellEnd"/>
            <w:r w:rsidR="004108C4" w:rsidRPr="00F14EA1">
              <w:rPr>
                <w:szCs w:val="20"/>
                <w:lang w:val="ru-RU"/>
              </w:rPr>
              <w:t xml:space="preserve">. </w:t>
            </w:r>
            <w:r w:rsidR="006B701C" w:rsidRPr="00F14EA1">
              <w:rPr>
                <w:szCs w:val="20"/>
                <w:lang w:val="ru-RU"/>
              </w:rPr>
              <w:t xml:space="preserve">В рамках </w:t>
            </w:r>
            <w:proofErr w:type="spellStart"/>
            <w:r w:rsidR="006B701C" w:rsidRPr="00F14EA1">
              <w:rPr>
                <w:szCs w:val="20"/>
                <w:lang w:val="ru-RU"/>
              </w:rPr>
              <w:t>ГЭФ</w:t>
            </w:r>
            <w:proofErr w:type="spellEnd"/>
            <w:r w:rsidR="006B701C" w:rsidRPr="00F14EA1">
              <w:rPr>
                <w:szCs w:val="20"/>
                <w:lang w:val="ru-RU"/>
              </w:rPr>
              <w:t>-7 условно выделяется 206 млн. долл. США на осуществление Минаматской конвенции, включая все согласованные издержки на некоторые стимулирующие мероприятия.</w:t>
            </w:r>
          </w:p>
        </w:tc>
      </w:tr>
      <w:tr w:rsidR="00F97219" w:rsidRPr="00F14EA1" w14:paraId="02CDD5B2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3EC5B3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5D3335FF" w14:textId="5D068FB8" w:rsidR="00E953EE" w:rsidRPr="00F14EA1" w:rsidRDefault="00637356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В частности, при предоставлении финансовых ресурсов Сторонам, являющимся развивающимися странами, и Сторонам с переходной экономикой ему следует отдавать приоритет следующим мероприятиям</w:t>
            </w:r>
            <w:r w:rsidR="00E953EE" w:rsidRPr="00F14EA1">
              <w:rPr>
                <w:szCs w:val="20"/>
                <w:lang w:val="ru-RU"/>
              </w:rPr>
              <w:t>:</w:t>
            </w:r>
          </w:p>
          <w:p w14:paraId="10AB6CE7" w14:textId="6B560801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a) </w:t>
            </w:r>
            <w:r w:rsidR="006A768E" w:rsidRPr="00F14EA1">
              <w:rPr>
                <w:szCs w:val="20"/>
                <w:lang w:val="ru-RU"/>
              </w:rPr>
              <w:t>стимулирующие мероприятия, в частности, мероприятия по проведению первоначальных оценок в рамках Минаматской конвенции и национальные планы действий в отношении кустарной и мелкомасштабной золотодобычи;</w:t>
            </w:r>
          </w:p>
          <w:p w14:paraId="1B7D97A9" w14:textId="5E7E0E7D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b) </w:t>
            </w:r>
            <w:r w:rsidR="006A768E" w:rsidRPr="00F14EA1">
              <w:rPr>
                <w:szCs w:val="20"/>
                <w:lang w:val="ru-RU"/>
              </w:rPr>
              <w:t>мероприятия по осуществлению положений Конвенции, акцентируя внимание на тех мероприятиях, которые</w:t>
            </w:r>
            <w:r w:rsidRPr="00F14EA1">
              <w:rPr>
                <w:szCs w:val="20"/>
                <w:lang w:val="ru-RU"/>
              </w:rPr>
              <w:t xml:space="preserve">: </w:t>
            </w:r>
          </w:p>
          <w:p w14:paraId="3C2FFBA5" w14:textId="24FEC2A1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i) </w:t>
            </w:r>
            <w:r w:rsidR="006A768E" w:rsidRPr="00F14EA1">
              <w:rPr>
                <w:szCs w:val="20"/>
                <w:lang w:val="ru-RU"/>
              </w:rPr>
              <w:t>касаются имеющих юридическую силу обязательств</w:t>
            </w:r>
            <w:r w:rsidRPr="00F14EA1">
              <w:rPr>
                <w:szCs w:val="20"/>
                <w:lang w:val="ru-RU"/>
              </w:rPr>
              <w:t>;</w:t>
            </w:r>
          </w:p>
          <w:p w14:paraId="17D5CD33" w14:textId="2D974946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ii) </w:t>
            </w:r>
            <w:r w:rsidR="0047208C" w:rsidRPr="00F14EA1">
              <w:rPr>
                <w:szCs w:val="20"/>
                <w:lang w:val="ru-RU"/>
              </w:rPr>
              <w:t>способствуют скорейшему осуществлению после вступления Конвенции в силу для данной Стороны</w:t>
            </w:r>
            <w:r w:rsidRPr="00F14EA1">
              <w:rPr>
                <w:szCs w:val="20"/>
                <w:lang w:val="ru-RU"/>
              </w:rPr>
              <w:t xml:space="preserve">; </w:t>
            </w:r>
          </w:p>
          <w:p w14:paraId="002DD25B" w14:textId="1FE2DCCC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iii) </w:t>
            </w:r>
            <w:r w:rsidR="00453BE4" w:rsidRPr="00F14EA1">
              <w:rPr>
                <w:szCs w:val="20"/>
                <w:lang w:val="ru-RU"/>
              </w:rPr>
              <w:t>обеспечивают возможность сокращения выбросов и высвобождений ртути и направлены на решение проблемы воздействия ртути на здоровье человека и окружающую среду</w:t>
            </w:r>
            <w:r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78EBA2B4" w14:textId="0FDC0BC1" w:rsidR="00E953EE" w:rsidRPr="00F14EA1" w:rsidRDefault="00493538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Это руководство было использовано при разработке программ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и отражено в программных приоритетах стратегии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-7 в отношении химических веществ и отходов в качестве основного направления деятельности. </w:t>
            </w:r>
            <w:r w:rsidR="00872E25" w:rsidRPr="00F14EA1">
              <w:rPr>
                <w:szCs w:val="20"/>
                <w:lang w:val="ru-RU"/>
              </w:rPr>
              <w:t xml:space="preserve">На данный момент все проекты и программы </w:t>
            </w:r>
            <w:proofErr w:type="spellStart"/>
            <w:r w:rsidR="00872E25" w:rsidRPr="00F14EA1">
              <w:rPr>
                <w:szCs w:val="20"/>
                <w:lang w:val="ru-RU"/>
              </w:rPr>
              <w:t>ГЭФ</w:t>
            </w:r>
            <w:proofErr w:type="spellEnd"/>
            <w:r w:rsidR="00872E25" w:rsidRPr="00F14EA1">
              <w:rPr>
                <w:szCs w:val="20"/>
                <w:lang w:val="ru-RU"/>
              </w:rPr>
              <w:t xml:space="preserve">-6 и </w:t>
            </w:r>
            <w:proofErr w:type="spellStart"/>
            <w:r w:rsidR="00872E25" w:rsidRPr="00F14EA1">
              <w:rPr>
                <w:szCs w:val="20"/>
                <w:lang w:val="ru-RU"/>
              </w:rPr>
              <w:t>ГЭФ</w:t>
            </w:r>
            <w:proofErr w:type="spellEnd"/>
            <w:r w:rsidR="00872E25" w:rsidRPr="00F14EA1">
              <w:rPr>
                <w:szCs w:val="20"/>
                <w:lang w:val="ru-RU"/>
              </w:rPr>
              <w:t>-7, направленные на осуществление Минаматской конвенции, соответствуют настоящим руководящим принципам.</w:t>
            </w:r>
          </w:p>
        </w:tc>
      </w:tr>
      <w:tr w:rsidR="00F97219" w:rsidRPr="00F14EA1" w14:paraId="7312B38D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2D8BCABB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14:paraId="66ED4332" w14:textId="4E20ECFD" w:rsidR="00E953EE" w:rsidRPr="00F14EA1" w:rsidRDefault="00EE2EF6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Предоставляя ресурсы на мероприятия,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следует принимать во внимание соотношение потенциального сокращения ртути в результате осуществления предлагаемого мероприятия с расходами на него в соответствии с пунктом 8 статьи 13 Конвенции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3737CF26" w14:textId="5AC94C69" w:rsidR="00E953EE" w:rsidRPr="00F14EA1" w:rsidRDefault="00A80706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-7 к настоящему времени утверждены проекты, которые могут привести к значительному сокращению выбросов ртути. </w:t>
            </w:r>
            <w:proofErr w:type="spellStart"/>
            <w:r w:rsidR="00A15213" w:rsidRPr="00F14EA1">
              <w:rPr>
                <w:szCs w:val="20"/>
                <w:lang w:val="ru-RU"/>
              </w:rPr>
              <w:t>ГЭФ</w:t>
            </w:r>
            <w:proofErr w:type="spellEnd"/>
            <w:r w:rsidR="00A15213" w:rsidRPr="00F14EA1">
              <w:rPr>
                <w:szCs w:val="20"/>
                <w:lang w:val="ru-RU"/>
              </w:rPr>
              <w:t xml:space="preserve"> продолжает работать со странами и учреждениями над изучением вопроса о потенциальном сокращении выбросов ртути по сравнению с затратами на нее</w:t>
            </w:r>
            <w:r w:rsidR="00E953EE" w:rsidRPr="00F14EA1">
              <w:rPr>
                <w:szCs w:val="20"/>
                <w:lang w:val="ru-RU"/>
              </w:rPr>
              <w:t xml:space="preserve">. </w:t>
            </w:r>
          </w:p>
        </w:tc>
      </w:tr>
      <w:tr w:rsidR="00E953EE" w:rsidRPr="00F14EA1" w14:paraId="30623E8E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  <w:bottom w:val="single" w:sz="4" w:space="0" w:color="auto"/>
            </w:tcBorders>
            <w:shd w:val="clear" w:color="auto" w:fill="FFFFFF" w:themeFill="background1"/>
          </w:tcPr>
          <w:p w14:paraId="2F7F24C1" w14:textId="0C3ADFA3" w:rsidR="00E953EE" w:rsidRPr="00F14EA1" w:rsidRDefault="00E953EE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lastRenderedPageBreak/>
              <w:t xml:space="preserve">IV. </w:t>
            </w:r>
            <w:r w:rsidR="00D319C3" w:rsidRPr="00F14EA1">
              <w:rPr>
                <w:color w:val="auto"/>
                <w:szCs w:val="20"/>
                <w:lang w:val="ru-RU"/>
              </w:rPr>
              <w:t>Ориентировочный перечень категорий видов деятельности, удовлетворяющих критериям для получения поддержки</w:t>
            </w:r>
          </w:p>
          <w:p w14:paraId="3BB1D5C2" w14:textId="196B29A3" w:rsidR="00E953EE" w:rsidRPr="00F14EA1" w:rsidRDefault="00E953EE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A. </w:t>
            </w:r>
            <w:r w:rsidR="00D319C3" w:rsidRPr="00F14EA1">
              <w:rPr>
                <w:color w:val="auto"/>
                <w:szCs w:val="20"/>
                <w:lang w:val="ru-RU"/>
              </w:rPr>
              <w:t>Стимулирующие мероприятия</w:t>
            </w:r>
          </w:p>
        </w:tc>
      </w:tr>
      <w:tr w:rsidR="00F97219" w:rsidRPr="00F14EA1" w14:paraId="445B86CD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4406A793" w14:textId="77777777" w:rsidR="00E953EE" w:rsidRPr="00F14EA1" w:rsidRDefault="00E953EE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color w:val="auto"/>
                <w:szCs w:val="20"/>
                <w:lang w:val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579203" w14:textId="422BEBE8" w:rsidR="00E953EE" w:rsidRPr="00F14EA1" w:rsidRDefault="00E953EE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1. </w:t>
            </w:r>
            <w:r w:rsidR="00617422" w:rsidRPr="00F14EA1">
              <w:rPr>
                <w:szCs w:val="20"/>
                <w:lang w:val="ru-RU"/>
              </w:rPr>
              <w:t>Первоначальные оценки в рамках Минаматской конвенции (</w:t>
            </w:r>
            <w:proofErr w:type="spellStart"/>
            <w:r w:rsidR="00617422" w:rsidRPr="00F14EA1">
              <w:rPr>
                <w:szCs w:val="20"/>
                <w:lang w:val="ru-RU"/>
              </w:rPr>
              <w:t>ПОМК</w:t>
            </w:r>
            <w:proofErr w:type="spellEnd"/>
            <w:r w:rsidR="00617422" w:rsidRPr="00F14EA1">
              <w:rPr>
                <w:szCs w:val="20"/>
                <w:lang w:val="ru-RU"/>
              </w:rPr>
              <w:t>)</w:t>
            </w:r>
            <w:r w:rsidRPr="00F14EA1">
              <w:rPr>
                <w:szCs w:val="20"/>
                <w:lang w:val="ru-RU"/>
              </w:rPr>
              <w:t xml:space="preserve"> </w:t>
            </w:r>
          </w:p>
          <w:p w14:paraId="10894E3E" w14:textId="0E5CCBDA" w:rsidR="00E953EE" w:rsidRPr="00F14EA1" w:rsidRDefault="00E953EE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2. </w:t>
            </w:r>
            <w:r w:rsidR="00617422" w:rsidRPr="00F14EA1">
              <w:rPr>
                <w:szCs w:val="20"/>
                <w:lang w:val="ru-RU"/>
              </w:rPr>
              <w:t>Подготовка национальных планов действий в отношении кустарной и мелкомасштабной золотодобычи в соответствии с пунктом 3 статьи 7 и приложением C</w:t>
            </w:r>
          </w:p>
          <w:p w14:paraId="7E8B4922" w14:textId="4735DF05" w:rsidR="00E953EE" w:rsidRPr="00F14EA1" w:rsidRDefault="00E953EE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3. </w:t>
            </w:r>
            <w:r w:rsidR="00617422" w:rsidRPr="00F14EA1">
              <w:rPr>
                <w:szCs w:val="20"/>
                <w:lang w:val="ru-RU"/>
              </w:rPr>
              <w:t>Иные виды стимулирующих мероприятий, согласованные Конференцией Сторон</w:t>
            </w:r>
          </w:p>
        </w:tc>
        <w:tc>
          <w:tcPr>
            <w:tcW w:w="0" w:type="auto"/>
            <w:shd w:val="clear" w:color="auto" w:fill="FFFFFF" w:themeFill="background1"/>
          </w:tcPr>
          <w:p w14:paraId="4081886D" w14:textId="11A2DF77" w:rsidR="00E953EE" w:rsidRPr="00F14EA1" w:rsidRDefault="00617422" w:rsidP="00131D3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Это руководство было использовано при разработке программ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и отражено в программных приоритетах стратегии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-7 в отношении химических веществ и отходов в качестве основного направления деятельности.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-6 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-7 к настоящему времени финансирование получили все соответствующие критериям виды стимулирующей деятельности, которые были представлены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.</w:t>
            </w:r>
          </w:p>
        </w:tc>
      </w:tr>
      <w:tr w:rsidR="00E953EE" w:rsidRPr="00F14EA1" w14:paraId="6F6923C5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  <w:bottom w:val="single" w:sz="4" w:space="0" w:color="auto"/>
            </w:tcBorders>
            <w:shd w:val="clear" w:color="auto" w:fill="FFFFFF" w:themeFill="background1"/>
          </w:tcPr>
          <w:p w14:paraId="064F5213" w14:textId="7967FEEC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B. </w:t>
            </w:r>
            <w:r w:rsidR="00F97219" w:rsidRPr="00F14EA1">
              <w:rPr>
                <w:color w:val="auto"/>
                <w:szCs w:val="20"/>
                <w:lang w:val="ru-RU"/>
              </w:rPr>
              <w:t>Мероприятия по осуществлению положений Конвенции</w:t>
            </w:r>
          </w:p>
          <w:p w14:paraId="2C0C5016" w14:textId="466B5515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1. </w:t>
            </w:r>
            <w:r w:rsidR="00F97219" w:rsidRPr="00F14EA1">
              <w:rPr>
                <w:color w:val="auto"/>
                <w:szCs w:val="20"/>
                <w:lang w:val="ru-RU"/>
              </w:rPr>
              <w:t>Мероприятия по осуществлению положений Конвенции, касающиеся имеющих юридическую силу обязательств</w:t>
            </w:r>
          </w:p>
        </w:tc>
      </w:tr>
      <w:tr w:rsidR="00F97219" w:rsidRPr="00F14EA1" w14:paraId="482683B8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2F8E3D38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14:paraId="7ECF6289" w14:textId="3424EF4D" w:rsidR="00E953EE" w:rsidRPr="00F14EA1" w:rsidRDefault="009365C6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При предоставлении финансовых ресурсов правомочным Сторонам на мероприятия по осуществлению положений Конвенции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следует отдавать приоритет тем мероприятиям, которые касаются выполнения имеющих юридическую силу обязательств Сторон в соответствии с Конвенцией, и учитывать соотношение потенциального сокращения ртути в результате осуществления предлагаемого мероприятия с расходами на него. Такие мероприятия могут включать в себя мероприятия, касающиеся следующих областей, перечисленных в произвольном порядке</w:t>
            </w:r>
            <w:r w:rsidR="00E953EE" w:rsidRPr="00F14EA1">
              <w:rPr>
                <w:szCs w:val="20"/>
                <w:lang w:val="ru-RU"/>
              </w:rPr>
              <w:t>:</w:t>
            </w:r>
          </w:p>
          <w:p w14:paraId="75040FC3" w14:textId="636EABD0" w:rsidR="00E953EE" w:rsidRPr="00F14EA1" w:rsidRDefault="00E62A85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источник</w:t>
            </w:r>
            <w:r w:rsidR="00C7690D" w:rsidRPr="00F14EA1">
              <w:rPr>
                <w:szCs w:val="20"/>
                <w:lang w:val="ru-RU"/>
              </w:rPr>
              <w:t>ов</w:t>
            </w:r>
            <w:r w:rsidRPr="00F14EA1">
              <w:rPr>
                <w:szCs w:val="20"/>
                <w:lang w:val="ru-RU"/>
              </w:rPr>
              <w:t xml:space="preserve"> предложения ртути и торговл</w:t>
            </w:r>
            <w:r w:rsidR="00FE075A">
              <w:rPr>
                <w:szCs w:val="20"/>
                <w:lang w:val="ru-RU"/>
              </w:rPr>
              <w:t>и</w:t>
            </w:r>
            <w:r w:rsidRPr="00F14EA1">
              <w:rPr>
                <w:szCs w:val="20"/>
                <w:lang w:val="ru-RU"/>
              </w:rPr>
              <w:t xml:space="preserve"> ею</w:t>
            </w:r>
            <w:r w:rsidR="00E953EE" w:rsidRPr="00F14EA1">
              <w:rPr>
                <w:szCs w:val="20"/>
                <w:lang w:val="ru-RU"/>
              </w:rPr>
              <w:t>;</w:t>
            </w:r>
          </w:p>
          <w:p w14:paraId="37DD9E8E" w14:textId="2C8DE785" w:rsidR="00E953EE" w:rsidRPr="00F14EA1" w:rsidRDefault="00E62A85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продукт</w:t>
            </w:r>
            <w:r w:rsidR="00C7690D" w:rsidRPr="00F14EA1">
              <w:rPr>
                <w:szCs w:val="20"/>
                <w:lang w:val="ru-RU"/>
              </w:rPr>
              <w:t>ов</w:t>
            </w:r>
            <w:r w:rsidRPr="00F14EA1">
              <w:rPr>
                <w:szCs w:val="20"/>
                <w:lang w:val="ru-RU"/>
              </w:rPr>
              <w:t xml:space="preserve"> с добавлением ртути</w:t>
            </w:r>
            <w:r w:rsidR="00E953EE" w:rsidRPr="00F14EA1">
              <w:rPr>
                <w:szCs w:val="20"/>
                <w:lang w:val="ru-RU"/>
              </w:rPr>
              <w:t xml:space="preserve">; </w:t>
            </w:r>
          </w:p>
          <w:p w14:paraId="4C188B05" w14:textId="30B30034" w:rsidR="00E953EE" w:rsidRPr="00F14EA1" w:rsidRDefault="00E62A85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производственны</w:t>
            </w:r>
            <w:r w:rsidR="00C7690D" w:rsidRPr="00F14EA1">
              <w:rPr>
                <w:szCs w:val="20"/>
                <w:lang w:val="ru-RU"/>
              </w:rPr>
              <w:t>х</w:t>
            </w:r>
            <w:r w:rsidRPr="00F14EA1">
              <w:rPr>
                <w:szCs w:val="20"/>
                <w:lang w:val="ru-RU"/>
              </w:rPr>
              <w:t xml:space="preserve"> процесс</w:t>
            </w:r>
            <w:r w:rsidR="00C7690D" w:rsidRPr="00F14EA1">
              <w:rPr>
                <w:szCs w:val="20"/>
                <w:lang w:val="ru-RU"/>
              </w:rPr>
              <w:t>ов</w:t>
            </w:r>
            <w:r w:rsidRPr="00F14EA1">
              <w:rPr>
                <w:szCs w:val="20"/>
                <w:lang w:val="ru-RU"/>
              </w:rPr>
              <w:t>, в которых применяются ртуть или ртутные соединения</w:t>
            </w:r>
            <w:r w:rsidR="00E953EE" w:rsidRPr="00F14EA1">
              <w:rPr>
                <w:szCs w:val="20"/>
                <w:lang w:val="ru-RU"/>
              </w:rPr>
              <w:t xml:space="preserve">; </w:t>
            </w:r>
          </w:p>
          <w:p w14:paraId="649A2C0F" w14:textId="5092EA55" w:rsidR="00E953EE" w:rsidRPr="00F14EA1" w:rsidRDefault="00E62A85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кустарн</w:t>
            </w:r>
            <w:r w:rsidR="00C7690D" w:rsidRPr="00F14EA1">
              <w:rPr>
                <w:szCs w:val="20"/>
                <w:lang w:val="ru-RU"/>
              </w:rPr>
              <w:t>ой</w:t>
            </w:r>
            <w:r w:rsidRPr="00F14EA1">
              <w:rPr>
                <w:szCs w:val="20"/>
                <w:lang w:val="ru-RU"/>
              </w:rPr>
              <w:t xml:space="preserve"> и мелкомасштабн</w:t>
            </w:r>
            <w:r w:rsidR="00C7690D" w:rsidRPr="00F14EA1">
              <w:rPr>
                <w:szCs w:val="20"/>
                <w:lang w:val="ru-RU"/>
              </w:rPr>
              <w:t>ой</w:t>
            </w:r>
            <w:r w:rsidRPr="00F14EA1">
              <w:rPr>
                <w:szCs w:val="20"/>
                <w:lang w:val="ru-RU"/>
              </w:rPr>
              <w:t xml:space="preserve"> золотодобыч</w:t>
            </w:r>
            <w:r w:rsidR="00C7690D" w:rsidRPr="00F14EA1">
              <w:rPr>
                <w:szCs w:val="20"/>
                <w:lang w:val="ru-RU"/>
              </w:rPr>
              <w:t>и</w:t>
            </w:r>
            <w:r w:rsidR="00E953EE" w:rsidRPr="00F14EA1">
              <w:rPr>
                <w:szCs w:val="20"/>
                <w:lang w:val="ru-RU"/>
              </w:rPr>
              <w:t>;</w:t>
            </w:r>
          </w:p>
          <w:p w14:paraId="09993536" w14:textId="04FCA246" w:rsidR="00E953EE" w:rsidRPr="00F14EA1" w:rsidRDefault="008110EA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выброс</w:t>
            </w:r>
            <w:r w:rsidR="00C7690D" w:rsidRPr="00F14EA1">
              <w:rPr>
                <w:szCs w:val="20"/>
                <w:lang w:val="ru-RU"/>
              </w:rPr>
              <w:t>ов</w:t>
            </w:r>
            <w:r w:rsidR="00E953EE" w:rsidRPr="00F14EA1">
              <w:rPr>
                <w:szCs w:val="20"/>
                <w:lang w:val="ru-RU"/>
              </w:rPr>
              <w:t>;</w:t>
            </w:r>
          </w:p>
          <w:p w14:paraId="559B1276" w14:textId="2CDCD88B" w:rsidR="00E953EE" w:rsidRPr="00F14EA1" w:rsidRDefault="008110EA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высвобождени</w:t>
            </w:r>
            <w:r w:rsidR="00C7690D" w:rsidRPr="00F14EA1">
              <w:rPr>
                <w:szCs w:val="20"/>
                <w:lang w:val="ru-RU"/>
              </w:rPr>
              <w:t>й</w:t>
            </w:r>
            <w:r w:rsidR="00E953EE" w:rsidRPr="00F14EA1">
              <w:rPr>
                <w:szCs w:val="20"/>
                <w:lang w:val="ru-RU"/>
              </w:rPr>
              <w:t>;</w:t>
            </w:r>
          </w:p>
          <w:p w14:paraId="39201B66" w14:textId="709979FF" w:rsidR="00E953EE" w:rsidRPr="00F14EA1" w:rsidRDefault="008110EA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экологически безопасно</w:t>
            </w:r>
            <w:r w:rsidR="00C7690D" w:rsidRPr="00F14EA1">
              <w:rPr>
                <w:szCs w:val="20"/>
                <w:lang w:val="ru-RU"/>
              </w:rPr>
              <w:t>го</w:t>
            </w:r>
            <w:r w:rsidRPr="00F14EA1">
              <w:rPr>
                <w:szCs w:val="20"/>
                <w:lang w:val="ru-RU"/>
              </w:rPr>
              <w:t xml:space="preserve"> временно</w:t>
            </w:r>
            <w:r w:rsidR="00C7690D" w:rsidRPr="00F14EA1">
              <w:rPr>
                <w:szCs w:val="20"/>
                <w:lang w:val="ru-RU"/>
              </w:rPr>
              <w:t>го</w:t>
            </w:r>
            <w:r w:rsidRPr="00F14EA1">
              <w:rPr>
                <w:szCs w:val="20"/>
                <w:lang w:val="ru-RU"/>
              </w:rPr>
              <w:t xml:space="preserve"> хранени</w:t>
            </w:r>
            <w:r w:rsidR="00C7690D" w:rsidRPr="00F14EA1">
              <w:rPr>
                <w:szCs w:val="20"/>
                <w:lang w:val="ru-RU"/>
              </w:rPr>
              <w:t>я</w:t>
            </w:r>
            <w:r w:rsidRPr="00F14EA1">
              <w:rPr>
                <w:szCs w:val="20"/>
                <w:lang w:val="ru-RU"/>
              </w:rPr>
              <w:t xml:space="preserve"> ртути, кроме ртутных отходов</w:t>
            </w:r>
            <w:r w:rsidR="00E953EE" w:rsidRPr="00F14EA1">
              <w:rPr>
                <w:szCs w:val="20"/>
                <w:lang w:val="ru-RU"/>
              </w:rPr>
              <w:t xml:space="preserve">; </w:t>
            </w:r>
          </w:p>
          <w:p w14:paraId="1FC7EC6D" w14:textId="64F5979E" w:rsidR="00E953EE" w:rsidRPr="00F14EA1" w:rsidRDefault="00CD4AEE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ртутны</w:t>
            </w:r>
            <w:r w:rsidR="00C7690D" w:rsidRPr="00F14EA1">
              <w:rPr>
                <w:szCs w:val="20"/>
                <w:lang w:val="ru-RU"/>
              </w:rPr>
              <w:t>х</w:t>
            </w:r>
            <w:r w:rsidRPr="00F14EA1">
              <w:rPr>
                <w:szCs w:val="20"/>
                <w:lang w:val="ru-RU"/>
              </w:rPr>
              <w:t xml:space="preserve"> отход</w:t>
            </w:r>
            <w:r w:rsidR="00C7690D" w:rsidRPr="00F14EA1">
              <w:rPr>
                <w:szCs w:val="20"/>
                <w:lang w:val="ru-RU"/>
              </w:rPr>
              <w:t>ов</w:t>
            </w:r>
            <w:r w:rsidR="00E953EE" w:rsidRPr="00F14EA1">
              <w:rPr>
                <w:szCs w:val="20"/>
                <w:lang w:val="ru-RU"/>
              </w:rPr>
              <w:t xml:space="preserve">; </w:t>
            </w:r>
          </w:p>
          <w:p w14:paraId="53C5D94E" w14:textId="23B338D0" w:rsidR="00E953EE" w:rsidRPr="00F14EA1" w:rsidRDefault="00CD4AEE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представлени</w:t>
            </w:r>
            <w:r w:rsidR="00C7690D" w:rsidRPr="00F14EA1">
              <w:rPr>
                <w:szCs w:val="20"/>
                <w:lang w:val="ru-RU"/>
              </w:rPr>
              <w:t>я</w:t>
            </w:r>
            <w:r w:rsidRPr="00F14EA1">
              <w:rPr>
                <w:szCs w:val="20"/>
                <w:lang w:val="ru-RU"/>
              </w:rPr>
              <w:t xml:space="preserve"> информации</w:t>
            </w:r>
            <w:r w:rsidR="00E953EE" w:rsidRPr="00F14EA1">
              <w:rPr>
                <w:szCs w:val="20"/>
                <w:lang w:val="ru-RU"/>
              </w:rPr>
              <w:t>;</w:t>
            </w:r>
          </w:p>
          <w:p w14:paraId="682E58A7" w14:textId="69E5BAAA" w:rsidR="00E953EE" w:rsidRPr="00F14EA1" w:rsidRDefault="002C1DED" w:rsidP="00A01C48">
            <w:pPr>
              <w:pStyle w:val="ListParagraph"/>
              <w:numPr>
                <w:ilvl w:val="0"/>
                <w:numId w:val="1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>создани</w:t>
            </w:r>
            <w:r w:rsidR="00C7690D" w:rsidRPr="00F14EA1">
              <w:rPr>
                <w:szCs w:val="20"/>
                <w:lang w:val="ru-RU"/>
              </w:rPr>
              <w:t>я</w:t>
            </w:r>
            <w:r w:rsidRPr="00F14EA1">
              <w:rPr>
                <w:szCs w:val="20"/>
                <w:lang w:val="ru-RU"/>
              </w:rPr>
              <w:t xml:space="preserve"> соответствующего потенциала, техническо</w:t>
            </w:r>
            <w:r w:rsidR="00C7690D" w:rsidRPr="00F14EA1">
              <w:rPr>
                <w:szCs w:val="20"/>
                <w:lang w:val="ru-RU"/>
              </w:rPr>
              <w:t>го</w:t>
            </w:r>
            <w:r w:rsidRPr="00F14EA1">
              <w:rPr>
                <w:szCs w:val="20"/>
                <w:lang w:val="ru-RU"/>
              </w:rPr>
              <w:t xml:space="preserve"> содействи</w:t>
            </w:r>
            <w:r w:rsidR="00C7690D" w:rsidRPr="00F14EA1">
              <w:rPr>
                <w:szCs w:val="20"/>
                <w:lang w:val="ru-RU"/>
              </w:rPr>
              <w:t>я</w:t>
            </w:r>
            <w:r w:rsidRPr="00F14EA1">
              <w:rPr>
                <w:szCs w:val="20"/>
                <w:lang w:val="ru-RU"/>
              </w:rPr>
              <w:t xml:space="preserve"> и передач</w:t>
            </w:r>
            <w:r w:rsidR="00C7690D" w:rsidRPr="00F14EA1">
              <w:rPr>
                <w:szCs w:val="20"/>
                <w:lang w:val="ru-RU"/>
              </w:rPr>
              <w:t>и</w:t>
            </w:r>
            <w:r w:rsidRPr="00F14EA1">
              <w:rPr>
                <w:szCs w:val="20"/>
                <w:lang w:val="ru-RU"/>
              </w:rPr>
              <w:t xml:space="preserve"> технологии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550BFE45" w14:textId="2F6EC09B" w:rsidR="00E953EE" w:rsidRPr="00F14EA1" w:rsidRDefault="00FE698A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Они включены в стратегию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-7 в отношении химических веществ и отходов в качестве основного направления деятельности.</w:t>
            </w:r>
          </w:p>
        </w:tc>
      </w:tr>
      <w:tr w:rsidR="00E953EE" w:rsidRPr="00F14EA1" w14:paraId="49F1EC55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  <w:bottom w:val="single" w:sz="4" w:space="0" w:color="auto"/>
            </w:tcBorders>
            <w:shd w:val="clear" w:color="auto" w:fill="FFFFFF" w:themeFill="background1"/>
          </w:tcPr>
          <w:p w14:paraId="0897FDD8" w14:textId="0D49BB5F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2. </w:t>
            </w:r>
            <w:r w:rsidR="00FF469E" w:rsidRPr="00F14EA1">
              <w:rPr>
                <w:color w:val="auto"/>
                <w:szCs w:val="20"/>
                <w:lang w:val="ru-RU"/>
              </w:rPr>
              <w:t>Мероприятия по осуществлению положений Конвенции, способствующие скорейшему осуществлению после вступления Конвенции в силу для соответствующей Стороны</w:t>
            </w:r>
          </w:p>
        </w:tc>
      </w:tr>
      <w:tr w:rsidR="00F97219" w:rsidRPr="00F14EA1" w14:paraId="55957F50" w14:textId="77777777" w:rsidTr="000B62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610460CE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</w:tcPr>
          <w:p w14:paraId="00029635" w14:textId="259A1879" w:rsidR="00E953EE" w:rsidRPr="00F14EA1" w:rsidRDefault="00E169EC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При рассмотрении мероприятий по осуществлению положений Конвенции, способствующих скорейшему осуществлению после вступления Конвенции в силу,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следует также рассмотреть вопрос об оказании поддержки мероприятиям, которые, хотя и не подпадают под имеющие юридическую силу обязательства в соответствии с Конвенцией, но могут внести значительный вклад в обеспечение готовности Стороны к осуществлению Конвенции по ее вступлении в силу для этой страны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7E491AC9" w14:textId="1333571E" w:rsidR="00E953EE" w:rsidRPr="00F14EA1" w:rsidRDefault="00B830B8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Этот вопрос будет рассмотрен в ходе программирования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-7 и представлен на рассмотрение последующих КС.</w:t>
            </w:r>
          </w:p>
        </w:tc>
      </w:tr>
      <w:tr w:rsidR="00F97219" w:rsidRPr="00F14EA1" w14:paraId="72BEAEA3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63421639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FFFFFF" w:themeFill="background1"/>
          </w:tcPr>
          <w:p w14:paraId="795B73B4" w14:textId="2B498AB9" w:rsidR="00E953EE" w:rsidRPr="00F14EA1" w:rsidRDefault="004F7050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контексте мандата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такие мероприятия могут предусматривать, в частности, оказание поддержки в следующих областях</w:t>
            </w:r>
            <w:r w:rsidR="00E953EE" w:rsidRPr="00F14EA1">
              <w:rPr>
                <w:szCs w:val="20"/>
                <w:lang w:val="ru-RU"/>
              </w:rPr>
              <w:t>:</w:t>
            </w:r>
          </w:p>
          <w:p w14:paraId="4472A8EA" w14:textId="27C244C6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a) </w:t>
            </w:r>
            <w:r w:rsidR="007C609C" w:rsidRPr="00F14EA1">
              <w:rPr>
                <w:szCs w:val="20"/>
                <w:lang w:val="ru-RU"/>
              </w:rPr>
              <w:t>применительно к выбросам – разработка Сторонами, располагающими соответствующими источниками выбросов, национальных планов с изложением мер, которые будут приниматься для контроля выбросов, и ожидаемых ими целевых показателей, целей и результатов</w:t>
            </w:r>
            <w:r w:rsidRPr="00F14EA1">
              <w:rPr>
                <w:szCs w:val="20"/>
                <w:lang w:val="ru-RU"/>
              </w:rPr>
              <w:t>;</w:t>
            </w:r>
          </w:p>
          <w:p w14:paraId="7DC701D4" w14:textId="62D51D38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b) </w:t>
            </w:r>
            <w:r w:rsidR="005125BB" w:rsidRPr="00F14EA1">
              <w:rPr>
                <w:szCs w:val="20"/>
                <w:lang w:val="ru-RU"/>
              </w:rPr>
              <w:t>применительно к высвобождениям – разработка Сторонами, располагающими соответствующими источниками высвобождений, национальных планов с изложением мер, которые будут приниматься для контроля высвобождений, и ожидаемых ими целевых показателей, целей и результатов</w:t>
            </w:r>
            <w:r w:rsidRPr="00F14EA1">
              <w:rPr>
                <w:szCs w:val="20"/>
                <w:lang w:val="ru-RU"/>
              </w:rPr>
              <w:t>;</w:t>
            </w:r>
          </w:p>
          <w:p w14:paraId="569E26A3" w14:textId="77A5ABE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c) </w:t>
            </w:r>
            <w:r w:rsidR="002C0AF1" w:rsidRPr="00F14EA1">
              <w:rPr>
                <w:szCs w:val="20"/>
                <w:lang w:val="ru-RU"/>
              </w:rPr>
              <w:t>применительно к загрязненным участкам – создание потенциала для разработки стратегий по выявлению и оценке участков, загрязненных ртутью или ртутными соединениями, и, в случае необходимости, восстановление этих участков</w:t>
            </w:r>
            <w:r w:rsidRPr="00F14EA1">
              <w:rPr>
                <w:szCs w:val="20"/>
                <w:lang w:val="ru-RU"/>
              </w:rPr>
              <w:t>;</w:t>
            </w:r>
          </w:p>
          <w:p w14:paraId="0C3D288A" w14:textId="29C0BE8C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d) </w:t>
            </w:r>
            <w:r w:rsidR="002F5C8E" w:rsidRPr="00F14EA1">
              <w:rPr>
                <w:szCs w:val="20"/>
                <w:lang w:val="ru-RU"/>
              </w:rPr>
              <w:t>обмен информацией</w:t>
            </w:r>
            <w:r w:rsidRPr="00F14EA1">
              <w:rPr>
                <w:szCs w:val="20"/>
                <w:lang w:val="ru-RU"/>
              </w:rPr>
              <w:t xml:space="preserve">; </w:t>
            </w:r>
          </w:p>
          <w:p w14:paraId="2148EA23" w14:textId="625ABDA0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e) </w:t>
            </w:r>
            <w:r w:rsidR="002F5C8E" w:rsidRPr="00F14EA1">
              <w:rPr>
                <w:szCs w:val="20"/>
                <w:lang w:val="ru-RU"/>
              </w:rPr>
              <w:t>информирование, повышение уровня осведомленности и просвещение общественности</w:t>
            </w:r>
            <w:r w:rsidRPr="00F14EA1">
              <w:rPr>
                <w:szCs w:val="20"/>
                <w:lang w:val="ru-RU"/>
              </w:rPr>
              <w:t xml:space="preserve">; </w:t>
            </w:r>
          </w:p>
          <w:p w14:paraId="054AF671" w14:textId="4E2988E1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f) </w:t>
            </w:r>
            <w:r w:rsidR="00943C49" w:rsidRPr="00F14EA1">
              <w:rPr>
                <w:szCs w:val="20"/>
                <w:lang w:val="ru-RU"/>
              </w:rPr>
              <w:t>сотрудничество в деле развития и улучшения научных исследований, разработок и мониторинга</w:t>
            </w:r>
            <w:r w:rsidRPr="00F14EA1">
              <w:rPr>
                <w:szCs w:val="20"/>
                <w:lang w:val="ru-RU"/>
              </w:rPr>
              <w:t>;</w:t>
            </w:r>
          </w:p>
          <w:p w14:paraId="27DD0998" w14:textId="24CEDD83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g) </w:t>
            </w:r>
            <w:r w:rsidR="00617B1B" w:rsidRPr="00F14EA1">
              <w:rPr>
                <w:szCs w:val="20"/>
                <w:lang w:val="ru-RU"/>
              </w:rPr>
              <w:t>разработка планов осуществления после первоначальных оценок</w:t>
            </w:r>
            <w:r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65C5DD10" w14:textId="3C471ADE" w:rsidR="00E953EE" w:rsidRPr="00F14EA1" w:rsidRDefault="00617B1B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Этот вопрос будет рассмотрен в ходе программирования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-7 и представлен на рассмотрение последующих КС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</w:tr>
      <w:tr w:rsidR="00E953EE" w:rsidRPr="00F14EA1" w14:paraId="355DD9A3" w14:textId="77777777" w:rsidTr="006909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</w:tcBorders>
            <w:shd w:val="clear" w:color="auto" w:fill="FFFFFF" w:themeFill="background1"/>
          </w:tcPr>
          <w:p w14:paraId="183E9EC6" w14:textId="3BA26E85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3. </w:t>
            </w:r>
            <w:r w:rsidR="00891843" w:rsidRPr="00F14EA1">
              <w:rPr>
                <w:color w:val="auto"/>
                <w:szCs w:val="20"/>
                <w:lang w:val="ru-RU"/>
              </w:rPr>
              <w:t>Мероприятия по осуществлению положений Конвенции, обеспечивающие возможность сокращения выбросов и высвобождений ртути и направленные на решение проблемы воздействия ртути на здоровье человека и окружающую среду</w:t>
            </w:r>
          </w:p>
        </w:tc>
      </w:tr>
      <w:tr w:rsidR="00F97219" w:rsidRPr="00F14EA1" w14:paraId="0AF5561B" w14:textId="77777777" w:rsidTr="000B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shd w:val="clear" w:color="auto" w:fill="FFFFFF" w:themeFill="background1"/>
          </w:tcPr>
          <w:p w14:paraId="6C731588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12</w:t>
            </w:r>
          </w:p>
        </w:tc>
        <w:tc>
          <w:tcPr>
            <w:tcW w:w="0" w:type="auto"/>
            <w:shd w:val="clear" w:color="auto" w:fill="FFFFFF" w:themeFill="background1"/>
          </w:tcPr>
          <w:p w14:paraId="160E0203" w14:textId="235C24A4" w:rsidR="00E953EE" w:rsidRPr="00F14EA1" w:rsidRDefault="00FE63B0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Мероприятия по осуществлению положений Конвенции, обеспечивающие возможность сокращения выбросов и высвобождений ртути и направленные на решение проблемы воздействия ртути на здоровье человека и окружающую среду, могут включать мероприятия, связанные как с обязательными, так и с необязательными положениями, с акцентом на юридически обязательные положения, о которых говорилось выше, и в соответствии с мандатом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по обеспечению глобальных экологических выгод и с учетом стратегии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в отношении тематической области, охватывающей химические вещества и отходы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326FED74" w14:textId="63FA30C7" w:rsidR="00E953EE" w:rsidRPr="00F14EA1" w:rsidRDefault="00D62670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Этот вопрос будет рассмотрен в ходе программирования в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-7 и представлен на рассмотрение последующих КС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</w:tr>
      <w:tr w:rsidR="00E953EE" w:rsidRPr="00F14EA1" w14:paraId="5496C94F" w14:textId="77777777" w:rsidTr="006909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left w:val="none" w:sz="0" w:space="0" w:color="auto"/>
            </w:tcBorders>
            <w:shd w:val="clear" w:color="auto" w:fill="FFFFFF" w:themeFill="background1"/>
          </w:tcPr>
          <w:p w14:paraId="00F510EB" w14:textId="3D620722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rPr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 xml:space="preserve">V. </w:t>
            </w:r>
            <w:r w:rsidR="00D116C6" w:rsidRPr="00F14EA1">
              <w:rPr>
                <w:color w:val="auto"/>
                <w:szCs w:val="20"/>
                <w:lang w:val="ru-RU"/>
              </w:rPr>
              <w:t>Обзор Конференцией Сторон</w:t>
            </w:r>
          </w:p>
        </w:tc>
      </w:tr>
      <w:tr w:rsidR="00F97219" w:rsidRPr="00F14EA1" w14:paraId="5B87D058" w14:textId="77777777" w:rsidTr="00F14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B5AF8C" w14:textId="77777777" w:rsidR="00E953EE" w:rsidRPr="00F14EA1" w:rsidRDefault="00E953EE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jc w:val="center"/>
              <w:rPr>
                <w:b w:val="0"/>
                <w:color w:val="auto"/>
                <w:szCs w:val="20"/>
                <w:lang w:val="ru-RU"/>
              </w:rPr>
            </w:pPr>
            <w:r w:rsidRPr="00F14EA1">
              <w:rPr>
                <w:color w:val="auto"/>
                <w:szCs w:val="20"/>
                <w:lang w:val="ru-RU"/>
              </w:rPr>
              <w:t>13</w:t>
            </w:r>
          </w:p>
        </w:tc>
        <w:tc>
          <w:tcPr>
            <w:tcW w:w="0" w:type="auto"/>
            <w:shd w:val="clear" w:color="auto" w:fill="FFFFFF" w:themeFill="background1"/>
          </w:tcPr>
          <w:p w14:paraId="501C569D" w14:textId="62B153BE" w:rsidR="00E953EE" w:rsidRPr="00F14EA1" w:rsidRDefault="00236C4A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t xml:space="preserve">В соответствии с пунктом 11 статьи 13 Конференция Сторон, не позднее чем на своем третьем совещании, а далее – через регулярные промежутки времени, рассматривает уровень финансирования, руководящие указания Конференции Сторон в адрес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как одного из органов, которым поручено обеспечить работоспособность механизма, учрежденного в соответствии с этой статьей, и эффективность механизма и способность удовлетворять изменяющиеся потребности Сторон, являющихся развивающимися странами и странами с </w:t>
            </w:r>
            <w:r w:rsidRPr="00F14EA1">
              <w:rPr>
                <w:szCs w:val="20"/>
                <w:lang w:val="ru-RU"/>
              </w:rPr>
              <w:lastRenderedPageBreak/>
              <w:t xml:space="preserve">переходной экономикой. На основе такого рассмотрения Конференция Сторон принимает соответствующие меры для повышения эффективности механизма финансирования, в том числе посредством обновления и приоритизации по мере необходимости своих руководящих указаний для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6A33AD2F" w14:textId="557C0F48" w:rsidR="00E953EE" w:rsidRPr="00F14EA1" w:rsidRDefault="00FA7124" w:rsidP="00A01C4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ru-RU"/>
              </w:rPr>
            </w:pPr>
            <w:r w:rsidRPr="00F14EA1">
              <w:rPr>
                <w:szCs w:val="20"/>
                <w:lang w:val="ru-RU"/>
              </w:rPr>
              <w:lastRenderedPageBreak/>
              <w:t xml:space="preserve">По просьбе КС </w:t>
            </w:r>
            <w:proofErr w:type="spellStart"/>
            <w:r w:rsidRPr="00F14EA1">
              <w:rPr>
                <w:szCs w:val="20"/>
                <w:lang w:val="ru-RU"/>
              </w:rPr>
              <w:t>ГЭФ</w:t>
            </w:r>
            <w:proofErr w:type="spellEnd"/>
            <w:r w:rsidRPr="00F14EA1">
              <w:rPr>
                <w:szCs w:val="20"/>
                <w:lang w:val="ru-RU"/>
              </w:rPr>
              <w:t xml:space="preserve"> представит информацию, касающуюся обзора, описанного в пункте 11 статьи 13 Минаматской конвенции</w:t>
            </w:r>
            <w:r w:rsidR="00E953EE" w:rsidRPr="00F14EA1">
              <w:rPr>
                <w:szCs w:val="20"/>
                <w:lang w:val="ru-RU"/>
              </w:rPr>
              <w:t>.</w:t>
            </w:r>
          </w:p>
        </w:tc>
      </w:tr>
    </w:tbl>
    <w:p w14:paraId="62AECA6C" w14:textId="77777777" w:rsidR="00984482" w:rsidRDefault="00984482" w:rsidP="007B34A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</w:p>
    <w:p w14:paraId="5DCB610C" w14:textId="2A74ECD7" w:rsidR="00E953EE" w:rsidRPr="0071386C" w:rsidRDefault="007B34A8" w:rsidP="007B34A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4"/>
          <w:szCs w:val="24"/>
          <w:lang w:val="ru-RU"/>
        </w:rPr>
      </w:pPr>
      <w:r w:rsidRPr="0071386C">
        <w:rPr>
          <w:lang w:val="ru-RU"/>
        </w:rPr>
        <w:br w:type="page"/>
      </w:r>
    </w:p>
    <w:p w14:paraId="25DE2CB5" w14:textId="356E6A57" w:rsidR="00E953EE" w:rsidRPr="000737B7" w:rsidRDefault="00BB6B2F" w:rsidP="000737B7">
      <w:pPr>
        <w:pStyle w:val="Heading2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  <w:rPr>
          <w:lang w:val="ru-RU"/>
        </w:rPr>
      </w:pPr>
      <w:bookmarkStart w:id="10" w:name="_Toc9941940"/>
      <w:bookmarkStart w:id="11" w:name="_Toc9942386"/>
      <w:r w:rsidRPr="000737B7">
        <w:rPr>
          <w:lang w:val="ru-RU"/>
        </w:rPr>
        <w:lastRenderedPageBreak/>
        <w:t xml:space="preserve">Руководящие указания, полученные в </w:t>
      </w:r>
      <w:proofErr w:type="spellStart"/>
      <w:r w:rsidRPr="000737B7">
        <w:rPr>
          <w:lang w:val="ru-RU"/>
        </w:rPr>
        <w:t>МКП</w:t>
      </w:r>
      <w:proofErr w:type="spellEnd"/>
      <w:r w:rsidR="000737B7" w:rsidRPr="000737B7">
        <w:t>-</w:t>
      </w:r>
      <w:r w:rsidRPr="000737B7">
        <w:rPr>
          <w:lang w:val="ru-RU"/>
        </w:rPr>
        <w:t>6</w:t>
      </w:r>
      <w:r w:rsidR="00E953EE" w:rsidRPr="000737B7">
        <w:rPr>
          <w:rStyle w:val="FootnoteReference"/>
          <w:sz w:val="24"/>
          <w:szCs w:val="24"/>
          <w:lang w:val="ru-RU"/>
        </w:rPr>
        <w:footnoteReference w:id="10"/>
      </w:r>
      <w:bookmarkEnd w:id="10"/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"/>
        <w:gridCol w:w="4826"/>
        <w:gridCol w:w="4218"/>
      </w:tblGrid>
      <w:tr w:rsidR="00D872DB" w:rsidRPr="00D73012" w14:paraId="5ACEE99F" w14:textId="77777777" w:rsidTr="006909EB">
        <w:tc>
          <w:tcPr>
            <w:tcW w:w="5305" w:type="dxa"/>
            <w:gridSpan w:val="2"/>
          </w:tcPr>
          <w:p w14:paraId="5765D30D" w14:textId="004D8FA4" w:rsidR="00E953EE" w:rsidRPr="00D73012" w:rsidRDefault="00BB6B2F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cstheme="minorHAnsi"/>
                <w:b/>
                <w:lang w:val="ru-RU"/>
              </w:rPr>
            </w:pPr>
            <w:r w:rsidRPr="00D73012">
              <w:rPr>
                <w:rFonts w:cstheme="minorHAnsi"/>
                <w:b/>
                <w:lang w:val="ru-RU"/>
              </w:rPr>
              <w:t xml:space="preserve">Итоговый документ </w:t>
            </w:r>
            <w:proofErr w:type="spellStart"/>
            <w:r w:rsidRPr="00D73012">
              <w:rPr>
                <w:rFonts w:cstheme="minorHAnsi"/>
                <w:b/>
                <w:lang w:val="ru-RU"/>
              </w:rPr>
              <w:t>МКП</w:t>
            </w:r>
            <w:proofErr w:type="spellEnd"/>
          </w:p>
        </w:tc>
        <w:tc>
          <w:tcPr>
            <w:tcW w:w="4245" w:type="dxa"/>
          </w:tcPr>
          <w:p w14:paraId="785E7582" w14:textId="0013A85B" w:rsidR="00E953EE" w:rsidRPr="00D73012" w:rsidRDefault="0017523A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cstheme="minorHAnsi"/>
                <w:b/>
                <w:lang w:val="ru-RU"/>
              </w:rPr>
            </w:pPr>
            <w:r w:rsidRPr="00D73012">
              <w:rPr>
                <w:rFonts w:cstheme="minorHAnsi"/>
                <w:b/>
                <w:lang w:val="ru-RU"/>
              </w:rPr>
              <w:t xml:space="preserve">Ответные меры </w:t>
            </w:r>
            <w:proofErr w:type="spellStart"/>
            <w:r w:rsidRPr="00D73012">
              <w:rPr>
                <w:rFonts w:cstheme="minorHAnsi"/>
                <w:b/>
                <w:lang w:val="ru-RU"/>
              </w:rPr>
              <w:t>ГЭФ</w:t>
            </w:r>
            <w:proofErr w:type="spellEnd"/>
          </w:p>
        </w:tc>
      </w:tr>
      <w:tr w:rsidR="00D872DB" w:rsidRPr="00D73012" w14:paraId="64DACD5A" w14:textId="77777777" w:rsidTr="006909EB">
        <w:tc>
          <w:tcPr>
            <w:tcW w:w="445" w:type="dxa"/>
          </w:tcPr>
          <w:p w14:paraId="4EE55A18" w14:textId="77777777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1</w:t>
            </w:r>
          </w:p>
        </w:tc>
        <w:tc>
          <w:tcPr>
            <w:tcW w:w="4860" w:type="dxa"/>
          </w:tcPr>
          <w:p w14:paraId="4FBE22AF" w14:textId="3EB02141" w:rsidR="00E953EE" w:rsidRPr="00D73012" w:rsidRDefault="00871287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Просить Глобальный экологический фонд применять следующие квалификационные критерии при оказании финансовой поддержки развивающимся странам и странам с переходной экономикой для осуществления деятельности в рамках Минаматской конвенции по ртути</w:t>
            </w:r>
            <w:r w:rsidR="00E953EE" w:rsidRPr="00D73012">
              <w:rPr>
                <w:rFonts w:cstheme="minorHAnsi"/>
                <w:lang w:val="ru-RU"/>
              </w:rPr>
              <w:t>:</w:t>
            </w:r>
          </w:p>
          <w:p w14:paraId="4C4576DB" w14:textId="2E68372C" w:rsidR="00E953EE" w:rsidRPr="00D73012" w:rsidRDefault="00871287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Квалификационные критерии</w:t>
            </w:r>
          </w:p>
          <w:p w14:paraId="1FED7CE3" w14:textId="1BBC8C92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a)</w:t>
            </w:r>
            <w:r w:rsidR="0030706D">
              <w:rPr>
                <w:rFonts w:cstheme="minorHAnsi"/>
                <w:lang w:val="ru-RU"/>
              </w:rPr>
              <w:t xml:space="preserve"> </w:t>
            </w:r>
            <w:r w:rsidR="00871287" w:rsidRPr="00D73012">
              <w:rPr>
                <w:rFonts w:cstheme="minorHAnsi"/>
                <w:lang w:val="ru-RU"/>
              </w:rPr>
              <w:t>Стороны Конвенции;</w:t>
            </w:r>
          </w:p>
          <w:p w14:paraId="74DCD552" w14:textId="2B696AF9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b)</w:t>
            </w:r>
            <w:r w:rsidR="0030706D">
              <w:rPr>
                <w:rFonts w:cstheme="minorHAnsi"/>
                <w:lang w:val="ru-RU"/>
              </w:rPr>
              <w:t xml:space="preserve"> </w:t>
            </w:r>
            <w:r w:rsidR="008D34C6" w:rsidRPr="00D73012">
              <w:rPr>
                <w:rFonts w:cstheme="minorHAnsi"/>
                <w:lang w:val="ru-RU"/>
              </w:rPr>
              <w:t>с</w:t>
            </w:r>
            <w:r w:rsidR="00871287" w:rsidRPr="00D73012">
              <w:rPr>
                <w:rFonts w:cstheme="minorHAnsi"/>
                <w:lang w:val="ru-RU"/>
              </w:rPr>
              <w:t xml:space="preserve">тороны, подписавшие </w:t>
            </w:r>
            <w:r w:rsidR="008D34C6" w:rsidRPr="00D73012">
              <w:rPr>
                <w:rFonts w:cstheme="minorHAnsi"/>
                <w:lang w:val="ru-RU"/>
              </w:rPr>
              <w:t>Конвенцию</w:t>
            </w:r>
            <w:r w:rsidR="00871287" w:rsidRPr="00D73012">
              <w:rPr>
                <w:rFonts w:cstheme="minorHAnsi"/>
                <w:lang w:val="ru-RU"/>
              </w:rPr>
              <w:t xml:space="preserve"> </w:t>
            </w:r>
            <w:r w:rsidR="008D34C6" w:rsidRPr="00D73012">
              <w:rPr>
                <w:rFonts w:cstheme="minorHAnsi"/>
                <w:lang w:val="ru-RU"/>
              </w:rPr>
              <w:t>с целью</w:t>
            </w:r>
            <w:r w:rsidR="00871287" w:rsidRPr="00D73012">
              <w:rPr>
                <w:rFonts w:cstheme="minorHAnsi"/>
                <w:lang w:val="ru-RU"/>
              </w:rPr>
              <w:t xml:space="preserve"> осуществлени</w:t>
            </w:r>
            <w:r w:rsidR="008D34C6" w:rsidRPr="00D73012">
              <w:rPr>
                <w:rFonts w:cstheme="minorHAnsi"/>
                <w:lang w:val="ru-RU"/>
              </w:rPr>
              <w:t>я</w:t>
            </w:r>
            <w:r w:rsidR="00871287" w:rsidRPr="00D73012">
              <w:rPr>
                <w:rFonts w:cstheme="minorHAnsi"/>
                <w:lang w:val="ru-RU"/>
              </w:rPr>
              <w:t xml:space="preserve"> деятельности, в частности стимулирующей деятельности, направленной на содействие скорейшему осуществлению и ратификации Конвенции</w:t>
            </w:r>
            <w:r w:rsidRPr="00D73012">
              <w:rPr>
                <w:rFonts w:cstheme="minorHAnsi"/>
                <w:lang w:val="ru-RU"/>
              </w:rPr>
              <w:t>;</w:t>
            </w:r>
          </w:p>
          <w:p w14:paraId="56F0A838" w14:textId="07E05F2D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c)</w:t>
            </w:r>
            <w:r w:rsidR="00D807A6">
              <w:rPr>
                <w:rFonts w:cstheme="minorHAnsi"/>
                <w:lang w:val="ru-RU"/>
              </w:rPr>
              <w:t xml:space="preserve"> </w:t>
            </w:r>
            <w:r w:rsidR="0030706D">
              <w:rPr>
                <w:rFonts w:cstheme="minorHAnsi"/>
                <w:lang w:val="ru-RU"/>
              </w:rPr>
              <w:t>государства</w:t>
            </w:r>
            <w:r w:rsidR="008D34C6" w:rsidRPr="00D73012">
              <w:rPr>
                <w:rFonts w:cstheme="minorHAnsi"/>
                <w:lang w:val="ru-RU"/>
              </w:rPr>
              <w:t>, не подписавшие Конвенцию с целью осуществления стимулирующей деятельности при условии, что любое такое государство, подписавшее Конвенцию, предпринимает реальные шаги к тому, чтобы стать Стороной Конвенции, что подтверждается письмом соответствующего министра на имя Директора-исполнителя Программы Организации Объединенных Наций по окружающей среде, а также на имя Главного административного сотрудника и Председателя Глобального экологического фонда</w:t>
            </w:r>
            <w:r w:rsidRPr="00D73012">
              <w:rPr>
                <w:rFonts w:cstheme="minorHAnsi"/>
                <w:lang w:val="ru-RU"/>
              </w:rPr>
              <w:t>.</w:t>
            </w:r>
          </w:p>
        </w:tc>
        <w:tc>
          <w:tcPr>
            <w:tcW w:w="4245" w:type="dxa"/>
          </w:tcPr>
          <w:p w14:paraId="697248E1" w14:textId="79FE9F6A" w:rsidR="00E953EE" w:rsidRPr="00D73012" w:rsidRDefault="00D872DB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 xml:space="preserve">В январе 2015 года Совет </w:t>
            </w:r>
            <w:proofErr w:type="spellStart"/>
            <w:r w:rsidRPr="00D73012">
              <w:rPr>
                <w:rFonts w:cstheme="minorHAnsi"/>
                <w:lang w:val="ru-RU"/>
              </w:rPr>
              <w:t>ГЭФ</w:t>
            </w:r>
            <w:proofErr w:type="spellEnd"/>
            <w:r w:rsidRPr="00D73012">
              <w:rPr>
                <w:rFonts w:cstheme="minorHAnsi"/>
                <w:lang w:val="ru-RU"/>
              </w:rPr>
              <w:t xml:space="preserve"> утвердил новые квалификационные критерии. Секретариат </w:t>
            </w:r>
            <w:proofErr w:type="spellStart"/>
            <w:r w:rsidRPr="00D73012">
              <w:rPr>
                <w:rFonts w:cstheme="minorHAnsi"/>
                <w:lang w:val="ru-RU"/>
              </w:rPr>
              <w:t>ГЭФ</w:t>
            </w:r>
            <w:proofErr w:type="spellEnd"/>
            <w:r w:rsidRPr="00D73012">
              <w:rPr>
                <w:rFonts w:cstheme="minorHAnsi"/>
                <w:lang w:val="ru-RU"/>
              </w:rPr>
              <w:t xml:space="preserve"> также распространил пересмотренный вариант критериев среди учреждений </w:t>
            </w:r>
            <w:proofErr w:type="spellStart"/>
            <w:r w:rsidRPr="00D73012">
              <w:rPr>
                <w:rFonts w:cstheme="minorHAnsi"/>
                <w:lang w:val="ru-RU"/>
              </w:rPr>
              <w:t>ГЭФ</w:t>
            </w:r>
            <w:proofErr w:type="spellEnd"/>
            <w:r w:rsidRPr="00D73012">
              <w:rPr>
                <w:rFonts w:cstheme="minorHAnsi"/>
                <w:lang w:val="ru-RU"/>
              </w:rPr>
              <w:t xml:space="preserve"> в феврале 2015 года.</w:t>
            </w:r>
          </w:p>
          <w:p w14:paraId="6062C617" w14:textId="78C34F20" w:rsidR="00E953EE" w:rsidRPr="00D73012" w:rsidRDefault="002A67B1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Временный секретариат Минаматской конвенции поделился образцом письма, которое должно быть представлено государствами, не подписавшими Конвенцию, об их значимых шагах на пути к присоединению к ней</w:t>
            </w:r>
            <w:r w:rsidR="00E953EE" w:rsidRPr="00D73012">
              <w:rPr>
                <w:rFonts w:cstheme="minorHAnsi"/>
                <w:lang w:val="ru-RU"/>
              </w:rPr>
              <w:t>.</w:t>
            </w:r>
          </w:p>
          <w:p w14:paraId="48563ED7" w14:textId="77777777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</w:p>
          <w:p w14:paraId="2FB599D2" w14:textId="3F61B616" w:rsidR="00E953EE" w:rsidRPr="00D73012" w:rsidRDefault="00194114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 xml:space="preserve">На основе новых критериев в течение отчетного периода в </w:t>
            </w:r>
            <w:proofErr w:type="spellStart"/>
            <w:r w:rsidRPr="00D73012">
              <w:rPr>
                <w:rFonts w:cstheme="minorHAnsi"/>
                <w:lang w:val="ru-RU"/>
              </w:rPr>
              <w:t>ГЭФ</w:t>
            </w:r>
            <w:proofErr w:type="spellEnd"/>
            <w:r w:rsidRPr="00D73012">
              <w:rPr>
                <w:rFonts w:cstheme="minorHAnsi"/>
                <w:lang w:val="ru-RU"/>
              </w:rPr>
              <w:t xml:space="preserve">-6 была оказана поддержка 24 странам, не подписавшим Конвенцию. Из этих 24 стран </w:t>
            </w:r>
            <w:r w:rsidR="00AC71B9">
              <w:rPr>
                <w:rFonts w:cstheme="minorHAnsi"/>
                <w:lang w:val="ru-RU"/>
              </w:rPr>
              <w:t>5 </w:t>
            </w:r>
            <w:r w:rsidRPr="00D73012">
              <w:rPr>
                <w:rFonts w:cstheme="minorHAnsi"/>
                <w:lang w:val="ru-RU"/>
              </w:rPr>
              <w:t>стран ратифицировали Конвенцию: Ботсвана, Сальвадор, Лесото, Сент-Китс и Невис и Эсватини</w:t>
            </w:r>
            <w:r w:rsidR="00E953EE" w:rsidRPr="00D73012">
              <w:rPr>
                <w:rFonts w:cstheme="minorHAnsi"/>
                <w:lang w:val="ru-RU"/>
              </w:rPr>
              <w:t>.</w:t>
            </w:r>
          </w:p>
        </w:tc>
      </w:tr>
      <w:tr w:rsidR="00D872DB" w:rsidRPr="00D73012" w14:paraId="5DADDB9E" w14:textId="77777777" w:rsidTr="006909EB">
        <w:tc>
          <w:tcPr>
            <w:tcW w:w="445" w:type="dxa"/>
          </w:tcPr>
          <w:p w14:paraId="3904DB26" w14:textId="77777777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2</w:t>
            </w:r>
          </w:p>
        </w:tc>
        <w:tc>
          <w:tcPr>
            <w:tcW w:w="4860" w:type="dxa"/>
          </w:tcPr>
          <w:p w14:paraId="0A581866" w14:textId="50270584" w:rsidR="00E953EE" w:rsidRPr="00D73012" w:rsidRDefault="006328E9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Просить Глобальный экологический фонд рассмотреть следующие виды деятельности при предоставлении финансовых ресурсов развивающимся странам и странам с переходной экономикой</w:t>
            </w:r>
            <w:r w:rsidR="00E953EE" w:rsidRPr="00D73012">
              <w:rPr>
                <w:rFonts w:cstheme="minorHAnsi"/>
                <w:lang w:val="ru-RU"/>
              </w:rPr>
              <w:t>:</w:t>
            </w:r>
          </w:p>
          <w:p w14:paraId="70ACC17E" w14:textId="1F3CC2B6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a)</w:t>
            </w:r>
            <w:r w:rsidR="00D807A6">
              <w:rPr>
                <w:rFonts w:cstheme="minorHAnsi"/>
                <w:lang w:val="ru-RU"/>
              </w:rPr>
              <w:t xml:space="preserve"> </w:t>
            </w:r>
            <w:r w:rsidR="00857FC1" w:rsidRPr="00D73012">
              <w:rPr>
                <w:rFonts w:cstheme="minorHAnsi"/>
                <w:lang w:val="ru-RU"/>
              </w:rPr>
              <w:t>стимулирующая деятельность, изложенная в первоначальных руководящих принципах по стимулирующей деятельности для Минаматской конвенции по ртути Глобального экологического фонда, в частности</w:t>
            </w:r>
            <w:r w:rsidR="0091588E" w:rsidRPr="00D73012">
              <w:rPr>
                <w:rFonts w:cstheme="minorHAnsi"/>
                <w:lang w:val="ru-RU"/>
              </w:rPr>
              <w:t>,</w:t>
            </w:r>
            <w:r w:rsidR="00857FC1" w:rsidRPr="00D73012">
              <w:rPr>
                <w:rFonts w:cstheme="minorHAnsi"/>
                <w:lang w:val="ru-RU"/>
              </w:rPr>
              <w:t xml:space="preserve"> мероприятия по первоначальной оценке Минаматской конвенции и национальные планы действий по кустарной и мелкомасштабной золот</w:t>
            </w:r>
            <w:r w:rsidR="00DF6B69" w:rsidRPr="00D73012">
              <w:rPr>
                <w:rFonts w:cstheme="minorHAnsi"/>
                <w:lang w:val="ru-RU"/>
              </w:rPr>
              <w:t>одобыче</w:t>
            </w:r>
            <w:r w:rsidR="00857FC1" w:rsidRPr="00D73012">
              <w:rPr>
                <w:rFonts w:cstheme="minorHAnsi"/>
                <w:lang w:val="ru-RU"/>
              </w:rPr>
              <w:t>, для содействия ратификации</w:t>
            </w:r>
            <w:r w:rsidRPr="00D73012">
              <w:rPr>
                <w:rFonts w:cstheme="minorHAnsi"/>
                <w:lang w:val="ru-RU"/>
              </w:rPr>
              <w:t>;</w:t>
            </w:r>
          </w:p>
          <w:p w14:paraId="2E87E0B5" w14:textId="421D9EE7" w:rsidR="00E953EE" w:rsidRPr="00D73012" w:rsidRDefault="00E953EE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b)</w:t>
            </w:r>
            <w:r w:rsidR="00D807A6">
              <w:rPr>
                <w:rFonts w:cstheme="minorHAnsi"/>
                <w:lang w:val="ru-RU"/>
              </w:rPr>
              <w:t xml:space="preserve"> </w:t>
            </w:r>
            <w:r w:rsidR="0091588E" w:rsidRPr="00D73012">
              <w:rPr>
                <w:rFonts w:cstheme="minorHAnsi"/>
                <w:lang w:val="ru-RU"/>
              </w:rPr>
              <w:t>мероприятия по осуществлению положений Конвенции, акцентируя внимание на тех мероприятиях, которые</w:t>
            </w:r>
            <w:r w:rsidRPr="00D73012">
              <w:rPr>
                <w:rFonts w:cstheme="minorHAnsi"/>
                <w:lang w:val="ru-RU"/>
              </w:rPr>
              <w:t>:</w:t>
            </w:r>
          </w:p>
          <w:p w14:paraId="2DC442D1" w14:textId="1D875849" w:rsidR="00E953EE" w:rsidRPr="00D73012" w:rsidRDefault="00E953EE" w:rsidP="00BA5D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7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i)</w:t>
            </w:r>
            <w:r w:rsidR="00BC5454">
              <w:rPr>
                <w:rFonts w:cstheme="minorHAnsi"/>
                <w:lang w:val="ru-RU"/>
              </w:rPr>
              <w:t xml:space="preserve"> </w:t>
            </w:r>
            <w:r w:rsidR="0091588E" w:rsidRPr="00D73012">
              <w:rPr>
                <w:rFonts w:cstheme="minorHAnsi"/>
                <w:lang w:val="ru-RU"/>
              </w:rPr>
              <w:t>касаются имеющих юридическую силу обязательств</w:t>
            </w:r>
            <w:r w:rsidRPr="00D73012">
              <w:rPr>
                <w:rFonts w:cstheme="minorHAnsi"/>
                <w:lang w:val="ru-RU"/>
              </w:rPr>
              <w:t>;</w:t>
            </w:r>
          </w:p>
          <w:p w14:paraId="5D441534" w14:textId="6C52B013" w:rsidR="00E953EE" w:rsidRPr="00D73012" w:rsidRDefault="00E953EE" w:rsidP="00BA5D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7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ii)</w:t>
            </w:r>
            <w:r w:rsidR="00BC5454">
              <w:rPr>
                <w:rFonts w:cstheme="minorHAnsi"/>
                <w:lang w:val="ru-RU"/>
              </w:rPr>
              <w:t xml:space="preserve"> </w:t>
            </w:r>
            <w:r w:rsidR="00AB5436" w:rsidRPr="00D73012">
              <w:rPr>
                <w:rFonts w:cstheme="minorHAnsi"/>
                <w:lang w:val="ru-RU"/>
              </w:rPr>
              <w:t>содействуют скорейшему осуществлению после вступления в силу;</w:t>
            </w:r>
          </w:p>
          <w:p w14:paraId="17EE5E75" w14:textId="3B39B4A6" w:rsidR="00E953EE" w:rsidRPr="00D73012" w:rsidRDefault="00E953EE" w:rsidP="00BA5D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7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>iii)</w:t>
            </w:r>
            <w:r w:rsidR="00BC5454">
              <w:rPr>
                <w:rFonts w:cstheme="minorHAnsi"/>
                <w:lang w:val="ru-RU"/>
              </w:rPr>
              <w:t xml:space="preserve"> </w:t>
            </w:r>
            <w:r w:rsidR="00AB5436" w:rsidRPr="00D73012">
              <w:rPr>
                <w:rFonts w:cstheme="minorHAnsi"/>
                <w:lang w:val="ru-RU"/>
              </w:rPr>
              <w:t>обеспечивают возможность сокращения выбросов и высвобождений ртути и направлены на решение проблемы воздействия ртути на здоровье человека и окружающую среду</w:t>
            </w:r>
            <w:r w:rsidRPr="00D73012">
              <w:rPr>
                <w:rFonts w:cstheme="minorHAnsi"/>
                <w:lang w:val="ru-RU"/>
              </w:rPr>
              <w:t>.</w:t>
            </w:r>
          </w:p>
        </w:tc>
        <w:tc>
          <w:tcPr>
            <w:tcW w:w="4245" w:type="dxa"/>
          </w:tcPr>
          <w:p w14:paraId="2EAA7DEE" w14:textId="753675C7" w:rsidR="00E953EE" w:rsidRPr="00D73012" w:rsidRDefault="001D626D" w:rsidP="00D7301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D73012">
              <w:rPr>
                <w:rFonts w:cstheme="minorHAnsi"/>
                <w:lang w:val="ru-RU"/>
              </w:rPr>
              <w:t xml:space="preserve">Стратегия </w:t>
            </w:r>
            <w:proofErr w:type="spellStart"/>
            <w:r w:rsidRPr="00D73012">
              <w:rPr>
                <w:rFonts w:cstheme="minorHAnsi"/>
                <w:lang w:val="ru-RU"/>
              </w:rPr>
              <w:t>ГЭФ</w:t>
            </w:r>
            <w:proofErr w:type="spellEnd"/>
            <w:r w:rsidRPr="00D73012">
              <w:rPr>
                <w:rFonts w:cstheme="minorHAnsi"/>
                <w:lang w:val="ru-RU"/>
              </w:rPr>
              <w:t>-6 в области химических веществ и отходов предусматривает две стратегические цели, направленные на ликвидацию вредных химических веществ и отходов</w:t>
            </w:r>
            <w:r w:rsidR="00E953EE" w:rsidRPr="00D73012">
              <w:rPr>
                <w:rFonts w:cstheme="minorHAnsi"/>
                <w:lang w:val="ru-RU"/>
              </w:rPr>
              <w:t xml:space="preserve">. </w:t>
            </w:r>
            <w:proofErr w:type="spellStart"/>
            <w:r w:rsidR="00E24E5F" w:rsidRPr="00D73012">
              <w:rPr>
                <w:rFonts w:cstheme="minorHAnsi"/>
                <w:lang w:val="ru-RU"/>
              </w:rPr>
              <w:t>ГЭФ</w:t>
            </w:r>
            <w:proofErr w:type="spellEnd"/>
            <w:r w:rsidR="00E24E5F" w:rsidRPr="00D73012">
              <w:rPr>
                <w:rFonts w:cstheme="minorHAnsi"/>
                <w:lang w:val="ru-RU"/>
              </w:rPr>
              <w:t xml:space="preserve"> запрограммировал 124 млн. долл. США на проекты по ртути в рамках этих двух программ в течение первых трех лет периода </w:t>
            </w:r>
            <w:proofErr w:type="spellStart"/>
            <w:r w:rsidR="00E24E5F" w:rsidRPr="00D73012">
              <w:rPr>
                <w:rFonts w:cstheme="minorHAnsi"/>
                <w:lang w:val="ru-RU"/>
              </w:rPr>
              <w:t>ГЭФ</w:t>
            </w:r>
            <w:proofErr w:type="spellEnd"/>
            <w:r w:rsidR="00E24E5F" w:rsidRPr="00D73012">
              <w:rPr>
                <w:rFonts w:cstheme="minorHAnsi"/>
                <w:lang w:val="ru-RU"/>
              </w:rPr>
              <w:t>-6</w:t>
            </w:r>
            <w:r w:rsidR="00E953EE" w:rsidRPr="00D73012">
              <w:rPr>
                <w:rFonts w:cstheme="minorHAnsi"/>
                <w:lang w:val="ru-RU"/>
              </w:rPr>
              <w:t>.</w:t>
            </w:r>
          </w:p>
        </w:tc>
      </w:tr>
    </w:tbl>
    <w:p w14:paraId="71CF132A" w14:textId="0008FE83" w:rsidR="00E953EE" w:rsidRPr="0071386C" w:rsidRDefault="00E953EE" w:rsidP="00E953EE">
      <w:pPr>
        <w:rPr>
          <w:rFonts w:cstheme="minorHAnsi"/>
          <w:sz w:val="22"/>
          <w:szCs w:val="22"/>
          <w:lang w:val="ru-RU"/>
        </w:rPr>
      </w:pPr>
    </w:p>
    <w:p w14:paraId="741897B1" w14:textId="7B62DC92" w:rsidR="007B34A8" w:rsidRPr="0071386C" w:rsidRDefault="007B34A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cstheme="minorHAnsi"/>
          <w:sz w:val="22"/>
          <w:szCs w:val="22"/>
          <w:lang w:val="ru-RU"/>
        </w:rPr>
      </w:pPr>
      <w:r w:rsidRPr="0071386C">
        <w:rPr>
          <w:rFonts w:cstheme="minorHAnsi"/>
          <w:sz w:val="22"/>
          <w:szCs w:val="22"/>
          <w:lang w:val="ru-RU"/>
        </w:rPr>
        <w:br w:type="page"/>
      </w:r>
    </w:p>
    <w:p w14:paraId="301F1923" w14:textId="2F14C135" w:rsidR="00E953EE" w:rsidRPr="00F6231D" w:rsidRDefault="0017523A" w:rsidP="00F6231D">
      <w:pPr>
        <w:pStyle w:val="Heading2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  <w:rPr>
          <w:lang w:val="ru-RU"/>
        </w:rPr>
      </w:pPr>
      <w:bookmarkStart w:id="12" w:name="_Toc9941941"/>
      <w:bookmarkStart w:id="13" w:name="_Toc9942387"/>
      <w:r w:rsidRPr="00F6231D">
        <w:rPr>
          <w:lang w:val="ru-RU"/>
        </w:rPr>
        <w:lastRenderedPageBreak/>
        <w:t xml:space="preserve">Резолюции, принятые Конференцией полномочных представителей по Минаматской конвенции о ртути, и ответные меры </w:t>
      </w:r>
      <w:proofErr w:type="spellStart"/>
      <w:r w:rsidRPr="00F6231D">
        <w:rPr>
          <w:lang w:val="ru-RU"/>
        </w:rPr>
        <w:t>ГЭФ</w:t>
      </w:r>
      <w:proofErr w:type="spellEnd"/>
      <w:r w:rsidR="00E953EE" w:rsidRPr="00F6231D">
        <w:rPr>
          <w:rStyle w:val="FootnoteReference"/>
          <w:sz w:val="24"/>
          <w:szCs w:val="24"/>
          <w:lang w:val="ru-RU"/>
        </w:rPr>
        <w:footnoteReference w:id="11"/>
      </w:r>
      <w:bookmarkEnd w:id="12"/>
      <w:bookmarkEnd w:id="1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"/>
        <w:gridCol w:w="4825"/>
        <w:gridCol w:w="4219"/>
      </w:tblGrid>
      <w:tr w:rsidR="00415A75" w:rsidRPr="004E6CE0" w14:paraId="53C9F084" w14:textId="77777777" w:rsidTr="006909EB">
        <w:tc>
          <w:tcPr>
            <w:tcW w:w="445" w:type="dxa"/>
          </w:tcPr>
          <w:p w14:paraId="34141654" w14:textId="77777777" w:rsidR="00E953EE" w:rsidRPr="004E6CE0" w:rsidRDefault="00E953E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cstheme="minorHAnsi"/>
                <w:b/>
                <w:bCs/>
                <w:lang w:val="ru-RU"/>
              </w:rPr>
            </w:pPr>
          </w:p>
        </w:tc>
        <w:tc>
          <w:tcPr>
            <w:tcW w:w="4860" w:type="dxa"/>
          </w:tcPr>
          <w:p w14:paraId="01A95A5A" w14:textId="1CE29582" w:rsidR="00E953EE" w:rsidRPr="004E6CE0" w:rsidRDefault="00441D88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cstheme="minorHAnsi"/>
                <w:b/>
                <w:bCs/>
                <w:lang w:val="ru-RU"/>
              </w:rPr>
            </w:pPr>
            <w:r w:rsidRPr="004E6CE0">
              <w:rPr>
                <w:rFonts w:cstheme="minorHAnsi"/>
                <w:b/>
                <w:bCs/>
                <w:lang w:val="ru-RU"/>
              </w:rPr>
              <w:t>Резолюция</w:t>
            </w:r>
          </w:p>
        </w:tc>
        <w:tc>
          <w:tcPr>
            <w:tcW w:w="4245" w:type="dxa"/>
          </w:tcPr>
          <w:p w14:paraId="58FBED42" w14:textId="0506668E" w:rsidR="00E953EE" w:rsidRPr="004E6CE0" w:rsidRDefault="0017523A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cstheme="minorHAnsi"/>
                <w:b/>
                <w:bCs/>
                <w:lang w:val="ru-RU"/>
              </w:rPr>
            </w:pPr>
            <w:r w:rsidRPr="004E6CE0">
              <w:rPr>
                <w:rFonts w:cstheme="minorHAnsi"/>
                <w:b/>
                <w:bCs/>
                <w:lang w:val="ru-RU"/>
              </w:rPr>
              <w:t xml:space="preserve">Ответные меры </w:t>
            </w:r>
            <w:proofErr w:type="spellStart"/>
            <w:r w:rsidRPr="004E6CE0">
              <w:rPr>
                <w:rFonts w:cstheme="minorHAnsi"/>
                <w:b/>
                <w:bCs/>
                <w:lang w:val="ru-RU"/>
              </w:rPr>
              <w:t>ГЭФ</w:t>
            </w:r>
            <w:proofErr w:type="spellEnd"/>
          </w:p>
        </w:tc>
      </w:tr>
      <w:tr w:rsidR="00415A75" w:rsidRPr="004E6CE0" w14:paraId="332BACDC" w14:textId="77777777" w:rsidTr="006909EB">
        <w:tc>
          <w:tcPr>
            <w:tcW w:w="445" w:type="dxa"/>
          </w:tcPr>
          <w:p w14:paraId="051CE0B5" w14:textId="77777777" w:rsidR="00E953EE" w:rsidRPr="004E6CE0" w:rsidRDefault="00E953E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1</w:t>
            </w:r>
          </w:p>
        </w:tc>
        <w:tc>
          <w:tcPr>
            <w:tcW w:w="4860" w:type="dxa"/>
          </w:tcPr>
          <w:p w14:paraId="3FE530AF" w14:textId="1706CC9E" w:rsidR="00E953EE" w:rsidRPr="004E6CE0" w:rsidRDefault="00415A75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Предлагает Совету Глобального экологического фонда оказывать поддержку развивающимся странам и странам с переходной экономикой, подписавшим Конвенцию, в проведении мероприятий, особенно в осуществлении стимулирующей деятельности, в целях содействия скорейшему осуществлению и ратификации Конвенции</w:t>
            </w:r>
            <w:r w:rsidR="00E953EE" w:rsidRPr="004E6CE0">
              <w:rPr>
                <w:rFonts w:cstheme="minorHAnsi"/>
                <w:lang w:val="ru-RU"/>
              </w:rPr>
              <w:t>;</w:t>
            </w:r>
          </w:p>
        </w:tc>
        <w:tc>
          <w:tcPr>
            <w:tcW w:w="4245" w:type="dxa"/>
          </w:tcPr>
          <w:p w14:paraId="56897480" w14:textId="1D3E8AD1" w:rsidR="00E953EE" w:rsidRPr="004E6CE0" w:rsidRDefault="00902A28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 xml:space="preserve">В июне 2013 года 44-й Совет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выделил 10</w:t>
            </w:r>
            <w:r w:rsidR="004E6CE0">
              <w:rPr>
                <w:rFonts w:cstheme="minorHAnsi"/>
              </w:rPr>
              <w:t> </w:t>
            </w:r>
            <w:r w:rsidRPr="004E6CE0">
              <w:rPr>
                <w:rFonts w:cstheme="minorHAnsi"/>
                <w:lang w:val="ru-RU"/>
              </w:rPr>
              <w:t xml:space="preserve">млн. долл. США на стимулирующую деятельность в рамках Минаматской конвенции в период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-5, в частности на первоначальные оценки и НПД в области </w:t>
            </w:r>
            <w:proofErr w:type="spellStart"/>
            <w:r w:rsidRPr="004E6CE0">
              <w:rPr>
                <w:rFonts w:cstheme="minorHAnsi"/>
                <w:lang w:val="ru-RU"/>
              </w:rPr>
              <w:t>КМЗ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. Для реализации этих проектов были разработаны руководящие принципы. </w:t>
            </w:r>
            <w:r w:rsidR="008B6ACF" w:rsidRPr="004E6CE0">
              <w:rPr>
                <w:rFonts w:cstheme="minorHAnsi"/>
                <w:lang w:val="ru-RU"/>
              </w:rPr>
              <w:t xml:space="preserve">В </w:t>
            </w:r>
            <w:proofErr w:type="spellStart"/>
            <w:r w:rsidR="008B6ACF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4E6CE0">
              <w:rPr>
                <w:rFonts w:cstheme="minorHAnsi"/>
                <w:lang w:val="ru-RU"/>
              </w:rPr>
              <w:noBreakHyphen/>
            </w:r>
            <w:r w:rsidR="008B6ACF" w:rsidRPr="004E6CE0">
              <w:rPr>
                <w:rFonts w:cstheme="minorHAnsi"/>
                <w:lang w:val="ru-RU"/>
              </w:rPr>
              <w:t>6 на эти стимулирующие действия было выделено дополнительно 30 млн. долл. США.</w:t>
            </w:r>
          </w:p>
          <w:p w14:paraId="724744EA" w14:textId="51512239" w:rsidR="00E953EE" w:rsidRPr="004E6CE0" w:rsidRDefault="00AE54D5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Первоначальные руководящие принципы</w:t>
            </w:r>
            <w:r w:rsidR="00E953EE" w:rsidRPr="004E6CE0">
              <w:rPr>
                <w:rStyle w:val="FootnoteReference"/>
                <w:rFonts w:cstheme="minorHAnsi"/>
                <w:szCs w:val="20"/>
                <w:lang w:val="ru-RU"/>
              </w:rPr>
              <w:footnoteReference w:id="12"/>
            </w:r>
            <w:r w:rsidR="00E953EE" w:rsidRPr="004E6CE0">
              <w:rPr>
                <w:rFonts w:cstheme="minorHAnsi"/>
                <w:lang w:val="ru-RU"/>
              </w:rPr>
              <w:t xml:space="preserve"> </w:t>
            </w:r>
            <w:r w:rsidRPr="004E6CE0">
              <w:rPr>
                <w:rFonts w:cstheme="minorHAnsi"/>
                <w:lang w:val="ru-RU"/>
              </w:rPr>
              <w:t xml:space="preserve">могут быть изменены </w:t>
            </w:r>
            <w:proofErr w:type="spellStart"/>
            <w:r w:rsidR="006208A2">
              <w:rPr>
                <w:rFonts w:cstheme="minorHAnsi"/>
                <w:lang w:val="ru-RU"/>
              </w:rPr>
              <w:t>МКП</w:t>
            </w:r>
            <w:proofErr w:type="spellEnd"/>
            <w:r w:rsidR="006208A2" w:rsidRPr="004E6CE0">
              <w:rPr>
                <w:rFonts w:cstheme="minorHAnsi"/>
                <w:lang w:val="ru-RU"/>
              </w:rPr>
              <w:t xml:space="preserve"> </w:t>
            </w:r>
            <w:r w:rsidRPr="004E6CE0">
              <w:rPr>
                <w:rFonts w:cstheme="minorHAnsi"/>
                <w:lang w:val="ru-RU"/>
              </w:rPr>
              <w:t>или КС по мере необходимости</w:t>
            </w:r>
            <w:r w:rsidR="00E953EE" w:rsidRPr="004E6CE0">
              <w:rPr>
                <w:rFonts w:cstheme="minorHAnsi"/>
                <w:lang w:val="ru-RU"/>
              </w:rPr>
              <w:t>.</w:t>
            </w:r>
          </w:p>
        </w:tc>
      </w:tr>
      <w:tr w:rsidR="00415A75" w:rsidRPr="004E6CE0" w14:paraId="07D7BE36" w14:textId="77777777" w:rsidTr="006909EB">
        <w:tc>
          <w:tcPr>
            <w:tcW w:w="445" w:type="dxa"/>
          </w:tcPr>
          <w:p w14:paraId="2D934479" w14:textId="77777777" w:rsidR="00E953EE" w:rsidRPr="004E6CE0" w:rsidRDefault="00E953E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2</w:t>
            </w:r>
          </w:p>
        </w:tc>
        <w:tc>
          <w:tcPr>
            <w:tcW w:w="4860" w:type="dxa"/>
          </w:tcPr>
          <w:p w14:paraId="05B6938D" w14:textId="746599EC" w:rsidR="00E953EE" w:rsidRPr="004E6CE0" w:rsidRDefault="007C31BC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предлагает Совету Глобального экологического фонда обеспечить включение Целевого фонда Глобального экологического фонда в состав механизма финансирования Минаматской конвенции и в срочном порядке рекомендовать Ассамблее Глобального экологического фонда внести в Документ о создании реорганизованного Глобального экологического фонда любые корректировки, необходимые для выполнения им своей роли в этом механизме финансирования;</w:t>
            </w:r>
          </w:p>
        </w:tc>
        <w:tc>
          <w:tcPr>
            <w:tcW w:w="4245" w:type="dxa"/>
          </w:tcPr>
          <w:p w14:paraId="48474789" w14:textId="2E70B027" w:rsidR="00E953EE" w:rsidRPr="004E6CE0" w:rsidRDefault="00DC7457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 xml:space="preserve">На 5-й Ассамблее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в мае 2014 года в Документ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были внесены поправки для включения Минаматской конвенции в список конвенций, обслуживаемых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E953EE" w:rsidRPr="004E6CE0">
              <w:rPr>
                <w:rStyle w:val="FootnoteReference"/>
                <w:rFonts w:cstheme="minorHAnsi"/>
                <w:szCs w:val="20"/>
                <w:lang w:val="ru-RU"/>
              </w:rPr>
              <w:footnoteReference w:id="13"/>
            </w:r>
            <w:r w:rsidR="00E953EE" w:rsidRPr="004E6CE0">
              <w:rPr>
                <w:rFonts w:cstheme="minorHAnsi"/>
                <w:lang w:val="ru-RU"/>
              </w:rPr>
              <w:t xml:space="preserve">. </w:t>
            </w:r>
            <w:r w:rsidR="005D64EF" w:rsidRPr="004E6CE0">
              <w:rPr>
                <w:rFonts w:cstheme="minorHAnsi"/>
                <w:lang w:val="ru-RU"/>
              </w:rPr>
              <w:t xml:space="preserve">Новый пункт 6 e) Документа </w:t>
            </w:r>
            <w:proofErr w:type="spellStart"/>
            <w:r w:rsidR="005D64EF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5D64EF" w:rsidRPr="004E6CE0">
              <w:rPr>
                <w:rFonts w:cstheme="minorHAnsi"/>
                <w:lang w:val="ru-RU"/>
              </w:rPr>
              <w:t xml:space="preserve"> содержит следующий текст</w:t>
            </w:r>
            <w:r w:rsidR="00E953EE" w:rsidRPr="004E6CE0">
              <w:rPr>
                <w:rFonts w:cstheme="minorHAnsi"/>
                <w:lang w:val="ru-RU"/>
              </w:rPr>
              <w:t>:</w:t>
            </w:r>
          </w:p>
          <w:p w14:paraId="45D7EE24" w14:textId="3401A696" w:rsidR="00E953EE" w:rsidRPr="004E6CE0" w:rsidRDefault="005D64EF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«</w:t>
            </w:r>
            <w:r w:rsidR="00E953EE" w:rsidRPr="004E6CE0">
              <w:rPr>
                <w:rFonts w:cstheme="minorHAnsi"/>
                <w:lang w:val="ru-RU"/>
              </w:rPr>
              <w:t xml:space="preserve">e) </w:t>
            </w:r>
            <w:r w:rsidRPr="004E6CE0">
              <w:rPr>
                <w:rFonts w:cstheme="minorHAnsi"/>
                <w:lang w:val="ru-RU"/>
              </w:rPr>
              <w:t xml:space="preserve">Действовать в качестве одного из органов, входящих в состав механизма финансирования Минаматской конвенции о ртути во исполнение статьи 13, пунктов 5, 6 и 8. В этих случаях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действует под руководством и отчитывается перед Конференцией Сторон, которая будет предоставлять руководящие принципы по общим стратегиям, политик</w:t>
            </w:r>
            <w:r w:rsidR="00050E3A" w:rsidRPr="004E6CE0">
              <w:rPr>
                <w:rFonts w:cstheme="minorHAnsi"/>
                <w:lang w:val="ru-RU"/>
              </w:rPr>
              <w:t>е</w:t>
            </w:r>
            <w:r w:rsidRPr="004E6CE0">
              <w:rPr>
                <w:rFonts w:cstheme="minorHAnsi"/>
                <w:lang w:val="ru-RU"/>
              </w:rPr>
              <w:t>, приоритетности программ и квалификационным критериям доступа к финансовым ресурсам и их использования</w:t>
            </w:r>
            <w:r w:rsidR="00E953EE" w:rsidRPr="004E6CE0">
              <w:rPr>
                <w:rFonts w:cstheme="minorHAnsi"/>
                <w:lang w:val="ru-RU"/>
              </w:rPr>
              <w:t xml:space="preserve">. </w:t>
            </w:r>
            <w:r w:rsidRPr="004E6CE0">
              <w:rPr>
                <w:rFonts w:cstheme="minorHAnsi"/>
                <w:lang w:val="ru-RU"/>
              </w:rPr>
              <w:t xml:space="preserve">Кроме того,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получает указания от Конференции Сторон относительно ориентировочного перечня категорий видов деятельности для получения поддержки</w:t>
            </w:r>
            <w:r w:rsidR="00E953EE" w:rsidRPr="004E6CE0">
              <w:rPr>
                <w:rFonts w:cstheme="minorHAnsi"/>
                <w:lang w:val="ru-RU"/>
              </w:rPr>
              <w:t xml:space="preserve">; </w:t>
            </w:r>
            <w:r w:rsidRPr="004E6CE0">
              <w:rPr>
                <w:rFonts w:cstheme="minorHAnsi"/>
                <w:lang w:val="ru-RU"/>
              </w:rPr>
              <w:t>и предоставляет ресурсы для покрытия согласованных дополнительных затрат, связанных с получением глобальных экологических выгод, и всех согласованных издержек на некоторые стимулирующие мероприятия, в соответствии с пунктом 7 статьи 13 Минаматской конвенции о ртути»</w:t>
            </w:r>
            <w:r w:rsidR="00E953EE" w:rsidRPr="004E6CE0">
              <w:rPr>
                <w:rFonts w:cstheme="minorHAnsi"/>
                <w:lang w:val="ru-RU"/>
              </w:rPr>
              <w:t>.</w:t>
            </w:r>
          </w:p>
        </w:tc>
      </w:tr>
      <w:tr w:rsidR="00415A75" w:rsidRPr="004E6CE0" w14:paraId="2B73D8DB" w14:textId="77777777" w:rsidTr="006909EB">
        <w:tc>
          <w:tcPr>
            <w:tcW w:w="445" w:type="dxa"/>
          </w:tcPr>
          <w:p w14:paraId="7AA8DD01" w14:textId="77777777" w:rsidR="00E953EE" w:rsidRPr="004E6CE0" w:rsidRDefault="00E953E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3</w:t>
            </w:r>
          </w:p>
        </w:tc>
        <w:tc>
          <w:tcPr>
            <w:tcW w:w="4860" w:type="dxa"/>
          </w:tcPr>
          <w:p w14:paraId="3B3362D4" w14:textId="2B5AE2E3" w:rsidR="00E953EE" w:rsidRPr="004E6CE0" w:rsidRDefault="005D64EF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принимает решение, что Комитету следует разработать для рассмотрения Конференцией Сторон на ее первом совещании проект меморандума о взаимопонимании, подлежащий согласованию между Советом Глобального экологического фонда и Конференцией Сторон, относительно мер по осуществлению соответствующих положений пунктов 5-8 статьи 13</w:t>
            </w:r>
            <w:r w:rsidR="00E953EE" w:rsidRPr="004E6CE0">
              <w:rPr>
                <w:rFonts w:cstheme="minorHAnsi"/>
                <w:lang w:val="ru-RU"/>
              </w:rPr>
              <w:t>;</w:t>
            </w:r>
          </w:p>
        </w:tc>
        <w:tc>
          <w:tcPr>
            <w:tcW w:w="4245" w:type="dxa"/>
          </w:tcPr>
          <w:p w14:paraId="3D633569" w14:textId="6EAE4E8A" w:rsidR="00E953EE" w:rsidRPr="004E6CE0" w:rsidRDefault="00A21AF2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 xml:space="preserve">Секретариат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представил меморандум о взаимопонимании со Стокгольмской конвенцией Временному</w:t>
            </w:r>
            <w:r w:rsidR="00050E3A" w:rsidRPr="004E6CE0">
              <w:rPr>
                <w:rFonts w:cstheme="minorHAnsi"/>
                <w:lang w:val="ru-RU"/>
              </w:rPr>
              <w:t xml:space="preserve"> </w:t>
            </w:r>
            <w:r w:rsidRPr="004E6CE0">
              <w:rPr>
                <w:rFonts w:cstheme="minorHAnsi"/>
                <w:lang w:val="ru-RU"/>
              </w:rPr>
              <w:t>секретариату Минаматской конвенции в качестве справочной информации для оказания помощи в разработке этого меморандума</w:t>
            </w:r>
            <w:r w:rsidR="00382350" w:rsidRPr="004E6CE0">
              <w:rPr>
                <w:rFonts w:cstheme="minorHAnsi"/>
                <w:lang w:val="ru-RU"/>
              </w:rPr>
              <w:t xml:space="preserve">. </w:t>
            </w:r>
            <w:r w:rsidR="008A594C" w:rsidRPr="004E6CE0">
              <w:rPr>
                <w:rFonts w:cstheme="minorHAnsi"/>
                <w:lang w:val="ru-RU"/>
              </w:rPr>
              <w:t xml:space="preserve">Примеры </w:t>
            </w:r>
            <w:proofErr w:type="spellStart"/>
            <w:r w:rsidR="008A594C" w:rsidRPr="004E6CE0">
              <w:rPr>
                <w:rFonts w:cstheme="minorHAnsi"/>
                <w:lang w:val="ru-RU"/>
              </w:rPr>
              <w:t>МОВ</w:t>
            </w:r>
            <w:proofErr w:type="spellEnd"/>
            <w:r w:rsidR="008A594C" w:rsidRPr="004E6CE0">
              <w:rPr>
                <w:rFonts w:cstheme="minorHAnsi"/>
                <w:lang w:val="ru-RU"/>
              </w:rPr>
              <w:t xml:space="preserve"> между Советом </w:t>
            </w:r>
            <w:proofErr w:type="spellStart"/>
            <w:r w:rsidR="008A594C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8A594C" w:rsidRPr="004E6CE0">
              <w:rPr>
                <w:rFonts w:cstheme="minorHAnsi"/>
                <w:lang w:val="ru-RU"/>
              </w:rPr>
              <w:t xml:space="preserve"> и различными КС были приведены Временным </w:t>
            </w:r>
            <w:r w:rsidR="008A594C" w:rsidRPr="004E6CE0">
              <w:rPr>
                <w:rFonts w:cstheme="minorHAnsi"/>
                <w:lang w:val="ru-RU"/>
              </w:rPr>
              <w:lastRenderedPageBreak/>
              <w:t xml:space="preserve">секретариатом Минаматской конвенции в документах совещания </w:t>
            </w:r>
            <w:proofErr w:type="spellStart"/>
            <w:r w:rsidR="008A594C" w:rsidRPr="004E6CE0">
              <w:rPr>
                <w:rFonts w:cstheme="minorHAnsi"/>
                <w:lang w:val="ru-RU"/>
              </w:rPr>
              <w:t>МКП</w:t>
            </w:r>
            <w:proofErr w:type="spellEnd"/>
            <w:r w:rsidR="00613FF9">
              <w:rPr>
                <w:rFonts w:cstheme="minorHAnsi"/>
                <w:lang w:val="ru-RU"/>
              </w:rPr>
              <w:t>-</w:t>
            </w:r>
            <w:r w:rsidR="008A594C" w:rsidRPr="004E6CE0">
              <w:rPr>
                <w:rFonts w:cstheme="minorHAnsi"/>
                <w:lang w:val="ru-RU"/>
              </w:rPr>
              <w:t>6</w:t>
            </w:r>
            <w:r w:rsidR="00E953EE" w:rsidRPr="004E6CE0">
              <w:rPr>
                <w:rFonts w:cstheme="minorHAnsi"/>
                <w:lang w:val="ru-RU"/>
              </w:rPr>
              <w:t>.</w:t>
            </w:r>
          </w:p>
          <w:p w14:paraId="2204C12E" w14:textId="33890F59" w:rsidR="00E953EE" w:rsidRPr="004E6CE0" w:rsidRDefault="00382350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proofErr w:type="spellStart"/>
            <w:r w:rsidRPr="004E6CE0">
              <w:rPr>
                <w:rFonts w:cstheme="minorHAnsi"/>
                <w:lang w:val="ru-RU"/>
              </w:rPr>
              <w:t>МКП</w:t>
            </w:r>
            <w:proofErr w:type="spellEnd"/>
            <w:r w:rsidR="00F91A00">
              <w:rPr>
                <w:rFonts w:cstheme="minorHAnsi"/>
                <w:lang w:val="ru-RU"/>
              </w:rPr>
              <w:noBreakHyphen/>
            </w:r>
            <w:r w:rsidRPr="004E6CE0">
              <w:rPr>
                <w:rFonts w:cstheme="minorHAnsi"/>
                <w:lang w:val="ru-RU"/>
              </w:rPr>
              <w:t xml:space="preserve">7 согласовал пересмотренный проект </w:t>
            </w:r>
            <w:proofErr w:type="spellStart"/>
            <w:r w:rsidRPr="004E6CE0">
              <w:rPr>
                <w:rFonts w:cstheme="minorHAnsi"/>
                <w:lang w:val="ru-RU"/>
              </w:rPr>
              <w:t>МОВ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, который был представлен на рассмотрение 51-й сессии Совета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>.</w:t>
            </w:r>
            <w:r w:rsidR="00E953EE" w:rsidRPr="004E6CE0">
              <w:rPr>
                <w:rFonts w:cstheme="minorHAnsi"/>
                <w:lang w:val="ru-RU"/>
              </w:rPr>
              <w:t xml:space="preserve"> </w:t>
            </w:r>
            <w:r w:rsidR="00941C15" w:rsidRPr="004E6CE0">
              <w:rPr>
                <w:rFonts w:cstheme="minorHAnsi"/>
                <w:lang w:val="ru-RU"/>
              </w:rPr>
              <w:t xml:space="preserve">В начале 2017 года секретариат </w:t>
            </w:r>
            <w:proofErr w:type="spellStart"/>
            <w:r w:rsidR="00941C15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941C15" w:rsidRPr="004E6CE0">
              <w:rPr>
                <w:rFonts w:cstheme="minorHAnsi"/>
                <w:lang w:val="ru-RU"/>
              </w:rPr>
              <w:t xml:space="preserve"> препроводил замечания Совета </w:t>
            </w:r>
            <w:proofErr w:type="spellStart"/>
            <w:r w:rsidR="00941C15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941C15" w:rsidRPr="004E6CE0">
              <w:rPr>
                <w:rFonts w:cstheme="minorHAnsi"/>
                <w:lang w:val="ru-RU"/>
              </w:rPr>
              <w:t xml:space="preserve"> Временному секретариату для включения в документ для КС</w:t>
            </w:r>
            <w:r w:rsidR="003555CA">
              <w:rPr>
                <w:rFonts w:cstheme="minorHAnsi"/>
                <w:lang w:val="ru-RU"/>
              </w:rPr>
              <w:t>-</w:t>
            </w:r>
            <w:r w:rsidR="00941C15" w:rsidRPr="004E6CE0">
              <w:rPr>
                <w:rFonts w:cstheme="minorHAnsi"/>
                <w:lang w:val="ru-RU"/>
              </w:rPr>
              <w:t>1, который будет представлен на рассмотрение КС</w:t>
            </w:r>
            <w:r w:rsidR="00E953EE" w:rsidRPr="004E6CE0">
              <w:rPr>
                <w:rFonts w:cstheme="minorHAnsi"/>
                <w:lang w:val="ru-RU"/>
              </w:rPr>
              <w:t>.</w:t>
            </w:r>
          </w:p>
        </w:tc>
      </w:tr>
      <w:tr w:rsidR="00415A75" w:rsidRPr="004E6CE0" w14:paraId="29DC0375" w14:textId="77777777" w:rsidTr="006909EB">
        <w:tc>
          <w:tcPr>
            <w:tcW w:w="445" w:type="dxa"/>
          </w:tcPr>
          <w:p w14:paraId="1653068E" w14:textId="77777777" w:rsidR="00E953EE" w:rsidRPr="004E6CE0" w:rsidRDefault="00E953E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lastRenderedPageBreak/>
              <w:t>4</w:t>
            </w:r>
          </w:p>
        </w:tc>
        <w:tc>
          <w:tcPr>
            <w:tcW w:w="4860" w:type="dxa"/>
          </w:tcPr>
          <w:p w14:paraId="0A2F2385" w14:textId="49AE577C" w:rsidR="00E953EE" w:rsidRPr="004E6CE0" w:rsidRDefault="008235D9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принимает решение, что Комитету следует также разработать и в предварительном порядке принять до официального утверждения Конференцией Сторон на ее первом совещании руководящие указания Совету Глобального экологического фонда в отношении общих стратегий, политики, программных приоритетов, права доступа к финансовым ресурсам и их использования и ориентировочный перечень категорий деятельности, имеющих право на получение поддержки из Целевого фонда Глобального экологического фонда</w:t>
            </w:r>
            <w:r w:rsidR="00E953EE" w:rsidRPr="004E6CE0">
              <w:rPr>
                <w:rFonts w:cstheme="minorHAnsi"/>
                <w:lang w:val="ru-RU"/>
              </w:rPr>
              <w:t>;</w:t>
            </w:r>
          </w:p>
        </w:tc>
        <w:tc>
          <w:tcPr>
            <w:tcW w:w="4245" w:type="dxa"/>
          </w:tcPr>
          <w:p w14:paraId="4D72660E" w14:textId="2C1E9CE1" w:rsidR="00E953EE" w:rsidRPr="004E6CE0" w:rsidRDefault="00E5716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proofErr w:type="spellStart"/>
            <w:r w:rsidRPr="004E6CE0">
              <w:rPr>
                <w:rFonts w:cstheme="minorHAnsi"/>
                <w:lang w:val="ru-RU"/>
              </w:rPr>
              <w:t>МКП</w:t>
            </w:r>
            <w:proofErr w:type="spellEnd"/>
            <w:r w:rsidR="00571521">
              <w:rPr>
                <w:rFonts w:cstheme="minorHAnsi"/>
              </w:rPr>
              <w:t>-</w:t>
            </w:r>
            <w:r w:rsidRPr="004E6CE0">
              <w:rPr>
                <w:rFonts w:cstheme="minorHAnsi"/>
                <w:lang w:val="ru-RU"/>
              </w:rPr>
              <w:t xml:space="preserve">7 принял в предварительном порядке до официального утверждения Конференцией Сторон пересмотренный проект руководящих указаний для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в отношении общих стратегий, политики, программных приоритетов и правомочности доступа к финансовым ресурсам и их использования, а также в отношении ориентировочного перечня категорий видов деятельности, которые могут претендовать на получение поддержки по линии Целевого фонда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E953EE" w:rsidRPr="004E6CE0">
              <w:rPr>
                <w:rFonts w:cstheme="minorHAnsi"/>
                <w:lang w:val="ru-RU"/>
              </w:rPr>
              <w:t>.</w:t>
            </w:r>
          </w:p>
          <w:p w14:paraId="38C1FE87" w14:textId="5C145D2E" w:rsidR="00E953EE" w:rsidRPr="004E6CE0" w:rsidRDefault="00077740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добился прогресса в различных аспектах проекта первоначальных руководящих указаний, которые кратко изложены в таблице</w:t>
            </w:r>
            <w:r w:rsidR="00F91A00">
              <w:rPr>
                <w:rFonts w:cstheme="minorHAnsi"/>
              </w:rPr>
              <w:t> </w:t>
            </w:r>
            <w:r w:rsidRPr="004E6CE0">
              <w:rPr>
                <w:rFonts w:cstheme="minorHAnsi"/>
                <w:lang w:val="ru-RU"/>
              </w:rPr>
              <w:t xml:space="preserve">1 настоящего доклада. </w:t>
            </w:r>
            <w:r w:rsidR="004E1D2C" w:rsidRPr="004E6CE0">
              <w:rPr>
                <w:rFonts w:cstheme="minorHAnsi"/>
                <w:lang w:val="ru-RU"/>
              </w:rPr>
              <w:t xml:space="preserve">Например, они используются для руководства программированием в </w:t>
            </w:r>
            <w:proofErr w:type="spellStart"/>
            <w:r w:rsidR="004E1D2C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4E1D2C" w:rsidRPr="004E6CE0">
              <w:rPr>
                <w:rFonts w:cstheme="minorHAnsi"/>
                <w:lang w:val="ru-RU"/>
              </w:rPr>
              <w:t xml:space="preserve">-6 и упоминаются в проекте директив по программированию для переговоров о пополнении </w:t>
            </w:r>
            <w:proofErr w:type="spellStart"/>
            <w:r w:rsidR="004E1D2C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4E1D2C" w:rsidRPr="004E6CE0">
              <w:rPr>
                <w:rFonts w:cstheme="minorHAnsi"/>
                <w:lang w:val="ru-RU"/>
              </w:rPr>
              <w:t>-7</w:t>
            </w:r>
            <w:r w:rsidR="00E953EE" w:rsidRPr="004E6CE0">
              <w:rPr>
                <w:rFonts w:cstheme="minorHAnsi"/>
                <w:lang w:val="ru-RU"/>
              </w:rPr>
              <w:t>.</w:t>
            </w:r>
          </w:p>
          <w:p w14:paraId="054E59E9" w14:textId="18307200" w:rsidR="00E953EE" w:rsidRPr="004E6CE0" w:rsidRDefault="0093694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 xml:space="preserve">Основное внимание в рамках программирования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>-6 уделялось стимулирующей деятельности и мерам, направленным на содействие скорейшему осуществлению Конвенции</w:t>
            </w:r>
            <w:r w:rsidR="00E953EE" w:rsidRPr="004E6CE0">
              <w:rPr>
                <w:rFonts w:cstheme="minorHAnsi"/>
                <w:lang w:val="ru-RU"/>
              </w:rPr>
              <w:t xml:space="preserve">. </w:t>
            </w:r>
            <w:r w:rsidR="0028115E" w:rsidRPr="004E6CE0">
              <w:rPr>
                <w:rFonts w:cstheme="minorHAnsi"/>
                <w:lang w:val="ru-RU"/>
              </w:rPr>
              <w:t xml:space="preserve">По состоянию на июнь 2017 года </w:t>
            </w:r>
            <w:proofErr w:type="spellStart"/>
            <w:r w:rsidR="0028115E" w:rsidRPr="004E6CE0">
              <w:rPr>
                <w:rFonts w:cstheme="minorHAnsi"/>
                <w:lang w:val="ru-RU"/>
              </w:rPr>
              <w:t>ГЭФ</w:t>
            </w:r>
            <w:proofErr w:type="spellEnd"/>
            <w:r w:rsidR="0028115E" w:rsidRPr="004E6CE0">
              <w:rPr>
                <w:rFonts w:cstheme="minorHAnsi"/>
                <w:lang w:val="ru-RU"/>
              </w:rPr>
              <w:t xml:space="preserve"> профинансировал 100</w:t>
            </w:r>
            <w:r w:rsidR="00F91A00">
              <w:rPr>
                <w:rFonts w:cstheme="minorHAnsi"/>
              </w:rPr>
              <w:t> </w:t>
            </w:r>
            <w:r w:rsidR="0028115E" w:rsidRPr="004E6CE0">
              <w:rPr>
                <w:rFonts w:cstheme="minorHAnsi"/>
                <w:lang w:val="ru-RU"/>
              </w:rPr>
              <w:t>первоначальных оценок, 30 НПД и проектов, направленных на ликвидацию более 800 тонн ртути.</w:t>
            </w:r>
          </w:p>
        </w:tc>
      </w:tr>
      <w:tr w:rsidR="00415A75" w:rsidRPr="004E6CE0" w14:paraId="4C118A65" w14:textId="77777777" w:rsidTr="006909EB">
        <w:tc>
          <w:tcPr>
            <w:tcW w:w="445" w:type="dxa"/>
          </w:tcPr>
          <w:p w14:paraId="787D61BD" w14:textId="77777777" w:rsidR="00E953EE" w:rsidRPr="004E6CE0" w:rsidRDefault="00E953E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5</w:t>
            </w:r>
          </w:p>
        </w:tc>
        <w:tc>
          <w:tcPr>
            <w:tcW w:w="4860" w:type="dxa"/>
          </w:tcPr>
          <w:p w14:paraId="7D1B7F60" w14:textId="2D752B85" w:rsidR="00E953EE" w:rsidRPr="004E6CE0" w:rsidRDefault="00C9206E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>предлагает донорам Целевого фонда Глобального экологического фонда вносить взносы в рамках шестого и последующих пополнений Целевого фонда Глобального экологического фонда в виде дополнительных финансовых ресурсов, достаточных для того, чтобы Глобальный экологический фонд мог поддерживать деятельность по содействию быстрому вступлению в силу и эффективному осуществлению Конвенции</w:t>
            </w:r>
            <w:r w:rsidR="0004257E">
              <w:rPr>
                <w:rFonts w:cstheme="minorHAnsi"/>
                <w:lang w:val="ru-RU"/>
              </w:rPr>
              <w:t>.</w:t>
            </w:r>
          </w:p>
        </w:tc>
        <w:tc>
          <w:tcPr>
            <w:tcW w:w="4245" w:type="dxa"/>
          </w:tcPr>
          <w:p w14:paraId="22F27F7C" w14:textId="0313679C" w:rsidR="00E953EE" w:rsidRPr="004E6CE0" w:rsidRDefault="00503E4C" w:rsidP="004E6CE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cstheme="minorHAnsi"/>
                <w:lang w:val="ru-RU"/>
              </w:rPr>
            </w:pPr>
            <w:r w:rsidRPr="004E6CE0">
              <w:rPr>
                <w:rFonts w:cstheme="minorHAnsi"/>
                <w:lang w:val="ru-RU"/>
              </w:rPr>
              <w:t xml:space="preserve">Шестое пополнение Целевого фонда </w:t>
            </w:r>
            <w:proofErr w:type="spellStart"/>
            <w:r w:rsidRPr="004E6CE0">
              <w:rPr>
                <w:rFonts w:cstheme="minorHAnsi"/>
                <w:lang w:val="ru-RU"/>
              </w:rPr>
              <w:t>ГЭФ</w:t>
            </w:r>
            <w:proofErr w:type="spellEnd"/>
            <w:r w:rsidRPr="004E6CE0">
              <w:rPr>
                <w:rFonts w:cstheme="minorHAnsi"/>
                <w:lang w:val="ru-RU"/>
              </w:rPr>
              <w:t xml:space="preserve"> включает выделение 141 млн. долл. США на поддержку мероприятий по содействию скорейшему вступлению в силу и эффективному осуществлению Минаматской конвенции</w:t>
            </w:r>
            <w:r w:rsidR="00E953EE" w:rsidRPr="004E6CE0">
              <w:rPr>
                <w:rFonts w:cstheme="minorHAnsi"/>
                <w:lang w:val="ru-RU"/>
              </w:rPr>
              <w:t xml:space="preserve">. </w:t>
            </w:r>
            <w:r w:rsidR="001B6DD6" w:rsidRPr="004E6CE0">
              <w:rPr>
                <w:rFonts w:cstheme="minorHAnsi"/>
                <w:lang w:val="ru-RU"/>
              </w:rPr>
              <w:t xml:space="preserve">30 млн. долл. США было выделено на стимулирующие мероприятия и 111 млн. долл. США </w:t>
            </w:r>
            <w:r w:rsidR="0004257E">
              <w:rPr>
                <w:rFonts w:cstheme="minorHAnsi"/>
                <w:lang w:val="ru-RU"/>
              </w:rPr>
              <w:t>–</w:t>
            </w:r>
            <w:r w:rsidR="001B6DD6" w:rsidRPr="004E6CE0">
              <w:rPr>
                <w:rFonts w:cstheme="minorHAnsi"/>
                <w:lang w:val="ru-RU"/>
              </w:rPr>
              <w:t xml:space="preserve"> на поддержку ранних действий</w:t>
            </w:r>
            <w:r w:rsidR="00E953EE" w:rsidRPr="004E6CE0">
              <w:rPr>
                <w:rFonts w:cstheme="minorHAnsi"/>
                <w:lang w:val="ru-RU"/>
              </w:rPr>
              <w:t>.</w:t>
            </w:r>
          </w:p>
        </w:tc>
      </w:tr>
    </w:tbl>
    <w:p w14:paraId="3B3929A2" w14:textId="15922186" w:rsidR="00260668" w:rsidRPr="0071386C" w:rsidRDefault="0026066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cstheme="minorHAnsi"/>
          <w:sz w:val="22"/>
          <w:szCs w:val="22"/>
          <w:lang w:val="ru-RU"/>
        </w:rPr>
      </w:pPr>
      <w:bookmarkStart w:id="14" w:name="_Toc9941942"/>
      <w:bookmarkStart w:id="15" w:name="_Toc9942388"/>
    </w:p>
    <w:p w14:paraId="5A1EAF55" w14:textId="77777777" w:rsidR="00260668" w:rsidRPr="0071386C" w:rsidRDefault="00260668" w:rsidP="00E953EE">
      <w:pPr>
        <w:pStyle w:val="Heading1"/>
        <w:ind w:firstLine="0"/>
        <w:rPr>
          <w:rFonts w:asciiTheme="minorHAnsi" w:hAnsiTheme="minorHAnsi" w:cstheme="minorHAnsi"/>
          <w:sz w:val="24"/>
          <w:szCs w:val="24"/>
          <w:lang w:val="ru-RU"/>
        </w:rPr>
        <w:sectPr w:rsidR="00260668" w:rsidRPr="0071386C" w:rsidSect="00A01C48">
          <w:footnotePr>
            <w:numRestart w:val="eachSect"/>
          </w:footnotePr>
          <w:pgSz w:w="11907" w:h="16840" w:code="9"/>
          <w:pgMar w:top="907" w:right="992" w:bottom="1418" w:left="1418" w:header="539" w:footer="975" w:gutter="0"/>
          <w:cols w:space="539"/>
          <w:docGrid w:linePitch="360"/>
        </w:sectPr>
      </w:pPr>
    </w:p>
    <w:p w14:paraId="3C30520A" w14:textId="43F497FB" w:rsidR="00E953EE" w:rsidRPr="00F91A00" w:rsidRDefault="000D3157" w:rsidP="00F91A00">
      <w:pPr>
        <w:pStyle w:val="Heading1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  <w:rPr>
          <w:b w:val="0"/>
          <w:sz w:val="24"/>
          <w:szCs w:val="24"/>
          <w:lang w:val="ru-RU"/>
        </w:rPr>
      </w:pPr>
      <w:r w:rsidRPr="00F91A00">
        <w:rPr>
          <w:sz w:val="24"/>
          <w:szCs w:val="24"/>
          <w:lang w:val="ru-RU"/>
        </w:rPr>
        <w:lastRenderedPageBreak/>
        <w:t>Ресурсы, запрограммированные для Минаматской конвенции с июля 2010 года по май 2019 года</w:t>
      </w:r>
      <w:bookmarkEnd w:id="14"/>
      <w:bookmarkEnd w:id="15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5"/>
        <w:gridCol w:w="1535"/>
        <w:gridCol w:w="1134"/>
        <w:gridCol w:w="4820"/>
        <w:gridCol w:w="850"/>
        <w:gridCol w:w="709"/>
        <w:gridCol w:w="1276"/>
        <w:gridCol w:w="1123"/>
        <w:gridCol w:w="1678"/>
      </w:tblGrid>
      <w:tr w:rsidR="00CA4DB3" w:rsidRPr="00F91A00" w14:paraId="066556B9" w14:textId="77777777" w:rsidTr="00013619">
        <w:trPr>
          <w:trHeight w:val="600"/>
        </w:trPr>
        <w:tc>
          <w:tcPr>
            <w:tcW w:w="1295" w:type="dxa"/>
            <w:hideMark/>
          </w:tcPr>
          <w:p w14:paraId="24C818C2" w14:textId="163C575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Страна</w:t>
            </w:r>
          </w:p>
        </w:tc>
        <w:tc>
          <w:tcPr>
            <w:tcW w:w="1535" w:type="dxa"/>
            <w:hideMark/>
          </w:tcPr>
          <w:p w14:paraId="2B6A9D20" w14:textId="6C92B33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Список стран</w:t>
            </w:r>
          </w:p>
        </w:tc>
        <w:tc>
          <w:tcPr>
            <w:tcW w:w="1134" w:type="dxa"/>
            <w:hideMark/>
          </w:tcPr>
          <w:p w14:paraId="341A9584" w14:textId="173C5E70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Тематичес</w:t>
            </w:r>
            <w:proofErr w:type="spellEnd"/>
            <w:r w:rsidR="00B004B0">
              <w:rPr>
                <w:sz w:val="18"/>
                <w:szCs w:val="18"/>
              </w:rPr>
              <w:t>-</w:t>
            </w:r>
            <w:r w:rsidRPr="00F91A00">
              <w:rPr>
                <w:sz w:val="18"/>
                <w:szCs w:val="18"/>
                <w:lang w:val="ru-RU"/>
              </w:rPr>
              <w:t>кая область</w:t>
            </w:r>
          </w:p>
        </w:tc>
        <w:tc>
          <w:tcPr>
            <w:tcW w:w="4820" w:type="dxa"/>
            <w:hideMark/>
          </w:tcPr>
          <w:p w14:paraId="7AE6A7F7" w14:textId="2361295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850" w:type="dxa"/>
            <w:hideMark/>
          </w:tcPr>
          <w:p w14:paraId="7DC6A5B7" w14:textId="5D2B66C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Фаза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</w:p>
        </w:tc>
        <w:tc>
          <w:tcPr>
            <w:tcW w:w="709" w:type="dxa"/>
            <w:hideMark/>
          </w:tcPr>
          <w:p w14:paraId="48D04867" w14:textId="59E4D83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Тип</w:t>
            </w:r>
            <w:r w:rsidR="00E953EE" w:rsidRPr="00F91A00">
              <w:rPr>
                <w:rStyle w:val="FootnoteReference"/>
                <w:sz w:val="18"/>
                <w:lang w:val="ru-RU"/>
              </w:rPr>
              <w:footnoteReference w:id="14"/>
            </w:r>
          </w:p>
        </w:tc>
        <w:tc>
          <w:tcPr>
            <w:tcW w:w="1276" w:type="dxa"/>
            <w:hideMark/>
          </w:tcPr>
          <w:p w14:paraId="7976790C" w14:textId="02C8F16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Агентство</w:t>
            </w:r>
          </w:p>
        </w:tc>
        <w:tc>
          <w:tcPr>
            <w:tcW w:w="1123" w:type="dxa"/>
            <w:hideMark/>
          </w:tcPr>
          <w:p w14:paraId="510EB533" w14:textId="4A1EFCE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Сумма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($)</w:t>
            </w:r>
            <w:r w:rsidR="00E953EE" w:rsidRPr="00F91A00">
              <w:rPr>
                <w:rStyle w:val="FootnoteReference"/>
                <w:sz w:val="18"/>
                <w:lang w:val="ru-RU"/>
              </w:rPr>
              <w:footnoteReference w:id="15"/>
            </w:r>
          </w:p>
        </w:tc>
        <w:tc>
          <w:tcPr>
            <w:tcW w:w="1678" w:type="dxa"/>
            <w:hideMark/>
          </w:tcPr>
          <w:p w14:paraId="3C4A3879" w14:textId="230AEFE1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Совместное финансирование </w:t>
            </w:r>
            <w:r w:rsidR="00E953EE" w:rsidRPr="00F91A00">
              <w:rPr>
                <w:sz w:val="18"/>
                <w:szCs w:val="18"/>
                <w:lang w:val="ru-RU"/>
              </w:rPr>
              <w:t>($)</w:t>
            </w:r>
          </w:p>
        </w:tc>
      </w:tr>
      <w:tr w:rsidR="00CA4DB3" w:rsidRPr="00F91A00" w14:paraId="3710ED1B" w14:textId="77777777" w:rsidTr="00013619">
        <w:trPr>
          <w:trHeight w:val="300"/>
        </w:trPr>
        <w:tc>
          <w:tcPr>
            <w:tcW w:w="1295" w:type="dxa"/>
            <w:hideMark/>
          </w:tcPr>
          <w:p w14:paraId="78BCA5BC" w14:textId="781CFA8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Албания</w:t>
            </w:r>
          </w:p>
        </w:tc>
        <w:tc>
          <w:tcPr>
            <w:tcW w:w="1535" w:type="dxa"/>
            <w:hideMark/>
          </w:tcPr>
          <w:p w14:paraId="782F15C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163767E" w14:textId="043A3BA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  <w:r w:rsidR="00E953EE" w:rsidRPr="00F91A00">
              <w:rPr>
                <w:rStyle w:val="FootnoteReference"/>
                <w:sz w:val="18"/>
                <w:lang w:val="ru-RU"/>
              </w:rPr>
              <w:footnoteReference w:id="16"/>
            </w:r>
          </w:p>
        </w:tc>
        <w:tc>
          <w:tcPr>
            <w:tcW w:w="4820" w:type="dxa"/>
            <w:hideMark/>
          </w:tcPr>
          <w:p w14:paraId="1FC59BB6" w14:textId="3A3BCBD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для Албании</w:t>
            </w:r>
          </w:p>
        </w:tc>
        <w:tc>
          <w:tcPr>
            <w:tcW w:w="850" w:type="dxa"/>
            <w:hideMark/>
          </w:tcPr>
          <w:p w14:paraId="7AF36A15" w14:textId="07BF48ED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739A714" w14:textId="490EF7D8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9CBA96C" w14:textId="5B66D020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052F511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34632A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2E9B24DF" w14:textId="77777777" w:rsidTr="00013619">
        <w:trPr>
          <w:trHeight w:val="600"/>
        </w:trPr>
        <w:tc>
          <w:tcPr>
            <w:tcW w:w="1295" w:type="dxa"/>
            <w:hideMark/>
          </w:tcPr>
          <w:p w14:paraId="1F64FB81" w14:textId="16015ACA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Ангола</w:t>
            </w:r>
          </w:p>
        </w:tc>
        <w:tc>
          <w:tcPr>
            <w:tcW w:w="1535" w:type="dxa"/>
            <w:hideMark/>
          </w:tcPr>
          <w:p w14:paraId="0011546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3E0241A" w14:textId="5E46E2B4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8D5B8C3" w14:textId="7D8EA0F1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6C350B" w:rsidRPr="00F91A00">
              <w:rPr>
                <w:sz w:val="18"/>
                <w:szCs w:val="18"/>
                <w:lang w:val="ru-RU"/>
              </w:rPr>
              <w:t>в Анголе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7A1DE49B" w14:textId="297318B7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-7</w:t>
            </w:r>
          </w:p>
        </w:tc>
        <w:tc>
          <w:tcPr>
            <w:tcW w:w="709" w:type="dxa"/>
            <w:hideMark/>
          </w:tcPr>
          <w:p w14:paraId="67D8115B" w14:textId="60740E0C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71EC46C" w14:textId="319A0502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22624073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2E4F2DC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58500</w:t>
            </w:r>
          </w:p>
        </w:tc>
      </w:tr>
      <w:tr w:rsidR="00CA4DB3" w:rsidRPr="00F91A00" w14:paraId="1E5D107A" w14:textId="77777777" w:rsidTr="00013619">
        <w:trPr>
          <w:trHeight w:val="600"/>
        </w:trPr>
        <w:tc>
          <w:tcPr>
            <w:tcW w:w="1295" w:type="dxa"/>
            <w:hideMark/>
          </w:tcPr>
          <w:p w14:paraId="10E25E19" w14:textId="3A20BD11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Аргентина</w:t>
            </w:r>
          </w:p>
        </w:tc>
        <w:tc>
          <w:tcPr>
            <w:tcW w:w="1535" w:type="dxa"/>
            <w:hideMark/>
          </w:tcPr>
          <w:p w14:paraId="5740ABD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70C3662" w14:textId="5F4BC97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A8F360D" w14:textId="63E41632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Экологически обоснованное регулирование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, ртути и других опасных химических веществ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Pr="00F91A00">
              <w:rPr>
                <w:sz w:val="18"/>
                <w:szCs w:val="18"/>
                <w:lang w:val="ru-RU"/>
              </w:rPr>
              <w:t>в Аргентине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43197281" w14:textId="5A9416B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-7</w:t>
            </w:r>
          </w:p>
        </w:tc>
        <w:tc>
          <w:tcPr>
            <w:tcW w:w="709" w:type="dxa"/>
            <w:hideMark/>
          </w:tcPr>
          <w:p w14:paraId="424A9A47" w14:textId="797C8B4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430D6059" w14:textId="6B1AFEB8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733605E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1846100</w:t>
            </w:r>
          </w:p>
        </w:tc>
        <w:tc>
          <w:tcPr>
            <w:tcW w:w="1678" w:type="dxa"/>
            <w:hideMark/>
          </w:tcPr>
          <w:p w14:paraId="7A8D6B5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34500000</w:t>
            </w:r>
          </w:p>
        </w:tc>
      </w:tr>
      <w:tr w:rsidR="00CA4DB3" w:rsidRPr="00F91A00" w14:paraId="2A30DAD2" w14:textId="77777777" w:rsidTr="00013619">
        <w:trPr>
          <w:trHeight w:val="300"/>
        </w:trPr>
        <w:tc>
          <w:tcPr>
            <w:tcW w:w="1295" w:type="dxa"/>
            <w:hideMark/>
          </w:tcPr>
          <w:p w14:paraId="734DE0A0" w14:textId="56750752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Аргентина</w:t>
            </w:r>
          </w:p>
        </w:tc>
        <w:tc>
          <w:tcPr>
            <w:tcW w:w="1535" w:type="dxa"/>
            <w:hideMark/>
          </w:tcPr>
          <w:p w14:paraId="0DAF3ED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70A29A7" w14:textId="39F92E91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BECAEF3" w14:textId="4F067CD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6C350B" w:rsidRPr="00F91A00">
              <w:rPr>
                <w:sz w:val="18"/>
                <w:szCs w:val="18"/>
                <w:lang w:val="ru-RU"/>
              </w:rPr>
              <w:t>для Аргентины</w:t>
            </w:r>
          </w:p>
        </w:tc>
        <w:tc>
          <w:tcPr>
            <w:tcW w:w="850" w:type="dxa"/>
            <w:hideMark/>
          </w:tcPr>
          <w:p w14:paraId="4200A4D3" w14:textId="794A2FA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DC018EE" w14:textId="277C34A3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D8939FA" w14:textId="02A97D5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54820BA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1C05EBB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3BD070C3" w14:textId="77777777" w:rsidTr="00013619">
        <w:trPr>
          <w:trHeight w:val="1200"/>
        </w:trPr>
        <w:tc>
          <w:tcPr>
            <w:tcW w:w="1295" w:type="dxa"/>
            <w:hideMark/>
          </w:tcPr>
          <w:p w14:paraId="2F477020" w14:textId="1E6270B7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Аргентина</w:t>
            </w:r>
          </w:p>
        </w:tc>
        <w:tc>
          <w:tcPr>
            <w:tcW w:w="1535" w:type="dxa"/>
            <w:hideMark/>
          </w:tcPr>
          <w:p w14:paraId="62A53A3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7B636F9" w14:textId="62FC2163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  <w:r w:rsidR="00E953EE" w:rsidRPr="00F91A00">
              <w:rPr>
                <w:rStyle w:val="FootnoteReference"/>
                <w:sz w:val="18"/>
                <w:lang w:val="ru-RU"/>
              </w:rPr>
              <w:footnoteReference w:id="17"/>
            </w:r>
          </w:p>
        </w:tc>
        <w:tc>
          <w:tcPr>
            <w:tcW w:w="4820" w:type="dxa"/>
            <w:hideMark/>
          </w:tcPr>
          <w:p w14:paraId="2467F21C" w14:textId="1D1FBC02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Подготовительный проект по содействию осуществлению юридически обязывающего документа по ртути (Минаматской конвенции) в Аргентине в целях охраны здоровья и окружающей среды</w:t>
            </w:r>
          </w:p>
        </w:tc>
        <w:tc>
          <w:tcPr>
            <w:tcW w:w="850" w:type="dxa"/>
            <w:hideMark/>
          </w:tcPr>
          <w:p w14:paraId="42BFD531" w14:textId="362EF18A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54629B68" w14:textId="7D99BA7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65F0C01E" w14:textId="40AB9B35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600728D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350000</w:t>
            </w:r>
          </w:p>
        </w:tc>
        <w:tc>
          <w:tcPr>
            <w:tcW w:w="1678" w:type="dxa"/>
            <w:hideMark/>
          </w:tcPr>
          <w:p w14:paraId="0DB6E08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530000</w:t>
            </w:r>
          </w:p>
        </w:tc>
      </w:tr>
      <w:tr w:rsidR="00CA4DB3" w:rsidRPr="00F91A00" w14:paraId="4C3DA232" w14:textId="77777777" w:rsidTr="00013619">
        <w:trPr>
          <w:trHeight w:val="600"/>
        </w:trPr>
        <w:tc>
          <w:tcPr>
            <w:tcW w:w="1295" w:type="dxa"/>
            <w:hideMark/>
          </w:tcPr>
          <w:p w14:paraId="4682BAE3" w14:textId="0D9254F9" w:rsidR="00E953EE" w:rsidRPr="00F91A00" w:rsidRDefault="006B5C1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Армения</w:t>
            </w:r>
          </w:p>
        </w:tc>
        <w:tc>
          <w:tcPr>
            <w:tcW w:w="1535" w:type="dxa"/>
            <w:hideMark/>
          </w:tcPr>
          <w:p w14:paraId="20486C5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570D8DD" w14:textId="41D298B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253C63EA" w14:textId="1E105109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в Республике Армения</w:t>
            </w:r>
          </w:p>
        </w:tc>
        <w:tc>
          <w:tcPr>
            <w:tcW w:w="850" w:type="dxa"/>
            <w:hideMark/>
          </w:tcPr>
          <w:p w14:paraId="18D1C261" w14:textId="739F75B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421AC9D2" w14:textId="47399087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8BD5B2D" w14:textId="254D97F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335F97AD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754AA8E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22000</w:t>
            </w:r>
          </w:p>
        </w:tc>
      </w:tr>
      <w:tr w:rsidR="00CA4DB3" w:rsidRPr="00F91A00" w14:paraId="1076B30C" w14:textId="77777777" w:rsidTr="00013619">
        <w:trPr>
          <w:trHeight w:val="900"/>
        </w:trPr>
        <w:tc>
          <w:tcPr>
            <w:tcW w:w="1295" w:type="dxa"/>
            <w:hideMark/>
          </w:tcPr>
          <w:p w14:paraId="738425B6" w14:textId="68757CBC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Азербайджан</w:t>
            </w:r>
          </w:p>
        </w:tc>
        <w:tc>
          <w:tcPr>
            <w:tcW w:w="1535" w:type="dxa"/>
            <w:hideMark/>
          </w:tcPr>
          <w:p w14:paraId="2FA7B73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02DB6BD" w14:textId="066A620A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4C85C1C" w14:textId="25C5D02D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на национальном уровне в целях ратификации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158263C8" w14:textId="306FF637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63ABFAE" w14:textId="3A3FC8B0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6D84FC0" w14:textId="2A7E668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37854E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7A5E588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39643B3E" w14:textId="77777777" w:rsidTr="00013619">
        <w:trPr>
          <w:trHeight w:val="300"/>
        </w:trPr>
        <w:tc>
          <w:tcPr>
            <w:tcW w:w="1295" w:type="dxa"/>
            <w:hideMark/>
          </w:tcPr>
          <w:p w14:paraId="34BF86D6" w14:textId="7E16EC14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Беларусь</w:t>
            </w:r>
          </w:p>
        </w:tc>
        <w:tc>
          <w:tcPr>
            <w:tcW w:w="1535" w:type="dxa"/>
            <w:hideMark/>
          </w:tcPr>
          <w:p w14:paraId="32A4916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E6B68E5" w14:textId="3C02E479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9A40DC8" w14:textId="7DD250B6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</w:t>
            </w:r>
            <w:r w:rsidR="00E27EA5" w:rsidRPr="00F91A00">
              <w:rPr>
                <w:sz w:val="18"/>
                <w:szCs w:val="18"/>
                <w:lang w:val="ru-RU"/>
              </w:rPr>
              <w:t>ервоначальн</w:t>
            </w:r>
            <w:r w:rsidRPr="00F91A00">
              <w:rPr>
                <w:sz w:val="18"/>
                <w:szCs w:val="18"/>
                <w:lang w:val="ru-RU"/>
              </w:rPr>
              <w:t>ой</w:t>
            </w:r>
            <w:r w:rsidR="00E27EA5" w:rsidRPr="00F91A00">
              <w:rPr>
                <w:sz w:val="18"/>
                <w:szCs w:val="18"/>
                <w:lang w:val="ru-RU"/>
              </w:rPr>
              <w:t xml:space="preserve"> оценк</w:t>
            </w:r>
            <w:r w:rsidRPr="00F91A00">
              <w:rPr>
                <w:sz w:val="18"/>
                <w:szCs w:val="18"/>
                <w:lang w:val="ru-RU"/>
              </w:rPr>
              <w:t>и</w:t>
            </w:r>
            <w:r w:rsidR="00E27EA5" w:rsidRPr="00F91A00">
              <w:rPr>
                <w:sz w:val="18"/>
                <w:szCs w:val="18"/>
                <w:lang w:val="ru-RU"/>
              </w:rPr>
              <w:t xml:space="preserve"> в рамках Минаматской конвенции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15B17D69" w14:textId="4DA06CA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524F11F" w14:textId="5603DC4F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5431326" w14:textId="28821662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794246F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7EA9210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766CF21" w14:textId="77777777" w:rsidTr="00013619">
        <w:trPr>
          <w:trHeight w:val="600"/>
        </w:trPr>
        <w:tc>
          <w:tcPr>
            <w:tcW w:w="1295" w:type="dxa"/>
            <w:hideMark/>
          </w:tcPr>
          <w:p w14:paraId="55419A8E" w14:textId="706C50E5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Белиз</w:t>
            </w:r>
          </w:p>
        </w:tc>
        <w:tc>
          <w:tcPr>
            <w:tcW w:w="1535" w:type="dxa"/>
            <w:hideMark/>
          </w:tcPr>
          <w:p w14:paraId="50D31C0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DE79F66" w14:textId="6D27A12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9DAD7E2" w14:textId="1154C2FD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Карибском бассейне (Белиз)</w:t>
            </w:r>
          </w:p>
        </w:tc>
        <w:tc>
          <w:tcPr>
            <w:tcW w:w="850" w:type="dxa"/>
            <w:hideMark/>
          </w:tcPr>
          <w:p w14:paraId="6B98CC0B" w14:textId="7ECA8610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FD8C51E" w14:textId="245F63CA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A0F0B4F" w14:textId="3C2687A8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E318F6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150000</w:t>
            </w:r>
          </w:p>
        </w:tc>
        <w:tc>
          <w:tcPr>
            <w:tcW w:w="1678" w:type="dxa"/>
            <w:hideMark/>
          </w:tcPr>
          <w:p w14:paraId="5E56EA4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79E90DF3" w14:textId="77777777" w:rsidTr="00013619">
        <w:trPr>
          <w:trHeight w:val="300"/>
        </w:trPr>
        <w:tc>
          <w:tcPr>
            <w:tcW w:w="1295" w:type="dxa"/>
            <w:hideMark/>
          </w:tcPr>
          <w:p w14:paraId="4E25124F" w14:textId="17D917D7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Боливия</w:t>
            </w:r>
          </w:p>
        </w:tc>
        <w:tc>
          <w:tcPr>
            <w:tcW w:w="1535" w:type="dxa"/>
            <w:hideMark/>
          </w:tcPr>
          <w:p w14:paraId="7F3C3B0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4B2B0E6" w14:textId="7A83FC71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6394A8A" w14:textId="44F1C094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Обеспечение перехода на энергоэффективное освещение</w:t>
            </w:r>
          </w:p>
        </w:tc>
        <w:tc>
          <w:tcPr>
            <w:tcW w:w="850" w:type="dxa"/>
            <w:hideMark/>
          </w:tcPr>
          <w:p w14:paraId="2EED4196" w14:textId="43BADAC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5EF9ECD5" w14:textId="347886D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34FFA350" w14:textId="4255898C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E28F82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45662</w:t>
            </w:r>
          </w:p>
        </w:tc>
        <w:tc>
          <w:tcPr>
            <w:tcW w:w="1678" w:type="dxa"/>
            <w:hideMark/>
          </w:tcPr>
          <w:p w14:paraId="14C58E1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</w:t>
            </w:r>
          </w:p>
        </w:tc>
      </w:tr>
      <w:tr w:rsidR="00CA4DB3" w:rsidRPr="00F91A00" w14:paraId="5F8D1228" w14:textId="77777777" w:rsidTr="00BA5DD6">
        <w:trPr>
          <w:trHeight w:val="284"/>
        </w:trPr>
        <w:tc>
          <w:tcPr>
            <w:tcW w:w="1295" w:type="dxa"/>
            <w:hideMark/>
          </w:tcPr>
          <w:p w14:paraId="7CC91E4E" w14:textId="49CC0B7A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lastRenderedPageBreak/>
              <w:t>Босния и Герцеговина</w:t>
            </w:r>
          </w:p>
        </w:tc>
        <w:tc>
          <w:tcPr>
            <w:tcW w:w="1535" w:type="dxa"/>
            <w:hideMark/>
          </w:tcPr>
          <w:p w14:paraId="4A9CA06E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5C36CCE" w14:textId="0EDACA65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5321AA9" w14:textId="11331717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в Боснии и Герцеговине в целях присоединения к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4E35C11A" w14:textId="20BFB16A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F3DD803" w14:textId="7A932CB3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294D591" w14:textId="2EE6B702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22D1D38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66AB955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1016F3B9" w14:textId="77777777" w:rsidTr="00013619">
        <w:trPr>
          <w:trHeight w:val="600"/>
        </w:trPr>
        <w:tc>
          <w:tcPr>
            <w:tcW w:w="1295" w:type="dxa"/>
            <w:hideMark/>
          </w:tcPr>
          <w:p w14:paraId="41FE636B" w14:textId="29104B6B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Бразилия</w:t>
            </w:r>
          </w:p>
        </w:tc>
        <w:tc>
          <w:tcPr>
            <w:tcW w:w="1535" w:type="dxa"/>
            <w:hideMark/>
          </w:tcPr>
          <w:p w14:paraId="5738E65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CEAB6EF" w14:textId="7B26CF14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378C24C" w14:textId="309AD600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о ртути в Бразилии</w:t>
            </w:r>
          </w:p>
        </w:tc>
        <w:tc>
          <w:tcPr>
            <w:tcW w:w="850" w:type="dxa"/>
            <w:hideMark/>
          </w:tcPr>
          <w:p w14:paraId="1AC29E6D" w14:textId="029EB8A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374473A5" w14:textId="1AE31C71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81555AF" w14:textId="71802160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585051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821918</w:t>
            </w:r>
          </w:p>
        </w:tc>
        <w:tc>
          <w:tcPr>
            <w:tcW w:w="1678" w:type="dxa"/>
            <w:hideMark/>
          </w:tcPr>
          <w:p w14:paraId="1B225B5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1690000</w:t>
            </w:r>
          </w:p>
        </w:tc>
      </w:tr>
      <w:tr w:rsidR="00CA4DB3" w:rsidRPr="00F91A00" w14:paraId="4A47DAB3" w14:textId="77777777" w:rsidTr="00013619">
        <w:trPr>
          <w:trHeight w:val="600"/>
        </w:trPr>
        <w:tc>
          <w:tcPr>
            <w:tcW w:w="1295" w:type="dxa"/>
            <w:hideMark/>
          </w:tcPr>
          <w:p w14:paraId="5B90AEE3" w14:textId="36B5D532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Буркина</w:t>
            </w:r>
            <w:r w:rsidR="00EE7F06" w:rsidRPr="00F91A00">
              <w:rPr>
                <w:sz w:val="18"/>
                <w:szCs w:val="18"/>
                <w:lang w:val="ru-RU"/>
              </w:rPr>
              <w:t>-</w:t>
            </w:r>
            <w:r w:rsidRPr="00F91A00">
              <w:rPr>
                <w:sz w:val="18"/>
                <w:szCs w:val="18"/>
                <w:lang w:val="ru-RU"/>
              </w:rPr>
              <w:t>Фасо</w:t>
            </w:r>
          </w:p>
        </w:tc>
        <w:tc>
          <w:tcPr>
            <w:tcW w:w="1535" w:type="dxa"/>
            <w:hideMark/>
          </w:tcPr>
          <w:p w14:paraId="58921A8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8105B45" w14:textId="15C6DD5D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68A690B" w14:textId="10750FC9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EE7F06" w:rsidRPr="00F91A00">
              <w:rPr>
                <w:sz w:val="18"/>
                <w:szCs w:val="18"/>
                <w:lang w:val="ru-RU"/>
              </w:rPr>
              <w:t>в Буркина</w:t>
            </w:r>
            <w:r w:rsidR="00571521">
              <w:rPr>
                <w:sz w:val="18"/>
                <w:szCs w:val="18"/>
                <w:lang w:val="ru-RU"/>
              </w:rPr>
              <w:noBreakHyphen/>
            </w:r>
            <w:r w:rsidR="00EE7F06" w:rsidRPr="00F91A00">
              <w:rPr>
                <w:sz w:val="18"/>
                <w:szCs w:val="18"/>
                <w:lang w:val="ru-RU"/>
              </w:rPr>
              <w:t>Фасо</w:t>
            </w:r>
          </w:p>
        </w:tc>
        <w:tc>
          <w:tcPr>
            <w:tcW w:w="850" w:type="dxa"/>
            <w:hideMark/>
          </w:tcPr>
          <w:p w14:paraId="26EC91F4" w14:textId="0E1FC018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CA81801" w14:textId="0927091D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7ADBA73" w14:textId="48A124F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1ED6B0A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2D44FA6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216000</w:t>
            </w:r>
          </w:p>
        </w:tc>
      </w:tr>
      <w:tr w:rsidR="00CA4DB3" w:rsidRPr="00F91A00" w14:paraId="6D567199" w14:textId="77777777" w:rsidTr="00013619">
        <w:trPr>
          <w:trHeight w:val="600"/>
        </w:trPr>
        <w:tc>
          <w:tcPr>
            <w:tcW w:w="1295" w:type="dxa"/>
            <w:hideMark/>
          </w:tcPr>
          <w:p w14:paraId="419DDA39" w14:textId="445DC6FF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Камерун</w:t>
            </w:r>
          </w:p>
        </w:tc>
        <w:tc>
          <w:tcPr>
            <w:tcW w:w="1535" w:type="dxa"/>
            <w:hideMark/>
          </w:tcPr>
          <w:p w14:paraId="5FC9845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0E6C9F5" w14:textId="39954639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0DE995D" w14:textId="1C999B9A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Камеруне</w:t>
            </w:r>
          </w:p>
        </w:tc>
        <w:tc>
          <w:tcPr>
            <w:tcW w:w="850" w:type="dxa"/>
            <w:hideMark/>
          </w:tcPr>
          <w:p w14:paraId="36AE6B10" w14:textId="25CCEB1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C4E1C54" w14:textId="2EB3C463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BA1A259" w14:textId="58B19C30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2DE166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5D0D9693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2CC94992" w14:textId="77777777" w:rsidTr="00013619">
        <w:trPr>
          <w:trHeight w:val="300"/>
        </w:trPr>
        <w:tc>
          <w:tcPr>
            <w:tcW w:w="1295" w:type="dxa"/>
            <w:hideMark/>
          </w:tcPr>
          <w:p w14:paraId="2850DF83" w14:textId="55A58C0E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Чад</w:t>
            </w:r>
          </w:p>
        </w:tc>
        <w:tc>
          <w:tcPr>
            <w:tcW w:w="1535" w:type="dxa"/>
            <w:hideMark/>
          </w:tcPr>
          <w:p w14:paraId="419B71D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36B295D" w14:textId="4181CEF9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11E899C" w14:textId="546BD824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в Чаде</w:t>
            </w:r>
          </w:p>
        </w:tc>
        <w:tc>
          <w:tcPr>
            <w:tcW w:w="850" w:type="dxa"/>
            <w:hideMark/>
          </w:tcPr>
          <w:p w14:paraId="4B9201AF" w14:textId="4ED5ABB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B577283" w14:textId="2BEE0B76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4D0E08F" w14:textId="3A58A00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7C43A70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4A6C035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78600</w:t>
            </w:r>
          </w:p>
        </w:tc>
      </w:tr>
      <w:tr w:rsidR="00CA4DB3" w:rsidRPr="00F91A00" w14:paraId="69BDD860" w14:textId="77777777" w:rsidTr="00013619">
        <w:trPr>
          <w:trHeight w:val="300"/>
        </w:trPr>
        <w:tc>
          <w:tcPr>
            <w:tcW w:w="1295" w:type="dxa"/>
            <w:hideMark/>
          </w:tcPr>
          <w:p w14:paraId="41183085" w14:textId="7600D301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Чили</w:t>
            </w:r>
          </w:p>
        </w:tc>
        <w:tc>
          <w:tcPr>
            <w:tcW w:w="1535" w:type="dxa"/>
            <w:hideMark/>
          </w:tcPr>
          <w:p w14:paraId="580A26E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88405F3" w14:textId="663A8202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BE5096E" w14:textId="164803D9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Обеспечение перехода на энергоэффективное освещение</w:t>
            </w:r>
          </w:p>
        </w:tc>
        <w:tc>
          <w:tcPr>
            <w:tcW w:w="850" w:type="dxa"/>
            <w:hideMark/>
          </w:tcPr>
          <w:p w14:paraId="3CA785BF" w14:textId="5CD966D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01C2C07D" w14:textId="6D9A8641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275F358E" w14:textId="148C7A5A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0A9660A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45662</w:t>
            </w:r>
          </w:p>
        </w:tc>
        <w:tc>
          <w:tcPr>
            <w:tcW w:w="1678" w:type="dxa"/>
            <w:hideMark/>
          </w:tcPr>
          <w:p w14:paraId="4605DB6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</w:t>
            </w:r>
          </w:p>
        </w:tc>
      </w:tr>
      <w:tr w:rsidR="00CA4DB3" w:rsidRPr="00F91A00" w14:paraId="0A684FF0" w14:textId="77777777" w:rsidTr="00013619">
        <w:trPr>
          <w:trHeight w:val="600"/>
        </w:trPr>
        <w:tc>
          <w:tcPr>
            <w:tcW w:w="1295" w:type="dxa"/>
            <w:hideMark/>
          </w:tcPr>
          <w:p w14:paraId="3322C74C" w14:textId="3868FAEE" w:rsidR="00E953EE" w:rsidRPr="00F91A00" w:rsidRDefault="0074717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1535" w:type="dxa"/>
            <w:hideMark/>
          </w:tcPr>
          <w:p w14:paraId="5844821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73F2071" w14:textId="5C1D4B4C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BCC6D76" w14:textId="6840FE61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Демонстрация возможностей сокращения и минимизации выбросов ртути при производстве винилхлорида</w:t>
            </w:r>
          </w:p>
        </w:tc>
        <w:tc>
          <w:tcPr>
            <w:tcW w:w="850" w:type="dxa"/>
            <w:hideMark/>
          </w:tcPr>
          <w:p w14:paraId="5C901C9C" w14:textId="17A5C3F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FA67739" w14:textId="6ADE7ACC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5038846C" w14:textId="331AB0C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233CFE5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16200000</w:t>
            </w:r>
          </w:p>
        </w:tc>
        <w:tc>
          <w:tcPr>
            <w:tcW w:w="1678" w:type="dxa"/>
            <w:hideMark/>
          </w:tcPr>
          <w:p w14:paraId="75F6715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99000000</w:t>
            </w:r>
          </w:p>
        </w:tc>
      </w:tr>
      <w:tr w:rsidR="00CA4DB3" w:rsidRPr="00F91A00" w14:paraId="390887BA" w14:textId="77777777" w:rsidTr="00013619">
        <w:trPr>
          <w:trHeight w:val="600"/>
        </w:trPr>
        <w:tc>
          <w:tcPr>
            <w:tcW w:w="1295" w:type="dxa"/>
            <w:hideMark/>
          </w:tcPr>
          <w:p w14:paraId="5ECF5891" w14:textId="22800B3D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1535" w:type="dxa"/>
            <w:hideMark/>
          </w:tcPr>
          <w:p w14:paraId="53859D3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7ED78C9" w14:textId="7419DC4B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C3F9221" w14:textId="3F108A0D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потенциала для осуществления Минаматской конвенции о ртути</w:t>
            </w:r>
          </w:p>
        </w:tc>
        <w:tc>
          <w:tcPr>
            <w:tcW w:w="850" w:type="dxa"/>
            <w:hideMark/>
          </w:tcPr>
          <w:p w14:paraId="2DD5F766" w14:textId="4985BA4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480BDD4" w14:textId="1F251093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59FF2337" w14:textId="7EC3EAB5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Всемирный банк</w:t>
            </w:r>
          </w:p>
        </w:tc>
        <w:tc>
          <w:tcPr>
            <w:tcW w:w="1123" w:type="dxa"/>
            <w:hideMark/>
          </w:tcPr>
          <w:p w14:paraId="2BF6CD7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8000000</w:t>
            </w:r>
          </w:p>
        </w:tc>
        <w:tc>
          <w:tcPr>
            <w:tcW w:w="1678" w:type="dxa"/>
            <w:hideMark/>
          </w:tcPr>
          <w:p w14:paraId="3635624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8000000</w:t>
            </w:r>
          </w:p>
        </w:tc>
      </w:tr>
      <w:tr w:rsidR="00CA4DB3" w:rsidRPr="00F91A00" w14:paraId="59A6C357" w14:textId="77777777" w:rsidTr="00013619">
        <w:trPr>
          <w:trHeight w:val="600"/>
        </w:trPr>
        <w:tc>
          <w:tcPr>
            <w:tcW w:w="1295" w:type="dxa"/>
            <w:hideMark/>
          </w:tcPr>
          <w:p w14:paraId="174BB20E" w14:textId="30FB731B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1535" w:type="dxa"/>
            <w:hideMark/>
          </w:tcPr>
          <w:p w14:paraId="4DFA818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E46F11B" w14:textId="6BF99D75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229C57FA" w14:textId="4CF8F721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в Китайской Народной Республике</w:t>
            </w:r>
          </w:p>
        </w:tc>
        <w:tc>
          <w:tcPr>
            <w:tcW w:w="850" w:type="dxa"/>
            <w:hideMark/>
          </w:tcPr>
          <w:p w14:paraId="62E7CA04" w14:textId="3ED69652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713DDE22" w14:textId="621A8B56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D7FA0A8" w14:textId="599E3A4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544332D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3102F61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975000</w:t>
            </w:r>
          </w:p>
        </w:tc>
      </w:tr>
      <w:tr w:rsidR="00CA4DB3" w:rsidRPr="00F91A00" w14:paraId="451C7E9A" w14:textId="77777777" w:rsidTr="00013619">
        <w:trPr>
          <w:trHeight w:val="600"/>
        </w:trPr>
        <w:tc>
          <w:tcPr>
            <w:tcW w:w="1295" w:type="dxa"/>
            <w:hideMark/>
          </w:tcPr>
          <w:p w14:paraId="6DA0C049" w14:textId="285501B2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1535" w:type="dxa"/>
            <w:hideMark/>
          </w:tcPr>
          <w:p w14:paraId="4AFDAF0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12F5DDC" w14:textId="2F604992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1305FA5" w14:textId="704F4423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Экспериментальный проект по составлению кадастра ртути в Китае</w:t>
            </w:r>
          </w:p>
        </w:tc>
        <w:tc>
          <w:tcPr>
            <w:tcW w:w="850" w:type="dxa"/>
            <w:hideMark/>
          </w:tcPr>
          <w:p w14:paraId="07D2028E" w14:textId="5D841A35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EB8B6C0" w14:textId="1BF32C0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2F47A593" w14:textId="38A3DAA9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AA7D4F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43A2517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3146265</w:t>
            </w:r>
          </w:p>
        </w:tc>
      </w:tr>
      <w:tr w:rsidR="00CA4DB3" w:rsidRPr="00F91A00" w14:paraId="37888130" w14:textId="77777777" w:rsidTr="00013619">
        <w:trPr>
          <w:trHeight w:val="900"/>
        </w:trPr>
        <w:tc>
          <w:tcPr>
            <w:tcW w:w="1295" w:type="dxa"/>
            <w:hideMark/>
          </w:tcPr>
          <w:p w14:paraId="7131A625" w14:textId="5B1B5AA1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1535" w:type="dxa"/>
            <w:hideMark/>
          </w:tcPr>
          <w:p w14:paraId="18BFCF3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17DD298" w14:textId="5AECAEA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2304C1A0" w14:textId="6ADB60FD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Сокращение выбросов ртути и содействие рациональному регулированию химических веществ на предприятиях по цинковому плавлению</w:t>
            </w:r>
          </w:p>
        </w:tc>
        <w:tc>
          <w:tcPr>
            <w:tcW w:w="850" w:type="dxa"/>
            <w:hideMark/>
          </w:tcPr>
          <w:p w14:paraId="0884D7A4" w14:textId="6508EC97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6B51711D" w14:textId="44F63482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2E6D4AC4" w14:textId="0468CE0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31DA03F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990000</w:t>
            </w:r>
          </w:p>
        </w:tc>
        <w:tc>
          <w:tcPr>
            <w:tcW w:w="1678" w:type="dxa"/>
            <w:hideMark/>
          </w:tcPr>
          <w:p w14:paraId="13D6EE8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4000000</w:t>
            </w:r>
          </w:p>
        </w:tc>
      </w:tr>
      <w:tr w:rsidR="00CA4DB3" w:rsidRPr="00F91A00" w14:paraId="39D2E7C1" w14:textId="77777777" w:rsidTr="00013619">
        <w:trPr>
          <w:trHeight w:val="600"/>
        </w:trPr>
        <w:tc>
          <w:tcPr>
            <w:tcW w:w="1295" w:type="dxa"/>
            <w:hideMark/>
          </w:tcPr>
          <w:p w14:paraId="0AD0DC5E" w14:textId="53E86D95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Колумбия</w:t>
            </w:r>
          </w:p>
        </w:tc>
        <w:tc>
          <w:tcPr>
            <w:tcW w:w="1535" w:type="dxa"/>
            <w:hideMark/>
          </w:tcPr>
          <w:p w14:paraId="09A2B20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1949301" w14:textId="34493D43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BD86CBE" w14:textId="6BB7FDF6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в Рес</w:t>
            </w:r>
            <w:r w:rsidR="00B004B0" w:rsidRPr="00F91A00">
              <w:rPr>
                <w:sz w:val="18"/>
                <w:szCs w:val="18"/>
                <w:lang w:val="ru-RU"/>
              </w:rPr>
              <w:t>п</w:t>
            </w:r>
            <w:r w:rsidRPr="00F91A00">
              <w:rPr>
                <w:sz w:val="18"/>
                <w:szCs w:val="18"/>
                <w:lang w:val="ru-RU"/>
              </w:rPr>
              <w:t>ублике Колумбия</w:t>
            </w:r>
          </w:p>
        </w:tc>
        <w:tc>
          <w:tcPr>
            <w:tcW w:w="850" w:type="dxa"/>
            <w:hideMark/>
          </w:tcPr>
          <w:p w14:paraId="38D0BDFE" w14:textId="3DC529E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B15949D" w14:textId="78C00B9A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5F30E9F" w14:textId="7136CFE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1884BD7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3765073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8000</w:t>
            </w:r>
          </w:p>
        </w:tc>
      </w:tr>
      <w:tr w:rsidR="00CA4DB3" w:rsidRPr="00F91A00" w14:paraId="7ADCF38A" w14:textId="77777777" w:rsidTr="00013619">
        <w:trPr>
          <w:trHeight w:val="900"/>
        </w:trPr>
        <w:tc>
          <w:tcPr>
            <w:tcW w:w="1295" w:type="dxa"/>
            <w:hideMark/>
          </w:tcPr>
          <w:p w14:paraId="6B11ACFB" w14:textId="3467B6B8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Колумбия</w:t>
            </w:r>
          </w:p>
        </w:tc>
        <w:tc>
          <w:tcPr>
            <w:tcW w:w="1535" w:type="dxa"/>
            <w:hideMark/>
          </w:tcPr>
          <w:p w14:paraId="2025F92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BD4B452" w14:textId="7A8A121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A16957D" w14:textId="2D09AFF7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Сокращение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НСОЗ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и высвобождений ртути в результате обращения с отходами здравоохранения, обработки электронных отходов, переработки лома и сжигания биомассы</w:t>
            </w:r>
          </w:p>
        </w:tc>
        <w:tc>
          <w:tcPr>
            <w:tcW w:w="850" w:type="dxa"/>
            <w:hideMark/>
          </w:tcPr>
          <w:p w14:paraId="2F71C53C" w14:textId="27EE8C28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AA86D0F" w14:textId="1DE52C5D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6A6C9F41" w14:textId="0F6CFBCA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6426736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686000</w:t>
            </w:r>
          </w:p>
        </w:tc>
        <w:tc>
          <w:tcPr>
            <w:tcW w:w="1678" w:type="dxa"/>
            <w:hideMark/>
          </w:tcPr>
          <w:p w14:paraId="32261AC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</w:tr>
      <w:tr w:rsidR="00CA4DB3" w:rsidRPr="00F91A00" w14:paraId="2C985142" w14:textId="77777777" w:rsidTr="00013619">
        <w:trPr>
          <w:trHeight w:val="600"/>
        </w:trPr>
        <w:tc>
          <w:tcPr>
            <w:tcW w:w="1295" w:type="dxa"/>
            <w:hideMark/>
          </w:tcPr>
          <w:p w14:paraId="0977F364" w14:textId="08433FEA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Коморские Острова</w:t>
            </w:r>
          </w:p>
        </w:tc>
        <w:tc>
          <w:tcPr>
            <w:tcW w:w="1535" w:type="dxa"/>
            <w:hideMark/>
          </w:tcPr>
          <w:p w14:paraId="59C0F95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B2ACA1C" w14:textId="7BE3B92F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3987AE7" w14:textId="4594B7F9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на Коморских Островах</w:t>
            </w:r>
          </w:p>
        </w:tc>
        <w:tc>
          <w:tcPr>
            <w:tcW w:w="850" w:type="dxa"/>
            <w:hideMark/>
          </w:tcPr>
          <w:p w14:paraId="5BAFA484" w14:textId="27B43D4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7C47496C" w14:textId="6A443243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5D89C89" w14:textId="7474E40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71FA079D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2002F5B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67000</w:t>
            </w:r>
          </w:p>
        </w:tc>
      </w:tr>
      <w:tr w:rsidR="00CA4DB3" w:rsidRPr="00F91A00" w14:paraId="4B74480A" w14:textId="77777777" w:rsidTr="00013619">
        <w:trPr>
          <w:trHeight w:val="900"/>
        </w:trPr>
        <w:tc>
          <w:tcPr>
            <w:tcW w:w="1295" w:type="dxa"/>
            <w:hideMark/>
          </w:tcPr>
          <w:p w14:paraId="6A720F2A" w14:textId="4D79745C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lastRenderedPageBreak/>
              <w:t>ДР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Конго</w:t>
            </w:r>
          </w:p>
        </w:tc>
        <w:tc>
          <w:tcPr>
            <w:tcW w:w="1535" w:type="dxa"/>
            <w:hideMark/>
          </w:tcPr>
          <w:p w14:paraId="34BCB55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684D651" w14:textId="55492DA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11EBEDC" w14:textId="618F0A1F" w:rsidR="00E953EE" w:rsidRPr="00F91A00" w:rsidRDefault="000C5FC4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и </w:t>
            </w:r>
            <w:r w:rsidR="00AA15B8" w:rsidRPr="00F91A00">
              <w:rPr>
                <w:sz w:val="18"/>
                <w:szCs w:val="18"/>
                <w:lang w:val="ru-RU"/>
              </w:rPr>
              <w:t>н</w:t>
            </w:r>
            <w:r w:rsidRPr="00F91A00">
              <w:rPr>
                <w:sz w:val="18"/>
                <w:szCs w:val="18"/>
                <w:lang w:val="ru-RU"/>
              </w:rPr>
              <w:t xml:space="preserve">ационального плана действий в области кустарной и мелкомасштабной </w:t>
            </w:r>
            <w:r w:rsidR="00AA15B8" w:rsidRPr="00F91A00">
              <w:rPr>
                <w:sz w:val="18"/>
                <w:szCs w:val="18"/>
                <w:lang w:val="ru-RU"/>
              </w:rPr>
              <w:t>золотодобычи</w:t>
            </w:r>
            <w:r w:rsidRPr="00F91A00">
              <w:rPr>
                <w:sz w:val="18"/>
                <w:szCs w:val="18"/>
                <w:lang w:val="ru-RU"/>
              </w:rPr>
              <w:t xml:space="preserve"> в Демократической Республике Конго (ДРК)</w:t>
            </w:r>
          </w:p>
        </w:tc>
        <w:tc>
          <w:tcPr>
            <w:tcW w:w="850" w:type="dxa"/>
            <w:hideMark/>
          </w:tcPr>
          <w:p w14:paraId="438CEB2B" w14:textId="5954080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026A42B" w14:textId="73691610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574CD67" w14:textId="38DE569C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CF8C2B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4E526ED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5DE98D54" w14:textId="77777777" w:rsidTr="00013619">
        <w:trPr>
          <w:trHeight w:val="300"/>
        </w:trPr>
        <w:tc>
          <w:tcPr>
            <w:tcW w:w="1295" w:type="dxa"/>
            <w:hideMark/>
          </w:tcPr>
          <w:p w14:paraId="46FC781B" w14:textId="5D082F68" w:rsidR="00E953EE" w:rsidRPr="00F91A00" w:rsidRDefault="00D621A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Коста-Рика</w:t>
            </w:r>
          </w:p>
        </w:tc>
        <w:tc>
          <w:tcPr>
            <w:tcW w:w="1535" w:type="dxa"/>
            <w:hideMark/>
          </w:tcPr>
          <w:p w14:paraId="5E9880C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B91D58C" w14:textId="21805F12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44BA219E" w14:textId="5C920B7A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D621A2" w:rsidRPr="00F91A00">
              <w:rPr>
                <w:sz w:val="18"/>
                <w:szCs w:val="18"/>
                <w:lang w:val="ru-RU"/>
              </w:rPr>
              <w:t>для Коста-Рики</w:t>
            </w:r>
          </w:p>
        </w:tc>
        <w:tc>
          <w:tcPr>
            <w:tcW w:w="850" w:type="dxa"/>
            <w:hideMark/>
          </w:tcPr>
          <w:p w14:paraId="33A8885C" w14:textId="15F73B01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638402B8" w14:textId="54CC07BC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A6929C1" w14:textId="30CD7C5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0F73B3F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64CB14C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</w:t>
            </w:r>
          </w:p>
        </w:tc>
      </w:tr>
      <w:tr w:rsidR="00CA4DB3" w:rsidRPr="00F91A00" w14:paraId="221D7DAB" w14:textId="77777777" w:rsidTr="00013619">
        <w:trPr>
          <w:trHeight w:val="600"/>
        </w:trPr>
        <w:tc>
          <w:tcPr>
            <w:tcW w:w="1295" w:type="dxa"/>
            <w:hideMark/>
          </w:tcPr>
          <w:p w14:paraId="63DFCAB2" w14:textId="75E86DDF" w:rsidR="00E953EE" w:rsidRPr="00F91A00" w:rsidRDefault="008D7A9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Джибути</w:t>
            </w:r>
          </w:p>
        </w:tc>
        <w:tc>
          <w:tcPr>
            <w:tcW w:w="1535" w:type="dxa"/>
            <w:hideMark/>
          </w:tcPr>
          <w:p w14:paraId="1B70002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2C3C5AB" w14:textId="32519B1A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B830C9C" w14:textId="01BBEDD8" w:rsidR="00E953EE" w:rsidRPr="00F91A00" w:rsidRDefault="008D7A9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Джибути</w:t>
            </w:r>
          </w:p>
        </w:tc>
        <w:tc>
          <w:tcPr>
            <w:tcW w:w="850" w:type="dxa"/>
            <w:hideMark/>
          </w:tcPr>
          <w:p w14:paraId="0D878E32" w14:textId="21A332D0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466DF9E" w14:textId="7FB80C2F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99D86DE" w14:textId="4AA7FCBF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B4BBDA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33B782B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DA5D42D" w14:textId="77777777" w:rsidTr="00013619">
        <w:trPr>
          <w:trHeight w:val="600"/>
        </w:trPr>
        <w:tc>
          <w:tcPr>
            <w:tcW w:w="1295" w:type="dxa"/>
            <w:hideMark/>
          </w:tcPr>
          <w:p w14:paraId="606AD9E4" w14:textId="494D2AD7" w:rsidR="00E953EE" w:rsidRPr="00F91A00" w:rsidRDefault="008D7A9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Эквадор</w:t>
            </w:r>
          </w:p>
        </w:tc>
        <w:tc>
          <w:tcPr>
            <w:tcW w:w="1535" w:type="dxa"/>
            <w:hideMark/>
          </w:tcPr>
          <w:p w14:paraId="7E35F8A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7925140" w14:textId="52B85BD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343F1DF" w14:textId="5727A78A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8D7A9F" w:rsidRPr="00F91A00">
              <w:rPr>
                <w:sz w:val="18"/>
                <w:szCs w:val="18"/>
                <w:lang w:val="ru-RU"/>
              </w:rPr>
              <w:t>в Эквадоре</w:t>
            </w:r>
          </w:p>
        </w:tc>
        <w:tc>
          <w:tcPr>
            <w:tcW w:w="850" w:type="dxa"/>
            <w:hideMark/>
          </w:tcPr>
          <w:p w14:paraId="20A2C7F6" w14:textId="35041E2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FDDFAF1" w14:textId="05A71468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1F0A979" w14:textId="01FE08B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28A24A1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75014AF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81000</w:t>
            </w:r>
          </w:p>
        </w:tc>
      </w:tr>
      <w:tr w:rsidR="00CA4DB3" w:rsidRPr="00F91A00" w14:paraId="388B296D" w14:textId="77777777" w:rsidTr="00013619">
        <w:trPr>
          <w:trHeight w:val="900"/>
        </w:trPr>
        <w:tc>
          <w:tcPr>
            <w:tcW w:w="1295" w:type="dxa"/>
            <w:hideMark/>
          </w:tcPr>
          <w:p w14:paraId="6DC9924B" w14:textId="07DC04B1" w:rsidR="00E953EE" w:rsidRPr="00F91A00" w:rsidRDefault="008D7A9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Эквадор</w:t>
            </w:r>
          </w:p>
        </w:tc>
        <w:tc>
          <w:tcPr>
            <w:tcW w:w="1535" w:type="dxa"/>
            <w:hideMark/>
          </w:tcPr>
          <w:p w14:paraId="68FE402E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CF10524" w14:textId="75C6851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55F2D84" w14:textId="3731F244" w:rsidR="00E953EE" w:rsidRPr="00F91A00" w:rsidRDefault="008D7A9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Национальная программа по рациональному природопользованию и управлению жизненным циклом химических веществ</w:t>
            </w:r>
          </w:p>
        </w:tc>
        <w:tc>
          <w:tcPr>
            <w:tcW w:w="850" w:type="dxa"/>
            <w:hideMark/>
          </w:tcPr>
          <w:p w14:paraId="6F61E91B" w14:textId="684030C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A38ADF1" w14:textId="5BEC9CB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0B75B738" w14:textId="68D716B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3E02897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3795000</w:t>
            </w:r>
          </w:p>
        </w:tc>
        <w:tc>
          <w:tcPr>
            <w:tcW w:w="1678" w:type="dxa"/>
            <w:hideMark/>
          </w:tcPr>
          <w:p w14:paraId="0260042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15131702</w:t>
            </w:r>
          </w:p>
        </w:tc>
      </w:tr>
      <w:tr w:rsidR="00CA4DB3" w:rsidRPr="00F91A00" w14:paraId="30BDC4E8" w14:textId="77777777" w:rsidTr="00013619">
        <w:trPr>
          <w:trHeight w:val="1200"/>
        </w:trPr>
        <w:tc>
          <w:tcPr>
            <w:tcW w:w="1295" w:type="dxa"/>
            <w:hideMark/>
          </w:tcPr>
          <w:p w14:paraId="4DC1005C" w14:textId="02BD238E" w:rsidR="00E953EE" w:rsidRPr="00F91A00" w:rsidRDefault="008D7A9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Египет</w:t>
            </w:r>
          </w:p>
        </w:tc>
        <w:tc>
          <w:tcPr>
            <w:tcW w:w="1535" w:type="dxa"/>
            <w:hideMark/>
          </w:tcPr>
          <w:p w14:paraId="0037980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FCFE668" w14:textId="1F4619B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5C727E2" w14:textId="43EE2046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Защита здоровья человека и окружающей среды от непреднамеренных выбросов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, образующихся в результате сжигания и открытого сжигания отходов здравоохранения и электронных отходов</w:t>
            </w:r>
          </w:p>
        </w:tc>
        <w:tc>
          <w:tcPr>
            <w:tcW w:w="850" w:type="dxa"/>
            <w:hideMark/>
          </w:tcPr>
          <w:p w14:paraId="1451D3F5" w14:textId="7883D865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223D2317" w14:textId="5F5447A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1E77EEF7" w14:textId="110ABD4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7A1749C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550000</w:t>
            </w:r>
          </w:p>
        </w:tc>
        <w:tc>
          <w:tcPr>
            <w:tcW w:w="1678" w:type="dxa"/>
            <w:hideMark/>
          </w:tcPr>
          <w:p w14:paraId="6A754AA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1600000</w:t>
            </w:r>
          </w:p>
        </w:tc>
      </w:tr>
      <w:tr w:rsidR="00CA4DB3" w:rsidRPr="00F91A00" w14:paraId="16C44548" w14:textId="77777777" w:rsidTr="00013619">
        <w:trPr>
          <w:trHeight w:val="600"/>
        </w:trPr>
        <w:tc>
          <w:tcPr>
            <w:tcW w:w="1295" w:type="dxa"/>
            <w:hideMark/>
          </w:tcPr>
          <w:p w14:paraId="7B37C2C2" w14:textId="6403395F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Сальвадор</w:t>
            </w:r>
          </w:p>
        </w:tc>
        <w:tc>
          <w:tcPr>
            <w:tcW w:w="1535" w:type="dxa"/>
            <w:hideMark/>
          </w:tcPr>
          <w:p w14:paraId="25377B73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C879EB4" w14:textId="3F4DE64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9E03482" w14:textId="10ED0D3F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Сальвадоре</w:t>
            </w:r>
          </w:p>
        </w:tc>
        <w:tc>
          <w:tcPr>
            <w:tcW w:w="850" w:type="dxa"/>
            <w:hideMark/>
          </w:tcPr>
          <w:p w14:paraId="094B4642" w14:textId="405BD5D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7D2FC17" w14:textId="2A870682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41DB4FA" w14:textId="4A211BD1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2B4C49E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4BE7CD8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AA58B00" w14:textId="77777777" w:rsidTr="00013619">
        <w:trPr>
          <w:trHeight w:val="900"/>
        </w:trPr>
        <w:tc>
          <w:tcPr>
            <w:tcW w:w="1295" w:type="dxa"/>
            <w:hideMark/>
          </w:tcPr>
          <w:p w14:paraId="02A28618" w14:textId="16F436D9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Эритрея</w:t>
            </w:r>
          </w:p>
        </w:tc>
        <w:tc>
          <w:tcPr>
            <w:tcW w:w="1535" w:type="dxa"/>
            <w:hideMark/>
          </w:tcPr>
          <w:p w14:paraId="2FFEFD4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446FC89" w14:textId="19117A3A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252F4A8" w14:textId="050BCA8C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и национального плана действий в области кустарной и мелкомасштабной золотодобычи в Эритрее</w:t>
            </w:r>
          </w:p>
        </w:tc>
        <w:tc>
          <w:tcPr>
            <w:tcW w:w="850" w:type="dxa"/>
            <w:hideMark/>
          </w:tcPr>
          <w:p w14:paraId="13807F31" w14:textId="1A5DD7A0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39C2A15" w14:textId="4E8AC41C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90732B5" w14:textId="532E9B3E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043123B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6C350FA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3E6D5933" w14:textId="77777777" w:rsidTr="00013619">
        <w:trPr>
          <w:trHeight w:val="600"/>
        </w:trPr>
        <w:tc>
          <w:tcPr>
            <w:tcW w:w="1295" w:type="dxa"/>
            <w:hideMark/>
          </w:tcPr>
          <w:p w14:paraId="4BD24E0D" w14:textId="44B619EC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Габон</w:t>
            </w:r>
          </w:p>
        </w:tc>
        <w:tc>
          <w:tcPr>
            <w:tcW w:w="1535" w:type="dxa"/>
            <w:hideMark/>
          </w:tcPr>
          <w:p w14:paraId="5E09146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D60786E" w14:textId="3C92332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8F8D29B" w14:textId="775A69DC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AA15B8" w:rsidRPr="00F91A00">
              <w:rPr>
                <w:sz w:val="18"/>
                <w:szCs w:val="18"/>
                <w:lang w:val="ru-RU"/>
              </w:rPr>
              <w:t>в Габоне</w:t>
            </w:r>
          </w:p>
        </w:tc>
        <w:tc>
          <w:tcPr>
            <w:tcW w:w="850" w:type="dxa"/>
            <w:hideMark/>
          </w:tcPr>
          <w:p w14:paraId="1CB43218" w14:textId="507EABB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7F27585" w14:textId="4FC01B01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B934F00" w14:textId="2D0FC09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1D4A8B1E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4FC7C8C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161000</w:t>
            </w:r>
          </w:p>
        </w:tc>
      </w:tr>
      <w:tr w:rsidR="00CA4DB3" w:rsidRPr="00F91A00" w14:paraId="2134B14A" w14:textId="77777777" w:rsidTr="00013619">
        <w:trPr>
          <w:trHeight w:val="900"/>
        </w:trPr>
        <w:tc>
          <w:tcPr>
            <w:tcW w:w="1295" w:type="dxa"/>
            <w:hideMark/>
          </w:tcPr>
          <w:p w14:paraId="0403BF24" w14:textId="3A565367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Грузия</w:t>
            </w:r>
          </w:p>
        </w:tc>
        <w:tc>
          <w:tcPr>
            <w:tcW w:w="1535" w:type="dxa"/>
            <w:hideMark/>
          </w:tcPr>
          <w:p w14:paraId="1EC871BE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AC03934" w14:textId="17D8E10A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0B5F35B1" w14:textId="39DB1056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на национальном уровне в целях ратификации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5E9B8ACF" w14:textId="5BAA8BBB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0291A4B" w14:textId="763DF0C8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3E262BA" w14:textId="53E7CF11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6EF224E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5A7DA52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</w:t>
            </w:r>
          </w:p>
        </w:tc>
      </w:tr>
      <w:tr w:rsidR="00CA4DB3" w:rsidRPr="00F91A00" w14:paraId="6A8E1BC4" w14:textId="77777777" w:rsidTr="00013619">
        <w:trPr>
          <w:trHeight w:val="600"/>
        </w:trPr>
        <w:tc>
          <w:tcPr>
            <w:tcW w:w="1295" w:type="dxa"/>
            <w:hideMark/>
          </w:tcPr>
          <w:p w14:paraId="7D82369A" w14:textId="4FADF395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Гана</w:t>
            </w:r>
          </w:p>
        </w:tc>
        <w:tc>
          <w:tcPr>
            <w:tcW w:w="1535" w:type="dxa"/>
            <w:hideMark/>
          </w:tcPr>
          <w:p w14:paraId="0775A02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68E4C97" w14:textId="414B12A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C1D14D2" w14:textId="3F0A1EC5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для Ганы</w:t>
            </w:r>
          </w:p>
        </w:tc>
        <w:tc>
          <w:tcPr>
            <w:tcW w:w="850" w:type="dxa"/>
            <w:hideMark/>
          </w:tcPr>
          <w:p w14:paraId="62B49F91" w14:textId="23FC3D11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65A715D" w14:textId="781877F2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6BBE803" w14:textId="2EC07E9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1C06BC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DF42723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</w:tr>
      <w:tr w:rsidR="00CA4DB3" w:rsidRPr="00F91A00" w14:paraId="64FFEBF8" w14:textId="77777777" w:rsidTr="00013619">
        <w:trPr>
          <w:trHeight w:val="600"/>
        </w:trPr>
        <w:tc>
          <w:tcPr>
            <w:tcW w:w="1295" w:type="dxa"/>
            <w:hideMark/>
          </w:tcPr>
          <w:p w14:paraId="68CC14ED" w14:textId="090A44A6" w:rsidR="00E953EE" w:rsidRPr="00F91A00" w:rsidRDefault="00AA15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Гана</w:t>
            </w:r>
          </w:p>
        </w:tc>
        <w:tc>
          <w:tcPr>
            <w:tcW w:w="1535" w:type="dxa"/>
            <w:hideMark/>
          </w:tcPr>
          <w:p w14:paraId="784BC96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E7B21B5" w14:textId="5DBE7DD7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4C8DEC5" w14:textId="40AF11F6" w:rsidR="00E953EE" w:rsidRPr="00F91A00" w:rsidRDefault="006C350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AA15B8" w:rsidRPr="00F91A00">
              <w:rPr>
                <w:sz w:val="18"/>
                <w:szCs w:val="18"/>
                <w:lang w:val="ru-RU"/>
              </w:rPr>
              <w:t>в Гане</w:t>
            </w:r>
          </w:p>
        </w:tc>
        <w:tc>
          <w:tcPr>
            <w:tcW w:w="850" w:type="dxa"/>
            <w:hideMark/>
          </w:tcPr>
          <w:p w14:paraId="4916E004" w14:textId="2FFC21E5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D9CD8FD" w14:textId="6FEE95EB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53D2C17" w14:textId="1A47E630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26D1417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44C8C37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55250</w:t>
            </w:r>
          </w:p>
        </w:tc>
      </w:tr>
      <w:tr w:rsidR="00CA4DB3" w:rsidRPr="00F91A00" w14:paraId="129FAEDF" w14:textId="77777777" w:rsidTr="00013619">
        <w:trPr>
          <w:trHeight w:val="851"/>
        </w:trPr>
        <w:tc>
          <w:tcPr>
            <w:tcW w:w="1295" w:type="dxa"/>
            <w:hideMark/>
          </w:tcPr>
          <w:p w14:paraId="490C8254" w14:textId="429F5FE5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lastRenderedPageBreak/>
              <w:t>На глобальном уровне</w:t>
            </w:r>
          </w:p>
        </w:tc>
        <w:tc>
          <w:tcPr>
            <w:tcW w:w="1535" w:type="dxa"/>
            <w:hideMark/>
          </w:tcPr>
          <w:p w14:paraId="7FF0A64E" w14:textId="1D638787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Бангладеш, Гвинея-Бисау, Мавритания, Мозамбик, Самоа</w:t>
            </w:r>
          </w:p>
        </w:tc>
        <w:tc>
          <w:tcPr>
            <w:tcW w:w="1134" w:type="dxa"/>
            <w:hideMark/>
          </w:tcPr>
          <w:p w14:paraId="4E28FDB7" w14:textId="2EFA390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59A273B" w14:textId="563D16BD" w:rsidR="00E953EE" w:rsidRPr="00F91A00" w:rsidRDefault="00B571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на национальном уровне в целях ратификации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55DFBC6D" w14:textId="67BDFC6D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34C9212" w14:textId="506AA7AB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B8C624E" w14:textId="769BDADA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3A412C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0871D90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5195264D" w14:textId="77777777" w:rsidTr="00013619">
        <w:trPr>
          <w:trHeight w:val="284"/>
        </w:trPr>
        <w:tc>
          <w:tcPr>
            <w:tcW w:w="1295" w:type="dxa"/>
            <w:hideMark/>
          </w:tcPr>
          <w:p w14:paraId="130465E0" w14:textId="5DC01BE8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глобальном уровне</w:t>
            </w:r>
          </w:p>
        </w:tc>
        <w:tc>
          <w:tcPr>
            <w:tcW w:w="1535" w:type="dxa"/>
            <w:hideMark/>
          </w:tcPr>
          <w:p w14:paraId="2AC4F314" w14:textId="5A2FB15B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Буркина-Фасо, Колумбия, Гайана, Индонезия, Кения, Монголия, Перу, Филиппины</w:t>
            </w:r>
          </w:p>
        </w:tc>
        <w:tc>
          <w:tcPr>
            <w:tcW w:w="1134" w:type="dxa"/>
            <w:hideMark/>
          </w:tcPr>
          <w:p w14:paraId="60AE22A7" w14:textId="26AF3B11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3743916" w14:textId="369D8683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Глобальные возможности для долгосрочного развития сектора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КМЗ-ГЭФ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ЗОЛОТО</w:t>
            </w:r>
          </w:p>
        </w:tc>
        <w:tc>
          <w:tcPr>
            <w:tcW w:w="850" w:type="dxa"/>
            <w:hideMark/>
          </w:tcPr>
          <w:p w14:paraId="6CBEC15A" w14:textId="7EB8F0C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D0C9B05" w14:textId="785035C4" w:rsidR="00E953EE" w:rsidRPr="00F91A00" w:rsidRDefault="00A26CE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ПРД</w:t>
            </w:r>
            <w:proofErr w:type="spellEnd"/>
          </w:p>
        </w:tc>
        <w:tc>
          <w:tcPr>
            <w:tcW w:w="1276" w:type="dxa"/>
            <w:hideMark/>
          </w:tcPr>
          <w:p w14:paraId="17A3FC70" w14:textId="1C449D44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="00E27EA5"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="00E27EA5"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="00E953EE" w:rsidRPr="00F91A00">
              <w:rPr>
                <w:sz w:val="18"/>
                <w:szCs w:val="18"/>
                <w:lang w:val="ru-RU"/>
              </w:rPr>
              <w:t>CI</w:t>
            </w:r>
            <w:proofErr w:type="spellEnd"/>
          </w:p>
        </w:tc>
        <w:tc>
          <w:tcPr>
            <w:tcW w:w="1123" w:type="dxa"/>
            <w:hideMark/>
          </w:tcPr>
          <w:p w14:paraId="091824A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45262294</w:t>
            </w:r>
          </w:p>
        </w:tc>
        <w:tc>
          <w:tcPr>
            <w:tcW w:w="1678" w:type="dxa"/>
            <w:hideMark/>
          </w:tcPr>
          <w:p w14:paraId="7E4253C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135174956</w:t>
            </w:r>
          </w:p>
        </w:tc>
      </w:tr>
      <w:tr w:rsidR="00CA4DB3" w:rsidRPr="00F91A00" w14:paraId="524DF132" w14:textId="77777777" w:rsidTr="00BA5DD6">
        <w:trPr>
          <w:trHeight w:val="284"/>
        </w:trPr>
        <w:tc>
          <w:tcPr>
            <w:tcW w:w="1295" w:type="dxa"/>
            <w:hideMark/>
          </w:tcPr>
          <w:p w14:paraId="61EB418B" w14:textId="459CB13E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глобальном уровне</w:t>
            </w:r>
          </w:p>
        </w:tc>
        <w:tc>
          <w:tcPr>
            <w:tcW w:w="1535" w:type="dxa"/>
            <w:hideMark/>
          </w:tcPr>
          <w:p w14:paraId="193E6F1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B38163B" w14:textId="382B9039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01B97F3F" w14:textId="5EBF9CB7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Плана глобального мониторинга воздействия ртути на человека и концентрации ее в окружающей среде</w:t>
            </w:r>
          </w:p>
        </w:tc>
        <w:tc>
          <w:tcPr>
            <w:tcW w:w="850" w:type="dxa"/>
            <w:hideMark/>
          </w:tcPr>
          <w:p w14:paraId="44535500" w14:textId="5B6FA0F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4BF0B4EC" w14:textId="7A48A37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6C599CFF" w14:textId="55A5C824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4E8C59E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850000</w:t>
            </w:r>
          </w:p>
        </w:tc>
        <w:tc>
          <w:tcPr>
            <w:tcW w:w="1678" w:type="dxa"/>
            <w:hideMark/>
          </w:tcPr>
          <w:p w14:paraId="30F2164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3005411</w:t>
            </w:r>
          </w:p>
        </w:tc>
      </w:tr>
      <w:tr w:rsidR="00CA4DB3" w:rsidRPr="00F91A00" w14:paraId="1DBF0914" w14:textId="77777777" w:rsidTr="00013619">
        <w:trPr>
          <w:trHeight w:val="600"/>
        </w:trPr>
        <w:tc>
          <w:tcPr>
            <w:tcW w:w="1295" w:type="dxa"/>
            <w:hideMark/>
          </w:tcPr>
          <w:p w14:paraId="132ADC9D" w14:textId="749D263F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Гватемала</w:t>
            </w:r>
          </w:p>
        </w:tc>
        <w:tc>
          <w:tcPr>
            <w:tcW w:w="1535" w:type="dxa"/>
            <w:hideMark/>
          </w:tcPr>
          <w:p w14:paraId="6E5E378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F84C3E8" w14:textId="4FB3CE04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35C65FD" w14:textId="756C09A6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для Гватемалы</w:t>
            </w:r>
          </w:p>
        </w:tc>
        <w:tc>
          <w:tcPr>
            <w:tcW w:w="850" w:type="dxa"/>
            <w:hideMark/>
          </w:tcPr>
          <w:p w14:paraId="5AC1520E" w14:textId="222D086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575D74D" w14:textId="3FF35BE0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4D1743F" w14:textId="5675D4B2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0265757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9585B9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78600</w:t>
            </w:r>
          </w:p>
        </w:tc>
      </w:tr>
      <w:tr w:rsidR="00CA4DB3" w:rsidRPr="00F91A00" w14:paraId="55234911" w14:textId="77777777" w:rsidTr="00013619">
        <w:trPr>
          <w:trHeight w:val="300"/>
        </w:trPr>
        <w:tc>
          <w:tcPr>
            <w:tcW w:w="1295" w:type="dxa"/>
            <w:hideMark/>
          </w:tcPr>
          <w:p w14:paraId="44CBFE7A" w14:textId="2043B874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Гайана</w:t>
            </w:r>
          </w:p>
        </w:tc>
        <w:tc>
          <w:tcPr>
            <w:tcW w:w="1535" w:type="dxa"/>
            <w:hideMark/>
          </w:tcPr>
          <w:p w14:paraId="60EE5E1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39C2000" w14:textId="761873D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78467B6" w14:textId="1A8A9392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</w:t>
            </w:r>
            <w:r w:rsidR="00E953EE" w:rsidRPr="00F91A00">
              <w:rPr>
                <w:sz w:val="18"/>
                <w:szCs w:val="18"/>
                <w:lang w:val="ru-RU"/>
              </w:rPr>
              <w:t xml:space="preserve"> </w:t>
            </w:r>
            <w:r w:rsidR="00E002EB" w:rsidRPr="00F91A00">
              <w:rPr>
                <w:sz w:val="18"/>
                <w:szCs w:val="18"/>
                <w:lang w:val="ru-RU"/>
              </w:rPr>
              <w:t>для Гайаны</w:t>
            </w:r>
          </w:p>
        </w:tc>
        <w:tc>
          <w:tcPr>
            <w:tcW w:w="850" w:type="dxa"/>
            <w:hideMark/>
          </w:tcPr>
          <w:p w14:paraId="7D8B5E12" w14:textId="180DDE5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6A4D824" w14:textId="23210CA6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D04C3CE" w14:textId="4EEF018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1AD890CD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137CF9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6EFAE6A9" w14:textId="77777777" w:rsidTr="00013619">
        <w:trPr>
          <w:trHeight w:val="900"/>
        </w:trPr>
        <w:tc>
          <w:tcPr>
            <w:tcW w:w="1295" w:type="dxa"/>
            <w:hideMark/>
          </w:tcPr>
          <w:p w14:paraId="45B6E506" w14:textId="3A8167C8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Гайана</w:t>
            </w:r>
          </w:p>
        </w:tc>
        <w:tc>
          <w:tcPr>
            <w:tcW w:w="1535" w:type="dxa"/>
            <w:hideMark/>
          </w:tcPr>
          <w:p w14:paraId="147CDFF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5A7BBFA" w14:textId="45EEF46D" w:rsidR="00E953EE" w:rsidRPr="00F91A00" w:rsidRDefault="008C7CB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МЦП</w:t>
            </w:r>
            <w:proofErr w:type="spellEnd"/>
            <w:r w:rsidR="00E953EE" w:rsidRPr="00F91A00">
              <w:rPr>
                <w:rStyle w:val="FootnoteReference"/>
                <w:sz w:val="18"/>
                <w:lang w:val="ru-RU"/>
              </w:rPr>
              <w:footnoteReference w:id="18"/>
            </w:r>
          </w:p>
        </w:tc>
        <w:tc>
          <w:tcPr>
            <w:tcW w:w="4820" w:type="dxa"/>
            <w:hideMark/>
          </w:tcPr>
          <w:p w14:paraId="5EE32BBA" w14:textId="5E204C69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рамочной основы для содействия всестороннему учету вопросов биоразнообразия и сокращения выбросов ртути в ходе мелкомасштабных и средних золотодобывающих операций</w:t>
            </w:r>
          </w:p>
        </w:tc>
        <w:tc>
          <w:tcPr>
            <w:tcW w:w="850" w:type="dxa"/>
            <w:hideMark/>
          </w:tcPr>
          <w:p w14:paraId="4C116A77" w14:textId="02AF02F1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32E46A6" w14:textId="7B23D54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31592BF7" w14:textId="7900328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4F87E8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892759</w:t>
            </w:r>
          </w:p>
        </w:tc>
        <w:tc>
          <w:tcPr>
            <w:tcW w:w="1678" w:type="dxa"/>
            <w:hideMark/>
          </w:tcPr>
          <w:p w14:paraId="0C1A7B5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29662745</w:t>
            </w:r>
          </w:p>
        </w:tc>
      </w:tr>
      <w:tr w:rsidR="00CA4DB3" w:rsidRPr="00F91A00" w14:paraId="26FF8E6B" w14:textId="77777777" w:rsidTr="00BA5DD6">
        <w:trPr>
          <w:trHeight w:val="284"/>
        </w:trPr>
        <w:tc>
          <w:tcPr>
            <w:tcW w:w="1295" w:type="dxa"/>
            <w:hideMark/>
          </w:tcPr>
          <w:p w14:paraId="2A6FDFBA" w14:textId="692905D0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Гондурас</w:t>
            </w:r>
          </w:p>
        </w:tc>
        <w:tc>
          <w:tcPr>
            <w:tcW w:w="1535" w:type="dxa"/>
            <w:hideMark/>
          </w:tcPr>
          <w:p w14:paraId="20E69FA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A870B7A" w14:textId="28BB1E21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9D02A4D" w14:textId="5867E7D4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и национального плана действий в области кустарной и мелкомасштабной золотодобычи в Гондурасе</w:t>
            </w:r>
          </w:p>
        </w:tc>
        <w:tc>
          <w:tcPr>
            <w:tcW w:w="850" w:type="dxa"/>
            <w:hideMark/>
          </w:tcPr>
          <w:p w14:paraId="01F3A3CB" w14:textId="0706107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ADF51B9" w14:textId="2D7F9727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44F2224" w14:textId="01AE58DC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ADD9A4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3273FEB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25F36ACB" w14:textId="77777777" w:rsidTr="00013619">
        <w:trPr>
          <w:trHeight w:val="900"/>
        </w:trPr>
        <w:tc>
          <w:tcPr>
            <w:tcW w:w="1295" w:type="dxa"/>
            <w:hideMark/>
          </w:tcPr>
          <w:p w14:paraId="350773D7" w14:textId="68A1BBAD" w:rsidR="00E953EE" w:rsidRPr="00F91A00" w:rsidRDefault="00E002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Гондурас</w:t>
            </w:r>
          </w:p>
        </w:tc>
        <w:tc>
          <w:tcPr>
            <w:tcW w:w="1535" w:type="dxa"/>
            <w:hideMark/>
          </w:tcPr>
          <w:p w14:paraId="79F3D83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AB9CEE2" w14:textId="12D691BB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654269F9" w14:textId="6518C5C9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Экологически обоснованное регулирование ртути и ртутьсодержащих продуктов и их отходов в области кустарной и мелкомасштабной золотодобычи и здравоохранения</w:t>
            </w:r>
          </w:p>
        </w:tc>
        <w:tc>
          <w:tcPr>
            <w:tcW w:w="850" w:type="dxa"/>
            <w:hideMark/>
          </w:tcPr>
          <w:p w14:paraId="3FE8664D" w14:textId="10EA34D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51A96094" w14:textId="4CA16F4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69EAE7FA" w14:textId="732E25D7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73D2565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1300000</w:t>
            </w:r>
          </w:p>
        </w:tc>
        <w:tc>
          <w:tcPr>
            <w:tcW w:w="1678" w:type="dxa"/>
            <w:hideMark/>
          </w:tcPr>
          <w:p w14:paraId="6746E60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3960000</w:t>
            </w:r>
          </w:p>
        </w:tc>
      </w:tr>
      <w:tr w:rsidR="00CA4DB3" w:rsidRPr="00F91A00" w14:paraId="137D6C1F" w14:textId="77777777" w:rsidTr="00013619">
        <w:trPr>
          <w:trHeight w:val="300"/>
        </w:trPr>
        <w:tc>
          <w:tcPr>
            <w:tcW w:w="1295" w:type="dxa"/>
            <w:hideMark/>
          </w:tcPr>
          <w:p w14:paraId="0654B5D5" w14:textId="5A5A129A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Индия</w:t>
            </w:r>
          </w:p>
        </w:tc>
        <w:tc>
          <w:tcPr>
            <w:tcW w:w="1535" w:type="dxa"/>
            <w:hideMark/>
          </w:tcPr>
          <w:p w14:paraId="7AD055D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578F790" w14:textId="6835CC8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CBE117A" w14:textId="23EF9C7D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Совершенствование регулирования ртути в Индии</w:t>
            </w:r>
          </w:p>
        </w:tc>
        <w:tc>
          <w:tcPr>
            <w:tcW w:w="850" w:type="dxa"/>
            <w:hideMark/>
          </w:tcPr>
          <w:p w14:paraId="12B137B6" w14:textId="0C870BA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3B2F20C" w14:textId="72F54969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72FC8149" w14:textId="48C7570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5BF8BFE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70E81BB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3AE7BB8B" w14:textId="77777777" w:rsidTr="00BA5DD6">
        <w:trPr>
          <w:trHeight w:val="284"/>
        </w:trPr>
        <w:tc>
          <w:tcPr>
            <w:tcW w:w="1295" w:type="dxa"/>
            <w:hideMark/>
          </w:tcPr>
          <w:p w14:paraId="4DA98CF2" w14:textId="157D16C5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Индонезия</w:t>
            </w:r>
          </w:p>
        </w:tc>
        <w:tc>
          <w:tcPr>
            <w:tcW w:w="1535" w:type="dxa"/>
            <w:hideMark/>
          </w:tcPr>
          <w:p w14:paraId="7C90F5C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031D9A3" w14:textId="470E3B94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3773647" w14:textId="723475AD" w:rsidR="00E953EE" w:rsidRPr="00F91A00" w:rsidRDefault="00560B5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и национального плана действий в области кустарной и мелкомасштабной золотодобычи в Индонезии</w:t>
            </w:r>
          </w:p>
        </w:tc>
        <w:tc>
          <w:tcPr>
            <w:tcW w:w="850" w:type="dxa"/>
            <w:hideMark/>
          </w:tcPr>
          <w:p w14:paraId="3F6A297E" w14:textId="763554B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6C6AF99" w14:textId="08106F1E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F4B5ED7" w14:textId="7004F35A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39824B4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568EAF4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50E6F24A" w14:textId="77777777" w:rsidTr="00013619">
        <w:trPr>
          <w:trHeight w:val="284"/>
        </w:trPr>
        <w:tc>
          <w:tcPr>
            <w:tcW w:w="1295" w:type="dxa"/>
            <w:hideMark/>
          </w:tcPr>
          <w:p w14:paraId="6712A187" w14:textId="1E1A1F19" w:rsidR="00E953EE" w:rsidRPr="00F91A00" w:rsidRDefault="003C16C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Ирак</w:t>
            </w:r>
          </w:p>
        </w:tc>
        <w:tc>
          <w:tcPr>
            <w:tcW w:w="1535" w:type="dxa"/>
            <w:hideMark/>
          </w:tcPr>
          <w:p w14:paraId="50CBB6A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22BBD47" w14:textId="798376E9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30909A2" w14:textId="676999BD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национального плана осуществления Стокгольмской конвенции о стойких органических </w:t>
            </w:r>
            <w:r w:rsidRPr="00F91A00">
              <w:rPr>
                <w:sz w:val="18"/>
                <w:szCs w:val="18"/>
                <w:lang w:val="ru-RU"/>
              </w:rPr>
              <w:lastRenderedPageBreak/>
              <w:t>загрязнителях (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) и первоначальной оценки в рамках Минаматской конвенции о ртути в Ираке</w:t>
            </w:r>
          </w:p>
        </w:tc>
        <w:tc>
          <w:tcPr>
            <w:tcW w:w="850" w:type="dxa"/>
            <w:hideMark/>
          </w:tcPr>
          <w:p w14:paraId="1CC37893" w14:textId="4E29BBBA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lastRenderedPageBreak/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1F56863" w14:textId="4375BE82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EB24E4C" w14:textId="47BA202B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972732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66B88C3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E84A7DC" w14:textId="77777777" w:rsidTr="00013619">
        <w:trPr>
          <w:trHeight w:val="900"/>
        </w:trPr>
        <w:tc>
          <w:tcPr>
            <w:tcW w:w="1295" w:type="dxa"/>
            <w:hideMark/>
          </w:tcPr>
          <w:p w14:paraId="46E9ED74" w14:textId="510E658F" w:rsidR="00E953EE" w:rsidRPr="00F91A00" w:rsidRDefault="003C16C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Иордания</w:t>
            </w:r>
          </w:p>
        </w:tc>
        <w:tc>
          <w:tcPr>
            <w:tcW w:w="1535" w:type="dxa"/>
            <w:hideMark/>
          </w:tcPr>
          <w:p w14:paraId="17475C8D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7B645CC" w14:textId="171A506E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6A05BE8" w14:textId="0198279F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на национальном уровне в целях ратификации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20F2A0FC" w14:textId="3547EBC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716A4E3" w14:textId="678C3F36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AC05AED" w14:textId="429584D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206D145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13B2D43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</w:tr>
      <w:tr w:rsidR="00CA4DB3" w:rsidRPr="00F91A00" w14:paraId="7D8D4765" w14:textId="77777777" w:rsidTr="00013619">
        <w:trPr>
          <w:trHeight w:val="300"/>
        </w:trPr>
        <w:tc>
          <w:tcPr>
            <w:tcW w:w="1295" w:type="dxa"/>
            <w:hideMark/>
          </w:tcPr>
          <w:p w14:paraId="52288740" w14:textId="392F7B49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Казахстан</w:t>
            </w:r>
          </w:p>
        </w:tc>
        <w:tc>
          <w:tcPr>
            <w:tcW w:w="1535" w:type="dxa"/>
            <w:hideMark/>
          </w:tcPr>
          <w:p w14:paraId="77D9846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EB961AB" w14:textId="0A61DDC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8E4DFDF" w14:textId="5AF5FB95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</w:t>
            </w:r>
          </w:p>
        </w:tc>
        <w:tc>
          <w:tcPr>
            <w:tcW w:w="850" w:type="dxa"/>
            <w:hideMark/>
          </w:tcPr>
          <w:p w14:paraId="5F6D4680" w14:textId="35FF4B2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E368A31" w14:textId="6784CE23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D607702" w14:textId="4BDE80E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8C24F48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400000</w:t>
            </w:r>
          </w:p>
        </w:tc>
        <w:tc>
          <w:tcPr>
            <w:tcW w:w="1678" w:type="dxa"/>
            <w:hideMark/>
          </w:tcPr>
          <w:p w14:paraId="616868E7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0CE68E7F" w14:textId="77777777" w:rsidTr="00013619">
        <w:trPr>
          <w:trHeight w:val="900"/>
        </w:trPr>
        <w:tc>
          <w:tcPr>
            <w:tcW w:w="1295" w:type="dxa"/>
            <w:hideMark/>
          </w:tcPr>
          <w:p w14:paraId="2FF8F9F5" w14:textId="70BF3D2E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Казахстан</w:t>
            </w:r>
          </w:p>
        </w:tc>
        <w:tc>
          <w:tcPr>
            <w:tcW w:w="1535" w:type="dxa"/>
            <w:hideMark/>
          </w:tcPr>
          <w:p w14:paraId="7D9A070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90CFF13" w14:textId="6CE5082D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22A239DF" w14:textId="48BC7772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Обновление национального плана выполнения, интеграция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в национальное планирование и содействие рациональному управлению отходами в области здравоохранения в Казахстане</w:t>
            </w:r>
          </w:p>
        </w:tc>
        <w:tc>
          <w:tcPr>
            <w:tcW w:w="850" w:type="dxa"/>
            <w:hideMark/>
          </w:tcPr>
          <w:p w14:paraId="4492DBCE" w14:textId="35B18C1E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510745BA" w14:textId="2977A30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1F0ACCE2" w14:textId="6B47FDBF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7C62CB8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7527A4B4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470000</w:t>
            </w:r>
          </w:p>
        </w:tc>
      </w:tr>
      <w:tr w:rsidR="00CA4DB3" w:rsidRPr="00F91A00" w14:paraId="0BC032AB" w14:textId="77777777" w:rsidTr="00BA5DD6">
        <w:trPr>
          <w:trHeight w:val="284"/>
        </w:trPr>
        <w:tc>
          <w:tcPr>
            <w:tcW w:w="1295" w:type="dxa"/>
            <w:hideMark/>
          </w:tcPr>
          <w:p w14:paraId="03F5506B" w14:textId="4E1E8D8C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Кения</w:t>
            </w:r>
          </w:p>
        </w:tc>
        <w:tc>
          <w:tcPr>
            <w:tcW w:w="1535" w:type="dxa"/>
            <w:hideMark/>
          </w:tcPr>
          <w:p w14:paraId="751AC7C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F6EEBE5" w14:textId="6DB626F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D5C787E" w14:textId="73102CCF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</w:t>
            </w:r>
          </w:p>
        </w:tc>
        <w:tc>
          <w:tcPr>
            <w:tcW w:w="850" w:type="dxa"/>
            <w:hideMark/>
          </w:tcPr>
          <w:p w14:paraId="5F8784D7" w14:textId="339C9018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D000ABD" w14:textId="0001F9B9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5A8DE4F" w14:textId="66D5EAF9" w:rsidR="00E953EE" w:rsidRPr="00F91A00" w:rsidRDefault="00BD033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Напрямую</w:t>
            </w:r>
          </w:p>
        </w:tc>
        <w:tc>
          <w:tcPr>
            <w:tcW w:w="1123" w:type="dxa"/>
            <w:hideMark/>
          </w:tcPr>
          <w:p w14:paraId="2A655B0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D62360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D945151" w14:textId="77777777" w:rsidTr="00013619">
        <w:trPr>
          <w:trHeight w:val="300"/>
        </w:trPr>
        <w:tc>
          <w:tcPr>
            <w:tcW w:w="1295" w:type="dxa"/>
            <w:hideMark/>
          </w:tcPr>
          <w:p w14:paraId="67648876" w14:textId="47E57472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Кения</w:t>
            </w:r>
          </w:p>
        </w:tc>
        <w:tc>
          <w:tcPr>
            <w:tcW w:w="1535" w:type="dxa"/>
            <w:hideMark/>
          </w:tcPr>
          <w:p w14:paraId="16D3F58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C7E1926" w14:textId="37A43836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6C97A4FD" w14:textId="6B0D2739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Первоначальные меры в отношении ртути в Кении</w:t>
            </w:r>
          </w:p>
        </w:tc>
        <w:tc>
          <w:tcPr>
            <w:tcW w:w="850" w:type="dxa"/>
            <w:hideMark/>
          </w:tcPr>
          <w:p w14:paraId="10A1641E" w14:textId="6A08DEDD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A8A7D16" w14:textId="320D4A95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DED7295" w14:textId="42F2FD3C" w:rsidR="00E953EE" w:rsidRPr="00F91A00" w:rsidRDefault="00BD033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Секретариат </w:t>
            </w:r>
            <w:proofErr w:type="spellStart"/>
            <w:r w:rsidR="00E27EA5"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</w:p>
        </w:tc>
        <w:tc>
          <w:tcPr>
            <w:tcW w:w="1123" w:type="dxa"/>
            <w:hideMark/>
          </w:tcPr>
          <w:p w14:paraId="2951A3CF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3C06025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34000</w:t>
            </w:r>
          </w:p>
        </w:tc>
      </w:tr>
      <w:tr w:rsidR="00CA4DB3" w:rsidRPr="00F91A00" w14:paraId="789412B4" w14:textId="77777777" w:rsidTr="00BA5DD6">
        <w:trPr>
          <w:trHeight w:val="284"/>
        </w:trPr>
        <w:tc>
          <w:tcPr>
            <w:tcW w:w="1295" w:type="dxa"/>
            <w:hideMark/>
          </w:tcPr>
          <w:p w14:paraId="4E00737B" w14:textId="7F38CB1C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Кыргызская Республика</w:t>
            </w:r>
          </w:p>
        </w:tc>
        <w:tc>
          <w:tcPr>
            <w:tcW w:w="1535" w:type="dxa"/>
            <w:hideMark/>
          </w:tcPr>
          <w:p w14:paraId="025B147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B2D10D0" w14:textId="7EE9CF1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AEAF7E0" w14:textId="03BB5417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и обновление национального плана действий в области кустарной и мелкомасштабной золотодобычи</w:t>
            </w:r>
          </w:p>
        </w:tc>
        <w:tc>
          <w:tcPr>
            <w:tcW w:w="850" w:type="dxa"/>
            <w:hideMark/>
          </w:tcPr>
          <w:p w14:paraId="7333FD9A" w14:textId="4827D256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C94E3C0" w14:textId="6ABAC5ED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6F1F851" w14:textId="6C055D02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BD024C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2B1FA89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7D6519A5" w14:textId="77777777" w:rsidTr="00BA5DD6">
        <w:trPr>
          <w:trHeight w:val="284"/>
        </w:trPr>
        <w:tc>
          <w:tcPr>
            <w:tcW w:w="1295" w:type="dxa"/>
            <w:hideMark/>
          </w:tcPr>
          <w:p w14:paraId="639E7FC5" w14:textId="5F374464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Кыргызская Республика</w:t>
            </w:r>
          </w:p>
        </w:tc>
        <w:tc>
          <w:tcPr>
            <w:tcW w:w="1535" w:type="dxa"/>
            <w:hideMark/>
          </w:tcPr>
          <w:p w14:paraId="5298967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2D1FECB" w14:textId="1A47F8D4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0D28933B" w14:textId="760CDB1C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Снижение глобальных и местных экологических рисков от первичной добычи ртути в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Хайдаркане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, Кыргызская Республика</w:t>
            </w:r>
          </w:p>
        </w:tc>
        <w:tc>
          <w:tcPr>
            <w:tcW w:w="850" w:type="dxa"/>
            <w:hideMark/>
          </w:tcPr>
          <w:p w14:paraId="68A4FDF8" w14:textId="0177BA49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CB0147F" w14:textId="5621ADCA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2A0F1A37" w14:textId="0D2FAB0C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206D6DCC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944000</w:t>
            </w:r>
          </w:p>
        </w:tc>
        <w:tc>
          <w:tcPr>
            <w:tcW w:w="1678" w:type="dxa"/>
            <w:hideMark/>
          </w:tcPr>
          <w:p w14:paraId="2119FF55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3007000</w:t>
            </w:r>
          </w:p>
        </w:tc>
      </w:tr>
      <w:tr w:rsidR="00CA4DB3" w:rsidRPr="00F91A00" w14:paraId="55129C45" w14:textId="77777777" w:rsidTr="00013619">
        <w:trPr>
          <w:trHeight w:val="900"/>
        </w:trPr>
        <w:tc>
          <w:tcPr>
            <w:tcW w:w="1295" w:type="dxa"/>
            <w:hideMark/>
          </w:tcPr>
          <w:p w14:paraId="2A95D0DE" w14:textId="0A3D8377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Кыргызская Республика</w:t>
            </w:r>
          </w:p>
        </w:tc>
        <w:tc>
          <w:tcPr>
            <w:tcW w:w="1535" w:type="dxa"/>
            <w:hideMark/>
          </w:tcPr>
          <w:p w14:paraId="507AAD4A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D56C528" w14:textId="6514F0E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54D637C4" w14:textId="1F9374DC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Защита здоровья человека и окружающей среды от непреднамеренных выбросов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и ртути в результате небезопасного удаления отходов здравоохранения в Кыргызстане</w:t>
            </w:r>
          </w:p>
        </w:tc>
        <w:tc>
          <w:tcPr>
            <w:tcW w:w="850" w:type="dxa"/>
            <w:hideMark/>
          </w:tcPr>
          <w:p w14:paraId="392648CC" w14:textId="48313395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0CC397D9" w14:textId="6F69C10D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46A51C39" w14:textId="4ABD9F84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7389FF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120000</w:t>
            </w:r>
          </w:p>
        </w:tc>
        <w:tc>
          <w:tcPr>
            <w:tcW w:w="1678" w:type="dxa"/>
            <w:hideMark/>
          </w:tcPr>
          <w:p w14:paraId="625E41E3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360000</w:t>
            </w:r>
          </w:p>
        </w:tc>
      </w:tr>
      <w:tr w:rsidR="00CA4DB3" w:rsidRPr="00F91A00" w14:paraId="24D3E288" w14:textId="77777777" w:rsidTr="00BA5DD6">
        <w:trPr>
          <w:trHeight w:val="284"/>
        </w:trPr>
        <w:tc>
          <w:tcPr>
            <w:tcW w:w="1295" w:type="dxa"/>
            <w:hideMark/>
          </w:tcPr>
          <w:p w14:paraId="4601F81B" w14:textId="156DF9A1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ЛНДР</w:t>
            </w:r>
            <w:proofErr w:type="spellEnd"/>
          </w:p>
        </w:tc>
        <w:tc>
          <w:tcPr>
            <w:tcW w:w="1535" w:type="dxa"/>
            <w:hideMark/>
          </w:tcPr>
          <w:p w14:paraId="5497F30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4526D57" w14:textId="471FFD58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93985BC" w14:textId="5C461BC8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и обновление национального плана действий в области кустарной и мелкомасштабной золотодобычи</w:t>
            </w:r>
          </w:p>
        </w:tc>
        <w:tc>
          <w:tcPr>
            <w:tcW w:w="850" w:type="dxa"/>
            <w:hideMark/>
          </w:tcPr>
          <w:p w14:paraId="3ECC630D" w14:textId="3F50EFDC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200B6D3" w14:textId="3146E8EB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07292F9" w14:textId="37AC6144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367D1786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77FC4AF0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6FA887C7" w14:textId="77777777" w:rsidTr="00013619">
        <w:trPr>
          <w:trHeight w:val="300"/>
        </w:trPr>
        <w:tc>
          <w:tcPr>
            <w:tcW w:w="1295" w:type="dxa"/>
            <w:hideMark/>
          </w:tcPr>
          <w:p w14:paraId="6FA6534B" w14:textId="6C40B455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Македония</w:t>
            </w:r>
          </w:p>
        </w:tc>
        <w:tc>
          <w:tcPr>
            <w:tcW w:w="1535" w:type="dxa"/>
            <w:hideMark/>
          </w:tcPr>
          <w:p w14:paraId="5AD666EB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E373D2E" w14:textId="086251F2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832F88F" w14:textId="580798BD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</w:t>
            </w:r>
          </w:p>
        </w:tc>
        <w:tc>
          <w:tcPr>
            <w:tcW w:w="850" w:type="dxa"/>
            <w:hideMark/>
          </w:tcPr>
          <w:p w14:paraId="367660B0" w14:textId="0E890D63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6681880" w14:textId="3EEE6AD6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280DB2B" w14:textId="3839226D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7464AD0D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554FC0E9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5CFCBDC3" w14:textId="77777777" w:rsidTr="00013619">
        <w:trPr>
          <w:trHeight w:val="600"/>
        </w:trPr>
        <w:tc>
          <w:tcPr>
            <w:tcW w:w="1295" w:type="dxa"/>
            <w:hideMark/>
          </w:tcPr>
          <w:p w14:paraId="2F6DD508" w14:textId="62000EF8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Мадагаскар</w:t>
            </w:r>
          </w:p>
        </w:tc>
        <w:tc>
          <w:tcPr>
            <w:tcW w:w="1535" w:type="dxa"/>
            <w:hideMark/>
          </w:tcPr>
          <w:p w14:paraId="23925193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F503AAF" w14:textId="5B8556E0" w:rsidR="00E953EE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3E833F4" w14:textId="02C02F58" w:rsidR="00E953EE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национального плана действий в области кустарной и мелкомасштабной золотодобычи на Мадагаскаре</w:t>
            </w:r>
          </w:p>
        </w:tc>
        <w:tc>
          <w:tcPr>
            <w:tcW w:w="850" w:type="dxa"/>
            <w:hideMark/>
          </w:tcPr>
          <w:p w14:paraId="7E1DCC16" w14:textId="579FC417" w:rsidR="00E953EE" w:rsidRPr="00F91A00" w:rsidRDefault="00E27EA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="00E953EE"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82B6DE3" w14:textId="2562C5FD" w:rsidR="00E953EE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5238E16" w14:textId="792BF06D" w:rsidR="00E953EE" w:rsidRPr="00F91A00" w:rsidRDefault="00EE7F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100E95B2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1A918DE1" w14:textId="77777777" w:rsidR="00E953EE" w:rsidRPr="00F91A00" w:rsidRDefault="00E953E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786777C5" w14:textId="77777777" w:rsidTr="00BA5DD6">
        <w:trPr>
          <w:trHeight w:val="284"/>
        </w:trPr>
        <w:tc>
          <w:tcPr>
            <w:tcW w:w="1295" w:type="dxa"/>
            <w:hideMark/>
          </w:tcPr>
          <w:p w14:paraId="6708D78D" w14:textId="3321C17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Мадагаскар</w:t>
            </w:r>
          </w:p>
        </w:tc>
        <w:tc>
          <w:tcPr>
            <w:tcW w:w="1535" w:type="dxa"/>
            <w:hideMark/>
          </w:tcPr>
          <w:p w14:paraId="594223C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9633DD1" w14:textId="595242FD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4F47616D" w14:textId="2DB60BD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на Мадагаскаре</w:t>
            </w:r>
          </w:p>
        </w:tc>
        <w:tc>
          <w:tcPr>
            <w:tcW w:w="850" w:type="dxa"/>
            <w:hideMark/>
          </w:tcPr>
          <w:p w14:paraId="00717F06" w14:textId="5883A34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D22B64A" w14:textId="43E0DA12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7B7F5B2" w14:textId="7418270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759979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182648</w:t>
            </w:r>
          </w:p>
        </w:tc>
        <w:tc>
          <w:tcPr>
            <w:tcW w:w="1678" w:type="dxa"/>
            <w:hideMark/>
          </w:tcPr>
          <w:p w14:paraId="5318C5C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</w:tr>
      <w:tr w:rsidR="00CA4DB3" w:rsidRPr="00F91A00" w14:paraId="6B7359E9" w14:textId="77777777" w:rsidTr="00013619">
        <w:trPr>
          <w:trHeight w:val="300"/>
        </w:trPr>
        <w:tc>
          <w:tcPr>
            <w:tcW w:w="1295" w:type="dxa"/>
            <w:hideMark/>
          </w:tcPr>
          <w:p w14:paraId="346AA7AB" w14:textId="6D9B668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Малайзия</w:t>
            </w:r>
          </w:p>
        </w:tc>
        <w:tc>
          <w:tcPr>
            <w:tcW w:w="1535" w:type="dxa"/>
            <w:hideMark/>
          </w:tcPr>
          <w:p w14:paraId="7AAF228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BCDC72E" w14:textId="241ACF8A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05EF3AD" w14:textId="2F496E2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Малайзии</w:t>
            </w:r>
          </w:p>
        </w:tc>
        <w:tc>
          <w:tcPr>
            <w:tcW w:w="850" w:type="dxa"/>
            <w:hideMark/>
          </w:tcPr>
          <w:p w14:paraId="25B6DDA9" w14:textId="4F71303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3625D81" w14:textId="3398A34C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FAA1826" w14:textId="1DA360B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5B6D2E1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250000</w:t>
            </w:r>
          </w:p>
        </w:tc>
        <w:tc>
          <w:tcPr>
            <w:tcW w:w="1678" w:type="dxa"/>
            <w:hideMark/>
          </w:tcPr>
          <w:p w14:paraId="068D07D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250000</w:t>
            </w:r>
          </w:p>
        </w:tc>
      </w:tr>
      <w:tr w:rsidR="00CA4DB3" w:rsidRPr="00F91A00" w14:paraId="172A3996" w14:textId="77777777" w:rsidTr="00BA5DD6">
        <w:trPr>
          <w:trHeight w:val="284"/>
        </w:trPr>
        <w:tc>
          <w:tcPr>
            <w:tcW w:w="1295" w:type="dxa"/>
            <w:hideMark/>
          </w:tcPr>
          <w:p w14:paraId="434D3B6D" w14:textId="3786983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Мальдивские Острова</w:t>
            </w:r>
          </w:p>
        </w:tc>
        <w:tc>
          <w:tcPr>
            <w:tcW w:w="1535" w:type="dxa"/>
            <w:hideMark/>
          </w:tcPr>
          <w:p w14:paraId="04EDA12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B4B7BB5" w14:textId="01BD5D00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9D586E1" w14:textId="289462E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на Мальдивских Островах</w:t>
            </w:r>
          </w:p>
        </w:tc>
        <w:tc>
          <w:tcPr>
            <w:tcW w:w="850" w:type="dxa"/>
            <w:hideMark/>
          </w:tcPr>
          <w:p w14:paraId="5FA41B16" w14:textId="7FFCB53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5B0016C" w14:textId="58A579ED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C334B53" w14:textId="1141EEA1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16DD86B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4B870DD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6BB20E61" w14:textId="77777777" w:rsidTr="00BA5DD6">
        <w:trPr>
          <w:trHeight w:val="284"/>
        </w:trPr>
        <w:tc>
          <w:tcPr>
            <w:tcW w:w="1295" w:type="dxa"/>
            <w:hideMark/>
          </w:tcPr>
          <w:p w14:paraId="49EFF27A" w14:textId="0943256A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lastRenderedPageBreak/>
              <w:t>Маршалловы Острова</w:t>
            </w:r>
          </w:p>
        </w:tc>
        <w:tc>
          <w:tcPr>
            <w:tcW w:w="1535" w:type="dxa"/>
            <w:hideMark/>
          </w:tcPr>
          <w:p w14:paraId="15361B0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7B678F5" w14:textId="5F436A64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E4B446B" w14:textId="78AB3D3F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на Маршалловых Островах</w:t>
            </w:r>
          </w:p>
        </w:tc>
        <w:tc>
          <w:tcPr>
            <w:tcW w:w="850" w:type="dxa"/>
            <w:hideMark/>
          </w:tcPr>
          <w:p w14:paraId="788C888C" w14:textId="3294A53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25F4E3B" w14:textId="38556162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D491283" w14:textId="3AF0F3C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75806B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125000</w:t>
            </w:r>
          </w:p>
        </w:tc>
        <w:tc>
          <w:tcPr>
            <w:tcW w:w="1678" w:type="dxa"/>
            <w:hideMark/>
          </w:tcPr>
          <w:p w14:paraId="6705FC6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6012A9B1" w14:textId="77777777" w:rsidTr="00013619">
        <w:trPr>
          <w:trHeight w:val="284"/>
        </w:trPr>
        <w:tc>
          <w:tcPr>
            <w:tcW w:w="1295" w:type="dxa"/>
            <w:hideMark/>
          </w:tcPr>
          <w:p w14:paraId="28DE9A33" w14:textId="30633841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Маврикий</w:t>
            </w:r>
          </w:p>
        </w:tc>
        <w:tc>
          <w:tcPr>
            <w:tcW w:w="1535" w:type="dxa"/>
            <w:hideMark/>
          </w:tcPr>
          <w:p w14:paraId="7ECE4CD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B67151F" w14:textId="3E85CB6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4CA21C81" w14:textId="12443958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на национальном уровне в целях ратификации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022C5D54" w14:textId="0A5FEAF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7B051888" w14:textId="2DD86630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D8B2262" w14:textId="13C435B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2DB2AF4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199749</w:t>
            </w:r>
          </w:p>
        </w:tc>
        <w:tc>
          <w:tcPr>
            <w:tcW w:w="1678" w:type="dxa"/>
            <w:hideMark/>
          </w:tcPr>
          <w:p w14:paraId="3AFB91B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125000</w:t>
            </w:r>
          </w:p>
        </w:tc>
      </w:tr>
      <w:tr w:rsidR="00CA4DB3" w:rsidRPr="00F91A00" w14:paraId="63417153" w14:textId="77777777" w:rsidTr="00013619">
        <w:trPr>
          <w:trHeight w:val="900"/>
        </w:trPr>
        <w:tc>
          <w:tcPr>
            <w:tcW w:w="1295" w:type="dxa"/>
            <w:hideMark/>
          </w:tcPr>
          <w:p w14:paraId="4704E7AE" w14:textId="610E4413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Мексика</w:t>
            </w:r>
          </w:p>
        </w:tc>
        <w:tc>
          <w:tcPr>
            <w:tcW w:w="1535" w:type="dxa"/>
            <w:hideMark/>
          </w:tcPr>
          <w:p w14:paraId="2238EC2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CC799BB" w14:textId="61D5156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061A2C8" w14:textId="06775531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Снижение глобальных экологических рисков путем мониторинга и развития альтернативных источников средств к существованию в секторе первичной добычи ртути в Мексике</w:t>
            </w:r>
          </w:p>
        </w:tc>
        <w:tc>
          <w:tcPr>
            <w:tcW w:w="850" w:type="dxa"/>
            <w:hideMark/>
          </w:tcPr>
          <w:p w14:paraId="0CAE9246" w14:textId="0D41AF1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-7</w:t>
            </w:r>
          </w:p>
        </w:tc>
        <w:tc>
          <w:tcPr>
            <w:tcW w:w="709" w:type="dxa"/>
            <w:hideMark/>
          </w:tcPr>
          <w:p w14:paraId="202E4313" w14:textId="46A2113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29CFF9DC" w14:textId="71DC9FC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2AB12B1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7035000</w:t>
            </w:r>
          </w:p>
        </w:tc>
        <w:tc>
          <w:tcPr>
            <w:tcW w:w="1678" w:type="dxa"/>
            <w:hideMark/>
          </w:tcPr>
          <w:p w14:paraId="69CFC83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40850000</w:t>
            </w:r>
          </w:p>
        </w:tc>
      </w:tr>
      <w:tr w:rsidR="00CA4DB3" w:rsidRPr="00F91A00" w14:paraId="41FFFFD1" w14:textId="77777777" w:rsidTr="00BA5DD6">
        <w:trPr>
          <w:trHeight w:val="284"/>
        </w:trPr>
        <w:tc>
          <w:tcPr>
            <w:tcW w:w="1295" w:type="dxa"/>
            <w:hideMark/>
          </w:tcPr>
          <w:p w14:paraId="60A55A96" w14:textId="192BF643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Мексика</w:t>
            </w:r>
          </w:p>
        </w:tc>
        <w:tc>
          <w:tcPr>
            <w:tcW w:w="1535" w:type="dxa"/>
            <w:hideMark/>
          </w:tcPr>
          <w:p w14:paraId="429119B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3953B0E" w14:textId="527A4E4E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1F07684C" w14:textId="289D9F98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Мексике</w:t>
            </w:r>
          </w:p>
        </w:tc>
        <w:tc>
          <w:tcPr>
            <w:tcW w:w="850" w:type="dxa"/>
            <w:hideMark/>
          </w:tcPr>
          <w:p w14:paraId="7A38E7C6" w14:textId="53AB6BB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742091A9" w14:textId="391AE772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080EE9E" w14:textId="262F270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0D4EDE5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456530</w:t>
            </w:r>
          </w:p>
        </w:tc>
        <w:tc>
          <w:tcPr>
            <w:tcW w:w="1678" w:type="dxa"/>
            <w:hideMark/>
          </w:tcPr>
          <w:p w14:paraId="25B5941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40000</w:t>
            </w:r>
          </w:p>
        </w:tc>
      </w:tr>
      <w:tr w:rsidR="00CA4DB3" w:rsidRPr="00F91A00" w14:paraId="19C246FD" w14:textId="77777777" w:rsidTr="00BA5DD6">
        <w:trPr>
          <w:trHeight w:val="284"/>
        </w:trPr>
        <w:tc>
          <w:tcPr>
            <w:tcW w:w="1295" w:type="dxa"/>
            <w:hideMark/>
          </w:tcPr>
          <w:p w14:paraId="1505C241" w14:textId="779A7838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Микронезия</w:t>
            </w:r>
          </w:p>
        </w:tc>
        <w:tc>
          <w:tcPr>
            <w:tcW w:w="1535" w:type="dxa"/>
            <w:hideMark/>
          </w:tcPr>
          <w:p w14:paraId="18F9FC7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9578506" w14:textId="582DC379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D971391" w14:textId="02EB8B5A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Федеративных Штатах Микронезии</w:t>
            </w:r>
          </w:p>
        </w:tc>
        <w:tc>
          <w:tcPr>
            <w:tcW w:w="850" w:type="dxa"/>
            <w:hideMark/>
          </w:tcPr>
          <w:p w14:paraId="67D67A17" w14:textId="13A9E2BB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A16AB15" w14:textId="6EB0E899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2AE1F98" w14:textId="05D1BE8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2CFED15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125000</w:t>
            </w:r>
          </w:p>
        </w:tc>
        <w:tc>
          <w:tcPr>
            <w:tcW w:w="1678" w:type="dxa"/>
            <w:hideMark/>
          </w:tcPr>
          <w:p w14:paraId="46B1457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3E634E4B" w14:textId="77777777" w:rsidTr="00BA5DD6">
        <w:trPr>
          <w:trHeight w:val="284"/>
        </w:trPr>
        <w:tc>
          <w:tcPr>
            <w:tcW w:w="1295" w:type="dxa"/>
            <w:hideMark/>
          </w:tcPr>
          <w:p w14:paraId="4D2A1533" w14:textId="6501A06A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Молдова</w:t>
            </w:r>
          </w:p>
        </w:tc>
        <w:tc>
          <w:tcPr>
            <w:tcW w:w="1535" w:type="dxa"/>
            <w:hideMark/>
          </w:tcPr>
          <w:p w14:paraId="627C35B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224C448" w14:textId="13D82827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678AD718" w14:textId="1252D50C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 в Молдове</w:t>
            </w:r>
          </w:p>
        </w:tc>
        <w:tc>
          <w:tcPr>
            <w:tcW w:w="850" w:type="dxa"/>
            <w:hideMark/>
          </w:tcPr>
          <w:p w14:paraId="546AA4DC" w14:textId="01F88E0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A437067" w14:textId="6689094D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83BE926" w14:textId="0BD4652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1D6C267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182648</w:t>
            </w:r>
          </w:p>
        </w:tc>
        <w:tc>
          <w:tcPr>
            <w:tcW w:w="1678" w:type="dxa"/>
            <w:hideMark/>
          </w:tcPr>
          <w:p w14:paraId="590C0D3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52000</w:t>
            </w:r>
          </w:p>
        </w:tc>
      </w:tr>
      <w:tr w:rsidR="00CA4DB3" w:rsidRPr="00F91A00" w14:paraId="39679097" w14:textId="77777777" w:rsidTr="00BA5DD6">
        <w:trPr>
          <w:trHeight w:val="284"/>
        </w:trPr>
        <w:tc>
          <w:tcPr>
            <w:tcW w:w="1295" w:type="dxa"/>
            <w:hideMark/>
          </w:tcPr>
          <w:p w14:paraId="02BF7B40" w14:textId="51176990" w:rsidR="006A37B6" w:rsidRPr="00F91A00" w:rsidRDefault="00E555F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Монголия</w:t>
            </w:r>
          </w:p>
        </w:tc>
        <w:tc>
          <w:tcPr>
            <w:tcW w:w="1535" w:type="dxa"/>
            <w:hideMark/>
          </w:tcPr>
          <w:p w14:paraId="06E7FE3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D109E7D" w14:textId="3236C47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19CDA58" w14:textId="1FB77495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национального плана действий в области кустарной и мелкомасштабной золотодобычи</w:t>
            </w:r>
          </w:p>
        </w:tc>
        <w:tc>
          <w:tcPr>
            <w:tcW w:w="850" w:type="dxa"/>
            <w:hideMark/>
          </w:tcPr>
          <w:p w14:paraId="097154B7" w14:textId="7171213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BCBAEE5" w14:textId="7A1BB583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0016CCC" w14:textId="12572CB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1B78D4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39B394F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1CEC8F84" w14:textId="77777777" w:rsidTr="00013619">
        <w:trPr>
          <w:trHeight w:val="300"/>
        </w:trPr>
        <w:tc>
          <w:tcPr>
            <w:tcW w:w="1295" w:type="dxa"/>
            <w:hideMark/>
          </w:tcPr>
          <w:p w14:paraId="5522D329" w14:textId="1B2A952E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Монголия</w:t>
            </w:r>
          </w:p>
        </w:tc>
        <w:tc>
          <w:tcPr>
            <w:tcW w:w="1535" w:type="dxa"/>
            <w:hideMark/>
          </w:tcPr>
          <w:p w14:paraId="340BB1B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FADDA47" w14:textId="140F49D8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B9BA7FE" w14:textId="71F843B9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Расширенная п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ервоначальная оценка в рамках Минаматской конвенции </w:t>
            </w:r>
            <w:r w:rsidRPr="00F91A00">
              <w:rPr>
                <w:sz w:val="18"/>
                <w:szCs w:val="18"/>
                <w:lang w:val="ru-RU"/>
              </w:rPr>
              <w:t>в Монголии</w:t>
            </w:r>
          </w:p>
        </w:tc>
        <w:tc>
          <w:tcPr>
            <w:tcW w:w="850" w:type="dxa"/>
            <w:hideMark/>
          </w:tcPr>
          <w:p w14:paraId="6D8878B6" w14:textId="57AF49D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78BDC39" w14:textId="2990A2A3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B8C4528" w14:textId="630B212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0F45F03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91C476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18600</w:t>
            </w:r>
          </w:p>
        </w:tc>
      </w:tr>
      <w:tr w:rsidR="00CA4DB3" w:rsidRPr="00F91A00" w14:paraId="6AD52F02" w14:textId="77777777" w:rsidTr="00BA5DD6">
        <w:trPr>
          <w:trHeight w:val="284"/>
        </w:trPr>
        <w:tc>
          <w:tcPr>
            <w:tcW w:w="1295" w:type="dxa"/>
            <w:hideMark/>
          </w:tcPr>
          <w:p w14:paraId="3A4A84E8" w14:textId="6CB5E84A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Монголия</w:t>
            </w:r>
          </w:p>
        </w:tc>
        <w:tc>
          <w:tcPr>
            <w:tcW w:w="1535" w:type="dxa"/>
            <w:hideMark/>
          </w:tcPr>
          <w:p w14:paraId="57D99CD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2628E70" w14:textId="2CBBFF6A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29FF5095" w14:textId="2991D081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Сокращение воздействия ртути на здоровье человека и окружающую среду путем содействия рациональному регулированию химических веществ в Монголии</w:t>
            </w:r>
          </w:p>
        </w:tc>
        <w:tc>
          <w:tcPr>
            <w:tcW w:w="850" w:type="dxa"/>
            <w:hideMark/>
          </w:tcPr>
          <w:p w14:paraId="42C31B34" w14:textId="6D35450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51F760C6" w14:textId="434241D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1A485F54" w14:textId="61D69F2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657DD35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600000</w:t>
            </w:r>
          </w:p>
        </w:tc>
        <w:tc>
          <w:tcPr>
            <w:tcW w:w="1678" w:type="dxa"/>
            <w:hideMark/>
          </w:tcPr>
          <w:p w14:paraId="272252F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1569000</w:t>
            </w:r>
          </w:p>
        </w:tc>
      </w:tr>
      <w:tr w:rsidR="00CA4DB3" w:rsidRPr="00F91A00" w14:paraId="1CE8C560" w14:textId="77777777" w:rsidTr="00013619">
        <w:trPr>
          <w:trHeight w:val="300"/>
        </w:trPr>
        <w:tc>
          <w:tcPr>
            <w:tcW w:w="1295" w:type="dxa"/>
            <w:hideMark/>
          </w:tcPr>
          <w:p w14:paraId="0F794DCD" w14:textId="36D2E420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Черногория</w:t>
            </w:r>
          </w:p>
        </w:tc>
        <w:tc>
          <w:tcPr>
            <w:tcW w:w="1535" w:type="dxa"/>
            <w:hideMark/>
          </w:tcPr>
          <w:p w14:paraId="3BAA5E8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1F85B13" w14:textId="5FE41DF5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FCAA411" w14:textId="336413F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C40561" w:rsidRPr="00F91A00">
              <w:rPr>
                <w:sz w:val="18"/>
                <w:szCs w:val="18"/>
                <w:lang w:val="ru-RU"/>
              </w:rPr>
              <w:t>для Черногории</w:t>
            </w:r>
          </w:p>
        </w:tc>
        <w:tc>
          <w:tcPr>
            <w:tcW w:w="850" w:type="dxa"/>
            <w:hideMark/>
          </w:tcPr>
          <w:p w14:paraId="1C051AE9" w14:textId="76E5FBA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AE62481" w14:textId="4D5E25D5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A1323C2" w14:textId="68990FD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0B4F9A7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7E5FB5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</w:t>
            </w:r>
          </w:p>
        </w:tc>
      </w:tr>
      <w:tr w:rsidR="00CA4DB3" w:rsidRPr="00F91A00" w14:paraId="1E023422" w14:textId="77777777" w:rsidTr="00BA5DD6">
        <w:trPr>
          <w:trHeight w:val="284"/>
        </w:trPr>
        <w:tc>
          <w:tcPr>
            <w:tcW w:w="1295" w:type="dxa"/>
            <w:hideMark/>
          </w:tcPr>
          <w:p w14:paraId="28E8BC42" w14:textId="15138ACE" w:rsidR="006A37B6" w:rsidRPr="00F91A00" w:rsidRDefault="00C40561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Марокко</w:t>
            </w:r>
          </w:p>
        </w:tc>
        <w:tc>
          <w:tcPr>
            <w:tcW w:w="1535" w:type="dxa"/>
            <w:hideMark/>
          </w:tcPr>
          <w:p w14:paraId="038AF54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04F0CC09" w14:textId="2FDE307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4D038EF" w14:textId="1470D4E8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Укрепление процесса принятия решений на национальном уровне в целях ратификации Минаматской конвенции и 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6324DD1F" w14:textId="6B499A2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843E63A" w14:textId="79F57DF8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7FE3EB20" w14:textId="275A3A2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65C0235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171865B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0DCCDC79" w14:textId="77777777" w:rsidTr="00BA5DD6">
        <w:trPr>
          <w:trHeight w:val="284"/>
        </w:trPr>
        <w:tc>
          <w:tcPr>
            <w:tcW w:w="1295" w:type="dxa"/>
            <w:hideMark/>
          </w:tcPr>
          <w:p w14:paraId="5596C75B" w14:textId="537C4B6D" w:rsidR="006A37B6" w:rsidRPr="00F91A00" w:rsidRDefault="00C40561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Мозамбик</w:t>
            </w:r>
          </w:p>
        </w:tc>
        <w:tc>
          <w:tcPr>
            <w:tcW w:w="1535" w:type="dxa"/>
            <w:hideMark/>
          </w:tcPr>
          <w:p w14:paraId="146AC11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E7DFFFE" w14:textId="59EE9D4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2D2AA69" w14:textId="72E8A368" w:rsidR="006A37B6" w:rsidRPr="00F91A00" w:rsidRDefault="00C40561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 Мозамбика</w:t>
            </w:r>
          </w:p>
        </w:tc>
        <w:tc>
          <w:tcPr>
            <w:tcW w:w="850" w:type="dxa"/>
            <w:hideMark/>
          </w:tcPr>
          <w:p w14:paraId="06E050A5" w14:textId="2465C0B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6827CE4" w14:textId="3213EB15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6FE2473" w14:textId="0D04195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4EC91FA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14D0154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84000</w:t>
            </w:r>
          </w:p>
        </w:tc>
      </w:tr>
      <w:tr w:rsidR="00CA4DB3" w:rsidRPr="00F91A00" w14:paraId="405D9D4B" w14:textId="77777777" w:rsidTr="00BA5DD6">
        <w:trPr>
          <w:trHeight w:val="284"/>
        </w:trPr>
        <w:tc>
          <w:tcPr>
            <w:tcW w:w="1295" w:type="dxa"/>
            <w:hideMark/>
          </w:tcPr>
          <w:p w14:paraId="0732D0B9" w14:textId="7DC3EFA4" w:rsidR="006A37B6" w:rsidRPr="00F91A00" w:rsidRDefault="00C40561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Мьянма</w:t>
            </w:r>
          </w:p>
        </w:tc>
        <w:tc>
          <w:tcPr>
            <w:tcW w:w="1535" w:type="dxa"/>
            <w:hideMark/>
          </w:tcPr>
          <w:p w14:paraId="437DF69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26AC1B8" w14:textId="412E530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496A421" w14:textId="132CF947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C40561" w:rsidRPr="00F91A00">
              <w:rPr>
                <w:sz w:val="18"/>
                <w:szCs w:val="18"/>
                <w:lang w:val="ru-RU"/>
              </w:rPr>
              <w:t>и национального плана действий в области кустарной и мелкомасштабной золотодобычи в Мьянме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02238299" w14:textId="7EACE17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755DDAF" w14:textId="2933270E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4263B99" w14:textId="316CC46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9C92FD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663CAA4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531C3F5" w14:textId="77777777" w:rsidTr="00013619">
        <w:trPr>
          <w:trHeight w:val="300"/>
        </w:trPr>
        <w:tc>
          <w:tcPr>
            <w:tcW w:w="1295" w:type="dxa"/>
            <w:hideMark/>
          </w:tcPr>
          <w:p w14:paraId="626819DD" w14:textId="0F42F2C6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Непал</w:t>
            </w:r>
          </w:p>
        </w:tc>
        <w:tc>
          <w:tcPr>
            <w:tcW w:w="1535" w:type="dxa"/>
            <w:hideMark/>
          </w:tcPr>
          <w:p w14:paraId="4EB5286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6DBA73A" w14:textId="2A6E07D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3AB0B34" w14:textId="0FC9C4D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D112C9" w:rsidRPr="00F91A00">
              <w:rPr>
                <w:sz w:val="18"/>
                <w:szCs w:val="18"/>
                <w:lang w:val="ru-RU"/>
              </w:rPr>
              <w:t>в Непале</w:t>
            </w:r>
          </w:p>
        </w:tc>
        <w:tc>
          <w:tcPr>
            <w:tcW w:w="850" w:type="dxa"/>
            <w:hideMark/>
          </w:tcPr>
          <w:p w14:paraId="53D98708" w14:textId="1EBA99A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B1E2023" w14:textId="5A2EE4EB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DC3BD93" w14:textId="5BC89C9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494C889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1821010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108600</w:t>
            </w:r>
          </w:p>
        </w:tc>
      </w:tr>
      <w:tr w:rsidR="00CA4DB3" w:rsidRPr="00F91A00" w14:paraId="552E9292" w14:textId="77777777" w:rsidTr="00BA5DD6">
        <w:trPr>
          <w:trHeight w:val="284"/>
        </w:trPr>
        <w:tc>
          <w:tcPr>
            <w:tcW w:w="1295" w:type="dxa"/>
            <w:hideMark/>
          </w:tcPr>
          <w:p w14:paraId="21377A5A" w14:textId="04818548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Нигерия</w:t>
            </w:r>
          </w:p>
        </w:tc>
        <w:tc>
          <w:tcPr>
            <w:tcW w:w="1535" w:type="dxa"/>
            <w:hideMark/>
          </w:tcPr>
          <w:p w14:paraId="685D9B3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A17B876" w14:textId="5410FF3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B0C64E7" w14:textId="64DD6F88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 Нигерии</w:t>
            </w:r>
          </w:p>
        </w:tc>
        <w:tc>
          <w:tcPr>
            <w:tcW w:w="850" w:type="dxa"/>
            <w:hideMark/>
          </w:tcPr>
          <w:p w14:paraId="1587CA30" w14:textId="1C83A87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56445DE" w14:textId="2B1B8D6A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2D9127E" w14:textId="22B3DA8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1CA7322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553B0B5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373000</w:t>
            </w:r>
          </w:p>
        </w:tc>
      </w:tr>
      <w:tr w:rsidR="00CA4DB3" w:rsidRPr="00F91A00" w14:paraId="4EBF6E0B" w14:textId="77777777" w:rsidTr="00BA5DD6">
        <w:trPr>
          <w:trHeight w:val="284"/>
        </w:trPr>
        <w:tc>
          <w:tcPr>
            <w:tcW w:w="1295" w:type="dxa"/>
            <w:hideMark/>
          </w:tcPr>
          <w:p w14:paraId="76B9CAF2" w14:textId="5F5EB455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lastRenderedPageBreak/>
              <w:t>Нигерия</w:t>
            </w:r>
          </w:p>
        </w:tc>
        <w:tc>
          <w:tcPr>
            <w:tcW w:w="1535" w:type="dxa"/>
            <w:hideMark/>
          </w:tcPr>
          <w:p w14:paraId="50AB92E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130BFC0" w14:textId="5B0CEA55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26391C4B" w14:textId="16678494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 в Федеративной Республике Нигерия</w:t>
            </w:r>
          </w:p>
        </w:tc>
        <w:tc>
          <w:tcPr>
            <w:tcW w:w="850" w:type="dxa"/>
            <w:hideMark/>
          </w:tcPr>
          <w:p w14:paraId="77FF202A" w14:textId="0C550B2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181F0EF" w14:textId="19869C04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104B619" w14:textId="2893586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6CCABC8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38AFE3B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182000</w:t>
            </w:r>
          </w:p>
        </w:tc>
      </w:tr>
      <w:tr w:rsidR="00CA4DB3" w:rsidRPr="00F91A00" w14:paraId="76E2F19E" w14:textId="77777777" w:rsidTr="00BA5DD6">
        <w:trPr>
          <w:trHeight w:val="284"/>
        </w:trPr>
        <w:tc>
          <w:tcPr>
            <w:tcW w:w="1295" w:type="dxa"/>
            <w:hideMark/>
          </w:tcPr>
          <w:p w14:paraId="20ED8D4A" w14:textId="73B19AB4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Ниуэ</w:t>
            </w:r>
          </w:p>
        </w:tc>
        <w:tc>
          <w:tcPr>
            <w:tcW w:w="1535" w:type="dxa"/>
            <w:hideMark/>
          </w:tcPr>
          <w:p w14:paraId="54521BE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D0687AC" w14:textId="5C1C16D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E8FC83F" w14:textId="64658A7A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D112C9" w:rsidRPr="00F91A00">
              <w:rPr>
                <w:sz w:val="18"/>
                <w:szCs w:val="18"/>
                <w:lang w:val="ru-RU"/>
              </w:rPr>
              <w:t>в Ниуэ</w:t>
            </w:r>
          </w:p>
        </w:tc>
        <w:tc>
          <w:tcPr>
            <w:tcW w:w="850" w:type="dxa"/>
            <w:hideMark/>
          </w:tcPr>
          <w:p w14:paraId="5D01EEFA" w14:textId="6A8938E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E39E1B6" w14:textId="3CA48088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7D94C460" w14:textId="0252305B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F3E9F1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125000</w:t>
            </w:r>
          </w:p>
        </w:tc>
        <w:tc>
          <w:tcPr>
            <w:tcW w:w="1678" w:type="dxa"/>
            <w:hideMark/>
          </w:tcPr>
          <w:p w14:paraId="306A3E4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6CB5A98A" w14:textId="77777777" w:rsidTr="00013619">
        <w:trPr>
          <w:trHeight w:val="300"/>
        </w:trPr>
        <w:tc>
          <w:tcPr>
            <w:tcW w:w="1295" w:type="dxa"/>
            <w:hideMark/>
          </w:tcPr>
          <w:p w14:paraId="7B5C2877" w14:textId="69FAEDB6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Панама</w:t>
            </w:r>
          </w:p>
        </w:tc>
        <w:tc>
          <w:tcPr>
            <w:tcW w:w="1535" w:type="dxa"/>
            <w:hideMark/>
          </w:tcPr>
          <w:p w14:paraId="198956F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4DB0831" w14:textId="0DE3C01E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1D6294D" w14:textId="30696D4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D112C9" w:rsidRPr="00F91A00">
              <w:rPr>
                <w:sz w:val="18"/>
                <w:szCs w:val="18"/>
                <w:lang w:val="ru-RU"/>
              </w:rPr>
              <w:t>для Панамы</w:t>
            </w:r>
          </w:p>
        </w:tc>
        <w:tc>
          <w:tcPr>
            <w:tcW w:w="850" w:type="dxa"/>
            <w:hideMark/>
          </w:tcPr>
          <w:p w14:paraId="2FFB3F39" w14:textId="73164F0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4B535CA" w14:textId="754E0926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6DD562E" w14:textId="6B8C1D1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34400DB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185AC14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3B0B4019" w14:textId="77777777" w:rsidTr="00BA5DD6">
        <w:trPr>
          <w:trHeight w:val="284"/>
        </w:trPr>
        <w:tc>
          <w:tcPr>
            <w:tcW w:w="1295" w:type="dxa"/>
            <w:hideMark/>
          </w:tcPr>
          <w:p w14:paraId="103610CA" w14:textId="764DE388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Папуа</w:t>
            </w:r>
            <w:r w:rsidR="00970A4F">
              <w:rPr>
                <w:sz w:val="18"/>
                <w:szCs w:val="18"/>
              </w:rPr>
              <w:t>-</w:t>
            </w:r>
            <w:r w:rsidRPr="00F91A00">
              <w:rPr>
                <w:sz w:val="18"/>
                <w:szCs w:val="18"/>
                <w:lang w:val="ru-RU"/>
              </w:rPr>
              <w:t>Новая Гвинея</w:t>
            </w:r>
          </w:p>
        </w:tc>
        <w:tc>
          <w:tcPr>
            <w:tcW w:w="1535" w:type="dxa"/>
            <w:hideMark/>
          </w:tcPr>
          <w:p w14:paraId="052EE06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26308FC" w14:textId="4DC1F73B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C5C8F46" w14:textId="53B82FE2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в </w:t>
            </w:r>
            <w:r w:rsidR="00D112C9" w:rsidRPr="00F91A00">
              <w:rPr>
                <w:sz w:val="18"/>
                <w:szCs w:val="18"/>
                <w:lang w:val="ru-RU"/>
              </w:rPr>
              <w:t>Папуа</w:t>
            </w:r>
            <w:r w:rsidR="00970A4F">
              <w:rPr>
                <w:sz w:val="18"/>
                <w:szCs w:val="18"/>
              </w:rPr>
              <w:t>-</w:t>
            </w:r>
            <w:r w:rsidR="00D112C9" w:rsidRPr="00F91A00">
              <w:rPr>
                <w:sz w:val="18"/>
                <w:szCs w:val="18"/>
                <w:lang w:val="ru-RU"/>
              </w:rPr>
              <w:t>Новая Гвинея</w:t>
            </w:r>
          </w:p>
        </w:tc>
        <w:tc>
          <w:tcPr>
            <w:tcW w:w="850" w:type="dxa"/>
            <w:hideMark/>
          </w:tcPr>
          <w:p w14:paraId="65F167A3" w14:textId="6FB44C2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921D80A" w14:textId="2536792A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269F331" w14:textId="29BC667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5A3668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300000</w:t>
            </w:r>
          </w:p>
        </w:tc>
        <w:tc>
          <w:tcPr>
            <w:tcW w:w="1678" w:type="dxa"/>
            <w:hideMark/>
          </w:tcPr>
          <w:p w14:paraId="78A05C8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12CC6217" w14:textId="77777777" w:rsidTr="00BA5DD6">
        <w:trPr>
          <w:trHeight w:val="284"/>
        </w:trPr>
        <w:tc>
          <w:tcPr>
            <w:tcW w:w="1295" w:type="dxa"/>
            <w:hideMark/>
          </w:tcPr>
          <w:p w14:paraId="39A6E5CF" w14:textId="673BB58B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Парагвай</w:t>
            </w:r>
          </w:p>
        </w:tc>
        <w:tc>
          <w:tcPr>
            <w:tcW w:w="1535" w:type="dxa"/>
            <w:hideMark/>
          </w:tcPr>
          <w:p w14:paraId="52CB112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35E3F5D" w14:textId="35D2F4DC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1B1BB15" w14:textId="4599FE7B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национального плана действий в области кустарной и мелкомасштабной золотодобычи в Парагвае</w:t>
            </w:r>
          </w:p>
        </w:tc>
        <w:tc>
          <w:tcPr>
            <w:tcW w:w="850" w:type="dxa"/>
            <w:hideMark/>
          </w:tcPr>
          <w:p w14:paraId="7A630ED5" w14:textId="36D94F2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53D0B66" w14:textId="79086307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1EB1202" w14:textId="12876BE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21EBB4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300389D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76B53863" w14:textId="77777777" w:rsidTr="00BA5DD6">
        <w:trPr>
          <w:trHeight w:val="284"/>
        </w:trPr>
        <w:tc>
          <w:tcPr>
            <w:tcW w:w="1295" w:type="dxa"/>
            <w:hideMark/>
          </w:tcPr>
          <w:p w14:paraId="45DBC36E" w14:textId="78C4E7B9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Перу</w:t>
            </w:r>
          </w:p>
        </w:tc>
        <w:tc>
          <w:tcPr>
            <w:tcW w:w="1535" w:type="dxa"/>
            <w:hideMark/>
          </w:tcPr>
          <w:p w14:paraId="1AE519D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21D46DD" w14:textId="51CBEBD8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8346C7F" w14:textId="721E9A9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по ртути в секторе кустарной и мелкомасштабной золотодобычи</w:t>
            </w:r>
            <w:r w:rsidR="00D112C9" w:rsidRPr="00F91A00">
              <w:rPr>
                <w:sz w:val="18"/>
                <w:szCs w:val="18"/>
                <w:lang w:val="ru-RU"/>
              </w:rPr>
              <w:t xml:space="preserve"> </w:t>
            </w:r>
            <w:r w:rsidR="00BD3B06" w:rsidRPr="00F91A00">
              <w:rPr>
                <w:sz w:val="18"/>
                <w:szCs w:val="18"/>
                <w:lang w:val="ru-RU"/>
              </w:rPr>
              <w:t>Перу</w:t>
            </w:r>
          </w:p>
        </w:tc>
        <w:tc>
          <w:tcPr>
            <w:tcW w:w="850" w:type="dxa"/>
            <w:hideMark/>
          </w:tcPr>
          <w:p w14:paraId="2E33004E" w14:textId="0B8E1971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59F84B4" w14:textId="17239151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3B2DB77" w14:textId="5FF86C2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7F9A114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5495178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217000</w:t>
            </w:r>
          </w:p>
        </w:tc>
      </w:tr>
      <w:tr w:rsidR="00CA4DB3" w:rsidRPr="00F91A00" w14:paraId="4480E490" w14:textId="77777777" w:rsidTr="00BA5DD6">
        <w:trPr>
          <w:trHeight w:val="284"/>
        </w:trPr>
        <w:tc>
          <w:tcPr>
            <w:tcW w:w="1295" w:type="dxa"/>
            <w:hideMark/>
          </w:tcPr>
          <w:p w14:paraId="214128B3" w14:textId="5B8A43D6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Филиппины</w:t>
            </w:r>
          </w:p>
        </w:tc>
        <w:tc>
          <w:tcPr>
            <w:tcW w:w="1535" w:type="dxa"/>
            <w:hideMark/>
          </w:tcPr>
          <w:p w14:paraId="5BC322E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81E195B" w14:textId="4A8A8DB8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65BFAF6B" w14:textId="772EDEDF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Улучшение состояния здоровья и окружающей среды общин, занимающихся кустарной золотодобычей на Филиппинах, за счет сокращения выбросов ртути</w:t>
            </w:r>
          </w:p>
        </w:tc>
        <w:tc>
          <w:tcPr>
            <w:tcW w:w="850" w:type="dxa"/>
            <w:hideMark/>
          </w:tcPr>
          <w:p w14:paraId="05B98347" w14:textId="7DB53F2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38EDE162" w14:textId="406B95A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18EC34FC" w14:textId="2DA81CD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38B96CD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550000</w:t>
            </w:r>
          </w:p>
        </w:tc>
        <w:tc>
          <w:tcPr>
            <w:tcW w:w="1678" w:type="dxa"/>
            <w:hideMark/>
          </w:tcPr>
          <w:p w14:paraId="3C91E81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1081070</w:t>
            </w:r>
          </w:p>
        </w:tc>
      </w:tr>
      <w:tr w:rsidR="00CA4DB3" w:rsidRPr="00F91A00" w14:paraId="4649E327" w14:textId="77777777" w:rsidTr="00BA5DD6">
        <w:trPr>
          <w:trHeight w:val="284"/>
        </w:trPr>
        <w:tc>
          <w:tcPr>
            <w:tcW w:w="1295" w:type="dxa"/>
            <w:hideMark/>
          </w:tcPr>
          <w:p w14:paraId="1FCD42FA" w14:textId="312231FA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208F426B" w14:textId="064A3714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Ангола, Малави, Зимбабве</w:t>
            </w:r>
          </w:p>
        </w:tc>
        <w:tc>
          <w:tcPr>
            <w:tcW w:w="1134" w:type="dxa"/>
            <w:hideMark/>
          </w:tcPr>
          <w:p w14:paraId="32F3D54B" w14:textId="7A58D7EB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F4A7097" w14:textId="64DC9184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D112C9" w:rsidRPr="00F91A00">
              <w:rPr>
                <w:sz w:val="18"/>
                <w:szCs w:val="18"/>
                <w:lang w:val="ru-RU"/>
              </w:rPr>
              <w:t>в Африке</w:t>
            </w:r>
          </w:p>
        </w:tc>
        <w:tc>
          <w:tcPr>
            <w:tcW w:w="850" w:type="dxa"/>
            <w:hideMark/>
          </w:tcPr>
          <w:p w14:paraId="75CE4298" w14:textId="62BDF6B1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4DDB716" w14:textId="3D6051AD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8C56FD4" w14:textId="6C14D28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95FF1A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547945</w:t>
            </w:r>
          </w:p>
        </w:tc>
        <w:tc>
          <w:tcPr>
            <w:tcW w:w="1678" w:type="dxa"/>
            <w:hideMark/>
          </w:tcPr>
          <w:p w14:paraId="50C5909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505000</w:t>
            </w:r>
          </w:p>
        </w:tc>
      </w:tr>
      <w:tr w:rsidR="00CA4DB3" w:rsidRPr="00F91A00" w14:paraId="0857C1D6" w14:textId="77777777" w:rsidTr="00013619">
        <w:trPr>
          <w:trHeight w:val="284"/>
        </w:trPr>
        <w:tc>
          <w:tcPr>
            <w:tcW w:w="1295" w:type="dxa"/>
            <w:hideMark/>
          </w:tcPr>
          <w:p w14:paraId="1B9C1C46" w14:textId="492E870B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4EF55962" w14:textId="613329C8" w:rsidR="006A37B6" w:rsidRPr="00F91A00" w:rsidRDefault="004C40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Антигуа и Барбуда, Доминика, Гренада, Сент</w:t>
            </w:r>
            <w:r w:rsidR="00E555F7">
              <w:rPr>
                <w:sz w:val="18"/>
                <w:szCs w:val="18"/>
                <w:lang w:val="ru-RU"/>
              </w:rPr>
              <w:noBreakHyphen/>
            </w:r>
            <w:r w:rsidRPr="00F91A00">
              <w:rPr>
                <w:sz w:val="18"/>
                <w:szCs w:val="18"/>
                <w:lang w:val="ru-RU"/>
              </w:rPr>
              <w:t>Винсент и Гренадины</w:t>
            </w:r>
          </w:p>
        </w:tc>
        <w:tc>
          <w:tcPr>
            <w:tcW w:w="1134" w:type="dxa"/>
            <w:hideMark/>
          </w:tcPr>
          <w:p w14:paraId="3572E808" w14:textId="332A24B4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43C562C" w14:textId="58E6E944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4C40EB" w:rsidRPr="00F91A00">
              <w:rPr>
                <w:sz w:val="18"/>
                <w:szCs w:val="18"/>
                <w:lang w:val="ru-RU"/>
              </w:rPr>
              <w:t>в Карибском бассейне (Антигуа и Барбуда, Доминика, Гренада, Сент-Винсент и Гренадины)</w:t>
            </w:r>
          </w:p>
        </w:tc>
        <w:tc>
          <w:tcPr>
            <w:tcW w:w="850" w:type="dxa"/>
            <w:hideMark/>
          </w:tcPr>
          <w:p w14:paraId="69C29299" w14:textId="24BCAAB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87EF5C2" w14:textId="72CED279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9A70F2E" w14:textId="5B70BC5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8FE53A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600000</w:t>
            </w:r>
          </w:p>
        </w:tc>
        <w:tc>
          <w:tcPr>
            <w:tcW w:w="1678" w:type="dxa"/>
            <w:hideMark/>
          </w:tcPr>
          <w:p w14:paraId="5FDBA50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44934C67" w14:textId="77777777" w:rsidTr="00013619">
        <w:trPr>
          <w:trHeight w:val="900"/>
        </w:trPr>
        <w:tc>
          <w:tcPr>
            <w:tcW w:w="1295" w:type="dxa"/>
            <w:hideMark/>
          </w:tcPr>
          <w:p w14:paraId="29B3E79D" w14:textId="43E3DF72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75C946B3" w14:textId="0660498A" w:rsidR="006A37B6" w:rsidRPr="00F91A00" w:rsidRDefault="004C40E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Ботсвана, Лесото, Намибия, Свазиленд</w:t>
            </w:r>
          </w:p>
        </w:tc>
        <w:tc>
          <w:tcPr>
            <w:tcW w:w="1134" w:type="dxa"/>
            <w:hideMark/>
          </w:tcPr>
          <w:p w14:paraId="45AA4AF8" w14:textId="036D57EF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10AF55F" w14:textId="2A521F45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</w:t>
            </w:r>
          </w:p>
        </w:tc>
        <w:tc>
          <w:tcPr>
            <w:tcW w:w="850" w:type="dxa"/>
            <w:hideMark/>
          </w:tcPr>
          <w:p w14:paraId="0C73F8DC" w14:textId="562750C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81EBE00" w14:textId="14D31590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E6BFB0A" w14:textId="7B96E4D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7F8A7DD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800000</w:t>
            </w:r>
          </w:p>
        </w:tc>
        <w:tc>
          <w:tcPr>
            <w:tcW w:w="1678" w:type="dxa"/>
            <w:hideMark/>
          </w:tcPr>
          <w:p w14:paraId="7F0A2DF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61000</w:t>
            </w:r>
          </w:p>
        </w:tc>
      </w:tr>
      <w:tr w:rsidR="00CA4DB3" w:rsidRPr="00F91A00" w14:paraId="3E2C4508" w14:textId="77777777" w:rsidTr="00BA5DD6">
        <w:trPr>
          <w:trHeight w:val="284"/>
        </w:trPr>
        <w:tc>
          <w:tcPr>
            <w:tcW w:w="1295" w:type="dxa"/>
            <w:hideMark/>
          </w:tcPr>
          <w:p w14:paraId="61E6F13E" w14:textId="0D541F77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73C1D1F4" w14:textId="45A67B1C" w:rsidR="006A37B6" w:rsidRPr="00F91A00" w:rsidRDefault="001C57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Буркина-Фасо, Бенин, Нигер, Того</w:t>
            </w:r>
          </w:p>
        </w:tc>
        <w:tc>
          <w:tcPr>
            <w:tcW w:w="1134" w:type="dxa"/>
            <w:hideMark/>
          </w:tcPr>
          <w:p w14:paraId="6DA07633" w14:textId="00EEEF7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FE36668" w14:textId="7CA65FA3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1C573A" w:rsidRPr="00F91A00">
              <w:rPr>
                <w:sz w:val="18"/>
                <w:szCs w:val="18"/>
                <w:lang w:val="ru-RU"/>
              </w:rPr>
              <w:t>во франкоязычных странах Африки II</w:t>
            </w:r>
          </w:p>
        </w:tc>
        <w:tc>
          <w:tcPr>
            <w:tcW w:w="850" w:type="dxa"/>
            <w:hideMark/>
          </w:tcPr>
          <w:p w14:paraId="11DC8292" w14:textId="24E970F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389C5E6" w14:textId="6965338B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779DE7F" w14:textId="7F343E7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49599517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800000</w:t>
            </w:r>
          </w:p>
        </w:tc>
        <w:tc>
          <w:tcPr>
            <w:tcW w:w="1678" w:type="dxa"/>
            <w:hideMark/>
          </w:tcPr>
          <w:p w14:paraId="0CB95CD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134400</w:t>
            </w:r>
          </w:p>
        </w:tc>
      </w:tr>
      <w:tr w:rsidR="00CA4DB3" w:rsidRPr="00F91A00" w14:paraId="41BA3291" w14:textId="77777777" w:rsidTr="00BA5DD6">
        <w:trPr>
          <w:trHeight w:val="284"/>
        </w:trPr>
        <w:tc>
          <w:tcPr>
            <w:tcW w:w="1295" w:type="dxa"/>
            <w:hideMark/>
          </w:tcPr>
          <w:p w14:paraId="436106F8" w14:textId="45197B64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7C55215F" w14:textId="55EA8988" w:rsidR="006A37B6" w:rsidRPr="00F91A00" w:rsidRDefault="001C57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Бурунди, Центрально</w:t>
            </w:r>
            <w:r w:rsidR="007B1222">
              <w:rPr>
                <w:sz w:val="18"/>
                <w:szCs w:val="18"/>
              </w:rPr>
              <w:t>-</w:t>
            </w:r>
            <w:r w:rsidRPr="00F91A00">
              <w:rPr>
                <w:sz w:val="18"/>
                <w:szCs w:val="18"/>
                <w:lang w:val="ru-RU"/>
              </w:rPr>
              <w:t>африканская Республика, Конго, Кот</w:t>
            </w:r>
            <w:r w:rsidR="00E555F7">
              <w:rPr>
                <w:sz w:val="18"/>
                <w:szCs w:val="18"/>
                <w:lang w:val="ru-RU"/>
              </w:rPr>
              <w:noBreakHyphen/>
            </w:r>
            <w:r w:rsidRPr="00F91A00">
              <w:rPr>
                <w:sz w:val="18"/>
                <w:szCs w:val="18"/>
                <w:lang w:val="ru-RU"/>
              </w:rPr>
              <w:t>д'Ивуар, Габон</w:t>
            </w:r>
          </w:p>
        </w:tc>
        <w:tc>
          <w:tcPr>
            <w:tcW w:w="1134" w:type="dxa"/>
            <w:hideMark/>
          </w:tcPr>
          <w:p w14:paraId="68EE2C13" w14:textId="6A7745BE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41DCAC4" w14:textId="22053277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первоначальной оценки в рамках Минаматской конвенции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  <w:r w:rsidR="001C573A" w:rsidRPr="00F91A00">
              <w:rPr>
                <w:sz w:val="18"/>
                <w:szCs w:val="18"/>
                <w:lang w:val="ru-RU"/>
              </w:rPr>
              <w:t>в Африке</w:t>
            </w:r>
          </w:p>
        </w:tc>
        <w:tc>
          <w:tcPr>
            <w:tcW w:w="850" w:type="dxa"/>
            <w:hideMark/>
          </w:tcPr>
          <w:p w14:paraId="55F89054" w14:textId="73DC9BC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BC5B92A" w14:textId="7CBB850D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B5D4126" w14:textId="2667848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33990DD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11B401E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60000</w:t>
            </w:r>
          </w:p>
        </w:tc>
      </w:tr>
      <w:tr w:rsidR="00CA4DB3" w:rsidRPr="00F91A00" w14:paraId="6F1F0018" w14:textId="77777777" w:rsidTr="00BA5DD6">
        <w:trPr>
          <w:trHeight w:val="284"/>
        </w:trPr>
        <w:tc>
          <w:tcPr>
            <w:tcW w:w="1295" w:type="dxa"/>
            <w:hideMark/>
          </w:tcPr>
          <w:p w14:paraId="1F32C63C" w14:textId="6561891A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lastRenderedPageBreak/>
              <w:t>На региональном уровне</w:t>
            </w:r>
          </w:p>
        </w:tc>
        <w:tc>
          <w:tcPr>
            <w:tcW w:w="1535" w:type="dxa"/>
            <w:hideMark/>
          </w:tcPr>
          <w:p w14:paraId="79EBB24D" w14:textId="21AB10A8" w:rsidR="006A37B6" w:rsidRPr="00F91A00" w:rsidRDefault="001C57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Бурунди, Центрально</w:t>
            </w:r>
            <w:r w:rsidR="007B1222">
              <w:rPr>
                <w:sz w:val="18"/>
                <w:szCs w:val="18"/>
              </w:rPr>
              <w:t>-</w:t>
            </w:r>
            <w:r w:rsidRPr="00F91A00">
              <w:rPr>
                <w:sz w:val="18"/>
                <w:szCs w:val="18"/>
                <w:lang w:val="ru-RU"/>
              </w:rPr>
              <w:t>африканская Республика, Конго, Кения, Свазиленд, Уганда, Замбия, Зимбабве</w:t>
            </w:r>
          </w:p>
        </w:tc>
        <w:tc>
          <w:tcPr>
            <w:tcW w:w="1134" w:type="dxa"/>
            <w:hideMark/>
          </w:tcPr>
          <w:p w14:paraId="62243140" w14:textId="40EC4DAA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1825911" w14:textId="08959250" w:rsidR="006A37B6" w:rsidRPr="00F91A00" w:rsidRDefault="001C57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Региональный проект по разработке национальных планов действий в области кустарной и мелкомасштабной золотодобычи в Африке</w:t>
            </w:r>
          </w:p>
        </w:tc>
        <w:tc>
          <w:tcPr>
            <w:tcW w:w="850" w:type="dxa"/>
            <w:hideMark/>
          </w:tcPr>
          <w:p w14:paraId="209F9B79" w14:textId="7011EB3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61C3093" w14:textId="446C5C08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280330C" w14:textId="5720498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2B331D5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4000000</w:t>
            </w:r>
          </w:p>
        </w:tc>
        <w:tc>
          <w:tcPr>
            <w:tcW w:w="1678" w:type="dxa"/>
            <w:hideMark/>
          </w:tcPr>
          <w:p w14:paraId="62F86A9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</w:t>
            </w:r>
          </w:p>
        </w:tc>
      </w:tr>
      <w:tr w:rsidR="00CA4DB3" w:rsidRPr="00F91A00" w14:paraId="2B6F650A" w14:textId="77777777" w:rsidTr="00BA5DD6">
        <w:trPr>
          <w:trHeight w:val="284"/>
        </w:trPr>
        <w:tc>
          <w:tcPr>
            <w:tcW w:w="1295" w:type="dxa"/>
            <w:hideMark/>
          </w:tcPr>
          <w:p w14:paraId="13538A9D" w14:textId="4D1D9D16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06F9601C" w14:textId="02960B1F" w:rsidR="006A37B6" w:rsidRPr="00F91A00" w:rsidRDefault="001C57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Кабо-Верде, Сан-Томе и Принсипи</w:t>
            </w:r>
          </w:p>
        </w:tc>
        <w:tc>
          <w:tcPr>
            <w:tcW w:w="1134" w:type="dxa"/>
            <w:hideMark/>
          </w:tcPr>
          <w:p w14:paraId="27E8D90E" w14:textId="0C13809E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ADBC17C" w14:textId="6AA0736E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1C573A" w:rsidRPr="00F91A00">
              <w:rPr>
                <w:sz w:val="18"/>
                <w:szCs w:val="18"/>
                <w:lang w:val="ru-RU"/>
              </w:rPr>
              <w:t>в Кабо-Верде, Сан-Томе и Принсипи</w:t>
            </w:r>
          </w:p>
        </w:tc>
        <w:tc>
          <w:tcPr>
            <w:tcW w:w="850" w:type="dxa"/>
            <w:hideMark/>
          </w:tcPr>
          <w:p w14:paraId="4B9A6BE4" w14:textId="27255F1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E29EC5B" w14:textId="6339DB7A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95D59CB" w14:textId="42C9BD3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7D4A889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400000</w:t>
            </w:r>
          </w:p>
        </w:tc>
        <w:tc>
          <w:tcPr>
            <w:tcW w:w="1678" w:type="dxa"/>
            <w:hideMark/>
          </w:tcPr>
          <w:p w14:paraId="2F675D3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187200</w:t>
            </w:r>
          </w:p>
        </w:tc>
      </w:tr>
      <w:tr w:rsidR="00CA4DB3" w:rsidRPr="00F91A00" w14:paraId="4E5325BF" w14:textId="77777777" w:rsidTr="00013619">
        <w:trPr>
          <w:trHeight w:val="900"/>
        </w:trPr>
        <w:tc>
          <w:tcPr>
            <w:tcW w:w="1295" w:type="dxa"/>
            <w:hideMark/>
          </w:tcPr>
          <w:p w14:paraId="6B83FF9B" w14:textId="6E83E5C3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41F1C862" w14:textId="1D6A6BCE" w:rsidR="006A37B6" w:rsidRPr="00F91A00" w:rsidRDefault="001C573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Острова Кука, Кирибати, Палау, Тонга, Вануату</w:t>
            </w:r>
          </w:p>
        </w:tc>
        <w:tc>
          <w:tcPr>
            <w:tcW w:w="1134" w:type="dxa"/>
            <w:hideMark/>
          </w:tcPr>
          <w:p w14:paraId="73A120CE" w14:textId="3DA5CC5C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7746A70" w14:textId="51975DEB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1C573A" w:rsidRPr="00F91A00">
              <w:rPr>
                <w:sz w:val="18"/>
                <w:szCs w:val="18"/>
                <w:lang w:val="ru-RU"/>
              </w:rPr>
              <w:t>в Тихоокеанском регионе</w:t>
            </w:r>
          </w:p>
        </w:tc>
        <w:tc>
          <w:tcPr>
            <w:tcW w:w="850" w:type="dxa"/>
            <w:hideMark/>
          </w:tcPr>
          <w:p w14:paraId="1823F7DF" w14:textId="18E099D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6E8EDCB" w14:textId="1C9DB4A0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0F75F09" w14:textId="3EF79AA1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D05B16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6E7309F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</w:t>
            </w:r>
          </w:p>
        </w:tc>
      </w:tr>
      <w:tr w:rsidR="00CA4DB3" w:rsidRPr="00F91A00" w14:paraId="2D87D2F0" w14:textId="77777777" w:rsidTr="00013619">
        <w:trPr>
          <w:trHeight w:val="600"/>
        </w:trPr>
        <w:tc>
          <w:tcPr>
            <w:tcW w:w="1295" w:type="dxa"/>
            <w:hideMark/>
          </w:tcPr>
          <w:p w14:paraId="66DBED85" w14:textId="40E54ED8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1E33FF0E" w14:textId="32A2EE3C" w:rsidR="006A37B6" w:rsidRPr="00F91A00" w:rsidRDefault="009526CC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Гвинея, Мали, Сенегал</w:t>
            </w:r>
          </w:p>
        </w:tc>
        <w:tc>
          <w:tcPr>
            <w:tcW w:w="1134" w:type="dxa"/>
            <w:hideMark/>
          </w:tcPr>
          <w:p w14:paraId="4BCC799A" w14:textId="69271160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E61E7A7" w14:textId="2A673B2D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9526CC" w:rsidRPr="00F91A00">
              <w:rPr>
                <w:sz w:val="18"/>
                <w:szCs w:val="18"/>
                <w:lang w:val="ru-RU"/>
              </w:rPr>
              <w:t>во франкоязычных странах Африки I</w:t>
            </w:r>
          </w:p>
        </w:tc>
        <w:tc>
          <w:tcPr>
            <w:tcW w:w="850" w:type="dxa"/>
            <w:hideMark/>
          </w:tcPr>
          <w:p w14:paraId="0D00E24A" w14:textId="1305BC3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5F5E4A8" w14:textId="1AD27302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7551EE93" w14:textId="14DB542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633A6CD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600000</w:t>
            </w:r>
          </w:p>
        </w:tc>
        <w:tc>
          <w:tcPr>
            <w:tcW w:w="1678" w:type="dxa"/>
            <w:hideMark/>
          </w:tcPr>
          <w:p w14:paraId="536D920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175800</w:t>
            </w:r>
          </w:p>
        </w:tc>
      </w:tr>
      <w:tr w:rsidR="00CA4DB3" w:rsidRPr="00F91A00" w14:paraId="2B4F55FA" w14:textId="77777777" w:rsidTr="00013619">
        <w:trPr>
          <w:trHeight w:val="600"/>
        </w:trPr>
        <w:tc>
          <w:tcPr>
            <w:tcW w:w="1295" w:type="dxa"/>
            <w:hideMark/>
          </w:tcPr>
          <w:p w14:paraId="4EB40419" w14:textId="744EC70A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6B0E14C9" w14:textId="6F183905" w:rsidR="006A37B6" w:rsidRPr="00F91A00" w:rsidRDefault="009526CC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Гвинея, Нигер</w:t>
            </w:r>
          </w:p>
        </w:tc>
        <w:tc>
          <w:tcPr>
            <w:tcW w:w="1134" w:type="dxa"/>
            <w:hideMark/>
          </w:tcPr>
          <w:p w14:paraId="16405DD4" w14:textId="1692D31E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E5C5CC4" w14:textId="6466493A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национального плана действий в области кустарной и мелкомасштабной золотодобычи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  <w:r w:rsidR="009526CC" w:rsidRPr="00F91A00">
              <w:rPr>
                <w:sz w:val="18"/>
                <w:szCs w:val="18"/>
                <w:lang w:val="ru-RU"/>
              </w:rPr>
              <w:t>в Гвинее и Нигере</w:t>
            </w:r>
          </w:p>
        </w:tc>
        <w:tc>
          <w:tcPr>
            <w:tcW w:w="850" w:type="dxa"/>
            <w:hideMark/>
          </w:tcPr>
          <w:p w14:paraId="785FA15E" w14:textId="0E95B65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7BE8F02" w14:textId="19B9F301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480FCF2" w14:textId="16EF2D8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37492C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3A2EAA7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5D80141E" w14:textId="77777777" w:rsidTr="00BA5DD6">
        <w:trPr>
          <w:trHeight w:val="284"/>
        </w:trPr>
        <w:tc>
          <w:tcPr>
            <w:tcW w:w="1295" w:type="dxa"/>
            <w:hideMark/>
          </w:tcPr>
          <w:p w14:paraId="1DA2261F" w14:textId="63E427A8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709D45FB" w14:textId="58890FDA" w:rsidR="006A37B6" w:rsidRPr="00F91A00" w:rsidRDefault="005944C4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Ямайка, Сент-Китс и Невис, Сент-Люсия, Тринидад и Тобаго</w:t>
            </w:r>
          </w:p>
        </w:tc>
        <w:tc>
          <w:tcPr>
            <w:tcW w:w="1134" w:type="dxa"/>
            <w:hideMark/>
          </w:tcPr>
          <w:p w14:paraId="5C929C67" w14:textId="0DAC1D52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F86FCBF" w14:textId="443CA22E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5944C4" w:rsidRPr="00F91A00">
              <w:rPr>
                <w:sz w:val="18"/>
                <w:szCs w:val="18"/>
                <w:lang w:val="ru-RU"/>
              </w:rPr>
              <w:t xml:space="preserve">в Карибском бассейне </w:t>
            </w:r>
            <w:r w:rsidR="006A37B6" w:rsidRPr="00F91A00">
              <w:rPr>
                <w:sz w:val="18"/>
                <w:szCs w:val="18"/>
                <w:lang w:val="ru-RU"/>
              </w:rPr>
              <w:t>(</w:t>
            </w:r>
            <w:r w:rsidR="005944C4" w:rsidRPr="00F91A00">
              <w:rPr>
                <w:sz w:val="18"/>
                <w:szCs w:val="18"/>
                <w:lang w:val="ru-RU"/>
              </w:rPr>
              <w:t>Тринидад и Тобаго, Ямайка, Сент-Китс и Невис, Сент-Люсия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) </w:t>
            </w:r>
          </w:p>
        </w:tc>
        <w:tc>
          <w:tcPr>
            <w:tcW w:w="850" w:type="dxa"/>
            <w:hideMark/>
          </w:tcPr>
          <w:p w14:paraId="789B29B6" w14:textId="782B181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39C34E8" w14:textId="1EED8FDC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AA6A9FB" w14:textId="5E57EAA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76D3EC3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600000</w:t>
            </w:r>
          </w:p>
        </w:tc>
        <w:tc>
          <w:tcPr>
            <w:tcW w:w="1678" w:type="dxa"/>
            <w:hideMark/>
          </w:tcPr>
          <w:p w14:paraId="3B1987E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215C9253" w14:textId="77777777" w:rsidTr="00013619">
        <w:trPr>
          <w:trHeight w:val="600"/>
        </w:trPr>
        <w:tc>
          <w:tcPr>
            <w:tcW w:w="1295" w:type="dxa"/>
            <w:hideMark/>
          </w:tcPr>
          <w:p w14:paraId="1590A342" w14:textId="13711727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68D3E514" w14:textId="09A9B104" w:rsidR="006A37B6" w:rsidRPr="00F91A00" w:rsidRDefault="005944C4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Мали, Сенегал</w:t>
            </w:r>
          </w:p>
        </w:tc>
        <w:tc>
          <w:tcPr>
            <w:tcW w:w="1134" w:type="dxa"/>
            <w:hideMark/>
          </w:tcPr>
          <w:p w14:paraId="240822C2" w14:textId="1AB49FD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72A34EE" w14:textId="7E40A4DE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национального плана действий в области кустарной и мелкомасштабной золотодобычи </w:t>
            </w:r>
            <w:r w:rsidR="005944C4" w:rsidRPr="00F91A00">
              <w:rPr>
                <w:sz w:val="18"/>
                <w:szCs w:val="18"/>
                <w:lang w:val="ru-RU"/>
              </w:rPr>
              <w:t>в Мали, Сенегале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593D811A" w14:textId="4CA4C23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278E98D7" w14:textId="1E641E46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48A3424" w14:textId="18109D8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4FF203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2A83E7B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5B3A9E8A" w14:textId="77777777" w:rsidTr="00013619">
        <w:trPr>
          <w:trHeight w:val="900"/>
        </w:trPr>
        <w:tc>
          <w:tcPr>
            <w:tcW w:w="1295" w:type="dxa"/>
            <w:hideMark/>
          </w:tcPr>
          <w:p w14:paraId="77663AE3" w14:textId="38A7F7EF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27EE1445" w14:textId="41D2F2EA" w:rsidR="006A37B6" w:rsidRPr="00F91A00" w:rsidRDefault="002A752E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Гана, Кения, Сенегал, Танзания, Замбия</w:t>
            </w:r>
          </w:p>
        </w:tc>
        <w:tc>
          <w:tcPr>
            <w:tcW w:w="1134" w:type="dxa"/>
            <w:hideMark/>
          </w:tcPr>
          <w:p w14:paraId="738C7401" w14:textId="01EA14E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E4B3B81" w14:textId="1AC6E3D3" w:rsidR="006A37B6" w:rsidRPr="00F91A00" w:rsidRDefault="005A0C2A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УЗОСЗ</w:t>
            </w:r>
            <w:proofErr w:type="spellEnd"/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  <w:r w:rsidR="00BD2A19" w:rsidRPr="00F91A00">
              <w:rPr>
                <w:sz w:val="18"/>
                <w:szCs w:val="18"/>
                <w:lang w:val="ru-RU"/>
              </w:rPr>
              <w:t>–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  <w:r w:rsidR="002A752E" w:rsidRPr="00F91A00">
              <w:rPr>
                <w:sz w:val="18"/>
                <w:szCs w:val="18"/>
                <w:lang w:val="ru-RU"/>
              </w:rPr>
              <w:t>Программа управления здоровьем окружающей среды и загрязнением в Африке</w:t>
            </w:r>
          </w:p>
        </w:tc>
        <w:tc>
          <w:tcPr>
            <w:tcW w:w="850" w:type="dxa"/>
            <w:hideMark/>
          </w:tcPr>
          <w:p w14:paraId="5736A87E" w14:textId="092AB31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6EAC183" w14:textId="2734A5FD" w:rsidR="006A37B6" w:rsidRPr="00F91A00" w:rsidRDefault="00A26CE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ПРД</w:t>
            </w:r>
            <w:proofErr w:type="spellEnd"/>
          </w:p>
        </w:tc>
        <w:tc>
          <w:tcPr>
            <w:tcW w:w="1276" w:type="dxa"/>
            <w:hideMark/>
          </w:tcPr>
          <w:p w14:paraId="570EB354" w14:textId="4123BF77" w:rsidR="006A37B6" w:rsidRPr="00F91A00" w:rsidRDefault="00B02651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Всемирный банк</w:t>
            </w:r>
          </w:p>
        </w:tc>
        <w:tc>
          <w:tcPr>
            <w:tcW w:w="1123" w:type="dxa"/>
            <w:hideMark/>
          </w:tcPr>
          <w:p w14:paraId="6A02773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13486239</w:t>
            </w:r>
          </w:p>
        </w:tc>
        <w:tc>
          <w:tcPr>
            <w:tcW w:w="1678" w:type="dxa"/>
            <w:hideMark/>
          </w:tcPr>
          <w:p w14:paraId="7BA3EFF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98600000</w:t>
            </w:r>
          </w:p>
        </w:tc>
      </w:tr>
      <w:tr w:rsidR="00CA4DB3" w:rsidRPr="00F91A00" w14:paraId="4D9AAE8C" w14:textId="77777777" w:rsidTr="00BA5DD6">
        <w:trPr>
          <w:trHeight w:val="284"/>
        </w:trPr>
        <w:tc>
          <w:tcPr>
            <w:tcW w:w="1295" w:type="dxa"/>
            <w:hideMark/>
          </w:tcPr>
          <w:p w14:paraId="72E1080B" w14:textId="2FF46E07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3DFE8E20" w14:textId="30B89B29" w:rsidR="006A37B6" w:rsidRPr="00F91A00" w:rsidRDefault="006E7BB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Буркина-Фасо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Бенин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, </w:t>
            </w:r>
            <w:r w:rsidR="00CD612F" w:rsidRPr="00F91A00">
              <w:rPr>
                <w:sz w:val="18"/>
                <w:szCs w:val="18"/>
                <w:lang w:val="ru-RU"/>
              </w:rPr>
              <w:t>Мали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, </w:t>
            </w:r>
            <w:r w:rsidR="00CD612F" w:rsidRPr="00F91A00">
              <w:rPr>
                <w:sz w:val="18"/>
                <w:szCs w:val="18"/>
                <w:lang w:val="ru-RU"/>
              </w:rPr>
              <w:t>Нигер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, </w:t>
            </w:r>
            <w:r w:rsidR="00CD612F" w:rsidRPr="00F91A00">
              <w:rPr>
                <w:sz w:val="18"/>
                <w:szCs w:val="18"/>
                <w:lang w:val="ru-RU"/>
              </w:rPr>
              <w:t>Сенегал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Того</w:t>
            </w:r>
          </w:p>
        </w:tc>
        <w:tc>
          <w:tcPr>
            <w:tcW w:w="1134" w:type="dxa"/>
            <w:hideMark/>
          </w:tcPr>
          <w:p w14:paraId="699F2C7A" w14:textId="1375067F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A7A2FC5" w14:textId="7D1EFF21" w:rsidR="006A37B6" w:rsidRPr="00F91A00" w:rsidRDefault="00D716A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Ответственные инвестиции и наращивание потенциала для поддержки устойчивого управления отходами в целях сокращения непреднамеренных выбросов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НСОЗ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) и ртути в Западной Африке</w:t>
            </w:r>
          </w:p>
        </w:tc>
        <w:tc>
          <w:tcPr>
            <w:tcW w:w="850" w:type="dxa"/>
            <w:hideMark/>
          </w:tcPr>
          <w:p w14:paraId="5C875E2C" w14:textId="20ECD73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034B45F" w14:textId="0B86F23C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10F87A0E" w14:textId="53078ED5" w:rsidR="006A37B6" w:rsidRPr="00F91A00" w:rsidRDefault="00002EA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БОАД</w:t>
            </w:r>
            <w:proofErr w:type="spellEnd"/>
          </w:p>
        </w:tc>
        <w:tc>
          <w:tcPr>
            <w:tcW w:w="1123" w:type="dxa"/>
            <w:hideMark/>
          </w:tcPr>
          <w:p w14:paraId="276F20E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5331334</w:t>
            </w:r>
          </w:p>
        </w:tc>
        <w:tc>
          <w:tcPr>
            <w:tcW w:w="1678" w:type="dxa"/>
            <w:hideMark/>
          </w:tcPr>
          <w:p w14:paraId="6D4D67F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77000000</w:t>
            </w:r>
          </w:p>
        </w:tc>
      </w:tr>
      <w:tr w:rsidR="00CA4DB3" w:rsidRPr="00F91A00" w14:paraId="581B6A03" w14:textId="77777777" w:rsidTr="00BA5DD6">
        <w:trPr>
          <w:trHeight w:val="284"/>
        </w:trPr>
        <w:tc>
          <w:tcPr>
            <w:tcW w:w="1295" w:type="dxa"/>
            <w:hideMark/>
          </w:tcPr>
          <w:p w14:paraId="42270AB3" w14:textId="2CEDE99D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6ED246B2" w14:textId="66B1663A" w:rsidR="006A37B6" w:rsidRPr="00F91A00" w:rsidRDefault="00891E4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Камбоджа, Филиппины, Пакистан</w:t>
            </w:r>
          </w:p>
        </w:tc>
        <w:tc>
          <w:tcPr>
            <w:tcW w:w="1134" w:type="dxa"/>
            <w:hideMark/>
          </w:tcPr>
          <w:p w14:paraId="13EF1A6B" w14:textId="63FF739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56D5492C" w14:textId="1CFDFB3F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891E4B" w:rsidRPr="00F91A00">
              <w:rPr>
                <w:sz w:val="18"/>
                <w:szCs w:val="18"/>
                <w:lang w:val="ru-RU"/>
              </w:rPr>
              <w:t>в трех азиатских странах</w:t>
            </w:r>
          </w:p>
        </w:tc>
        <w:tc>
          <w:tcPr>
            <w:tcW w:w="850" w:type="dxa"/>
            <w:hideMark/>
          </w:tcPr>
          <w:p w14:paraId="4F64EFB4" w14:textId="3E37FAF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6E4CBA9C" w14:textId="5A017AFC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09FD3EF" w14:textId="0C7D999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E92229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730594</w:t>
            </w:r>
          </w:p>
        </w:tc>
        <w:tc>
          <w:tcPr>
            <w:tcW w:w="1678" w:type="dxa"/>
            <w:hideMark/>
          </w:tcPr>
          <w:p w14:paraId="274689A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1702084</w:t>
            </w:r>
          </w:p>
        </w:tc>
      </w:tr>
      <w:tr w:rsidR="00CA4DB3" w:rsidRPr="00F91A00" w14:paraId="08D8B164" w14:textId="77777777" w:rsidTr="00013619">
        <w:trPr>
          <w:trHeight w:val="600"/>
        </w:trPr>
        <w:tc>
          <w:tcPr>
            <w:tcW w:w="1295" w:type="dxa"/>
            <w:hideMark/>
          </w:tcPr>
          <w:p w14:paraId="2EBEE496" w14:textId="6678C5DE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lastRenderedPageBreak/>
              <w:t>На региональном уровне</w:t>
            </w:r>
          </w:p>
        </w:tc>
        <w:tc>
          <w:tcPr>
            <w:tcW w:w="1535" w:type="dxa"/>
            <w:hideMark/>
          </w:tcPr>
          <w:p w14:paraId="6C540CC1" w14:textId="09F8C4C4" w:rsidR="006A37B6" w:rsidRPr="00F91A00" w:rsidRDefault="00891E4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Эквадор, Перу</w:t>
            </w:r>
          </w:p>
        </w:tc>
        <w:tc>
          <w:tcPr>
            <w:tcW w:w="1134" w:type="dxa"/>
            <w:hideMark/>
          </w:tcPr>
          <w:p w14:paraId="6F7A4624" w14:textId="05D7F250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40E1C100" w14:textId="6FB8C220" w:rsidR="006A37B6" w:rsidRPr="00F91A00" w:rsidRDefault="00891E4B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Осуществление комплексных мер по минимизации высвобождения ртути в результате кустарной добычи золота</w:t>
            </w:r>
          </w:p>
        </w:tc>
        <w:tc>
          <w:tcPr>
            <w:tcW w:w="850" w:type="dxa"/>
            <w:hideMark/>
          </w:tcPr>
          <w:p w14:paraId="2FB5E276" w14:textId="1BCBE99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6FBD8AF4" w14:textId="48779598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5588946C" w14:textId="30E7179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73B2CEB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999900</w:t>
            </w:r>
          </w:p>
        </w:tc>
        <w:tc>
          <w:tcPr>
            <w:tcW w:w="1678" w:type="dxa"/>
            <w:hideMark/>
          </w:tcPr>
          <w:p w14:paraId="2DB160B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2676764</w:t>
            </w:r>
          </w:p>
        </w:tc>
      </w:tr>
      <w:tr w:rsidR="00CA4DB3" w:rsidRPr="00F91A00" w14:paraId="03981005" w14:textId="77777777" w:rsidTr="00BA5DD6">
        <w:trPr>
          <w:trHeight w:val="284"/>
        </w:trPr>
        <w:tc>
          <w:tcPr>
            <w:tcW w:w="1295" w:type="dxa"/>
            <w:hideMark/>
          </w:tcPr>
          <w:p w14:paraId="7C19F96E" w14:textId="5A029D28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0B82E255" w14:textId="311C401E" w:rsidR="006A37B6" w:rsidRPr="00F91A00" w:rsidRDefault="005C3F6D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Гана, Мадагаскар, Танзания</w:t>
            </w:r>
          </w:p>
        </w:tc>
        <w:tc>
          <w:tcPr>
            <w:tcW w:w="1134" w:type="dxa"/>
            <w:hideMark/>
          </w:tcPr>
          <w:p w14:paraId="3731839D" w14:textId="2EB2BA57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0192E260" w14:textId="27086CAB" w:rsidR="006A37B6" w:rsidRPr="00F91A00" w:rsidRDefault="005C3F6D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Сокращение непреднамеренных выбросов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НСОЗ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) и ртути в секторе здравоохранения в Африке</w:t>
            </w:r>
          </w:p>
        </w:tc>
        <w:tc>
          <w:tcPr>
            <w:tcW w:w="850" w:type="dxa"/>
            <w:hideMark/>
          </w:tcPr>
          <w:p w14:paraId="7B032329" w14:textId="597D67B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4268D521" w14:textId="19A37872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КМП</w:t>
            </w:r>
            <w:proofErr w:type="spellEnd"/>
          </w:p>
        </w:tc>
        <w:tc>
          <w:tcPr>
            <w:tcW w:w="1276" w:type="dxa"/>
            <w:hideMark/>
          </w:tcPr>
          <w:p w14:paraId="4AC53452" w14:textId="1434FFC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0A7505C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517902</w:t>
            </w:r>
          </w:p>
        </w:tc>
        <w:tc>
          <w:tcPr>
            <w:tcW w:w="1678" w:type="dxa"/>
            <w:hideMark/>
          </w:tcPr>
          <w:p w14:paraId="466AA06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2000345</w:t>
            </w:r>
          </w:p>
        </w:tc>
      </w:tr>
      <w:tr w:rsidR="00CA4DB3" w:rsidRPr="00F91A00" w14:paraId="1DD66DCC" w14:textId="77777777" w:rsidTr="00013619">
        <w:trPr>
          <w:trHeight w:val="284"/>
        </w:trPr>
        <w:tc>
          <w:tcPr>
            <w:tcW w:w="1295" w:type="dxa"/>
            <w:hideMark/>
          </w:tcPr>
          <w:p w14:paraId="7BAB54AC" w14:textId="30C7FEBA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76DC47E9" w14:textId="0F957B3E" w:rsidR="006A37B6" w:rsidRPr="00F91A00" w:rsidRDefault="005C3F6D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Албания, Босния и Герцеговина, Египет, Ливан, Ливия, Марокко, Черногория, Тунис</w:t>
            </w:r>
          </w:p>
        </w:tc>
        <w:tc>
          <w:tcPr>
            <w:tcW w:w="1134" w:type="dxa"/>
            <w:hideMark/>
          </w:tcPr>
          <w:p w14:paraId="7BBFB88A" w14:textId="2F5062EA" w:rsidR="006A37B6" w:rsidRPr="00F91A00" w:rsidRDefault="00BD0338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МЦП</w:t>
            </w:r>
            <w:proofErr w:type="spellEnd"/>
          </w:p>
        </w:tc>
        <w:tc>
          <w:tcPr>
            <w:tcW w:w="4820" w:type="dxa"/>
            <w:hideMark/>
          </w:tcPr>
          <w:p w14:paraId="051792ED" w14:textId="39EF7902" w:rsidR="006A37B6" w:rsidRPr="00F91A00" w:rsidRDefault="005C3F6D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Программа для Средиземноморья (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Med</w:t>
            </w:r>
            <w:proofErr w:type="spellEnd"/>
            <w:r w:rsidR="003748C9">
              <w:rPr>
                <w:sz w:val="18"/>
                <w:szCs w:val="18"/>
                <w:lang w:val="en-US"/>
              </w:rPr>
              <w:t>P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rogramme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): повышение экологической безопасности</w:t>
            </w:r>
          </w:p>
        </w:tc>
        <w:tc>
          <w:tcPr>
            <w:tcW w:w="850" w:type="dxa"/>
            <w:hideMark/>
          </w:tcPr>
          <w:p w14:paraId="746C4D42" w14:textId="46D31E8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79DCE1E5" w14:textId="7369B586" w:rsidR="006A37B6" w:rsidRPr="00F91A00" w:rsidRDefault="003748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ПРД</w:t>
            </w:r>
            <w:proofErr w:type="spellEnd"/>
          </w:p>
        </w:tc>
        <w:tc>
          <w:tcPr>
            <w:tcW w:w="1276" w:type="dxa"/>
            <w:hideMark/>
          </w:tcPr>
          <w:p w14:paraId="29D31763" w14:textId="53EDB7D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2234FAE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5250000</w:t>
            </w:r>
          </w:p>
        </w:tc>
        <w:tc>
          <w:tcPr>
            <w:tcW w:w="1678" w:type="dxa"/>
            <w:hideMark/>
          </w:tcPr>
          <w:p w14:paraId="658AEDE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20500000</w:t>
            </w:r>
          </w:p>
        </w:tc>
      </w:tr>
      <w:tr w:rsidR="00CA4DB3" w:rsidRPr="00F91A00" w14:paraId="2FF2A793" w14:textId="77777777" w:rsidTr="00013619">
        <w:trPr>
          <w:trHeight w:val="900"/>
        </w:trPr>
        <w:tc>
          <w:tcPr>
            <w:tcW w:w="1295" w:type="dxa"/>
            <w:hideMark/>
          </w:tcPr>
          <w:p w14:paraId="463EF6A3" w14:textId="4BFE7F23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7888A8A6" w14:textId="0F572054" w:rsidR="006A37B6" w:rsidRPr="00F91A00" w:rsidRDefault="005C3F6D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Эфиопия, Гамбия, Танзания, Уганда, Замбия</w:t>
            </w:r>
          </w:p>
        </w:tc>
        <w:tc>
          <w:tcPr>
            <w:tcW w:w="1134" w:type="dxa"/>
            <w:hideMark/>
          </w:tcPr>
          <w:p w14:paraId="2DBAD58D" w14:textId="3965DBCD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739F55C4" w14:textId="633D05BB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2C107E" w:rsidRPr="00F91A00">
              <w:rPr>
                <w:sz w:val="18"/>
                <w:szCs w:val="18"/>
                <w:lang w:val="ru-RU"/>
              </w:rPr>
              <w:t>в Африке</w:t>
            </w:r>
          </w:p>
        </w:tc>
        <w:tc>
          <w:tcPr>
            <w:tcW w:w="850" w:type="dxa"/>
            <w:hideMark/>
          </w:tcPr>
          <w:p w14:paraId="42AA2E59" w14:textId="44510BD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15C0E6C6" w14:textId="13AE26B6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461F6A0" w14:textId="42649E7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D3F108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913242</w:t>
            </w:r>
          </w:p>
        </w:tc>
        <w:tc>
          <w:tcPr>
            <w:tcW w:w="1678" w:type="dxa"/>
            <w:hideMark/>
          </w:tcPr>
          <w:p w14:paraId="576A9C1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1129943</w:t>
            </w:r>
          </w:p>
        </w:tc>
      </w:tr>
      <w:tr w:rsidR="00CA4DB3" w:rsidRPr="00F91A00" w14:paraId="0E02217A" w14:textId="77777777" w:rsidTr="00013619">
        <w:trPr>
          <w:trHeight w:val="284"/>
        </w:trPr>
        <w:tc>
          <w:tcPr>
            <w:tcW w:w="1295" w:type="dxa"/>
            <w:hideMark/>
          </w:tcPr>
          <w:p w14:paraId="0B1372FE" w14:textId="3715D37A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042F43C8" w14:textId="446BACFF" w:rsidR="006A37B6" w:rsidRPr="00F91A00" w:rsidRDefault="00B34F3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Боливия, Чили, Доминиканская Республика, Парагвай</w:t>
            </w:r>
          </w:p>
        </w:tc>
        <w:tc>
          <w:tcPr>
            <w:tcW w:w="1134" w:type="dxa"/>
            <w:hideMark/>
          </w:tcPr>
          <w:p w14:paraId="24480A67" w14:textId="1B0FC26D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7AC3D47A" w14:textId="1BCCB305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B34F36" w:rsidRPr="00F91A00">
              <w:rPr>
                <w:sz w:val="18"/>
                <w:szCs w:val="18"/>
                <w:lang w:val="ru-RU"/>
              </w:rPr>
              <w:t>в странах Латинской Америки и Карибского бассейна</w:t>
            </w:r>
          </w:p>
        </w:tc>
        <w:tc>
          <w:tcPr>
            <w:tcW w:w="850" w:type="dxa"/>
            <w:hideMark/>
          </w:tcPr>
          <w:p w14:paraId="45BB3BF7" w14:textId="47B46AF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3AF83F15" w14:textId="46A28CD0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098E5FD" w14:textId="48F8A8B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4BC012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730594</w:t>
            </w:r>
          </w:p>
        </w:tc>
        <w:tc>
          <w:tcPr>
            <w:tcW w:w="1678" w:type="dxa"/>
            <w:hideMark/>
          </w:tcPr>
          <w:p w14:paraId="1B8665F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935000</w:t>
            </w:r>
          </w:p>
        </w:tc>
      </w:tr>
      <w:tr w:rsidR="00CA4DB3" w:rsidRPr="00F91A00" w14:paraId="338C9CB3" w14:textId="77777777" w:rsidTr="00BA5DD6">
        <w:trPr>
          <w:trHeight w:val="284"/>
        </w:trPr>
        <w:tc>
          <w:tcPr>
            <w:tcW w:w="1295" w:type="dxa"/>
            <w:hideMark/>
          </w:tcPr>
          <w:p w14:paraId="02CB0503" w14:textId="35F36709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418C06B4" w14:textId="65212817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Буркина-Фасо, Мали, Сенегал</w:t>
            </w:r>
          </w:p>
        </w:tc>
        <w:tc>
          <w:tcPr>
            <w:tcW w:w="1134" w:type="dxa"/>
            <w:hideMark/>
          </w:tcPr>
          <w:p w14:paraId="33E9ED3A" w14:textId="6500F0C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303E9FA4" w14:textId="420320B0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Улучшение состояния здоровья и окружающей среды общин, занимающихся кустарной и мелкомасштабной золотодобычей (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КМЗ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), путем сокращения выбросов ртути и поощрения рационального регулирования химических веществ</w:t>
            </w:r>
          </w:p>
        </w:tc>
        <w:tc>
          <w:tcPr>
            <w:tcW w:w="850" w:type="dxa"/>
            <w:hideMark/>
          </w:tcPr>
          <w:p w14:paraId="6D7F1AAF" w14:textId="4F3A8AE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402FB00C" w14:textId="7021439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00819B99" w14:textId="0825712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073AEAE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990000</w:t>
            </w:r>
          </w:p>
        </w:tc>
        <w:tc>
          <w:tcPr>
            <w:tcW w:w="1678" w:type="dxa"/>
            <w:hideMark/>
          </w:tcPr>
          <w:p w14:paraId="7A51EA0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2450000</w:t>
            </w:r>
          </w:p>
        </w:tc>
      </w:tr>
      <w:tr w:rsidR="00CA4DB3" w:rsidRPr="00F91A00" w14:paraId="2F898FEB" w14:textId="77777777" w:rsidTr="00013619">
        <w:trPr>
          <w:trHeight w:val="284"/>
        </w:trPr>
        <w:tc>
          <w:tcPr>
            <w:tcW w:w="1295" w:type="dxa"/>
            <w:hideMark/>
          </w:tcPr>
          <w:p w14:paraId="34644217" w14:textId="3CEE644D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 региональном уровне</w:t>
            </w:r>
          </w:p>
        </w:tc>
        <w:tc>
          <w:tcPr>
            <w:tcW w:w="1535" w:type="dxa"/>
            <w:hideMark/>
          </w:tcPr>
          <w:p w14:paraId="054835A4" w14:textId="7E984669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Аргентина, Эквадор, Никарагуа, Перу, Уругвай</w:t>
            </w:r>
          </w:p>
        </w:tc>
        <w:tc>
          <w:tcPr>
            <w:tcW w:w="1134" w:type="dxa"/>
            <w:hideMark/>
          </w:tcPr>
          <w:p w14:paraId="3E3E7A6B" w14:textId="472A5D55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7DEB2A4B" w14:textId="031C84C6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Разработка подходов к управлению рисками, связанными с ртутью, в Латинской Америке</w:t>
            </w:r>
          </w:p>
        </w:tc>
        <w:tc>
          <w:tcPr>
            <w:tcW w:w="850" w:type="dxa"/>
            <w:hideMark/>
          </w:tcPr>
          <w:p w14:paraId="41C26DC4" w14:textId="6E0C498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5AF9CF0B" w14:textId="3F4B5454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3C88C6D7" w14:textId="307E2B1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66410AE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916000</w:t>
            </w:r>
          </w:p>
        </w:tc>
        <w:tc>
          <w:tcPr>
            <w:tcW w:w="1678" w:type="dxa"/>
            <w:hideMark/>
          </w:tcPr>
          <w:p w14:paraId="684B65B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2894434</w:t>
            </w:r>
          </w:p>
        </w:tc>
      </w:tr>
      <w:tr w:rsidR="00CA4DB3" w:rsidRPr="00F91A00" w14:paraId="46EABF24" w14:textId="77777777" w:rsidTr="00013619">
        <w:trPr>
          <w:trHeight w:val="600"/>
        </w:trPr>
        <w:tc>
          <w:tcPr>
            <w:tcW w:w="1295" w:type="dxa"/>
            <w:hideMark/>
          </w:tcPr>
          <w:p w14:paraId="4B6308EE" w14:textId="685A4214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Российская Федерация</w:t>
            </w:r>
          </w:p>
        </w:tc>
        <w:tc>
          <w:tcPr>
            <w:tcW w:w="1535" w:type="dxa"/>
            <w:hideMark/>
          </w:tcPr>
          <w:p w14:paraId="315A752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64CC862" w14:textId="47EEFB2C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7AB03D6D" w14:textId="65C44A76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Экспериментальный проект по составлению кадастра ртути в Российской Федерации (РФ)</w:t>
            </w:r>
          </w:p>
        </w:tc>
        <w:tc>
          <w:tcPr>
            <w:tcW w:w="850" w:type="dxa"/>
            <w:hideMark/>
          </w:tcPr>
          <w:p w14:paraId="5631791B" w14:textId="7A94171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42FFDA0C" w14:textId="3626ACF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6C5CE502" w14:textId="4340418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2CA781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6C6DAF4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3418969</w:t>
            </w:r>
          </w:p>
        </w:tc>
      </w:tr>
      <w:tr w:rsidR="00CA4DB3" w:rsidRPr="00F91A00" w14:paraId="2F339F05" w14:textId="77777777" w:rsidTr="00013619">
        <w:trPr>
          <w:trHeight w:val="300"/>
        </w:trPr>
        <w:tc>
          <w:tcPr>
            <w:tcW w:w="1295" w:type="dxa"/>
            <w:hideMark/>
          </w:tcPr>
          <w:p w14:paraId="36B39B53" w14:textId="1902A110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Руанда</w:t>
            </w:r>
          </w:p>
        </w:tc>
        <w:tc>
          <w:tcPr>
            <w:tcW w:w="1535" w:type="dxa"/>
            <w:hideMark/>
          </w:tcPr>
          <w:p w14:paraId="235A916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489C701" w14:textId="04C63B6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4A46B59" w14:textId="5E5FF7CD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9F2037" w:rsidRPr="00F91A00">
              <w:rPr>
                <w:sz w:val="18"/>
                <w:szCs w:val="18"/>
                <w:lang w:val="ru-RU"/>
              </w:rPr>
              <w:t>для Руанды</w:t>
            </w:r>
          </w:p>
        </w:tc>
        <w:tc>
          <w:tcPr>
            <w:tcW w:w="850" w:type="dxa"/>
            <w:hideMark/>
          </w:tcPr>
          <w:p w14:paraId="02B70416" w14:textId="0C3A5D1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-7</w:t>
            </w:r>
          </w:p>
        </w:tc>
        <w:tc>
          <w:tcPr>
            <w:tcW w:w="709" w:type="dxa"/>
            <w:hideMark/>
          </w:tcPr>
          <w:p w14:paraId="42246FCC" w14:textId="43E09BD4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AE1BA9C" w14:textId="0033186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10C0A07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48D85B4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18400</w:t>
            </w:r>
          </w:p>
        </w:tc>
      </w:tr>
      <w:tr w:rsidR="00CA4DB3" w:rsidRPr="00F91A00" w14:paraId="0AF636AF" w14:textId="77777777" w:rsidTr="00013619">
        <w:trPr>
          <w:trHeight w:val="600"/>
        </w:trPr>
        <w:tc>
          <w:tcPr>
            <w:tcW w:w="1295" w:type="dxa"/>
            <w:hideMark/>
          </w:tcPr>
          <w:p w14:paraId="6A685AEE" w14:textId="6009689F" w:rsidR="006A37B6" w:rsidRPr="00F91A00" w:rsidRDefault="009F2037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Руанда</w:t>
            </w:r>
          </w:p>
        </w:tc>
        <w:tc>
          <w:tcPr>
            <w:tcW w:w="1535" w:type="dxa"/>
            <w:hideMark/>
          </w:tcPr>
          <w:p w14:paraId="40754DA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F31D14B" w14:textId="1AC6F892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5371637" w14:textId="3869A12B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Национальный план действий по ртути в секторе кустарной и мелкомасштабной золотодобычи </w:t>
            </w:r>
            <w:r w:rsidR="009F2037" w:rsidRPr="00F91A00">
              <w:rPr>
                <w:sz w:val="18"/>
                <w:szCs w:val="18"/>
                <w:lang w:val="ru-RU"/>
              </w:rPr>
              <w:t>в Руанде</w:t>
            </w:r>
          </w:p>
        </w:tc>
        <w:tc>
          <w:tcPr>
            <w:tcW w:w="850" w:type="dxa"/>
            <w:hideMark/>
          </w:tcPr>
          <w:p w14:paraId="0D5C3272" w14:textId="4D34136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-7</w:t>
            </w:r>
          </w:p>
        </w:tc>
        <w:tc>
          <w:tcPr>
            <w:tcW w:w="709" w:type="dxa"/>
            <w:hideMark/>
          </w:tcPr>
          <w:p w14:paraId="2507F98F" w14:textId="5E3AC9BC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DFDBAFE" w14:textId="647B37B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49FB662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4C8AFC1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58500</w:t>
            </w:r>
          </w:p>
        </w:tc>
      </w:tr>
      <w:tr w:rsidR="00CA4DB3" w:rsidRPr="00F91A00" w14:paraId="4E7E651C" w14:textId="77777777" w:rsidTr="00013619">
        <w:trPr>
          <w:trHeight w:val="300"/>
        </w:trPr>
        <w:tc>
          <w:tcPr>
            <w:tcW w:w="1295" w:type="dxa"/>
            <w:hideMark/>
          </w:tcPr>
          <w:p w14:paraId="229C84C2" w14:textId="5F66989D" w:rsidR="006A37B6" w:rsidRPr="00F91A00" w:rsidRDefault="002B4C6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Сербия</w:t>
            </w:r>
          </w:p>
        </w:tc>
        <w:tc>
          <w:tcPr>
            <w:tcW w:w="1535" w:type="dxa"/>
            <w:hideMark/>
          </w:tcPr>
          <w:p w14:paraId="699DCE4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65FE9443" w14:textId="105A233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728AC9D2" w14:textId="4C2E6C14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</w:t>
            </w:r>
          </w:p>
        </w:tc>
        <w:tc>
          <w:tcPr>
            <w:tcW w:w="850" w:type="dxa"/>
            <w:hideMark/>
          </w:tcPr>
          <w:p w14:paraId="516D6451" w14:textId="5348478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CAE47F9" w14:textId="6D04C5DF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750BFF69" w14:textId="003B3B5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685244F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372CD89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97220</w:t>
            </w:r>
          </w:p>
        </w:tc>
      </w:tr>
      <w:tr w:rsidR="00CA4DB3" w:rsidRPr="00F91A00" w14:paraId="46A2B439" w14:textId="77777777" w:rsidTr="00013619">
        <w:trPr>
          <w:trHeight w:val="284"/>
        </w:trPr>
        <w:tc>
          <w:tcPr>
            <w:tcW w:w="1295" w:type="dxa"/>
            <w:hideMark/>
          </w:tcPr>
          <w:p w14:paraId="61F9C2DB" w14:textId="65310FAF" w:rsidR="006A37B6" w:rsidRPr="00F91A00" w:rsidRDefault="002B4C6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Сейшельские Острова</w:t>
            </w:r>
          </w:p>
        </w:tc>
        <w:tc>
          <w:tcPr>
            <w:tcW w:w="1535" w:type="dxa"/>
            <w:hideMark/>
          </w:tcPr>
          <w:p w14:paraId="45B523A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1266EB3" w14:textId="6B27E941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A71B479" w14:textId="041A10EB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Укрепление процесса принятия решений на национальном уровне в целях ратификации Минаматской конвенции и </w:t>
            </w:r>
            <w:r w:rsidRPr="00F91A00">
              <w:rPr>
                <w:sz w:val="18"/>
                <w:szCs w:val="18"/>
                <w:lang w:val="ru-RU"/>
              </w:rPr>
              <w:lastRenderedPageBreak/>
              <w:t>создание потенциала для осуществления будущих положений Конвенции</w:t>
            </w:r>
          </w:p>
        </w:tc>
        <w:tc>
          <w:tcPr>
            <w:tcW w:w="850" w:type="dxa"/>
            <w:hideMark/>
          </w:tcPr>
          <w:p w14:paraId="072571EF" w14:textId="7BAB1CF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lastRenderedPageBreak/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4290877C" w14:textId="752C5C85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3DAA7996" w14:textId="1980DF1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50074BA7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199100</w:t>
            </w:r>
          </w:p>
        </w:tc>
        <w:tc>
          <w:tcPr>
            <w:tcW w:w="1678" w:type="dxa"/>
            <w:hideMark/>
          </w:tcPr>
          <w:p w14:paraId="42EE2F8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25000</w:t>
            </w:r>
          </w:p>
        </w:tc>
      </w:tr>
      <w:tr w:rsidR="00CA4DB3" w:rsidRPr="00F91A00" w14:paraId="2579BDF2" w14:textId="77777777" w:rsidTr="00013619">
        <w:trPr>
          <w:trHeight w:val="900"/>
        </w:trPr>
        <w:tc>
          <w:tcPr>
            <w:tcW w:w="1295" w:type="dxa"/>
            <w:hideMark/>
          </w:tcPr>
          <w:p w14:paraId="6AE8C88B" w14:textId="777BDF58" w:rsidR="006A37B6" w:rsidRPr="00F91A00" w:rsidRDefault="002B4C6F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Сьерра-Леоне</w:t>
            </w:r>
          </w:p>
        </w:tc>
        <w:tc>
          <w:tcPr>
            <w:tcW w:w="1535" w:type="dxa"/>
            <w:hideMark/>
          </w:tcPr>
          <w:p w14:paraId="7F627487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F1D5EF1" w14:textId="41E64889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24D04627" w14:textId="737D7DE9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1054D0" w:rsidRPr="00F91A00">
              <w:rPr>
                <w:sz w:val="18"/>
                <w:szCs w:val="18"/>
                <w:lang w:val="ru-RU"/>
              </w:rPr>
              <w:t>и национального плана действий в области кустарной и мелкомасштабной золотодобычи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  <w:r w:rsidR="002B4C6F" w:rsidRPr="00F91A00">
              <w:rPr>
                <w:sz w:val="18"/>
                <w:szCs w:val="18"/>
                <w:lang w:val="ru-RU"/>
              </w:rPr>
              <w:t>в Сьерра</w:t>
            </w:r>
            <w:r w:rsidR="00013619">
              <w:rPr>
                <w:sz w:val="18"/>
                <w:szCs w:val="18"/>
                <w:lang w:val="ru-RU"/>
              </w:rPr>
              <w:noBreakHyphen/>
            </w:r>
            <w:r w:rsidR="002B4C6F" w:rsidRPr="00F91A00">
              <w:rPr>
                <w:sz w:val="18"/>
                <w:szCs w:val="18"/>
                <w:lang w:val="ru-RU"/>
              </w:rPr>
              <w:t>Леоне</w:t>
            </w:r>
          </w:p>
        </w:tc>
        <w:tc>
          <w:tcPr>
            <w:tcW w:w="850" w:type="dxa"/>
            <w:hideMark/>
          </w:tcPr>
          <w:p w14:paraId="652010B8" w14:textId="12F0555B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A2E58C9" w14:textId="3A79911A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7F10C6BF" w14:textId="7D1BDC0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41A5824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05839F0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156D13B4" w14:textId="77777777" w:rsidTr="00013619">
        <w:trPr>
          <w:trHeight w:val="600"/>
        </w:trPr>
        <w:tc>
          <w:tcPr>
            <w:tcW w:w="1295" w:type="dxa"/>
            <w:hideMark/>
          </w:tcPr>
          <w:p w14:paraId="4A78A8EE" w14:textId="6AFDF7A1" w:rsidR="006A37B6" w:rsidRPr="00F91A00" w:rsidRDefault="001054D0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Южная Африка</w:t>
            </w:r>
          </w:p>
        </w:tc>
        <w:tc>
          <w:tcPr>
            <w:tcW w:w="1535" w:type="dxa"/>
            <w:hideMark/>
          </w:tcPr>
          <w:p w14:paraId="11F59F4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6EB76EE" w14:textId="64C06A69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23E34AB" w14:textId="71FABBA5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первоначальной оценки в рамках Минаматской конвенции </w:t>
            </w:r>
            <w:r w:rsidR="001054D0" w:rsidRPr="00F91A00">
              <w:rPr>
                <w:sz w:val="18"/>
                <w:szCs w:val="18"/>
                <w:lang w:val="ru-RU"/>
              </w:rPr>
              <w:t>в Южной Африке</w:t>
            </w:r>
          </w:p>
        </w:tc>
        <w:tc>
          <w:tcPr>
            <w:tcW w:w="850" w:type="dxa"/>
            <w:hideMark/>
          </w:tcPr>
          <w:p w14:paraId="07776468" w14:textId="14DED4F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A53ACEC" w14:textId="44BF216D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71D839F" w14:textId="68625E6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524F32D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  <w:tc>
          <w:tcPr>
            <w:tcW w:w="1678" w:type="dxa"/>
            <w:hideMark/>
          </w:tcPr>
          <w:p w14:paraId="435E5844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1039E542" w14:textId="77777777" w:rsidTr="00013619">
        <w:trPr>
          <w:trHeight w:val="300"/>
        </w:trPr>
        <w:tc>
          <w:tcPr>
            <w:tcW w:w="1295" w:type="dxa"/>
            <w:hideMark/>
          </w:tcPr>
          <w:p w14:paraId="1499A28E" w14:textId="2D70F9B9" w:rsidR="006A37B6" w:rsidRPr="00F91A00" w:rsidRDefault="001054D0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Шри-Ланка</w:t>
            </w:r>
          </w:p>
        </w:tc>
        <w:tc>
          <w:tcPr>
            <w:tcW w:w="1535" w:type="dxa"/>
            <w:hideMark/>
          </w:tcPr>
          <w:p w14:paraId="64FDE3F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B1F9EBF" w14:textId="73721FEC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719F6AF" w14:textId="3E9DC9DE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1054D0" w:rsidRPr="00F91A00">
              <w:rPr>
                <w:sz w:val="18"/>
                <w:szCs w:val="18"/>
                <w:lang w:val="ru-RU"/>
              </w:rPr>
              <w:t>в Шри-Ланке</w:t>
            </w:r>
          </w:p>
        </w:tc>
        <w:tc>
          <w:tcPr>
            <w:tcW w:w="850" w:type="dxa"/>
            <w:hideMark/>
          </w:tcPr>
          <w:p w14:paraId="0A193D44" w14:textId="6B6E187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5501B32" w14:textId="7C3F8BF4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6D2FF732" w14:textId="6924586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642B358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68B2036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38600</w:t>
            </w:r>
          </w:p>
        </w:tc>
      </w:tr>
      <w:tr w:rsidR="00CA4DB3" w:rsidRPr="00F91A00" w14:paraId="1CC08DE3" w14:textId="77777777" w:rsidTr="00013619">
        <w:trPr>
          <w:trHeight w:val="600"/>
        </w:trPr>
        <w:tc>
          <w:tcPr>
            <w:tcW w:w="1295" w:type="dxa"/>
            <w:hideMark/>
          </w:tcPr>
          <w:p w14:paraId="181CD019" w14:textId="55D0319B" w:rsidR="006A37B6" w:rsidRPr="00F91A00" w:rsidRDefault="00EF157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Судан</w:t>
            </w:r>
          </w:p>
        </w:tc>
        <w:tc>
          <w:tcPr>
            <w:tcW w:w="1535" w:type="dxa"/>
            <w:hideMark/>
          </w:tcPr>
          <w:p w14:paraId="24680EA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4705C4CD" w14:textId="2CE90D2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435BBA8C" w14:textId="25E8EB3F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Первоначальная оценка в рамках Минаматской конвенции</w:t>
            </w:r>
            <w:r w:rsidR="006A37B6" w:rsidRPr="00F91A00">
              <w:rPr>
                <w:sz w:val="18"/>
                <w:szCs w:val="18"/>
                <w:lang w:val="ru-RU"/>
              </w:rPr>
              <w:t xml:space="preserve"> </w:t>
            </w:r>
            <w:r w:rsidR="00EF1573" w:rsidRPr="00F91A00">
              <w:rPr>
                <w:sz w:val="18"/>
                <w:szCs w:val="18"/>
                <w:lang w:val="ru-RU"/>
              </w:rPr>
              <w:t>в Республике Судан</w:t>
            </w:r>
          </w:p>
        </w:tc>
        <w:tc>
          <w:tcPr>
            <w:tcW w:w="850" w:type="dxa"/>
            <w:hideMark/>
          </w:tcPr>
          <w:p w14:paraId="3110710A" w14:textId="0C57EF4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ECD60DA" w14:textId="03AA27E0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8096B55" w14:textId="3FE2CF4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6C67511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529E44C1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118600</w:t>
            </w:r>
          </w:p>
        </w:tc>
      </w:tr>
      <w:tr w:rsidR="00CA4DB3" w:rsidRPr="00F91A00" w14:paraId="6B92678C" w14:textId="77777777" w:rsidTr="00013619">
        <w:trPr>
          <w:trHeight w:val="300"/>
        </w:trPr>
        <w:tc>
          <w:tcPr>
            <w:tcW w:w="1295" w:type="dxa"/>
            <w:hideMark/>
          </w:tcPr>
          <w:p w14:paraId="220FF4EA" w14:textId="3B501039" w:rsidR="006A37B6" w:rsidRPr="00F91A00" w:rsidRDefault="00EF157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Суринам</w:t>
            </w:r>
          </w:p>
        </w:tc>
        <w:tc>
          <w:tcPr>
            <w:tcW w:w="1535" w:type="dxa"/>
            <w:hideMark/>
          </w:tcPr>
          <w:p w14:paraId="5933785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69D934E" w14:textId="31C87147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628D30F" w14:textId="770A905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EF1573" w:rsidRPr="00F91A00">
              <w:rPr>
                <w:sz w:val="18"/>
                <w:szCs w:val="18"/>
                <w:lang w:val="ru-RU"/>
              </w:rPr>
              <w:t>для Суринама</w:t>
            </w:r>
            <w:r w:rsidRPr="00F91A0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67359102" w14:textId="693598B6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0D08DA2A" w14:textId="71AE6D68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7A627F8" w14:textId="57F7312B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2C581D1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4B61374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086E2BE8" w14:textId="77777777" w:rsidTr="00013619">
        <w:trPr>
          <w:trHeight w:val="600"/>
        </w:trPr>
        <w:tc>
          <w:tcPr>
            <w:tcW w:w="1295" w:type="dxa"/>
            <w:hideMark/>
          </w:tcPr>
          <w:p w14:paraId="6A9B4E02" w14:textId="5C735D12" w:rsidR="006A37B6" w:rsidRPr="00F91A00" w:rsidRDefault="00EF157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Суринам</w:t>
            </w:r>
          </w:p>
        </w:tc>
        <w:tc>
          <w:tcPr>
            <w:tcW w:w="1535" w:type="dxa"/>
            <w:hideMark/>
          </w:tcPr>
          <w:p w14:paraId="630C8F2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73DC7846" w14:textId="4BA82CF6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6BFEFC9B" w14:textId="21767468" w:rsidR="006A37B6" w:rsidRPr="00F91A00" w:rsidRDefault="00EF157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Национальный план действий в области кустарной и мелкомасштабной золотодобычи для Суринама</w:t>
            </w:r>
          </w:p>
        </w:tc>
        <w:tc>
          <w:tcPr>
            <w:tcW w:w="850" w:type="dxa"/>
            <w:hideMark/>
          </w:tcPr>
          <w:p w14:paraId="302DA4CB" w14:textId="04BEC03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217DB88" w14:textId="0DD1AEB7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484DDDCD" w14:textId="6C5A45FD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6E42E2C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1703D0C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0 </w:t>
            </w:r>
          </w:p>
        </w:tc>
      </w:tr>
      <w:tr w:rsidR="00CA4DB3" w:rsidRPr="00F91A00" w14:paraId="058DCE97" w14:textId="77777777" w:rsidTr="00013619">
        <w:trPr>
          <w:trHeight w:val="284"/>
        </w:trPr>
        <w:tc>
          <w:tcPr>
            <w:tcW w:w="1295" w:type="dxa"/>
            <w:hideMark/>
          </w:tcPr>
          <w:p w14:paraId="0597182F" w14:textId="54B84F52" w:rsidR="006A37B6" w:rsidRPr="00F91A00" w:rsidRDefault="0052596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Танзания</w:t>
            </w:r>
          </w:p>
        </w:tc>
        <w:tc>
          <w:tcPr>
            <w:tcW w:w="1535" w:type="dxa"/>
            <w:hideMark/>
          </w:tcPr>
          <w:p w14:paraId="10877FB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93A811E" w14:textId="402851B0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1478313F" w14:textId="71EF8114" w:rsidR="006A37B6" w:rsidRPr="00F91A00" w:rsidRDefault="00BD3B0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Разработка национального плана действий в области кустарной и мелкомасштабной золотодобычи </w:t>
            </w:r>
            <w:r w:rsidR="00525963" w:rsidRPr="00F91A00">
              <w:rPr>
                <w:sz w:val="18"/>
                <w:szCs w:val="18"/>
                <w:lang w:val="ru-RU"/>
              </w:rPr>
              <w:t>в Объединенной Республике Танзания</w:t>
            </w:r>
          </w:p>
        </w:tc>
        <w:tc>
          <w:tcPr>
            <w:tcW w:w="850" w:type="dxa"/>
            <w:hideMark/>
          </w:tcPr>
          <w:p w14:paraId="6205ED17" w14:textId="067332F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186575D5" w14:textId="65D2910C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07662421" w14:textId="365D2F3B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ЮНЕП</w:t>
            </w:r>
            <w:proofErr w:type="spellEnd"/>
          </w:p>
        </w:tc>
        <w:tc>
          <w:tcPr>
            <w:tcW w:w="1123" w:type="dxa"/>
            <w:hideMark/>
          </w:tcPr>
          <w:p w14:paraId="7484BEDB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239AD29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0</w:t>
            </w:r>
          </w:p>
        </w:tc>
      </w:tr>
      <w:tr w:rsidR="00CA4DB3" w:rsidRPr="00F91A00" w14:paraId="73A7D2A7" w14:textId="77777777" w:rsidTr="00013619">
        <w:trPr>
          <w:trHeight w:val="300"/>
        </w:trPr>
        <w:tc>
          <w:tcPr>
            <w:tcW w:w="1295" w:type="dxa"/>
            <w:hideMark/>
          </w:tcPr>
          <w:p w14:paraId="2C3B2144" w14:textId="55B3BAC8" w:rsidR="006A37B6" w:rsidRPr="00F91A00" w:rsidRDefault="0052596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Тунис</w:t>
            </w:r>
          </w:p>
        </w:tc>
        <w:tc>
          <w:tcPr>
            <w:tcW w:w="1535" w:type="dxa"/>
            <w:hideMark/>
          </w:tcPr>
          <w:p w14:paraId="7378003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DAC7DD7" w14:textId="5A135778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3D648EBA" w14:textId="38C13899" w:rsidR="006A37B6" w:rsidRPr="00F91A00" w:rsidRDefault="0052596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Совершенствование регулирования ртути в Тунисе</w:t>
            </w:r>
          </w:p>
        </w:tc>
        <w:tc>
          <w:tcPr>
            <w:tcW w:w="850" w:type="dxa"/>
            <w:hideMark/>
          </w:tcPr>
          <w:p w14:paraId="55C44571" w14:textId="2DAEEB30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65A8F204" w14:textId="330F75D4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1D5967DC" w14:textId="2BEFC1FC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09F225B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600000</w:t>
            </w:r>
          </w:p>
        </w:tc>
        <w:tc>
          <w:tcPr>
            <w:tcW w:w="1678" w:type="dxa"/>
            <w:hideMark/>
          </w:tcPr>
          <w:p w14:paraId="299C7E59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2350000</w:t>
            </w:r>
          </w:p>
        </w:tc>
      </w:tr>
      <w:tr w:rsidR="00CA4DB3" w:rsidRPr="00F91A00" w14:paraId="3A69BA48" w14:textId="77777777" w:rsidTr="00013619">
        <w:trPr>
          <w:trHeight w:val="300"/>
        </w:trPr>
        <w:tc>
          <w:tcPr>
            <w:tcW w:w="1295" w:type="dxa"/>
            <w:hideMark/>
          </w:tcPr>
          <w:p w14:paraId="084944F6" w14:textId="5776CA8A" w:rsidR="006A37B6" w:rsidRPr="00F91A00" w:rsidRDefault="00525963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Турция</w:t>
            </w:r>
          </w:p>
        </w:tc>
        <w:tc>
          <w:tcPr>
            <w:tcW w:w="1535" w:type="dxa"/>
            <w:hideMark/>
          </w:tcPr>
          <w:p w14:paraId="7DE7413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BBEEA5A" w14:textId="73281AAF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563137DD" w14:textId="3E9952AA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511A12" w:rsidRPr="00F91A00">
              <w:rPr>
                <w:sz w:val="18"/>
                <w:szCs w:val="18"/>
                <w:lang w:val="ru-RU"/>
              </w:rPr>
              <w:t>в Турции</w:t>
            </w:r>
          </w:p>
        </w:tc>
        <w:tc>
          <w:tcPr>
            <w:tcW w:w="850" w:type="dxa"/>
            <w:hideMark/>
          </w:tcPr>
          <w:p w14:paraId="393909D4" w14:textId="3F53146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5C3ADD1C" w14:textId="64948F27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594165DE" w14:textId="7DC7CDCF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3CEDE8A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0E0394A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29000</w:t>
            </w:r>
          </w:p>
        </w:tc>
      </w:tr>
      <w:tr w:rsidR="00CA4DB3" w:rsidRPr="00F91A00" w14:paraId="7AB750F4" w14:textId="77777777" w:rsidTr="00013619">
        <w:trPr>
          <w:trHeight w:val="600"/>
        </w:trPr>
        <w:tc>
          <w:tcPr>
            <w:tcW w:w="1295" w:type="dxa"/>
            <w:hideMark/>
          </w:tcPr>
          <w:p w14:paraId="051C352D" w14:textId="62A7B18A" w:rsidR="006A37B6" w:rsidRPr="00F91A00" w:rsidRDefault="00511A1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Уругвай</w:t>
            </w:r>
          </w:p>
        </w:tc>
        <w:tc>
          <w:tcPr>
            <w:tcW w:w="1535" w:type="dxa"/>
            <w:hideMark/>
          </w:tcPr>
          <w:p w14:paraId="2630AAB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3412A84B" w14:textId="3244B472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4ACF0F5A" w14:textId="42D3010F" w:rsidR="006A37B6" w:rsidRPr="00F91A00" w:rsidRDefault="00511A1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Экологически обоснованное управление ртутьсодержащими продуктами и их отходами на протяжении всего жизненного цикла</w:t>
            </w:r>
          </w:p>
        </w:tc>
        <w:tc>
          <w:tcPr>
            <w:tcW w:w="850" w:type="dxa"/>
            <w:hideMark/>
          </w:tcPr>
          <w:p w14:paraId="048CBBD4" w14:textId="4F7A9991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260E561C" w14:textId="10CB34C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0F0A3C74" w14:textId="394950E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16BDDE2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700000</w:t>
            </w:r>
          </w:p>
        </w:tc>
        <w:tc>
          <w:tcPr>
            <w:tcW w:w="1678" w:type="dxa"/>
            <w:hideMark/>
          </w:tcPr>
          <w:p w14:paraId="0D010206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2959700</w:t>
            </w:r>
          </w:p>
        </w:tc>
      </w:tr>
      <w:tr w:rsidR="00CA4DB3" w:rsidRPr="00F91A00" w14:paraId="2ACAAA52" w14:textId="77777777" w:rsidTr="00013619">
        <w:trPr>
          <w:trHeight w:val="284"/>
        </w:trPr>
        <w:tc>
          <w:tcPr>
            <w:tcW w:w="1295" w:type="dxa"/>
            <w:hideMark/>
          </w:tcPr>
          <w:p w14:paraId="65A9AA5B" w14:textId="029BEC60" w:rsidR="006A37B6" w:rsidRPr="00F91A00" w:rsidRDefault="00511A1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Вьетнам</w:t>
            </w:r>
          </w:p>
        </w:tc>
        <w:tc>
          <w:tcPr>
            <w:tcW w:w="1535" w:type="dxa"/>
            <w:hideMark/>
          </w:tcPr>
          <w:p w14:paraId="38F95FDE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1DF9653" w14:textId="5EB3CAEB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4820" w:type="dxa"/>
            <w:hideMark/>
          </w:tcPr>
          <w:p w14:paraId="0996BD5B" w14:textId="788CFC92" w:rsidR="006A37B6" w:rsidRPr="00F91A00" w:rsidRDefault="00511A1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Применение «зеленой» химии во Вьетнаме в поддержку «зеленого» роста и сокращения использования и выбросов </w:t>
            </w:r>
            <w:proofErr w:type="spellStart"/>
            <w:r w:rsidRPr="00F91A00">
              <w:rPr>
                <w:sz w:val="18"/>
                <w:szCs w:val="18"/>
                <w:lang w:val="ru-RU"/>
              </w:rPr>
              <w:t>СОЗ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/вредных химических веществ</w:t>
            </w:r>
          </w:p>
        </w:tc>
        <w:tc>
          <w:tcPr>
            <w:tcW w:w="850" w:type="dxa"/>
            <w:hideMark/>
          </w:tcPr>
          <w:p w14:paraId="76EAFF4E" w14:textId="2AFEF1B2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-6</w:t>
            </w:r>
          </w:p>
        </w:tc>
        <w:tc>
          <w:tcPr>
            <w:tcW w:w="709" w:type="dxa"/>
            <w:hideMark/>
          </w:tcPr>
          <w:p w14:paraId="30515CD5" w14:textId="327C8E69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СМП</w:t>
            </w:r>
            <w:proofErr w:type="spellEnd"/>
          </w:p>
        </w:tc>
        <w:tc>
          <w:tcPr>
            <w:tcW w:w="1276" w:type="dxa"/>
            <w:hideMark/>
          </w:tcPr>
          <w:p w14:paraId="3C6316D8" w14:textId="42867DD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ПРООН</w:t>
            </w:r>
            <w:proofErr w:type="spellEnd"/>
          </w:p>
        </w:tc>
        <w:tc>
          <w:tcPr>
            <w:tcW w:w="1123" w:type="dxa"/>
            <w:hideMark/>
          </w:tcPr>
          <w:p w14:paraId="4070308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469800</w:t>
            </w:r>
          </w:p>
        </w:tc>
        <w:tc>
          <w:tcPr>
            <w:tcW w:w="1678" w:type="dxa"/>
            <w:hideMark/>
          </w:tcPr>
          <w:p w14:paraId="2B02F05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1000000</w:t>
            </w:r>
          </w:p>
        </w:tc>
      </w:tr>
      <w:tr w:rsidR="00CA4DB3" w:rsidRPr="00F91A00" w14:paraId="67434F62" w14:textId="77777777" w:rsidTr="00013619">
        <w:trPr>
          <w:trHeight w:val="300"/>
        </w:trPr>
        <w:tc>
          <w:tcPr>
            <w:tcW w:w="1295" w:type="dxa"/>
            <w:hideMark/>
          </w:tcPr>
          <w:p w14:paraId="3BF4E388" w14:textId="7D1B5D91" w:rsidR="006A37B6" w:rsidRPr="00F91A00" w:rsidRDefault="00511A1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Вьетнам</w:t>
            </w:r>
          </w:p>
        </w:tc>
        <w:tc>
          <w:tcPr>
            <w:tcW w:w="1535" w:type="dxa"/>
            <w:hideMark/>
          </w:tcPr>
          <w:p w14:paraId="3CC9A6C8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1F102059" w14:textId="6F702157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48B5BA11" w14:textId="75C9A360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7C1EBD" w:rsidRPr="00F91A00">
              <w:rPr>
                <w:sz w:val="18"/>
                <w:szCs w:val="18"/>
                <w:lang w:val="ru-RU"/>
              </w:rPr>
              <w:t>во Вьетнаме</w:t>
            </w:r>
          </w:p>
        </w:tc>
        <w:tc>
          <w:tcPr>
            <w:tcW w:w="850" w:type="dxa"/>
            <w:hideMark/>
          </w:tcPr>
          <w:p w14:paraId="7EAFFFCE" w14:textId="1B227F75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40F575AD" w14:textId="3BBC0695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23B040CC" w14:textId="389B57FA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3BB2888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500000</w:t>
            </w:r>
          </w:p>
        </w:tc>
        <w:tc>
          <w:tcPr>
            <w:tcW w:w="1678" w:type="dxa"/>
            <w:hideMark/>
          </w:tcPr>
          <w:p w14:paraId="4B2BB81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47000</w:t>
            </w:r>
          </w:p>
        </w:tc>
      </w:tr>
      <w:tr w:rsidR="00CA4DB3" w:rsidRPr="00F91A00" w14:paraId="18FD4CC3" w14:textId="77777777" w:rsidTr="00013619">
        <w:trPr>
          <w:trHeight w:val="600"/>
        </w:trPr>
        <w:tc>
          <w:tcPr>
            <w:tcW w:w="1295" w:type="dxa"/>
            <w:hideMark/>
          </w:tcPr>
          <w:p w14:paraId="1C493F71" w14:textId="79AA9955" w:rsidR="006A37B6" w:rsidRPr="00F91A00" w:rsidRDefault="00511A12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Йемен</w:t>
            </w:r>
          </w:p>
        </w:tc>
        <w:tc>
          <w:tcPr>
            <w:tcW w:w="1535" w:type="dxa"/>
            <w:hideMark/>
          </w:tcPr>
          <w:p w14:paraId="4113878D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2543FA3A" w14:textId="37556543" w:rsidR="006A37B6" w:rsidRPr="00F91A00" w:rsidRDefault="00373C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4820" w:type="dxa"/>
            <w:hideMark/>
          </w:tcPr>
          <w:p w14:paraId="3BE339EB" w14:textId="363C0621" w:rsidR="006A37B6" w:rsidRPr="00F91A00" w:rsidRDefault="00D112C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 xml:space="preserve">Первоначальная оценка в рамках Минаматской конвенции </w:t>
            </w:r>
            <w:r w:rsidR="007C1EBD" w:rsidRPr="00F91A00">
              <w:rPr>
                <w:sz w:val="18"/>
                <w:szCs w:val="18"/>
                <w:lang w:val="ru-RU"/>
              </w:rPr>
              <w:t>в Республике Йемен</w:t>
            </w:r>
          </w:p>
        </w:tc>
        <w:tc>
          <w:tcPr>
            <w:tcW w:w="850" w:type="dxa"/>
            <w:hideMark/>
          </w:tcPr>
          <w:p w14:paraId="1731C4B7" w14:textId="7B6376D9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ГЭФ</w:t>
            </w:r>
            <w:proofErr w:type="spellEnd"/>
            <w:r w:rsidRPr="00F91A00">
              <w:rPr>
                <w:sz w:val="18"/>
                <w:szCs w:val="18"/>
                <w:lang w:val="ru-RU"/>
              </w:rPr>
              <w:t>-5</w:t>
            </w:r>
          </w:p>
        </w:tc>
        <w:tc>
          <w:tcPr>
            <w:tcW w:w="709" w:type="dxa"/>
            <w:hideMark/>
          </w:tcPr>
          <w:p w14:paraId="6B5459E0" w14:textId="621A7ABA" w:rsidR="006A37B6" w:rsidRPr="00F91A00" w:rsidRDefault="000E2C35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СД</w:t>
            </w:r>
            <w:proofErr w:type="spellEnd"/>
          </w:p>
        </w:tc>
        <w:tc>
          <w:tcPr>
            <w:tcW w:w="1276" w:type="dxa"/>
            <w:hideMark/>
          </w:tcPr>
          <w:p w14:paraId="1E08C576" w14:textId="7F48BB03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F91A00">
              <w:rPr>
                <w:sz w:val="18"/>
                <w:szCs w:val="18"/>
                <w:lang w:val="ru-RU"/>
              </w:rPr>
              <w:t>ЮНИДО</w:t>
            </w:r>
            <w:proofErr w:type="spellEnd"/>
          </w:p>
        </w:tc>
        <w:tc>
          <w:tcPr>
            <w:tcW w:w="1123" w:type="dxa"/>
            <w:hideMark/>
          </w:tcPr>
          <w:p w14:paraId="518C06AC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678" w:type="dxa"/>
            <w:hideMark/>
          </w:tcPr>
          <w:p w14:paraId="03E8E747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50200</w:t>
            </w:r>
          </w:p>
        </w:tc>
      </w:tr>
      <w:tr w:rsidR="00CA4DB3" w:rsidRPr="00F91A00" w14:paraId="2BB953BD" w14:textId="77777777" w:rsidTr="00013619">
        <w:trPr>
          <w:trHeight w:val="300"/>
        </w:trPr>
        <w:tc>
          <w:tcPr>
            <w:tcW w:w="1295" w:type="dxa"/>
            <w:hideMark/>
          </w:tcPr>
          <w:p w14:paraId="487690A2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535" w:type="dxa"/>
            <w:hideMark/>
          </w:tcPr>
          <w:p w14:paraId="07976EBF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134" w:type="dxa"/>
            <w:hideMark/>
          </w:tcPr>
          <w:p w14:paraId="57804B55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4820" w:type="dxa"/>
            <w:hideMark/>
          </w:tcPr>
          <w:p w14:paraId="6FD6F3B0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850" w:type="dxa"/>
            <w:hideMark/>
          </w:tcPr>
          <w:p w14:paraId="244F91CA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709" w:type="dxa"/>
            <w:hideMark/>
          </w:tcPr>
          <w:p w14:paraId="1B98A6C3" w14:textId="77777777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hideMark/>
          </w:tcPr>
          <w:p w14:paraId="4A42390B" w14:textId="12306575" w:rsidR="006A37B6" w:rsidRPr="00F91A00" w:rsidRDefault="00013619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1123" w:type="dxa"/>
            <w:hideMark/>
          </w:tcPr>
          <w:p w14:paraId="6993294B" w14:textId="757DFF68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164</w:t>
            </w:r>
            <w:r w:rsidR="005A3E72">
              <w:rPr>
                <w:sz w:val="18"/>
                <w:szCs w:val="18"/>
                <w:lang w:val="ru-RU"/>
              </w:rPr>
              <w:t xml:space="preserve"> </w:t>
            </w:r>
            <w:r w:rsidRPr="00F91A00">
              <w:rPr>
                <w:sz w:val="18"/>
                <w:szCs w:val="18"/>
                <w:lang w:val="ru-RU"/>
              </w:rPr>
              <w:t>963</w:t>
            </w:r>
            <w:r w:rsidR="005A3E72">
              <w:rPr>
                <w:sz w:val="18"/>
                <w:szCs w:val="18"/>
                <w:lang w:val="ru-RU"/>
              </w:rPr>
              <w:t xml:space="preserve"> </w:t>
            </w:r>
            <w:r w:rsidRPr="00F91A00">
              <w:rPr>
                <w:sz w:val="18"/>
                <w:szCs w:val="18"/>
                <w:lang w:val="ru-RU"/>
              </w:rPr>
              <w:t>620</w:t>
            </w:r>
          </w:p>
        </w:tc>
        <w:tc>
          <w:tcPr>
            <w:tcW w:w="1678" w:type="dxa"/>
            <w:hideMark/>
          </w:tcPr>
          <w:p w14:paraId="4DA41B54" w14:textId="2A9654DE" w:rsidR="006A37B6" w:rsidRPr="00F91A00" w:rsidRDefault="006A37B6" w:rsidP="00F91A0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/>
              </w:rPr>
            </w:pPr>
            <w:r w:rsidRPr="00F91A00">
              <w:rPr>
                <w:sz w:val="18"/>
                <w:szCs w:val="18"/>
                <w:lang w:val="ru-RU"/>
              </w:rPr>
              <w:t>609</w:t>
            </w:r>
            <w:r w:rsidR="005A3E72">
              <w:rPr>
                <w:sz w:val="18"/>
                <w:szCs w:val="18"/>
                <w:lang w:val="ru-RU"/>
              </w:rPr>
              <w:t xml:space="preserve"> </w:t>
            </w:r>
            <w:r w:rsidRPr="00F91A00">
              <w:rPr>
                <w:sz w:val="18"/>
                <w:szCs w:val="18"/>
                <w:lang w:val="ru-RU"/>
              </w:rPr>
              <w:t>859</w:t>
            </w:r>
            <w:r w:rsidR="005A3E72">
              <w:rPr>
                <w:sz w:val="18"/>
                <w:szCs w:val="18"/>
                <w:lang w:val="ru-RU"/>
              </w:rPr>
              <w:t xml:space="preserve"> </w:t>
            </w:r>
            <w:r w:rsidRPr="00F91A00">
              <w:rPr>
                <w:sz w:val="18"/>
                <w:szCs w:val="18"/>
                <w:lang w:val="ru-RU"/>
              </w:rPr>
              <w:t>694</w:t>
            </w:r>
          </w:p>
        </w:tc>
      </w:tr>
    </w:tbl>
    <w:p w14:paraId="2C9B76E8" w14:textId="77777777" w:rsidR="00E953EE" w:rsidRPr="0071386C" w:rsidRDefault="00E953EE" w:rsidP="002F7012">
      <w:pPr>
        <w:pStyle w:val="Normal-pool"/>
        <w:rPr>
          <w:lang w:val="ru-RU"/>
        </w:rPr>
      </w:pPr>
    </w:p>
    <w:p w14:paraId="6F241B13" w14:textId="30543A26" w:rsidR="00C66DAD" w:rsidRPr="0071386C" w:rsidRDefault="00C66DA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Cs/>
          <w:lang w:val="ru-RU"/>
        </w:rPr>
      </w:pPr>
    </w:p>
    <w:p w14:paraId="206B2CA8" w14:textId="77777777" w:rsidR="00260668" w:rsidRPr="0071386C" w:rsidRDefault="00260668" w:rsidP="000A1CC4">
      <w:pPr>
        <w:pStyle w:val="ZZAnxheader"/>
        <w:rPr>
          <w:lang w:val="ru-RU"/>
        </w:rPr>
        <w:sectPr w:rsidR="00260668" w:rsidRPr="0071386C" w:rsidSect="00F91A00">
          <w:headerReference w:type="even" r:id="rId17"/>
          <w:headerReference w:type="default" r:id="rId18"/>
          <w:headerReference w:type="first" r:id="rId19"/>
          <w:footerReference w:type="first" r:id="rId20"/>
          <w:pgSz w:w="16840" w:h="11907" w:orient="landscape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572F99B8" w14:textId="2117906F" w:rsidR="00C66DAD" w:rsidRPr="00BF371E" w:rsidRDefault="00F9049C" w:rsidP="00BF37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bCs/>
          <w:sz w:val="28"/>
          <w:szCs w:val="28"/>
          <w:lang w:val="ru-RU"/>
        </w:rPr>
      </w:pPr>
      <w:r w:rsidRPr="00BF371E">
        <w:rPr>
          <w:b/>
          <w:bCs/>
          <w:sz w:val="28"/>
          <w:szCs w:val="28"/>
          <w:lang w:val="ru-RU"/>
        </w:rPr>
        <w:lastRenderedPageBreak/>
        <w:t xml:space="preserve">Приложение </w:t>
      </w:r>
      <w:r w:rsidR="00C66DAD" w:rsidRPr="00BF371E">
        <w:rPr>
          <w:b/>
          <w:bCs/>
          <w:sz w:val="28"/>
          <w:szCs w:val="28"/>
          <w:lang w:val="ru-RU"/>
        </w:rPr>
        <w:t xml:space="preserve">II </w:t>
      </w:r>
    </w:p>
    <w:p w14:paraId="5828FE63" w14:textId="53C263CD" w:rsidR="00CE62B0" w:rsidRPr="00BF371E" w:rsidRDefault="00F9049C" w:rsidP="00BF37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8"/>
          <w:szCs w:val="28"/>
          <w:lang w:val="ru-RU"/>
        </w:rPr>
      </w:pPr>
      <w:r w:rsidRPr="00BF371E">
        <w:rPr>
          <w:b/>
          <w:bCs/>
          <w:sz w:val="28"/>
          <w:szCs w:val="28"/>
          <w:lang w:val="ru-RU"/>
        </w:rPr>
        <w:t>Информация, представленная Целевой международной программой в соответствии со статьей 13 Минаматской конвенции о ртути (9 августа 2019 года)</w:t>
      </w:r>
    </w:p>
    <w:p w14:paraId="37B3EDF0" w14:textId="455092BF" w:rsidR="00CE62B0" w:rsidRPr="00BF371E" w:rsidRDefault="00493097" w:rsidP="00BF371E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BF371E">
        <w:rPr>
          <w:b/>
          <w:bCs/>
          <w:lang w:val="ru-RU"/>
        </w:rPr>
        <w:tab/>
        <w:t>1.</w:t>
      </w:r>
      <w:r w:rsidRPr="00BF371E">
        <w:rPr>
          <w:b/>
          <w:bCs/>
          <w:lang w:val="ru-RU"/>
        </w:rPr>
        <w:tab/>
      </w:r>
      <w:r w:rsidR="004C5D5A" w:rsidRPr="00BF371E">
        <w:rPr>
          <w:b/>
          <w:bCs/>
          <w:lang w:val="ru-RU"/>
        </w:rPr>
        <w:t>Введение</w:t>
      </w:r>
    </w:p>
    <w:p w14:paraId="0CBBDF17" w14:textId="6F28AC22" w:rsidR="00CE62B0" w:rsidRPr="00BF371E" w:rsidRDefault="00AE752B" w:rsidP="00BF37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1.</w:t>
      </w:r>
      <w:r>
        <w:tab/>
      </w:r>
      <w:r w:rsidR="004C5D5A" w:rsidRPr="00BF371E">
        <w:rPr>
          <w:lang w:val="ru-RU"/>
        </w:rPr>
        <w:t>В пункте 5 статьи 13 Минаматской конвенции определяется механизм для своевременного обеспечения достаточных финансовых ресурсов на предсказуемой основе в целях оказания поддержки Сторонам, являющимся развивающимися странами, и Сторонам, являющимся странами с переходной экономикой, в соблюдении ими своих обязательств в соответствии с Конвенцией</w:t>
      </w:r>
      <w:r w:rsidR="00CE62B0" w:rsidRPr="00BF371E">
        <w:rPr>
          <w:lang w:val="ru-RU"/>
        </w:rPr>
        <w:t xml:space="preserve">. </w:t>
      </w:r>
    </w:p>
    <w:p w14:paraId="1E6A3319" w14:textId="637B8590" w:rsidR="00CE62B0" w:rsidRPr="00BF371E" w:rsidRDefault="00AE752B" w:rsidP="00BF37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2.</w:t>
      </w:r>
      <w:r>
        <w:tab/>
      </w:r>
      <w:r w:rsidR="00106602" w:rsidRPr="00BF371E">
        <w:rPr>
          <w:lang w:val="ru-RU"/>
        </w:rPr>
        <w:t>Пункт 6 статьи 13 включает решение о целевой международной программе для поддержки процессов создания потенциала и оказания технической помощи. В пункте 9 статьи</w:t>
      </w:r>
      <w:r w:rsidR="00F73AEE">
        <w:t> </w:t>
      </w:r>
      <w:r w:rsidR="00106602" w:rsidRPr="00BF371E">
        <w:rPr>
          <w:lang w:val="ru-RU"/>
        </w:rPr>
        <w:t>13 указано, что программа функционирует под руководством Конференции Сторон и подотчетна ей.</w:t>
      </w:r>
      <w:r w:rsidR="00CE62B0" w:rsidRPr="00BF371E">
        <w:rPr>
          <w:lang w:val="ru-RU"/>
        </w:rPr>
        <w:t xml:space="preserve"> </w:t>
      </w:r>
    </w:p>
    <w:p w14:paraId="6B371355" w14:textId="7F18CACD" w:rsidR="00CE62B0" w:rsidRPr="00BF371E" w:rsidRDefault="00AE752B" w:rsidP="00BF37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3.</w:t>
      </w:r>
      <w:r>
        <w:tab/>
      </w:r>
      <w:r w:rsidR="001A0E37" w:rsidRPr="00BF371E">
        <w:rPr>
          <w:lang w:val="ru-RU"/>
        </w:rPr>
        <w:t>На своем первом совещании в сентябре 2017 года Конференция Сторон приняла решение, содержащееся в документе МК-1/6</w:t>
      </w:r>
      <w:r w:rsidR="00CE62B0" w:rsidRPr="00BF371E">
        <w:rPr>
          <w:lang w:val="ru-RU"/>
        </w:rPr>
        <w:t xml:space="preserve">: </w:t>
      </w:r>
    </w:p>
    <w:p w14:paraId="3AED8822" w14:textId="176FBCA5" w:rsidR="00CE62B0" w:rsidRPr="00BF371E" w:rsidRDefault="00AE752B" w:rsidP="00AE752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a)</w:t>
      </w:r>
      <w:r>
        <w:tab/>
      </w:r>
      <w:r w:rsidR="00414091" w:rsidRPr="00BF371E">
        <w:rPr>
          <w:lang w:val="ru-RU"/>
        </w:rPr>
        <w:t xml:space="preserve">что </w:t>
      </w:r>
      <w:r w:rsidR="00487D21" w:rsidRPr="00BF371E">
        <w:rPr>
          <w:lang w:val="ru-RU"/>
        </w:rPr>
        <w:t>П</w:t>
      </w:r>
      <w:r w:rsidR="00414091" w:rsidRPr="00BF371E">
        <w:rPr>
          <w:lang w:val="ru-RU"/>
        </w:rPr>
        <w:t xml:space="preserve">рограмма будет обслуживаться Программой Организации Объединенных Наций по окружающей среде, и что ее </w:t>
      </w:r>
      <w:r w:rsidR="00F73AEE" w:rsidRPr="00BF371E">
        <w:rPr>
          <w:lang w:val="ru-RU"/>
        </w:rPr>
        <w:t>Директор</w:t>
      </w:r>
      <w:r w:rsidR="00414091" w:rsidRPr="00BF371E">
        <w:rPr>
          <w:lang w:val="ru-RU"/>
        </w:rPr>
        <w:t xml:space="preserve">-исполнитель обеспечит административную поддержку </w:t>
      </w:r>
      <w:r w:rsidR="00F73AEE" w:rsidRPr="00BF371E">
        <w:rPr>
          <w:lang w:val="ru-RU"/>
        </w:rPr>
        <w:t xml:space="preserve">Программы </w:t>
      </w:r>
      <w:r w:rsidR="00414091" w:rsidRPr="00BF371E">
        <w:rPr>
          <w:lang w:val="ru-RU"/>
        </w:rPr>
        <w:t>путем выделения кадровых и других ресурсов через секретариат Минаматской конвенции (</w:t>
      </w:r>
      <w:r w:rsidR="00F73AEE" w:rsidRPr="00BF371E">
        <w:rPr>
          <w:lang w:val="ru-RU"/>
        </w:rPr>
        <w:t xml:space="preserve">приложение </w:t>
      </w:r>
      <w:r w:rsidR="00414091" w:rsidRPr="00BF371E">
        <w:rPr>
          <w:lang w:val="ru-RU"/>
        </w:rPr>
        <w:t>I)</w:t>
      </w:r>
      <w:r w:rsidR="00CE62B0" w:rsidRPr="00BF371E">
        <w:rPr>
          <w:lang w:val="ru-RU"/>
        </w:rPr>
        <w:t xml:space="preserve">; </w:t>
      </w:r>
    </w:p>
    <w:p w14:paraId="458C5BB0" w14:textId="0B0A6701" w:rsidR="00CE62B0" w:rsidRPr="00BF371E" w:rsidRDefault="00AE752B" w:rsidP="00AE752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b)</w:t>
      </w:r>
      <w:r>
        <w:tab/>
      </w:r>
      <w:r w:rsidR="00487D21" w:rsidRPr="00BF371E">
        <w:rPr>
          <w:lang w:val="ru-RU"/>
        </w:rPr>
        <w:t>дать руководящие указания относительно деятельности в рамках Программы (приложение I), в том числе относительно сферы охвата, правомочности, операций и ресурсов</w:t>
      </w:r>
      <w:r w:rsidR="00CE62B0" w:rsidRPr="00BF371E">
        <w:rPr>
          <w:lang w:val="ru-RU"/>
        </w:rPr>
        <w:t xml:space="preserve">; </w:t>
      </w:r>
    </w:p>
    <w:p w14:paraId="74389B34" w14:textId="6F852F7C" w:rsidR="000F5522" w:rsidRPr="00BF371E" w:rsidRDefault="00AE752B" w:rsidP="00AE752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c)</w:t>
      </w:r>
      <w:r>
        <w:tab/>
      </w:r>
      <w:r w:rsidR="00517694" w:rsidRPr="00BF371E">
        <w:rPr>
          <w:lang w:val="ru-RU"/>
        </w:rPr>
        <w:t xml:space="preserve">что по продолжительности (приложение I) Программа открыта для получения добровольных взносов и заявок на оказание поддержки в течение десяти лет с момента учреждения ее целевого фонда (хотя Конференция Сторон может принять решение о продлении этого периода на срок, не превышающий еще семь лет, с учетом процесса обзора, описанного в пункте 11 статьи 13); </w:t>
      </w:r>
      <w:r w:rsidR="000F6B68" w:rsidRPr="00BF371E">
        <w:rPr>
          <w:lang w:val="ru-RU"/>
        </w:rPr>
        <w:t>а также</w:t>
      </w:r>
    </w:p>
    <w:p w14:paraId="6CACD028" w14:textId="655CA023" w:rsidR="00CE62B0" w:rsidRPr="00BF371E" w:rsidRDefault="00AE752B" w:rsidP="00AE752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d)</w:t>
      </w:r>
      <w:r>
        <w:tab/>
      </w:r>
      <w:r w:rsidR="000F6B68" w:rsidRPr="00BF371E">
        <w:rPr>
          <w:lang w:val="ru-RU"/>
        </w:rPr>
        <w:t>о круге ведения Программы (приложение II), в том числе в том, что касается</w:t>
      </w:r>
      <w:r w:rsidR="00CE62B0" w:rsidRPr="00BF371E">
        <w:rPr>
          <w:lang w:val="ru-RU"/>
        </w:rPr>
        <w:t xml:space="preserve">: </w:t>
      </w:r>
    </w:p>
    <w:p w14:paraId="3CBA8A9D" w14:textId="18571D53" w:rsidR="00CE62B0" w:rsidRPr="0071386C" w:rsidRDefault="007B608F" w:rsidP="00AE752B">
      <w:pPr>
        <w:pStyle w:val="Normalnumber"/>
        <w:numPr>
          <w:ilvl w:val="2"/>
          <w:numId w:val="9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71386C">
        <w:rPr>
          <w:lang w:val="ru-RU"/>
        </w:rPr>
        <w:t>Правления Программы</w:t>
      </w:r>
      <w:r w:rsidR="004625DF">
        <w:t>;</w:t>
      </w:r>
      <w:r w:rsidR="00CE62B0" w:rsidRPr="0071386C">
        <w:rPr>
          <w:lang w:val="ru-RU"/>
        </w:rPr>
        <w:t xml:space="preserve"> </w:t>
      </w:r>
    </w:p>
    <w:p w14:paraId="5B647B15" w14:textId="626BF684" w:rsidR="00CE62B0" w:rsidRPr="0071386C" w:rsidRDefault="007B608F" w:rsidP="00AE752B">
      <w:pPr>
        <w:pStyle w:val="Normalnumber"/>
        <w:numPr>
          <w:ilvl w:val="2"/>
          <w:numId w:val="9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71386C">
        <w:rPr>
          <w:lang w:val="ru-RU"/>
        </w:rPr>
        <w:t>процессов проверки, оценки и утверждения проектов</w:t>
      </w:r>
      <w:r w:rsidR="004625DF">
        <w:t>;</w:t>
      </w:r>
    </w:p>
    <w:p w14:paraId="38D2AA7F" w14:textId="43E3D851" w:rsidR="00CE62B0" w:rsidRPr="0071386C" w:rsidRDefault="007B608F" w:rsidP="00AE752B">
      <w:pPr>
        <w:pStyle w:val="Normalnumber"/>
        <w:numPr>
          <w:ilvl w:val="2"/>
          <w:numId w:val="9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71386C">
        <w:rPr>
          <w:lang w:val="ru-RU"/>
        </w:rPr>
        <w:t>административной поддержки Программы</w:t>
      </w:r>
      <w:r w:rsidR="004625DF">
        <w:t>;</w:t>
      </w:r>
    </w:p>
    <w:p w14:paraId="04E3AA20" w14:textId="54240E3D" w:rsidR="00CE62B0" w:rsidRPr="0071386C" w:rsidRDefault="007B608F" w:rsidP="00AE752B">
      <w:pPr>
        <w:pStyle w:val="Normalnumber"/>
        <w:numPr>
          <w:ilvl w:val="2"/>
          <w:numId w:val="9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71386C">
        <w:rPr>
          <w:lang w:val="ru-RU"/>
        </w:rPr>
        <w:t>ожидаемых результатов</w:t>
      </w:r>
      <w:r w:rsidR="004625DF">
        <w:t>;</w:t>
      </w:r>
      <w:r w:rsidR="00CE62B0" w:rsidRPr="0071386C">
        <w:rPr>
          <w:lang w:val="ru-RU"/>
        </w:rPr>
        <w:t xml:space="preserve"> </w:t>
      </w:r>
      <w:r w:rsidRPr="0071386C">
        <w:rPr>
          <w:lang w:val="ru-RU"/>
        </w:rPr>
        <w:t>а также</w:t>
      </w:r>
      <w:r w:rsidR="00CE62B0" w:rsidRPr="0071386C">
        <w:rPr>
          <w:lang w:val="ru-RU"/>
        </w:rPr>
        <w:t xml:space="preserve"> </w:t>
      </w:r>
    </w:p>
    <w:p w14:paraId="2D0234E4" w14:textId="3CB827B9" w:rsidR="00CE62B0" w:rsidRPr="0071386C" w:rsidRDefault="007B608F" w:rsidP="00AE752B">
      <w:pPr>
        <w:pStyle w:val="Normalnumber"/>
        <w:numPr>
          <w:ilvl w:val="2"/>
          <w:numId w:val="9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71386C">
        <w:rPr>
          <w:lang w:val="ru-RU"/>
        </w:rPr>
        <w:t>отчетности и ревизии</w:t>
      </w:r>
      <w:r w:rsidR="00CE62B0" w:rsidRPr="0071386C">
        <w:rPr>
          <w:lang w:val="ru-RU"/>
        </w:rPr>
        <w:t xml:space="preserve">. </w:t>
      </w:r>
    </w:p>
    <w:p w14:paraId="48B3C932" w14:textId="269C462D" w:rsidR="00CE62B0" w:rsidRPr="004625DF" w:rsidRDefault="005C6AA3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4.</w:t>
      </w:r>
      <w:r>
        <w:tab/>
      </w:r>
      <w:r w:rsidR="002A6867" w:rsidRPr="004625DF">
        <w:rPr>
          <w:lang w:val="ru-RU"/>
        </w:rPr>
        <w:t xml:space="preserve">На своем втором совещании в ноябре 2018 года Конференция </w:t>
      </w:r>
      <w:r w:rsidR="00F73AEE" w:rsidRPr="004625DF">
        <w:rPr>
          <w:lang w:val="ru-RU"/>
        </w:rPr>
        <w:t xml:space="preserve">Сторон </w:t>
      </w:r>
      <w:r w:rsidR="002A6867" w:rsidRPr="004625DF">
        <w:rPr>
          <w:lang w:val="ru-RU"/>
        </w:rPr>
        <w:t xml:space="preserve">подтвердила, что только Стороны имеют право обращаться за поддержкой Программы, и что кандидатуры членов Совета должны выдвигаться Сторонами (см. пункт 103 документа </w:t>
      </w:r>
      <w:proofErr w:type="spellStart"/>
      <w:r w:rsidR="002A6867" w:rsidRPr="004625DF">
        <w:rPr>
          <w:lang w:val="ru-RU"/>
        </w:rPr>
        <w:t>UNEP</w:t>
      </w:r>
      <w:proofErr w:type="spellEnd"/>
      <w:r w:rsidR="002A6867" w:rsidRPr="004625DF">
        <w:rPr>
          <w:lang w:val="ru-RU"/>
        </w:rPr>
        <w:t>/</w:t>
      </w:r>
      <w:proofErr w:type="spellStart"/>
      <w:r w:rsidR="002A6867" w:rsidRPr="004625DF">
        <w:rPr>
          <w:lang w:val="ru-RU"/>
        </w:rPr>
        <w:t>MC</w:t>
      </w:r>
      <w:proofErr w:type="spellEnd"/>
      <w:r w:rsidR="002A6867" w:rsidRPr="004625DF">
        <w:rPr>
          <w:lang w:val="ru-RU"/>
        </w:rPr>
        <w:t>/</w:t>
      </w:r>
      <w:proofErr w:type="spellStart"/>
      <w:r w:rsidR="002A6867" w:rsidRPr="004625DF">
        <w:rPr>
          <w:lang w:val="ru-RU"/>
        </w:rPr>
        <w:t>COP.2</w:t>
      </w:r>
      <w:proofErr w:type="spellEnd"/>
      <w:r w:rsidR="002A6867" w:rsidRPr="004625DF">
        <w:rPr>
          <w:lang w:val="ru-RU"/>
        </w:rPr>
        <w:t>/19 и приложение II, в котором излагается окончательный вариант документа МК-1/16, принятый Конференцией Сторон на ее втором совещании</w:t>
      </w:r>
      <w:r w:rsidR="00CE62B0" w:rsidRPr="004625DF">
        <w:rPr>
          <w:lang w:val="ru-RU"/>
        </w:rPr>
        <w:t>).</w:t>
      </w:r>
    </w:p>
    <w:p w14:paraId="2F33C9C8" w14:textId="0F4E93E0" w:rsidR="00CE62B0" w:rsidRPr="005C6AA3" w:rsidRDefault="00493097" w:rsidP="005C6AA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5C6AA3">
        <w:rPr>
          <w:b/>
          <w:bCs/>
          <w:lang w:val="ru-RU"/>
        </w:rPr>
        <w:tab/>
        <w:t>2.</w:t>
      </w:r>
      <w:r w:rsidRPr="005C6AA3">
        <w:rPr>
          <w:b/>
          <w:bCs/>
          <w:lang w:val="ru-RU"/>
        </w:rPr>
        <w:tab/>
      </w:r>
      <w:r w:rsidR="00453EEC" w:rsidRPr="005C6AA3">
        <w:rPr>
          <w:b/>
          <w:bCs/>
          <w:lang w:val="ru-RU"/>
        </w:rPr>
        <w:t>Начало деятельности Целевой международной программы</w:t>
      </w:r>
    </w:p>
    <w:p w14:paraId="70D0B853" w14:textId="306118EA" w:rsidR="00CE62B0" w:rsidRPr="004625DF" w:rsidRDefault="00900FC4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5.</w:t>
      </w:r>
      <w:r>
        <w:tab/>
      </w:r>
      <w:r w:rsidR="003F3F4A" w:rsidRPr="004625DF">
        <w:rPr>
          <w:lang w:val="ru-RU"/>
        </w:rPr>
        <w:t xml:space="preserve">По просьбе Конференции </w:t>
      </w:r>
      <w:r w:rsidR="00F73AEE" w:rsidRPr="004625DF">
        <w:rPr>
          <w:lang w:val="ru-RU"/>
        </w:rPr>
        <w:t>Сторон</w:t>
      </w:r>
      <w:r w:rsidR="003F3F4A" w:rsidRPr="004625DF">
        <w:rPr>
          <w:lang w:val="ru-RU"/>
        </w:rPr>
        <w:t>, содержащейся в решении МК-1/6, Директор</w:t>
      </w:r>
      <w:r>
        <w:rPr>
          <w:lang w:val="ru-RU"/>
        </w:rPr>
        <w:noBreakHyphen/>
      </w:r>
      <w:r w:rsidR="003F3F4A" w:rsidRPr="004625DF">
        <w:rPr>
          <w:lang w:val="ru-RU"/>
        </w:rPr>
        <w:t xml:space="preserve">исполнитель </w:t>
      </w:r>
      <w:proofErr w:type="spellStart"/>
      <w:r w:rsidR="003F3F4A" w:rsidRPr="004625DF">
        <w:rPr>
          <w:lang w:val="ru-RU"/>
        </w:rPr>
        <w:t>ЮНЕП</w:t>
      </w:r>
      <w:proofErr w:type="spellEnd"/>
      <w:r w:rsidR="003F3F4A" w:rsidRPr="004625DF">
        <w:rPr>
          <w:lang w:val="ru-RU"/>
        </w:rPr>
        <w:t xml:space="preserve"> учредил Особый целевой фонд для получения добровольных взносов на десятилетний период для Программы. Целевой фонд начал функционировать с 1</w:t>
      </w:r>
      <w:r w:rsidR="004D7344">
        <w:t> </w:t>
      </w:r>
      <w:r w:rsidR="004D7344" w:rsidRPr="004625DF">
        <w:rPr>
          <w:lang w:val="ru-RU"/>
        </w:rPr>
        <w:t>я</w:t>
      </w:r>
      <w:r w:rsidR="003F3F4A" w:rsidRPr="004625DF">
        <w:rPr>
          <w:lang w:val="ru-RU"/>
        </w:rPr>
        <w:t>нваря 2018</w:t>
      </w:r>
      <w:r>
        <w:t> </w:t>
      </w:r>
      <w:r w:rsidR="003F3F4A" w:rsidRPr="004625DF">
        <w:rPr>
          <w:lang w:val="ru-RU"/>
        </w:rPr>
        <w:t xml:space="preserve">года (см. </w:t>
      </w:r>
      <w:proofErr w:type="spellStart"/>
      <w:r w:rsidR="003F3F4A" w:rsidRPr="004625DF">
        <w:rPr>
          <w:lang w:val="ru-RU"/>
        </w:rPr>
        <w:t>UNEP</w:t>
      </w:r>
      <w:proofErr w:type="spellEnd"/>
      <w:r w:rsidR="003F3F4A" w:rsidRPr="004625DF">
        <w:rPr>
          <w:lang w:val="ru-RU"/>
        </w:rPr>
        <w:t>/</w:t>
      </w:r>
      <w:proofErr w:type="spellStart"/>
      <w:r w:rsidR="003F3F4A" w:rsidRPr="004625DF">
        <w:rPr>
          <w:lang w:val="ru-RU"/>
        </w:rPr>
        <w:t>MC</w:t>
      </w:r>
      <w:proofErr w:type="spellEnd"/>
      <w:r w:rsidR="003F3F4A" w:rsidRPr="004625DF">
        <w:rPr>
          <w:lang w:val="ru-RU"/>
        </w:rPr>
        <w:t>/</w:t>
      </w:r>
      <w:proofErr w:type="spellStart"/>
      <w:r w:rsidR="003F3F4A" w:rsidRPr="004625DF">
        <w:rPr>
          <w:lang w:val="ru-RU"/>
        </w:rPr>
        <w:t>COP.2</w:t>
      </w:r>
      <w:proofErr w:type="spellEnd"/>
      <w:r w:rsidR="003F3F4A" w:rsidRPr="004625DF">
        <w:rPr>
          <w:lang w:val="ru-RU"/>
        </w:rPr>
        <w:t xml:space="preserve">/9, Общий доклад о Целевой международной программе для поддержки создания потенциала и оказания технической помощи; и </w:t>
      </w:r>
      <w:proofErr w:type="spellStart"/>
      <w:r w:rsidR="003F3F4A" w:rsidRPr="004625DF">
        <w:rPr>
          <w:lang w:val="ru-RU"/>
        </w:rPr>
        <w:t>UNEP</w:t>
      </w:r>
      <w:proofErr w:type="spellEnd"/>
      <w:r w:rsidR="003F3F4A" w:rsidRPr="004625DF">
        <w:rPr>
          <w:lang w:val="ru-RU"/>
        </w:rPr>
        <w:t>/</w:t>
      </w:r>
      <w:proofErr w:type="spellStart"/>
      <w:r w:rsidR="003F3F4A" w:rsidRPr="004625DF">
        <w:rPr>
          <w:lang w:val="ru-RU"/>
        </w:rPr>
        <w:t>MC</w:t>
      </w:r>
      <w:proofErr w:type="spellEnd"/>
      <w:r w:rsidR="003F3F4A" w:rsidRPr="004625DF">
        <w:rPr>
          <w:lang w:val="ru-RU"/>
        </w:rPr>
        <w:t>/</w:t>
      </w:r>
      <w:proofErr w:type="spellStart"/>
      <w:r w:rsidR="003F3F4A" w:rsidRPr="004625DF">
        <w:rPr>
          <w:lang w:val="ru-RU"/>
        </w:rPr>
        <w:t>COP.2</w:t>
      </w:r>
      <w:proofErr w:type="spellEnd"/>
      <w:r w:rsidR="003F3F4A" w:rsidRPr="004625DF">
        <w:rPr>
          <w:lang w:val="ru-RU"/>
        </w:rPr>
        <w:t>/18, Актуальная информация о программе работы и бюджете на двухгодичный период 2018</w:t>
      </w:r>
      <w:r>
        <w:rPr>
          <w:lang w:val="ru-RU"/>
        </w:rPr>
        <w:noBreakHyphen/>
      </w:r>
      <w:r w:rsidR="003F3F4A" w:rsidRPr="004625DF">
        <w:rPr>
          <w:lang w:val="ru-RU"/>
        </w:rPr>
        <w:t>2019</w:t>
      </w:r>
      <w:r>
        <w:t> </w:t>
      </w:r>
      <w:r w:rsidR="003F3F4A" w:rsidRPr="004625DF">
        <w:rPr>
          <w:lang w:val="ru-RU"/>
        </w:rPr>
        <w:t>годов</w:t>
      </w:r>
      <w:r w:rsidR="00CE62B0" w:rsidRPr="004625DF">
        <w:rPr>
          <w:lang w:val="ru-RU"/>
        </w:rPr>
        <w:t>).</w:t>
      </w:r>
    </w:p>
    <w:p w14:paraId="123C2A9C" w14:textId="3BEEF17A" w:rsidR="00CE62B0" w:rsidRPr="004625DF" w:rsidRDefault="004D7344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6.</w:t>
      </w:r>
      <w:r>
        <w:tab/>
      </w:r>
      <w:r w:rsidR="003E2C70" w:rsidRPr="004625DF">
        <w:rPr>
          <w:lang w:val="ru-RU"/>
        </w:rPr>
        <w:t>Правление Целевой международной программы было учреждено в начале 2018 года и провело свое первое заседание в мае 2018 года (см. Доклад первого совещания</w:t>
      </w:r>
      <w:r w:rsidR="0007339A" w:rsidRPr="004625DF">
        <w:rPr>
          <w:lang w:val="ru-RU"/>
        </w:rPr>
        <w:t xml:space="preserve"> </w:t>
      </w:r>
      <w:r w:rsidR="003E2C70" w:rsidRPr="004625DF">
        <w:rPr>
          <w:lang w:val="ru-RU"/>
        </w:rPr>
        <w:t xml:space="preserve">Правления </w:t>
      </w:r>
      <w:proofErr w:type="spellStart"/>
      <w:r w:rsidR="003E2C70" w:rsidRPr="004625DF">
        <w:rPr>
          <w:lang w:val="ru-RU"/>
        </w:rPr>
        <w:lastRenderedPageBreak/>
        <w:t>UNEP</w:t>
      </w:r>
      <w:proofErr w:type="spellEnd"/>
      <w:r w:rsidR="003E2C70" w:rsidRPr="004625DF">
        <w:rPr>
          <w:lang w:val="ru-RU"/>
        </w:rPr>
        <w:t>/</w:t>
      </w:r>
      <w:proofErr w:type="spellStart"/>
      <w:r w:rsidR="003E2C70" w:rsidRPr="004625DF">
        <w:rPr>
          <w:lang w:val="ru-RU"/>
        </w:rPr>
        <w:t>MC</w:t>
      </w:r>
      <w:proofErr w:type="spellEnd"/>
      <w:r w:rsidR="003E2C70" w:rsidRPr="004625DF">
        <w:rPr>
          <w:lang w:val="ru-RU"/>
        </w:rPr>
        <w:t>/</w:t>
      </w:r>
      <w:proofErr w:type="spellStart"/>
      <w:r w:rsidR="003E2C70" w:rsidRPr="004625DF">
        <w:rPr>
          <w:lang w:val="ru-RU"/>
        </w:rPr>
        <w:t>SIP.GB.1</w:t>
      </w:r>
      <w:proofErr w:type="spellEnd"/>
      <w:r w:rsidR="003E2C70" w:rsidRPr="004625DF">
        <w:rPr>
          <w:lang w:val="ru-RU"/>
        </w:rPr>
        <w:t>/6</w:t>
      </w:r>
      <w:r w:rsidRPr="004D7344">
        <w:rPr>
          <w:vertAlign w:val="superscript"/>
          <w:lang w:val="ru-RU"/>
        </w:rPr>
        <w:footnoteReference w:id="19"/>
      </w:r>
      <w:r w:rsidRPr="004D7344">
        <w:rPr>
          <w:lang w:val="ru-RU"/>
        </w:rPr>
        <w:t>)</w:t>
      </w:r>
      <w:r w:rsidR="00CE62B0" w:rsidRPr="004625DF">
        <w:rPr>
          <w:lang w:val="ru-RU"/>
        </w:rPr>
        <w:t xml:space="preserve">. </w:t>
      </w:r>
      <w:r w:rsidR="00823876" w:rsidRPr="004625DF">
        <w:rPr>
          <w:lang w:val="ru-RU"/>
        </w:rPr>
        <w:t>Правление приняло свои Правила процедуры на своем первом совещании и представило принятые Правила на втором совещании Конференции Сторон</w:t>
      </w:r>
      <w:r w:rsidR="00CE62B0" w:rsidRPr="004625DF">
        <w:rPr>
          <w:lang w:val="ru-RU"/>
        </w:rPr>
        <w:t xml:space="preserve">. </w:t>
      </w:r>
    </w:p>
    <w:p w14:paraId="293B7039" w14:textId="5A49E5D1" w:rsidR="00CE62B0" w:rsidRPr="004625DF" w:rsidRDefault="004D7344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7.</w:t>
      </w:r>
      <w:r>
        <w:tab/>
      </w:r>
      <w:r w:rsidR="00232DF8" w:rsidRPr="004625DF">
        <w:rPr>
          <w:lang w:val="ru-RU"/>
        </w:rPr>
        <w:t>После первого заседания Правления, на котором были согласованы критерии оценки заявок, секретариат завершил работу над формами заявок и руководством по их подаче. Затем 5</w:t>
      </w:r>
      <w:r w:rsidR="00055CA9">
        <w:t> </w:t>
      </w:r>
      <w:r w:rsidR="00232DF8" w:rsidRPr="004625DF">
        <w:rPr>
          <w:lang w:val="ru-RU"/>
        </w:rPr>
        <w:t>июня 2018 года был открыт первый раунд приема заявок, который продлился до 31 августа 2018 года. По завершении этого периода в секретариат поступило девятнадцать заявок</w:t>
      </w:r>
      <w:r w:rsidR="00CE62B0" w:rsidRPr="004625DF">
        <w:rPr>
          <w:lang w:val="ru-RU"/>
        </w:rPr>
        <w:t xml:space="preserve">. </w:t>
      </w:r>
      <w:r w:rsidR="00A718BC" w:rsidRPr="004625DF">
        <w:rPr>
          <w:lang w:val="ru-RU"/>
        </w:rPr>
        <w:t>На своем втором совещании в октябре 2018 года Правление утвердило пять проектов</w:t>
      </w:r>
      <w:r w:rsidR="00CE62B0" w:rsidRPr="00055CA9">
        <w:rPr>
          <w:vertAlign w:val="superscript"/>
          <w:lang w:val="ru-RU"/>
        </w:rPr>
        <w:footnoteReference w:id="20"/>
      </w:r>
      <w:r w:rsidR="00CE62B0" w:rsidRPr="004625DF">
        <w:rPr>
          <w:lang w:val="ru-RU"/>
        </w:rPr>
        <w:t xml:space="preserve"> </w:t>
      </w:r>
      <w:r w:rsidR="00A718BC" w:rsidRPr="004625DF">
        <w:rPr>
          <w:lang w:val="ru-RU"/>
        </w:rPr>
        <w:t xml:space="preserve">для финансирования на основе указаний Конференции Сторон, оценок, подготовленных секретариатом и с учетом взносов, полученных в Особый целевой фонд на момент проведения совещания (см. доклад второго совещания Правления </w:t>
      </w:r>
      <w:proofErr w:type="spellStart"/>
      <w:r w:rsidR="00A718BC" w:rsidRPr="004625DF">
        <w:rPr>
          <w:lang w:val="ru-RU"/>
        </w:rPr>
        <w:t>UNEP</w:t>
      </w:r>
      <w:proofErr w:type="spellEnd"/>
      <w:r w:rsidR="00A718BC" w:rsidRPr="004625DF">
        <w:rPr>
          <w:lang w:val="ru-RU"/>
        </w:rPr>
        <w:t>/</w:t>
      </w:r>
      <w:proofErr w:type="spellStart"/>
      <w:r w:rsidR="00A718BC" w:rsidRPr="004625DF">
        <w:rPr>
          <w:lang w:val="ru-RU"/>
        </w:rPr>
        <w:t>MC</w:t>
      </w:r>
      <w:proofErr w:type="spellEnd"/>
      <w:r w:rsidR="00A718BC" w:rsidRPr="004625DF">
        <w:rPr>
          <w:lang w:val="ru-RU"/>
        </w:rPr>
        <w:t>/</w:t>
      </w:r>
      <w:proofErr w:type="spellStart"/>
      <w:r w:rsidR="00A718BC" w:rsidRPr="004625DF">
        <w:rPr>
          <w:lang w:val="ru-RU"/>
        </w:rPr>
        <w:t>SIP.GB.3</w:t>
      </w:r>
      <w:proofErr w:type="spellEnd"/>
      <w:r w:rsidR="00A718BC" w:rsidRPr="004625DF">
        <w:rPr>
          <w:lang w:val="ru-RU"/>
        </w:rPr>
        <w:t>/2</w:t>
      </w:r>
      <w:r w:rsidR="00CE62B0" w:rsidRPr="00055CA9">
        <w:rPr>
          <w:vertAlign w:val="superscript"/>
          <w:lang w:val="ru-RU"/>
        </w:rPr>
        <w:footnoteReference w:id="21"/>
      </w:r>
      <w:r w:rsidR="00CE62B0" w:rsidRPr="004625DF">
        <w:rPr>
          <w:lang w:val="ru-RU"/>
        </w:rPr>
        <w:t xml:space="preserve">). </w:t>
      </w:r>
    </w:p>
    <w:p w14:paraId="684D1478" w14:textId="555A49EC" w:rsidR="00CE62B0" w:rsidRPr="004625DF" w:rsidRDefault="00055CA9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8.</w:t>
      </w:r>
      <w:r>
        <w:tab/>
      </w:r>
      <w:r w:rsidR="00A53B86" w:rsidRPr="004625DF">
        <w:rPr>
          <w:lang w:val="ru-RU"/>
        </w:rPr>
        <w:t>После рассмотрения отзывов, запрошенных у Сторон по первому раунду, а также накопленного опыта и соображений, высказанных Правлением и секретариатом на его третьем совещании (февраль 2019 года</w:t>
      </w:r>
      <w:r w:rsidR="00CE62B0" w:rsidRPr="00055CA9">
        <w:rPr>
          <w:vertAlign w:val="superscript"/>
          <w:lang w:val="ru-RU"/>
        </w:rPr>
        <w:footnoteReference w:id="22"/>
      </w:r>
      <w:r w:rsidR="00CE62B0" w:rsidRPr="004625DF">
        <w:rPr>
          <w:lang w:val="ru-RU"/>
        </w:rPr>
        <w:t xml:space="preserve">), </w:t>
      </w:r>
      <w:r w:rsidR="009E1B3E" w:rsidRPr="004625DF">
        <w:rPr>
          <w:lang w:val="ru-RU"/>
        </w:rPr>
        <w:t>секретариат завершил работу над пересмотренными формами заявок и руководящими принципами подачи заявок</w:t>
      </w:r>
      <w:r w:rsidR="00CE62B0" w:rsidRPr="004625DF">
        <w:rPr>
          <w:lang w:val="ru-RU"/>
        </w:rPr>
        <w:t xml:space="preserve">. </w:t>
      </w:r>
      <w:r w:rsidR="0008146F" w:rsidRPr="004625DF">
        <w:rPr>
          <w:lang w:val="ru-RU"/>
        </w:rPr>
        <w:t>Второй раунд подачи заявок был открыт с 5 марта по 14 июня 2019 года.</w:t>
      </w:r>
      <w:r w:rsidR="00CE62B0" w:rsidRPr="004625DF">
        <w:rPr>
          <w:lang w:val="ru-RU"/>
        </w:rPr>
        <w:t xml:space="preserve"> </w:t>
      </w:r>
      <w:r w:rsidR="0008146F" w:rsidRPr="004625DF">
        <w:rPr>
          <w:lang w:val="ru-RU"/>
        </w:rPr>
        <w:t>По завершении этого периода в секретариат поступило двадцать заявок. Ожидается, что Правление соберется в сентябре 2019 года, чтобы принять решение по этим заявкам на основе указаний Конференции Сторон, оценок, подготовленных секретариатом, и взносов, полученных в Особый целевой фонд ко времени проведения совещания</w:t>
      </w:r>
      <w:r w:rsidR="00CE62B0" w:rsidRPr="004625DF">
        <w:rPr>
          <w:lang w:val="ru-RU"/>
        </w:rPr>
        <w:t xml:space="preserve">. </w:t>
      </w:r>
    </w:p>
    <w:p w14:paraId="701730A8" w14:textId="431B6F1E" w:rsidR="00CE62B0" w:rsidRPr="004625DF" w:rsidRDefault="00055CA9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9.</w:t>
      </w:r>
      <w:r>
        <w:tab/>
      </w:r>
      <w:r w:rsidR="004312D4" w:rsidRPr="004625DF">
        <w:rPr>
          <w:lang w:val="ru-RU"/>
        </w:rPr>
        <w:t xml:space="preserve">После утверждения пяти проектов для первого раунда (2018 год) секретариат приступил к административной и программной работе с соответствующими правительствами по доработке плана осуществления этих проектов в последнем квартале 2018 года. </w:t>
      </w:r>
      <w:r w:rsidR="005E1B42" w:rsidRPr="004625DF">
        <w:rPr>
          <w:lang w:val="ru-RU"/>
        </w:rPr>
        <w:t xml:space="preserve">После доработки плана осуществления с соответствующими правительствами секретариат подготовил юридические соглашения для подписания правительством и </w:t>
      </w:r>
      <w:proofErr w:type="spellStart"/>
      <w:r w:rsidR="005E1B42" w:rsidRPr="004625DF">
        <w:rPr>
          <w:lang w:val="ru-RU"/>
        </w:rPr>
        <w:t>ЮНЕП</w:t>
      </w:r>
      <w:proofErr w:type="spellEnd"/>
      <w:r w:rsidR="005E1B42" w:rsidRPr="004625DF">
        <w:rPr>
          <w:lang w:val="ru-RU"/>
        </w:rPr>
        <w:t xml:space="preserve"> в лице секретариата Минаматской конвенции, с тем чтобы можно было приступить к выделению средств.</w:t>
      </w:r>
      <w:r w:rsidR="00CE62B0" w:rsidRPr="004625DF">
        <w:rPr>
          <w:lang w:val="ru-RU"/>
        </w:rPr>
        <w:t xml:space="preserve"> </w:t>
      </w:r>
      <w:r w:rsidR="005E1B42" w:rsidRPr="004625DF">
        <w:rPr>
          <w:lang w:val="ru-RU"/>
        </w:rPr>
        <w:t>К 9</w:t>
      </w:r>
      <w:r>
        <w:t> </w:t>
      </w:r>
      <w:r w:rsidR="005E1B42" w:rsidRPr="004625DF">
        <w:rPr>
          <w:lang w:val="ru-RU"/>
        </w:rPr>
        <w:t>августа 2019 года было заключено четыре юридических соглашения, и началось выделение средств на эти четыре проекта.</w:t>
      </w:r>
      <w:r w:rsidR="00CE62B0" w:rsidRPr="004625DF">
        <w:rPr>
          <w:lang w:val="ru-RU"/>
        </w:rPr>
        <w:t xml:space="preserve"> </w:t>
      </w:r>
      <w:r w:rsidR="00513186" w:rsidRPr="004625DF">
        <w:rPr>
          <w:lang w:val="ru-RU"/>
        </w:rPr>
        <w:t>Одно юридическое соглашение находится в процессе подписания. По каждому из проектов были подготовлены двухстраничные резюме для целей обмена информацией и проведения информационно-разъяснительной работы</w:t>
      </w:r>
      <w:r w:rsidRPr="00055CA9">
        <w:rPr>
          <w:vertAlign w:val="superscript"/>
          <w:lang w:val="ru-RU"/>
        </w:rPr>
        <w:footnoteReference w:id="23"/>
      </w:r>
      <w:r w:rsidR="00CE62B0" w:rsidRPr="004625DF">
        <w:rPr>
          <w:lang w:val="ru-RU"/>
        </w:rPr>
        <w:t xml:space="preserve">. </w:t>
      </w:r>
      <w:r w:rsidR="006F7C97" w:rsidRPr="004625DF">
        <w:rPr>
          <w:lang w:val="ru-RU"/>
        </w:rPr>
        <w:t xml:space="preserve">Срок реализации проектов составляет до трех лет. </w:t>
      </w:r>
      <w:r w:rsidR="00327CF1" w:rsidRPr="004625DF">
        <w:rPr>
          <w:lang w:val="ru-RU"/>
        </w:rPr>
        <w:t>Секретариат отвечает перед Правлением за распределение средств в соответствии с согласованными сроками отчетности, а также за общий мониторинг хода осуществления проектов и окончательную отчетность и закрытие проектов по завершении проектного цикла</w:t>
      </w:r>
      <w:r w:rsidR="00CE62B0" w:rsidRPr="004625DF">
        <w:rPr>
          <w:lang w:val="ru-RU"/>
        </w:rPr>
        <w:t xml:space="preserve">. </w:t>
      </w:r>
    </w:p>
    <w:p w14:paraId="44B2A0E8" w14:textId="57F61B3B" w:rsidR="00CE62B0" w:rsidRPr="005C6AA3" w:rsidRDefault="0025781D" w:rsidP="005C6AA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5C6AA3">
        <w:rPr>
          <w:b/>
          <w:bCs/>
          <w:lang w:val="ru-RU"/>
        </w:rPr>
        <w:tab/>
        <w:t>3.</w:t>
      </w:r>
      <w:r w:rsidRPr="005C6AA3">
        <w:rPr>
          <w:b/>
          <w:bCs/>
          <w:lang w:val="ru-RU"/>
        </w:rPr>
        <w:tab/>
      </w:r>
      <w:r w:rsidR="009179CB" w:rsidRPr="005C6AA3">
        <w:rPr>
          <w:b/>
          <w:bCs/>
          <w:lang w:val="ru-RU"/>
        </w:rPr>
        <w:t>Уровень финансирования</w:t>
      </w:r>
    </w:p>
    <w:p w14:paraId="0C7BD276" w14:textId="793F2792" w:rsidR="00716D63" w:rsidRDefault="0094796C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10.</w:t>
      </w:r>
      <w:r>
        <w:tab/>
      </w:r>
      <w:r w:rsidR="00DD7B3C" w:rsidRPr="004625DF">
        <w:rPr>
          <w:lang w:val="ru-RU"/>
        </w:rPr>
        <w:t xml:space="preserve">На первый раунд (2018 год) было получено 1 281 448 долл. США от </w:t>
      </w:r>
      <w:r w:rsidR="009D4167" w:rsidRPr="004625DF">
        <w:rPr>
          <w:lang w:val="ru-RU"/>
        </w:rPr>
        <w:t>Австрии,</w:t>
      </w:r>
      <w:r w:rsidR="009D4167" w:rsidRPr="004625DF" w:rsidDel="005218BD">
        <w:rPr>
          <w:lang w:val="ru-RU"/>
        </w:rPr>
        <w:t xml:space="preserve"> </w:t>
      </w:r>
      <w:r w:rsidR="009D4167" w:rsidRPr="004625DF">
        <w:rPr>
          <w:lang w:val="ru-RU"/>
        </w:rPr>
        <w:t>Германии,</w:t>
      </w:r>
      <w:r w:rsidR="009D4167">
        <w:t xml:space="preserve"> </w:t>
      </w:r>
      <w:r w:rsidR="009D4167" w:rsidRPr="004625DF">
        <w:rPr>
          <w:lang w:val="ru-RU"/>
        </w:rPr>
        <w:t>Дании,</w:t>
      </w:r>
      <w:r w:rsidR="009D4167">
        <w:t xml:space="preserve"> </w:t>
      </w:r>
      <w:r w:rsidR="009D4167" w:rsidRPr="004625DF">
        <w:rPr>
          <w:lang w:val="ru-RU"/>
        </w:rPr>
        <w:t>Нидерландов,</w:t>
      </w:r>
      <w:r w:rsidR="009D4167">
        <w:t xml:space="preserve"> </w:t>
      </w:r>
      <w:r w:rsidR="009D4167" w:rsidRPr="004625DF">
        <w:rPr>
          <w:lang w:val="ru-RU"/>
        </w:rPr>
        <w:t>Норвегии,</w:t>
      </w:r>
      <w:r w:rsidR="009D4167">
        <w:t xml:space="preserve"> </w:t>
      </w:r>
      <w:r w:rsidR="009D4167" w:rsidRPr="004625DF">
        <w:rPr>
          <w:lang w:val="ru-RU"/>
        </w:rPr>
        <w:t>Соединенного Королевства</w:t>
      </w:r>
      <w:r w:rsidR="00716D63">
        <w:t>,</w:t>
      </w:r>
      <w:r w:rsidR="009D4167">
        <w:t xml:space="preserve"> </w:t>
      </w:r>
      <w:r w:rsidR="009D4167" w:rsidRPr="004625DF">
        <w:rPr>
          <w:lang w:val="ru-RU"/>
        </w:rPr>
        <w:t>Соединенных Штатов Америки</w:t>
      </w:r>
      <w:r w:rsidR="00716D63">
        <w:rPr>
          <w:lang w:val="ru-RU"/>
        </w:rPr>
        <w:t xml:space="preserve"> и </w:t>
      </w:r>
      <w:r w:rsidR="009D4167" w:rsidRPr="004625DF">
        <w:rPr>
          <w:lang w:val="ru-RU"/>
        </w:rPr>
        <w:t>Швеции</w:t>
      </w:r>
      <w:r w:rsidR="00BE771D">
        <w:rPr>
          <w:lang w:val="ru-RU"/>
        </w:rPr>
        <w:t>.</w:t>
      </w:r>
      <w:r w:rsidR="00716D63">
        <w:t xml:space="preserve"> </w:t>
      </w:r>
    </w:p>
    <w:p w14:paraId="283ECACE" w14:textId="4A8EF141" w:rsidR="004570E3" w:rsidRDefault="0094796C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11.</w:t>
      </w:r>
      <w:r>
        <w:tab/>
      </w:r>
      <w:r w:rsidR="004D21E8" w:rsidRPr="004625DF">
        <w:rPr>
          <w:lang w:val="ru-RU"/>
        </w:rPr>
        <w:t xml:space="preserve">На второй раунд (2019 год) к 31 июля 2019 года были объявлены и/или внесены взносы на сумму 2 414 413 долл. США. Донорами являются </w:t>
      </w:r>
      <w:r w:rsidR="004570E3" w:rsidRPr="004625DF">
        <w:rPr>
          <w:lang w:val="ru-RU"/>
        </w:rPr>
        <w:t>Австрия,</w:t>
      </w:r>
      <w:r w:rsidR="004570E3">
        <w:rPr>
          <w:lang w:val="ru-RU"/>
        </w:rPr>
        <w:t xml:space="preserve"> </w:t>
      </w:r>
      <w:r w:rsidR="004570E3" w:rsidRPr="004625DF">
        <w:rPr>
          <w:lang w:val="ru-RU"/>
        </w:rPr>
        <w:t>Германия,</w:t>
      </w:r>
      <w:r w:rsidR="004570E3">
        <w:rPr>
          <w:lang w:val="ru-RU"/>
        </w:rPr>
        <w:t xml:space="preserve"> </w:t>
      </w:r>
      <w:r w:rsidR="004570E3" w:rsidRPr="004625DF">
        <w:rPr>
          <w:lang w:val="ru-RU"/>
        </w:rPr>
        <w:t>Дания,</w:t>
      </w:r>
      <w:r w:rsidR="004570E3">
        <w:rPr>
          <w:lang w:val="ru-RU"/>
        </w:rPr>
        <w:t xml:space="preserve"> </w:t>
      </w:r>
      <w:r w:rsidR="004570E3" w:rsidRPr="004625DF">
        <w:rPr>
          <w:lang w:val="ru-RU"/>
        </w:rPr>
        <w:t>Нидерланды,</w:t>
      </w:r>
      <w:r w:rsidR="004570E3">
        <w:rPr>
          <w:lang w:val="ru-RU"/>
        </w:rPr>
        <w:t xml:space="preserve"> </w:t>
      </w:r>
      <w:r w:rsidR="004570E3" w:rsidRPr="004625DF">
        <w:rPr>
          <w:lang w:val="ru-RU"/>
        </w:rPr>
        <w:t>Норвегия,</w:t>
      </w:r>
      <w:r w:rsidR="004570E3">
        <w:rPr>
          <w:lang w:val="ru-RU"/>
        </w:rPr>
        <w:t xml:space="preserve"> </w:t>
      </w:r>
      <w:r w:rsidR="004570E3" w:rsidRPr="004625DF">
        <w:rPr>
          <w:lang w:val="ru-RU"/>
        </w:rPr>
        <w:t>Соединенное Королевство</w:t>
      </w:r>
      <w:r w:rsidR="004570E3">
        <w:rPr>
          <w:lang w:val="ru-RU"/>
        </w:rPr>
        <w:t xml:space="preserve">, </w:t>
      </w:r>
      <w:r w:rsidR="004570E3" w:rsidRPr="004625DF">
        <w:rPr>
          <w:lang w:val="ru-RU"/>
        </w:rPr>
        <w:t>Соединенные Штаты Америки</w:t>
      </w:r>
      <w:r w:rsidR="00DE7302">
        <w:rPr>
          <w:lang w:val="ru-RU"/>
        </w:rPr>
        <w:t>,</w:t>
      </w:r>
      <w:r w:rsidR="004570E3">
        <w:rPr>
          <w:lang w:val="ru-RU"/>
        </w:rPr>
        <w:t xml:space="preserve"> </w:t>
      </w:r>
      <w:r w:rsidR="004570E3" w:rsidRPr="004625DF">
        <w:rPr>
          <w:lang w:val="ru-RU"/>
        </w:rPr>
        <w:t>Швейцария</w:t>
      </w:r>
      <w:r w:rsidR="00DE7302" w:rsidRPr="00DE7302">
        <w:rPr>
          <w:lang w:val="ru-RU"/>
        </w:rPr>
        <w:t xml:space="preserve"> </w:t>
      </w:r>
      <w:r w:rsidR="00DE7302">
        <w:rPr>
          <w:lang w:val="ru-RU"/>
        </w:rPr>
        <w:t xml:space="preserve">и </w:t>
      </w:r>
      <w:r w:rsidR="004570E3" w:rsidRPr="004625DF">
        <w:rPr>
          <w:lang w:val="ru-RU"/>
        </w:rPr>
        <w:t>Швеция</w:t>
      </w:r>
      <w:r w:rsidR="00DE7302">
        <w:rPr>
          <w:lang w:val="ru-RU"/>
        </w:rPr>
        <w:t>.</w:t>
      </w:r>
    </w:p>
    <w:p w14:paraId="429087B5" w14:textId="3AD9679D" w:rsidR="00CE62B0" w:rsidRPr="004625DF" w:rsidRDefault="0094796C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12.</w:t>
      </w:r>
      <w:r>
        <w:tab/>
      </w:r>
      <w:r w:rsidR="00860BC0" w:rsidRPr="004625DF">
        <w:rPr>
          <w:lang w:val="ru-RU"/>
        </w:rPr>
        <w:t>Объявленные и внесенные взносы на второй раунд (2019 год) почти вдвое превышают сумму, предоставленную для первого раунда, что свидетельствует о высоком доверии доноров к Программе</w:t>
      </w:r>
      <w:r w:rsidR="00CE62B0" w:rsidRPr="004625DF">
        <w:rPr>
          <w:lang w:val="ru-RU"/>
        </w:rPr>
        <w:t xml:space="preserve">. </w:t>
      </w:r>
    </w:p>
    <w:p w14:paraId="3DB309C3" w14:textId="0CB8D776" w:rsidR="00CE62B0" w:rsidRPr="004625DF" w:rsidRDefault="0094796C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13.</w:t>
      </w:r>
      <w:r>
        <w:tab/>
      </w:r>
      <w:r w:rsidR="00693632" w:rsidRPr="004625DF">
        <w:rPr>
          <w:lang w:val="ru-RU"/>
        </w:rPr>
        <w:t>Помимо субсидий, предоставляемых правительствам стран, успешно прошедших отбор, расходы, связанные с осуществлением Целевой международной программы, включая расходы на проведение совещаний, также должны финансироваться за счет добровольных взносов, поступающих в Целевой фонд для этой программы (МК-1/6, приложение II</w:t>
      </w:r>
      <w:r w:rsidR="00CE62B0" w:rsidRPr="004625DF">
        <w:rPr>
          <w:lang w:val="ru-RU"/>
        </w:rPr>
        <w:t xml:space="preserve">). </w:t>
      </w:r>
    </w:p>
    <w:p w14:paraId="188A63F8" w14:textId="18803675" w:rsidR="00CE62B0" w:rsidRPr="004625DF" w:rsidRDefault="00707B82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14.</w:t>
      </w:r>
      <w:r>
        <w:tab/>
      </w:r>
      <w:r w:rsidR="00823F49" w:rsidRPr="004625DF">
        <w:rPr>
          <w:lang w:val="ru-RU"/>
        </w:rPr>
        <w:t xml:space="preserve">Следует также отметить, что, несмотря на существенное увеличение объема средств, имеющихся в Особом целевом фонде для второго раунда, объем финансирования каждого раунда составил лишь половину от запрашиваемой суммы, указанной в полученных заявках. </w:t>
      </w:r>
      <w:r w:rsidR="00A26D24" w:rsidRPr="004625DF">
        <w:rPr>
          <w:lang w:val="ru-RU"/>
        </w:rPr>
        <w:lastRenderedPageBreak/>
        <w:t>Для второго раунда общая запрошенная сумма по двадцати полученным заявкам составила 4 284 393 долл. США</w:t>
      </w:r>
      <w:r w:rsidR="00CE62B0" w:rsidRPr="004625DF">
        <w:rPr>
          <w:lang w:val="ru-RU"/>
        </w:rPr>
        <w:t>.</w:t>
      </w:r>
    </w:p>
    <w:p w14:paraId="1029EAAD" w14:textId="63D4CB53" w:rsidR="00CE62B0" w:rsidRPr="004625DF" w:rsidRDefault="00707B82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15.</w:t>
      </w:r>
      <w:r>
        <w:tab/>
      </w:r>
      <w:r w:rsidR="00510619" w:rsidRPr="004625DF">
        <w:rPr>
          <w:lang w:val="ru-RU"/>
        </w:rPr>
        <w:t>В соответствии с представленными руководящими указаниями (МК-1/6, приложение I) ресурсы для Программы будут включать финансовые взносы, а также взносы в натуральной форме и экспертные знания.</w:t>
      </w:r>
      <w:r w:rsidR="00CE62B0" w:rsidRPr="004625DF">
        <w:rPr>
          <w:lang w:val="ru-RU"/>
        </w:rPr>
        <w:t xml:space="preserve"> </w:t>
      </w:r>
      <w:r w:rsidR="00510619" w:rsidRPr="004625DF">
        <w:rPr>
          <w:lang w:val="ru-RU"/>
        </w:rPr>
        <w:t xml:space="preserve">Приветствуется предоставление ресурсов широким кругом источников. К ним относятся все Стороны Минаматской конвенции, имеющие возможность вносить свой вклад, а также другие соответствующие заинтересованные субъекты, включая правительства, частный сектор, фонды, неправительственные организации, межправительственные организации, научные круги и другие субъекты гражданского общества. </w:t>
      </w:r>
      <w:r w:rsidR="00EE1031" w:rsidRPr="004625DF">
        <w:rPr>
          <w:lang w:val="ru-RU"/>
        </w:rPr>
        <w:t xml:space="preserve">Далее, секретариату в консультации с Правлением следует разработать стратегию мобилизации ресурсов для Программы для достижения цели Конвенции и привлечения широкого круга доноров. </w:t>
      </w:r>
      <w:r w:rsidR="00F82DE2" w:rsidRPr="004625DF">
        <w:rPr>
          <w:lang w:val="ru-RU"/>
        </w:rPr>
        <w:t xml:space="preserve">Секретариат подготовил документ «Элементы стратегии мобилизации ресурсов для Целевой международной программы» для рассмотрения Правлением на его первом совещании (май 2018 года). </w:t>
      </w:r>
      <w:r w:rsidR="002C1336" w:rsidRPr="004625DF">
        <w:rPr>
          <w:lang w:val="ru-RU"/>
        </w:rPr>
        <w:t xml:space="preserve">Правление подробно обсудило этот вопрос на своих первом, втором и третьем совещаниях (см. соответствующие доклады). </w:t>
      </w:r>
      <w:r w:rsidR="009C4851" w:rsidRPr="004625DF">
        <w:rPr>
          <w:lang w:val="ru-RU"/>
        </w:rPr>
        <w:t>Правление неоднократно выражало и вновь выразило на своем третьем заседании признательность донорам за их взносы в Целевую международную программу. Признавая, что Программа ограничена по срокам (см. пункт 3 с) выше), Правление пришло к следующим выводам:</w:t>
      </w:r>
      <w:r w:rsidR="00CE62B0" w:rsidRPr="004625DF">
        <w:rPr>
          <w:lang w:val="ru-RU"/>
        </w:rPr>
        <w:t xml:space="preserve"> </w:t>
      </w:r>
    </w:p>
    <w:p w14:paraId="331CB090" w14:textId="29C878F6" w:rsidR="00CE62B0" w:rsidRPr="004625DF" w:rsidRDefault="00E03DC9" w:rsidP="00E03D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a)</w:t>
      </w:r>
      <w:r>
        <w:tab/>
      </w:r>
      <w:r w:rsidR="00743A40" w:rsidRPr="004625DF">
        <w:rPr>
          <w:lang w:val="ru-RU"/>
        </w:rPr>
        <w:t>важно применять реалистичные и поэтапные подходы к мобилизации ресурсов для Программы</w:t>
      </w:r>
      <w:r w:rsidR="00CE62B0" w:rsidRPr="004625DF">
        <w:rPr>
          <w:lang w:val="ru-RU"/>
        </w:rPr>
        <w:t>;</w:t>
      </w:r>
    </w:p>
    <w:p w14:paraId="6EAE4340" w14:textId="5B9B49A8" w:rsidR="00CE62B0" w:rsidRPr="004625DF" w:rsidRDefault="00E03DC9" w:rsidP="00E03D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b)</w:t>
      </w:r>
      <w:r>
        <w:tab/>
      </w:r>
      <w:r w:rsidR="00840454" w:rsidRPr="004625DF">
        <w:rPr>
          <w:lang w:val="ru-RU"/>
        </w:rPr>
        <w:t>настоятельно необходимо демонстрировать донорам ценность их инвестиций в Программу, чтобы сохранить их поддержку и мотивировать новых доноров присоединиться к Программе в качестве доноров</w:t>
      </w:r>
      <w:r w:rsidR="00CE62B0" w:rsidRPr="004625DF">
        <w:rPr>
          <w:lang w:val="ru-RU"/>
        </w:rPr>
        <w:t>;</w:t>
      </w:r>
    </w:p>
    <w:p w14:paraId="2E56DE45" w14:textId="7B14E4EE" w:rsidR="00CE62B0" w:rsidRPr="004625DF" w:rsidRDefault="00E03DC9" w:rsidP="00E03D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c)</w:t>
      </w:r>
      <w:r>
        <w:tab/>
      </w:r>
      <w:r w:rsidR="00B042B1" w:rsidRPr="004625DF">
        <w:rPr>
          <w:lang w:val="ru-RU"/>
        </w:rPr>
        <w:t>в распоряжении развивающихся стран имеется шесть источников поддержки для осуществления</w:t>
      </w:r>
      <w:r w:rsidR="00707B82" w:rsidRPr="00707B82">
        <w:rPr>
          <w:vertAlign w:val="superscript"/>
          <w:lang w:val="ru-RU"/>
        </w:rPr>
        <w:footnoteReference w:id="24"/>
      </w:r>
      <w:r w:rsidR="00CE62B0" w:rsidRPr="004625DF">
        <w:rPr>
          <w:lang w:val="ru-RU"/>
        </w:rPr>
        <w:t xml:space="preserve">; </w:t>
      </w:r>
      <w:r w:rsidR="00B042B1" w:rsidRPr="004625DF">
        <w:rPr>
          <w:lang w:val="ru-RU"/>
        </w:rPr>
        <w:t>и</w:t>
      </w:r>
    </w:p>
    <w:p w14:paraId="5599C5D2" w14:textId="26F14365" w:rsidR="00CE62B0" w:rsidRPr="004625DF" w:rsidRDefault="00E03DC9" w:rsidP="00E03D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d)</w:t>
      </w:r>
      <w:r>
        <w:tab/>
      </w:r>
      <w:r w:rsidR="00854A3F" w:rsidRPr="004625DF">
        <w:rPr>
          <w:lang w:val="ru-RU"/>
        </w:rPr>
        <w:t>в ближайшей перспективе секретариат сосредоточит внимание на нескольких ощутимых областях усилий в поддержку мобилизации ресурсов посредством стратегической коммуникации</w:t>
      </w:r>
      <w:r w:rsidR="00CE62B0" w:rsidRPr="004625DF">
        <w:rPr>
          <w:lang w:val="ru-RU"/>
        </w:rPr>
        <w:t>.</w:t>
      </w:r>
    </w:p>
    <w:p w14:paraId="0746F171" w14:textId="1E53CD17" w:rsidR="00CE62B0" w:rsidRPr="005C6AA3" w:rsidRDefault="0025781D" w:rsidP="005C6AA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5C6AA3">
        <w:rPr>
          <w:b/>
          <w:bCs/>
          <w:lang w:val="ru-RU"/>
        </w:rPr>
        <w:tab/>
        <w:t>4.</w:t>
      </w:r>
      <w:r w:rsidRPr="005C6AA3">
        <w:rPr>
          <w:b/>
          <w:bCs/>
          <w:lang w:val="ru-RU"/>
        </w:rPr>
        <w:tab/>
      </w:r>
      <w:r w:rsidR="00AF7519" w:rsidRPr="005C6AA3">
        <w:rPr>
          <w:b/>
          <w:bCs/>
          <w:lang w:val="ru-RU"/>
        </w:rPr>
        <w:t xml:space="preserve">Руководящие </w:t>
      </w:r>
      <w:r w:rsidR="002A09DE" w:rsidRPr="005C6AA3">
        <w:rPr>
          <w:b/>
          <w:bCs/>
          <w:lang w:val="ru-RU"/>
        </w:rPr>
        <w:t>указания</w:t>
      </w:r>
      <w:r w:rsidR="00AF7519" w:rsidRPr="005C6AA3">
        <w:rPr>
          <w:b/>
          <w:bCs/>
          <w:lang w:val="ru-RU"/>
        </w:rPr>
        <w:t>, предоставленные Конференцией Сторон</w:t>
      </w:r>
    </w:p>
    <w:p w14:paraId="47A941F5" w14:textId="6BE0FD91" w:rsidR="00CE62B0" w:rsidRPr="004625DF" w:rsidRDefault="00E03DC9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16.</w:t>
      </w:r>
      <w:r>
        <w:tab/>
      </w:r>
      <w:r w:rsidR="002A09DE" w:rsidRPr="004625DF">
        <w:rPr>
          <w:lang w:val="ru-RU"/>
        </w:rPr>
        <w:t>Руководящие указания, предоставленные Конференцией Сторон в отношении сферы охвата, правомочности, операций и ресурсов (МК-1/6, приложение I), являются четкими и полезными</w:t>
      </w:r>
      <w:r w:rsidR="00CE62B0" w:rsidRPr="004625DF">
        <w:rPr>
          <w:lang w:val="ru-RU"/>
        </w:rPr>
        <w:t>.</w:t>
      </w:r>
    </w:p>
    <w:p w14:paraId="43543FE7" w14:textId="3CE95C90" w:rsidR="00CE62B0" w:rsidRPr="004625DF" w:rsidRDefault="00E03DC9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17.</w:t>
      </w:r>
      <w:r>
        <w:tab/>
      </w:r>
      <w:r w:rsidR="008328C1" w:rsidRPr="004625DF">
        <w:rPr>
          <w:lang w:val="ru-RU"/>
        </w:rPr>
        <w:t xml:space="preserve">Правление осуществляет надзор за деятельностью в рамках Целевой международной программы и обеспечивает выполнение полученных указаний. </w:t>
      </w:r>
      <w:r w:rsidR="00990FF8" w:rsidRPr="004625DF">
        <w:rPr>
          <w:lang w:val="ru-RU"/>
        </w:rPr>
        <w:t>Руководящие указания и круг ведения, сформулированные Конференцией Сторон, были включены в Правила процедуры, принятые Правлением, а также в согласованные критерии оценки и рамки для принятия решений.</w:t>
      </w:r>
      <w:r w:rsidR="00CE62B0" w:rsidRPr="004625DF">
        <w:rPr>
          <w:lang w:val="ru-RU"/>
        </w:rPr>
        <w:t xml:space="preserve"> </w:t>
      </w:r>
      <w:r w:rsidR="00990FF8" w:rsidRPr="004625DF">
        <w:rPr>
          <w:lang w:val="ru-RU"/>
        </w:rPr>
        <w:t>Правление обеспечивает, чтобы эта программа осуществлялась по инициативе стран, дополняла, а не дублировала другие существующие механизмы в целях создания потенциала и оказания технической поддержки, основывалась на приобретенном опыте и соответствовала комплексному подходу к финансированию рационального регулирования химических веществ и отходов, имеющему отношение к Конвенции</w:t>
      </w:r>
      <w:r w:rsidR="00CE62B0" w:rsidRPr="004625DF">
        <w:rPr>
          <w:lang w:val="ru-RU"/>
        </w:rPr>
        <w:t xml:space="preserve">. </w:t>
      </w:r>
    </w:p>
    <w:p w14:paraId="122449FA" w14:textId="2DF5E8A1" w:rsidR="0025781D" w:rsidRPr="004625DF" w:rsidRDefault="00E03DC9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18.</w:t>
      </w:r>
      <w:r>
        <w:tab/>
      </w:r>
      <w:r w:rsidR="009F1020" w:rsidRPr="004625DF">
        <w:rPr>
          <w:lang w:val="ru-RU"/>
        </w:rPr>
        <w:t>Правление и секретариат уделили особое внимание тому, чтобы избежать дублирования и параллелизма с другими существующими механизмами</w:t>
      </w:r>
      <w:r w:rsidR="00CE62B0" w:rsidRPr="004625DF">
        <w:rPr>
          <w:lang w:val="ru-RU"/>
        </w:rPr>
        <w:t xml:space="preserve">. </w:t>
      </w:r>
      <w:r w:rsidR="00BC3E2F" w:rsidRPr="004625DF">
        <w:rPr>
          <w:lang w:val="ru-RU"/>
        </w:rPr>
        <w:t>Представители Глобального экологического фонда и Специальной программы институционального укрепления внесли свой вклад в оценку заявок на участие в первом и втором раундах, с тем чтобы обеспечить взаимодополняемость проектов и избежать дублирования финансирования.</w:t>
      </w:r>
      <w:r w:rsidR="00CE62B0" w:rsidRPr="004625DF">
        <w:rPr>
          <w:lang w:val="ru-RU"/>
        </w:rPr>
        <w:t xml:space="preserve"> </w:t>
      </w:r>
      <w:r w:rsidR="0037340B" w:rsidRPr="004625DF">
        <w:rPr>
          <w:lang w:val="ru-RU"/>
        </w:rPr>
        <w:t>По приглашению Правления они также приняли участие во втором совещании в качестве наблюдателей.</w:t>
      </w:r>
      <w:r w:rsidR="0025781D" w:rsidRPr="004625DF">
        <w:rPr>
          <w:lang w:val="ru-RU"/>
        </w:rPr>
        <w:t xml:space="preserve"> </w:t>
      </w:r>
    </w:p>
    <w:p w14:paraId="1536B31F" w14:textId="00D23112" w:rsidR="00CE62B0" w:rsidRPr="004625DF" w:rsidRDefault="006827CB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lastRenderedPageBreak/>
        <w:t>19.</w:t>
      </w:r>
      <w:r>
        <w:tab/>
      </w:r>
      <w:r w:rsidR="00B774D0" w:rsidRPr="004625DF">
        <w:rPr>
          <w:lang w:val="ru-RU"/>
        </w:rPr>
        <w:t>Правление и секретариат также уделили особое внимание привлечению соответствующих специалистов в рамках секретариата Минаматской конвенции и соответствующих международных правительственных организаций к технической и программной оценке заявок</w:t>
      </w:r>
      <w:r w:rsidR="00CE62B0" w:rsidRPr="004625DF">
        <w:rPr>
          <w:lang w:val="ru-RU"/>
        </w:rPr>
        <w:t xml:space="preserve">. </w:t>
      </w:r>
      <w:r w:rsidR="00545358" w:rsidRPr="004625DF">
        <w:rPr>
          <w:lang w:val="ru-RU"/>
        </w:rPr>
        <w:t>С представителями Глобального экологического фонда (в 2018 и 2019 годах), Специальной программы институционального укрепления (в 2018 и 2019 годах) и Глобального партнерства по ртути (в 2019 году) были проведены консультации по их техническим и другим соображениям, касающимся оценки заявок</w:t>
      </w:r>
      <w:r w:rsidR="00CE62B0" w:rsidRPr="004625DF">
        <w:rPr>
          <w:lang w:val="ru-RU"/>
        </w:rPr>
        <w:t>.</w:t>
      </w:r>
    </w:p>
    <w:p w14:paraId="6E8261AF" w14:textId="44068246" w:rsidR="00CE62B0" w:rsidRPr="005C6AA3" w:rsidRDefault="0025781D" w:rsidP="005C6AA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5C6AA3">
        <w:rPr>
          <w:b/>
          <w:bCs/>
          <w:lang w:val="ru-RU"/>
        </w:rPr>
        <w:tab/>
        <w:t>5.</w:t>
      </w:r>
      <w:r w:rsidRPr="005C6AA3">
        <w:rPr>
          <w:b/>
          <w:bCs/>
          <w:lang w:val="ru-RU"/>
        </w:rPr>
        <w:tab/>
      </w:r>
      <w:r w:rsidR="0087254A" w:rsidRPr="005C6AA3">
        <w:rPr>
          <w:b/>
          <w:bCs/>
          <w:lang w:val="ru-RU"/>
        </w:rPr>
        <w:t>Эффективность Программы и способность удовлетворять изменяющиеся потребности Сторон, являющихся развивающимися странами и</w:t>
      </w:r>
      <w:r w:rsidR="003761C0">
        <w:rPr>
          <w:b/>
          <w:bCs/>
          <w:lang w:val="ru-RU"/>
        </w:rPr>
        <w:t xml:space="preserve"> странами</w:t>
      </w:r>
      <w:r w:rsidR="0087254A" w:rsidRPr="005C6AA3">
        <w:rPr>
          <w:b/>
          <w:bCs/>
          <w:lang w:val="ru-RU"/>
        </w:rPr>
        <w:t xml:space="preserve"> с переходной экономикой, а также накопленный опыт</w:t>
      </w:r>
    </w:p>
    <w:p w14:paraId="1AEA63F9" w14:textId="349FB5D0" w:rsidR="00CE62B0" w:rsidRPr="004625DF" w:rsidRDefault="006827CB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20.</w:t>
      </w:r>
      <w:r>
        <w:tab/>
      </w:r>
      <w:r w:rsidR="00FF0F15" w:rsidRPr="004625DF">
        <w:rPr>
          <w:lang w:val="ru-RU"/>
        </w:rPr>
        <w:t xml:space="preserve">Согласно МК-1/6 определены следующие ожидаемые результаты Целевой международной программы: </w:t>
      </w:r>
      <w:r w:rsidR="00FF0F15" w:rsidRPr="006827CB">
        <w:rPr>
          <w:i/>
          <w:iCs/>
          <w:lang w:val="ru-RU"/>
        </w:rPr>
        <w:t xml:space="preserve">поддержка процессов создания потенциала и оказания технической помощи, предоставляемая целевой международной программой, позволит повысить потенциал Сторон, являющихся развивающимися странами и </w:t>
      </w:r>
      <w:r w:rsidR="003761C0">
        <w:rPr>
          <w:i/>
          <w:iCs/>
          <w:lang w:val="ru-RU"/>
        </w:rPr>
        <w:t>странами</w:t>
      </w:r>
      <w:r w:rsidR="00FF0F15" w:rsidRPr="006827CB">
        <w:rPr>
          <w:i/>
          <w:iCs/>
          <w:lang w:val="ru-RU"/>
        </w:rPr>
        <w:t xml:space="preserve"> с переходной экономикой, в соблюдении ими своих обязательств, предусмотренных в Конвенции</w:t>
      </w:r>
      <w:r w:rsidR="00FF0F15" w:rsidRPr="004625DF">
        <w:rPr>
          <w:lang w:val="ru-RU"/>
        </w:rPr>
        <w:t>.</w:t>
      </w:r>
    </w:p>
    <w:p w14:paraId="2D0A026D" w14:textId="18313B16" w:rsidR="00CE62B0" w:rsidRPr="004625DF" w:rsidRDefault="006827CB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21.</w:t>
      </w:r>
      <w:r>
        <w:tab/>
      </w:r>
      <w:r w:rsidR="00E96C1E" w:rsidRPr="004625DF">
        <w:rPr>
          <w:lang w:val="ru-RU"/>
        </w:rPr>
        <w:t xml:space="preserve">Следует отметить, что, учитывая, что только на первом совещании Конференции Сторон в сентябре 2017 года были приняты соглашения об обслуживании, руководящие указания в отношении мероприятий, продолжительности и круга ведения Программы (МК-1/6) и, несмотря на быстрое начало практической деятельности после принятия этого решения Правлением и секретариатом (см. выше), Программа действует лишь 18 месяцев. </w:t>
      </w:r>
      <w:r w:rsidR="00AB08B6" w:rsidRPr="004625DF">
        <w:rPr>
          <w:lang w:val="ru-RU"/>
        </w:rPr>
        <w:t xml:space="preserve">Первый раунд рассмотрения заявок завершен в 2018 году, и второй раунд рассмотрения заявок будет завершен в сентябре 2019 года. </w:t>
      </w:r>
      <w:r w:rsidR="00821F1A" w:rsidRPr="004625DF">
        <w:rPr>
          <w:lang w:val="ru-RU"/>
        </w:rPr>
        <w:t xml:space="preserve">Реализация четырех из пяти утвержденных проектов первого раунда началась во втором квартале 2019 года. </w:t>
      </w:r>
      <w:r w:rsidR="00C72FCF" w:rsidRPr="004625DF">
        <w:rPr>
          <w:lang w:val="ru-RU"/>
        </w:rPr>
        <w:t xml:space="preserve">(Реализация пятого проекта начнется после подписания юридического соглашения.) Кроме того, поскольку продолжительность утвержденных проектов составляет около трех лет, окончательные отчеты по проектам первого раунда ожидаются только после закрытия окончательных счетов. </w:t>
      </w:r>
      <w:r w:rsidR="0097780B" w:rsidRPr="004625DF">
        <w:rPr>
          <w:lang w:val="ru-RU"/>
        </w:rPr>
        <w:t>Поэтому Правление пришло к выводу, что на данном этапе преждевременно оценивать эффективность Программы или ее способность удовлетворять меняющиеся потребности Сторон, являющихся развивающимися странами, и Сторон с переходной экономикой на основе всего 18-месячного периода функционирования, помимо фактической информации, содержащейся в настоящей записке и приложениях к ней</w:t>
      </w:r>
      <w:r w:rsidR="00CE62B0" w:rsidRPr="004625DF">
        <w:rPr>
          <w:lang w:val="ru-RU"/>
        </w:rPr>
        <w:t xml:space="preserve">. </w:t>
      </w:r>
    </w:p>
    <w:p w14:paraId="740BE790" w14:textId="551F4747" w:rsidR="00CE62B0" w:rsidRPr="004625DF" w:rsidRDefault="006827CB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22.</w:t>
      </w:r>
      <w:r>
        <w:tab/>
      </w:r>
      <w:r w:rsidR="00CB6C5F" w:rsidRPr="004625DF">
        <w:rPr>
          <w:lang w:val="ru-RU"/>
        </w:rPr>
        <w:t xml:space="preserve">Для информации в приложении I к настоящей записке представлены две диаграммы заявок, полученных в первом раунде (2018 год), и еще две диаграммы заявок, полученных во втором раунде (2019 год), представлены в приложении II. </w:t>
      </w:r>
      <w:r w:rsidR="003507A8" w:rsidRPr="004625DF">
        <w:rPr>
          <w:lang w:val="ru-RU"/>
        </w:rPr>
        <w:t xml:space="preserve">Дополнительная информация содержится в </w:t>
      </w:r>
      <w:proofErr w:type="spellStart"/>
      <w:r w:rsidR="003507A8" w:rsidRPr="004625DF">
        <w:rPr>
          <w:lang w:val="ru-RU"/>
        </w:rPr>
        <w:t>UNEP</w:t>
      </w:r>
      <w:proofErr w:type="spellEnd"/>
      <w:r w:rsidR="003507A8" w:rsidRPr="004625DF">
        <w:rPr>
          <w:lang w:val="ru-RU"/>
        </w:rPr>
        <w:t>/</w:t>
      </w:r>
      <w:proofErr w:type="spellStart"/>
      <w:r w:rsidR="003507A8" w:rsidRPr="004625DF">
        <w:rPr>
          <w:lang w:val="ru-RU"/>
        </w:rPr>
        <w:t>MC</w:t>
      </w:r>
      <w:proofErr w:type="spellEnd"/>
      <w:r w:rsidR="003507A8" w:rsidRPr="004625DF">
        <w:rPr>
          <w:lang w:val="ru-RU"/>
        </w:rPr>
        <w:t>/</w:t>
      </w:r>
      <w:proofErr w:type="spellStart"/>
      <w:r w:rsidR="003507A8" w:rsidRPr="004625DF">
        <w:rPr>
          <w:lang w:val="ru-RU"/>
        </w:rPr>
        <w:t>COP</w:t>
      </w:r>
      <w:r w:rsidR="00BA5DD6">
        <w:rPr>
          <w:lang w:val="ru-RU"/>
        </w:rPr>
        <w:t>.</w:t>
      </w:r>
      <w:r w:rsidR="003507A8" w:rsidRPr="004625DF">
        <w:rPr>
          <w:lang w:val="ru-RU"/>
        </w:rPr>
        <w:t>3</w:t>
      </w:r>
      <w:proofErr w:type="spellEnd"/>
      <w:r w:rsidR="003507A8" w:rsidRPr="004625DF">
        <w:rPr>
          <w:lang w:val="ru-RU"/>
        </w:rPr>
        <w:t xml:space="preserve">/10, общем докладе о Целевой международной программе поддержки создания потенциала и технической помощи и </w:t>
      </w:r>
      <w:proofErr w:type="spellStart"/>
      <w:r w:rsidR="003507A8" w:rsidRPr="004625DF">
        <w:rPr>
          <w:lang w:val="ru-RU"/>
        </w:rPr>
        <w:t>UNEP</w:t>
      </w:r>
      <w:proofErr w:type="spellEnd"/>
      <w:r w:rsidR="003507A8" w:rsidRPr="004625DF">
        <w:rPr>
          <w:lang w:val="ru-RU"/>
        </w:rPr>
        <w:t>/</w:t>
      </w:r>
      <w:proofErr w:type="spellStart"/>
      <w:r w:rsidR="003507A8" w:rsidRPr="004625DF">
        <w:rPr>
          <w:lang w:val="ru-RU"/>
        </w:rPr>
        <w:t>MC</w:t>
      </w:r>
      <w:proofErr w:type="spellEnd"/>
      <w:r w:rsidR="003507A8" w:rsidRPr="004625DF">
        <w:rPr>
          <w:lang w:val="ru-RU"/>
        </w:rPr>
        <w:t>/</w:t>
      </w:r>
      <w:proofErr w:type="spellStart"/>
      <w:r w:rsidR="003507A8" w:rsidRPr="004625DF">
        <w:rPr>
          <w:lang w:val="ru-RU"/>
        </w:rPr>
        <w:t>COP</w:t>
      </w:r>
      <w:r w:rsidR="00BA5DD6">
        <w:rPr>
          <w:lang w:val="ru-RU"/>
        </w:rPr>
        <w:t>.</w:t>
      </w:r>
      <w:r w:rsidR="003507A8" w:rsidRPr="004625DF">
        <w:rPr>
          <w:lang w:val="ru-RU"/>
        </w:rPr>
        <w:t>3</w:t>
      </w:r>
      <w:proofErr w:type="spellEnd"/>
      <w:r w:rsidR="003507A8" w:rsidRPr="004625DF">
        <w:rPr>
          <w:lang w:val="ru-RU"/>
        </w:rPr>
        <w:t>/10/</w:t>
      </w:r>
      <w:proofErr w:type="spellStart"/>
      <w:r w:rsidR="003507A8" w:rsidRPr="004625DF">
        <w:rPr>
          <w:lang w:val="ru-RU"/>
        </w:rPr>
        <w:t>Add.1</w:t>
      </w:r>
      <w:proofErr w:type="spellEnd"/>
      <w:r w:rsidR="003507A8" w:rsidRPr="004625DF">
        <w:rPr>
          <w:lang w:val="ru-RU"/>
        </w:rPr>
        <w:t>, о Правлении Целевой международной программы поддержки создания потенциала и технической помощи</w:t>
      </w:r>
      <w:r w:rsidR="00CE62B0" w:rsidRPr="004625DF">
        <w:rPr>
          <w:lang w:val="ru-RU"/>
        </w:rPr>
        <w:t>.</w:t>
      </w:r>
    </w:p>
    <w:p w14:paraId="07BF6299" w14:textId="21ECB485" w:rsidR="00CE62B0" w:rsidRPr="004625DF" w:rsidRDefault="006827CB" w:rsidP="004625D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23.</w:t>
      </w:r>
      <w:r>
        <w:tab/>
      </w:r>
      <w:r w:rsidR="007C4737" w:rsidRPr="004625DF">
        <w:rPr>
          <w:lang w:val="ru-RU"/>
        </w:rPr>
        <w:t xml:space="preserve">Один из уроков, извлеченных в отношении эффективности Программы за последние </w:t>
      </w:r>
      <w:r w:rsidR="00BA5DD6">
        <w:rPr>
          <w:lang w:val="ru-RU"/>
        </w:rPr>
        <w:t>18 </w:t>
      </w:r>
      <w:r w:rsidR="007C4737" w:rsidRPr="004625DF">
        <w:rPr>
          <w:lang w:val="ru-RU"/>
        </w:rPr>
        <w:t>месяцев ее функционирования, заключается в необходимости наличия достаточного штата сотрудников секретариата для поддержки работы Правления и обеспечения полного набора секретариатских услуг, необходимых для функционирования Программы, в том числе</w:t>
      </w:r>
      <w:r w:rsidR="00CE62B0" w:rsidRPr="004625DF">
        <w:rPr>
          <w:lang w:val="ru-RU"/>
        </w:rPr>
        <w:t xml:space="preserve">: </w:t>
      </w:r>
    </w:p>
    <w:p w14:paraId="54362E9E" w14:textId="436669B9" w:rsidR="00CE62B0" w:rsidRPr="004625DF" w:rsidRDefault="00B83D05" w:rsidP="00B83D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proofErr w:type="spellStart"/>
      <w:r>
        <w:t>i</w:t>
      </w:r>
      <w:proofErr w:type="spellEnd"/>
      <w:r>
        <w:t>)</w:t>
      </w:r>
      <w:r>
        <w:tab/>
      </w:r>
      <w:r w:rsidR="002A2FA6" w:rsidRPr="004625DF">
        <w:rPr>
          <w:lang w:val="ru-RU"/>
        </w:rPr>
        <w:t>для запуска раундов по заявкам,</w:t>
      </w:r>
      <w:r w:rsidR="00CE62B0" w:rsidRPr="004625DF">
        <w:rPr>
          <w:lang w:val="ru-RU"/>
        </w:rPr>
        <w:t xml:space="preserve"> </w:t>
      </w:r>
    </w:p>
    <w:p w14:paraId="3DA75597" w14:textId="09855109" w:rsidR="00CE62B0" w:rsidRPr="004625DF" w:rsidRDefault="00B83D05" w:rsidP="00B83D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>
        <w:t>ii)</w:t>
      </w:r>
      <w:r>
        <w:tab/>
      </w:r>
      <w:r w:rsidR="007370A4" w:rsidRPr="004625DF">
        <w:rPr>
          <w:lang w:val="ru-RU"/>
        </w:rPr>
        <w:t>для рассмотрения и оценки заявок,</w:t>
      </w:r>
      <w:r w:rsidR="00CE62B0" w:rsidRPr="004625DF">
        <w:rPr>
          <w:lang w:val="ru-RU"/>
        </w:rPr>
        <w:t xml:space="preserve"> </w:t>
      </w:r>
    </w:p>
    <w:p w14:paraId="578B54CD" w14:textId="66E63CA4" w:rsidR="00CE62B0" w:rsidRPr="004625DF" w:rsidRDefault="00B83D05" w:rsidP="00B83D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>
        <w:t>iii)</w:t>
      </w:r>
      <w:r>
        <w:tab/>
      </w:r>
      <w:r w:rsidR="008D6177" w:rsidRPr="004625DF">
        <w:rPr>
          <w:lang w:val="ru-RU"/>
        </w:rPr>
        <w:t>для реализации решений Правления</w:t>
      </w:r>
      <w:r w:rsidR="00CE62B0" w:rsidRPr="004625DF">
        <w:rPr>
          <w:lang w:val="ru-RU"/>
        </w:rPr>
        <w:t xml:space="preserve">, </w:t>
      </w:r>
    </w:p>
    <w:p w14:paraId="1741193D" w14:textId="17E1636A" w:rsidR="00CE62B0" w:rsidRPr="004625DF" w:rsidRDefault="00B83D05" w:rsidP="00B83D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>
        <w:t>iv)</w:t>
      </w:r>
      <w:r>
        <w:tab/>
      </w:r>
      <w:r w:rsidR="00044D0C" w:rsidRPr="004625DF">
        <w:rPr>
          <w:lang w:val="ru-RU"/>
        </w:rPr>
        <w:t>для доработки планов осуществления проектов с правительствами стран, успешно прошедших отбор</w:t>
      </w:r>
      <w:r w:rsidR="00CE62B0" w:rsidRPr="004625DF">
        <w:rPr>
          <w:lang w:val="ru-RU"/>
        </w:rPr>
        <w:t xml:space="preserve">, </w:t>
      </w:r>
    </w:p>
    <w:p w14:paraId="3771E7B1" w14:textId="2B099D5F" w:rsidR="00CE62B0" w:rsidRPr="004625DF" w:rsidRDefault="00B83D05" w:rsidP="00B83D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>
        <w:t>v)</w:t>
      </w:r>
      <w:r>
        <w:tab/>
      </w:r>
      <w:r w:rsidR="00917F68" w:rsidRPr="004625DF">
        <w:rPr>
          <w:lang w:val="ru-RU"/>
        </w:rPr>
        <w:t>для выполнения последующих обязанностей по управлению каждым проектом (управлению фондами, заключению юридических соглашений, периодическим выплатам средств, периодическому мониторингу проектов, периодической и окончательной отчетности, закрытию проектов, коммуникации по проектам, донорской отчетности</w:t>
      </w:r>
      <w:r w:rsidR="00CE62B0" w:rsidRPr="004625DF">
        <w:rPr>
          <w:lang w:val="ru-RU"/>
        </w:rPr>
        <w:t>).</w:t>
      </w:r>
    </w:p>
    <w:p w14:paraId="27D2436D" w14:textId="77777777" w:rsidR="00CE62B0" w:rsidRPr="0071386C" w:rsidRDefault="00CE62B0" w:rsidP="0025781D">
      <w:pPr>
        <w:pStyle w:val="Normal-pool"/>
        <w:rPr>
          <w:lang w:val="ru-RU"/>
        </w:rPr>
      </w:pPr>
      <w:r w:rsidRPr="0071386C">
        <w:rPr>
          <w:lang w:val="ru-RU"/>
        </w:rPr>
        <w:br w:type="page"/>
      </w:r>
    </w:p>
    <w:p w14:paraId="48716312" w14:textId="30FDF60F" w:rsidR="00CE62B0" w:rsidRPr="0071386C" w:rsidRDefault="00E12A0E" w:rsidP="00E54991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ind w:left="2155" w:hanging="2155"/>
        <w:rPr>
          <w:lang w:val="ru-RU"/>
        </w:rPr>
      </w:pPr>
      <w:r w:rsidRPr="0071386C">
        <w:rPr>
          <w:lang w:val="ru-RU"/>
        </w:rPr>
        <w:lastRenderedPageBreak/>
        <w:t xml:space="preserve">Дополнение </w:t>
      </w:r>
      <w:r w:rsidR="00CE62B0" w:rsidRPr="0071386C">
        <w:rPr>
          <w:lang w:val="ru-RU"/>
        </w:rPr>
        <w:t>I</w:t>
      </w:r>
      <w:r w:rsidR="00E54991">
        <w:t>:</w:t>
      </w:r>
      <w:r w:rsidR="00E54991">
        <w:tab/>
      </w:r>
      <w:r w:rsidRPr="0071386C">
        <w:rPr>
          <w:lang w:val="ru-RU"/>
        </w:rPr>
        <w:t>Первый раунд (2018 год</w:t>
      </w:r>
      <w:r w:rsidR="00CE62B0" w:rsidRPr="0071386C">
        <w:rPr>
          <w:lang w:val="ru-RU"/>
        </w:rPr>
        <w:t>)</w:t>
      </w:r>
    </w:p>
    <w:p w14:paraId="40F28567" w14:textId="0EDEDCA4" w:rsidR="00CE62B0" w:rsidRPr="0071386C" w:rsidRDefault="00E12A0E" w:rsidP="00BB45B2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 w:after="240"/>
        <w:rPr>
          <w:sz w:val="24"/>
          <w:szCs w:val="24"/>
          <w:lang w:val="ru-RU"/>
        </w:rPr>
      </w:pPr>
      <w:r w:rsidRPr="0071386C">
        <w:rPr>
          <w:sz w:val="24"/>
          <w:szCs w:val="24"/>
          <w:lang w:val="ru-RU"/>
        </w:rPr>
        <w:t>Заявки, полученные в первом раунде, по регионам</w:t>
      </w:r>
    </w:p>
    <w:p w14:paraId="32F48E6B" w14:textId="587A7491" w:rsidR="00CE62B0" w:rsidRDefault="00CE62B0" w:rsidP="00CE62B0">
      <w:pPr>
        <w:pStyle w:val="NormalNonumber"/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71386C">
        <w:rPr>
          <w:rFonts w:asciiTheme="majorBidi" w:hAnsiTheme="majorBidi" w:cstheme="majorBidi"/>
          <w:noProof/>
          <w:sz w:val="24"/>
          <w:szCs w:val="24"/>
          <w:lang w:eastAsia="en-GB"/>
        </w:rPr>
        <w:drawing>
          <wp:inline distT="0" distB="0" distL="0" distR="0" wp14:anchorId="4C386FED" wp14:editId="2C2AAD1E">
            <wp:extent cx="3133725" cy="3271838"/>
            <wp:effectExtent l="0" t="0" r="9525" b="508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76AB67A-FCD9-4720-89A7-E4CD70D8E8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CD6D356" w14:textId="69983701" w:rsidR="00BA5DD6" w:rsidRPr="00C774ED" w:rsidRDefault="00BA5DD6" w:rsidP="00C774E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0"/>
        <w:rPr>
          <w:rFonts w:asciiTheme="majorBidi" w:hAnsiTheme="majorBidi" w:cstheme="majorBidi"/>
          <w:sz w:val="24"/>
          <w:szCs w:val="24"/>
          <w:lang w:val="ru-RU"/>
        </w:rPr>
      </w:pPr>
    </w:p>
    <w:p w14:paraId="0F82FF1A" w14:textId="10B127E7" w:rsidR="00C774ED" w:rsidRPr="007952D6" w:rsidRDefault="00C774ED" w:rsidP="00C774E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rFonts w:asciiTheme="majorBidi" w:hAnsiTheme="majorBidi" w:cstheme="majorBidi"/>
          <w:lang w:val="ru-RU"/>
        </w:rPr>
      </w:pPr>
      <w:r w:rsidRPr="007952D6">
        <w:rPr>
          <w:rFonts w:asciiTheme="majorBidi" w:hAnsiTheme="majorBidi" w:cstheme="majorBidi"/>
          <w:lang w:val="ru-RU"/>
        </w:rPr>
        <w:t>Перевод диаграммы</w:t>
      </w:r>
    </w:p>
    <w:tbl>
      <w:tblPr>
        <w:tblStyle w:val="TableGrid"/>
        <w:tblW w:w="0" w:type="auto"/>
        <w:tblInd w:w="1247" w:type="dxa"/>
        <w:tblLook w:val="04A0" w:firstRow="1" w:lastRow="0" w:firstColumn="1" w:lastColumn="0" w:noHBand="0" w:noVBand="1"/>
      </w:tblPr>
      <w:tblGrid>
        <w:gridCol w:w="1070"/>
        <w:gridCol w:w="4169"/>
      </w:tblGrid>
      <w:tr w:rsidR="00111B98" w:rsidRPr="00C774ED" w14:paraId="679109E5" w14:textId="77777777" w:rsidTr="007952D6">
        <w:tc>
          <w:tcPr>
            <w:tcW w:w="1070" w:type="dxa"/>
          </w:tcPr>
          <w:p w14:paraId="24CA9BB1" w14:textId="58D07D6A" w:rsidR="00111B98" w:rsidRPr="00C774ED" w:rsidRDefault="00687B99" w:rsidP="00C774ED">
            <w:pPr>
              <w:pStyle w:val="CH2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en-US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en-US"/>
              </w:rPr>
              <w:t>Africa</w:t>
            </w:r>
          </w:p>
        </w:tc>
        <w:tc>
          <w:tcPr>
            <w:tcW w:w="4169" w:type="dxa"/>
          </w:tcPr>
          <w:p w14:paraId="0BC389FB" w14:textId="6AD9A912" w:rsidR="00111B98" w:rsidRPr="00C774ED" w:rsidRDefault="00687B99" w:rsidP="00C774ED">
            <w:pPr>
              <w:pStyle w:val="CH2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ru-RU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ru-RU"/>
              </w:rPr>
              <w:t>Африка</w:t>
            </w:r>
          </w:p>
        </w:tc>
      </w:tr>
      <w:tr w:rsidR="00111B98" w:rsidRPr="00C774ED" w14:paraId="756C8010" w14:textId="77777777" w:rsidTr="007952D6">
        <w:tc>
          <w:tcPr>
            <w:tcW w:w="1070" w:type="dxa"/>
          </w:tcPr>
          <w:p w14:paraId="42357A5F" w14:textId="47B8B1C0" w:rsidR="00111B98" w:rsidRPr="00C774ED" w:rsidRDefault="00687B99" w:rsidP="00C774ED">
            <w:pPr>
              <w:pStyle w:val="CH2"/>
              <w:keepNext w:val="0"/>
              <w:keepLines w:val="0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en-US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en-US"/>
              </w:rPr>
              <w:t>LAC</w:t>
            </w:r>
          </w:p>
        </w:tc>
        <w:tc>
          <w:tcPr>
            <w:tcW w:w="4169" w:type="dxa"/>
          </w:tcPr>
          <w:p w14:paraId="18A462BC" w14:textId="522D35CE" w:rsidR="00111B98" w:rsidRPr="00C774ED" w:rsidRDefault="00687B99" w:rsidP="00C774ED">
            <w:pPr>
              <w:pStyle w:val="CH2"/>
              <w:keepNext w:val="0"/>
              <w:keepLines w:val="0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ru-RU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ru-RU"/>
              </w:rPr>
              <w:t>Латинская Америка и Карибский бассейн</w:t>
            </w:r>
          </w:p>
        </w:tc>
      </w:tr>
      <w:tr w:rsidR="00111B98" w:rsidRPr="00C774ED" w14:paraId="1BB05D3E" w14:textId="77777777" w:rsidTr="007952D6">
        <w:tc>
          <w:tcPr>
            <w:tcW w:w="1070" w:type="dxa"/>
          </w:tcPr>
          <w:p w14:paraId="5E79E7BD" w14:textId="0C7802E0" w:rsidR="00111B98" w:rsidRPr="00C774ED" w:rsidRDefault="00687B99" w:rsidP="00C774ED">
            <w:pPr>
              <w:pStyle w:val="CH2"/>
              <w:keepNext w:val="0"/>
              <w:keepLines w:val="0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en-US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en-US"/>
              </w:rPr>
              <w:t xml:space="preserve">Asia </w:t>
            </w:r>
          </w:p>
        </w:tc>
        <w:tc>
          <w:tcPr>
            <w:tcW w:w="4169" w:type="dxa"/>
          </w:tcPr>
          <w:p w14:paraId="05BC164E" w14:textId="702E4E8A" w:rsidR="00111B98" w:rsidRPr="00C774ED" w:rsidRDefault="00687B99" w:rsidP="00C774ED">
            <w:pPr>
              <w:pStyle w:val="CH2"/>
              <w:keepNext w:val="0"/>
              <w:keepLines w:val="0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ru-RU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ru-RU"/>
              </w:rPr>
              <w:t>Азия</w:t>
            </w:r>
          </w:p>
        </w:tc>
      </w:tr>
      <w:tr w:rsidR="00111B98" w:rsidRPr="00C774ED" w14:paraId="424A884B" w14:textId="77777777" w:rsidTr="007952D6">
        <w:tc>
          <w:tcPr>
            <w:tcW w:w="1070" w:type="dxa"/>
          </w:tcPr>
          <w:p w14:paraId="57F5E21F" w14:textId="53DD78B8" w:rsidR="00111B98" w:rsidRPr="00C774ED" w:rsidRDefault="00687B99" w:rsidP="00C774ED">
            <w:pPr>
              <w:pStyle w:val="CH2"/>
              <w:keepNext w:val="0"/>
              <w:keepLines w:val="0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en-US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en-US"/>
              </w:rPr>
              <w:t>CEE</w:t>
            </w:r>
          </w:p>
        </w:tc>
        <w:tc>
          <w:tcPr>
            <w:tcW w:w="4169" w:type="dxa"/>
          </w:tcPr>
          <w:p w14:paraId="0EF0ADDC" w14:textId="331D5C81" w:rsidR="00111B98" w:rsidRPr="00C774ED" w:rsidRDefault="00687B99" w:rsidP="00C774ED">
            <w:pPr>
              <w:pStyle w:val="CH2"/>
              <w:keepNext w:val="0"/>
              <w:keepLines w:val="0"/>
              <w:tabs>
                <w:tab w:val="clear" w:pos="851"/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0" w:right="0" w:firstLine="0"/>
              <w:rPr>
                <w:rFonts w:asciiTheme="majorBidi" w:hAnsiTheme="majorBidi" w:cstheme="majorBidi"/>
                <w:b w:val="0"/>
                <w:sz w:val="20"/>
                <w:lang w:val="ru-RU"/>
              </w:rPr>
            </w:pPr>
            <w:r w:rsidRPr="00C774ED">
              <w:rPr>
                <w:rFonts w:asciiTheme="majorBidi" w:hAnsiTheme="majorBidi" w:cstheme="majorBidi"/>
                <w:b w:val="0"/>
                <w:sz w:val="20"/>
                <w:lang w:val="ru-RU"/>
              </w:rPr>
              <w:t>Центральная и Восточная Европа</w:t>
            </w:r>
          </w:p>
        </w:tc>
      </w:tr>
    </w:tbl>
    <w:p w14:paraId="2C2EC846" w14:textId="77777777" w:rsidR="00111B98" w:rsidRDefault="00111B98" w:rsidP="00BA5DD6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ind w:right="0" w:firstLine="0"/>
        <w:rPr>
          <w:rFonts w:asciiTheme="majorBidi" w:hAnsiTheme="majorBidi" w:cstheme="majorBidi"/>
          <w:lang w:val="ru-RU"/>
        </w:rPr>
      </w:pPr>
    </w:p>
    <w:p w14:paraId="6B087C14" w14:textId="5E959981" w:rsidR="00CE62B0" w:rsidRPr="0071386C" w:rsidRDefault="00CE62B0" w:rsidP="00BA5DD6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ind w:right="0" w:firstLine="0"/>
        <w:rPr>
          <w:rFonts w:asciiTheme="majorBidi" w:hAnsiTheme="majorBidi" w:cstheme="majorBidi"/>
          <w:lang w:val="ru-RU"/>
        </w:rPr>
      </w:pPr>
      <w:r w:rsidRPr="0071386C">
        <w:rPr>
          <w:rFonts w:asciiTheme="majorBidi" w:hAnsiTheme="majorBidi" w:cstheme="majorBidi"/>
          <w:lang w:val="ru-RU"/>
        </w:rPr>
        <w:tab/>
      </w:r>
      <w:r w:rsidR="00E12A0E" w:rsidRPr="0071386C">
        <w:rPr>
          <w:rFonts w:asciiTheme="majorBidi" w:hAnsiTheme="majorBidi" w:cstheme="majorBidi"/>
          <w:lang w:val="ru-RU"/>
        </w:rPr>
        <w:t>Заявки, полученные в первом раунде, по экономическому статусу стран</w:t>
      </w:r>
    </w:p>
    <w:p w14:paraId="3F8D09F8" w14:textId="77777777" w:rsidR="00CE62B0" w:rsidRPr="0071386C" w:rsidRDefault="00CE62B0" w:rsidP="00CE62B0">
      <w:pPr>
        <w:pStyle w:val="NormalNonumber"/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71386C">
        <w:rPr>
          <w:rFonts w:asciiTheme="majorBidi" w:hAnsiTheme="majorBidi" w:cstheme="majorBidi"/>
          <w:noProof/>
          <w:sz w:val="24"/>
          <w:szCs w:val="24"/>
          <w:lang w:eastAsia="en-GB"/>
        </w:rPr>
        <w:drawing>
          <wp:inline distT="0" distB="0" distL="0" distR="0" wp14:anchorId="7C401F74" wp14:editId="430390E3">
            <wp:extent cx="3128964" cy="3033712"/>
            <wp:effectExtent l="0" t="0" r="14605" b="14605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2FD997DC-DB29-4B1E-A07A-49E15520E2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20C44EEE" w14:textId="5ACD98B4" w:rsidR="00CE62B0" w:rsidRPr="007952D6" w:rsidRDefault="00CE62B0" w:rsidP="007952D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rFonts w:asciiTheme="majorBidi" w:hAnsiTheme="majorBidi" w:cstheme="majorBidi"/>
          <w:sz w:val="24"/>
          <w:szCs w:val="24"/>
          <w:lang w:val="ru-RU"/>
        </w:rPr>
      </w:pPr>
    </w:p>
    <w:p w14:paraId="25137795" w14:textId="77777777" w:rsidR="007952D6" w:rsidRPr="007952D6" w:rsidRDefault="007952D6" w:rsidP="007952D6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rFonts w:asciiTheme="majorBidi" w:hAnsiTheme="majorBidi" w:cstheme="majorBidi"/>
          <w:lang w:val="ru-RU"/>
        </w:rPr>
      </w:pPr>
      <w:r w:rsidRPr="007952D6">
        <w:rPr>
          <w:rFonts w:asciiTheme="majorBidi" w:hAnsiTheme="majorBidi" w:cstheme="majorBidi"/>
          <w:lang w:val="ru-RU"/>
        </w:rPr>
        <w:lastRenderedPageBreak/>
        <w:t>Перевод диаграммы</w:t>
      </w:r>
    </w:p>
    <w:tbl>
      <w:tblPr>
        <w:tblStyle w:val="TableGrid"/>
        <w:tblW w:w="0" w:type="auto"/>
        <w:tblInd w:w="1247" w:type="dxa"/>
        <w:tblLook w:val="04A0" w:firstRow="1" w:lastRow="0" w:firstColumn="1" w:lastColumn="0" w:noHBand="0" w:noVBand="1"/>
      </w:tblPr>
      <w:tblGrid>
        <w:gridCol w:w="1204"/>
        <w:gridCol w:w="4744"/>
      </w:tblGrid>
      <w:tr w:rsidR="008060DC" w:rsidRPr="007952D6" w14:paraId="6FBD06DE" w14:textId="77777777" w:rsidTr="007952D6">
        <w:tc>
          <w:tcPr>
            <w:tcW w:w="1204" w:type="dxa"/>
          </w:tcPr>
          <w:p w14:paraId="4621BB48" w14:textId="0CE45AAB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en-US"/>
              </w:rPr>
            </w:pPr>
            <w:bookmarkStart w:id="16" w:name="_Hlk19531762"/>
            <w:proofErr w:type="spellStart"/>
            <w:r w:rsidRPr="007952D6">
              <w:rPr>
                <w:rFonts w:asciiTheme="majorBidi" w:hAnsiTheme="majorBidi" w:cstheme="majorBidi"/>
                <w:lang w:val="en-US"/>
              </w:rPr>
              <w:t>DCs</w:t>
            </w:r>
            <w:proofErr w:type="spellEnd"/>
          </w:p>
        </w:tc>
        <w:tc>
          <w:tcPr>
            <w:tcW w:w="4744" w:type="dxa"/>
          </w:tcPr>
          <w:p w14:paraId="171A8716" w14:textId="2D924EB7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ru-RU"/>
              </w:rPr>
            </w:pPr>
            <w:r w:rsidRPr="007952D6">
              <w:rPr>
                <w:rFonts w:asciiTheme="majorBidi" w:hAnsiTheme="majorBidi" w:cstheme="majorBidi"/>
                <w:lang w:val="ru-RU"/>
              </w:rPr>
              <w:t>Развивающиеся страны</w:t>
            </w:r>
          </w:p>
        </w:tc>
      </w:tr>
      <w:tr w:rsidR="008060DC" w:rsidRPr="007952D6" w14:paraId="57AAE5F4" w14:textId="77777777" w:rsidTr="007952D6">
        <w:tc>
          <w:tcPr>
            <w:tcW w:w="1204" w:type="dxa"/>
          </w:tcPr>
          <w:p w14:paraId="41BD7579" w14:textId="3A7392A1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en-US"/>
              </w:rPr>
            </w:pPr>
            <w:r w:rsidRPr="007952D6">
              <w:rPr>
                <w:rFonts w:asciiTheme="majorBidi" w:hAnsiTheme="majorBidi" w:cstheme="majorBidi"/>
                <w:lang w:val="en-US"/>
              </w:rPr>
              <w:t>LDCs</w:t>
            </w:r>
          </w:p>
        </w:tc>
        <w:tc>
          <w:tcPr>
            <w:tcW w:w="4744" w:type="dxa"/>
          </w:tcPr>
          <w:p w14:paraId="1C50827E" w14:textId="4B4DC31E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ru-RU"/>
              </w:rPr>
            </w:pPr>
            <w:r w:rsidRPr="007952D6">
              <w:rPr>
                <w:rFonts w:asciiTheme="majorBidi" w:hAnsiTheme="majorBidi" w:cstheme="majorBidi"/>
                <w:lang w:val="ru-RU"/>
              </w:rPr>
              <w:t>Наименее развитые страны</w:t>
            </w:r>
          </w:p>
        </w:tc>
      </w:tr>
      <w:tr w:rsidR="008060DC" w:rsidRPr="007952D6" w14:paraId="3780354A" w14:textId="77777777" w:rsidTr="007952D6">
        <w:tc>
          <w:tcPr>
            <w:tcW w:w="1204" w:type="dxa"/>
          </w:tcPr>
          <w:p w14:paraId="524494BC" w14:textId="2CDBDBAD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en-US"/>
              </w:rPr>
            </w:pPr>
            <w:r w:rsidRPr="007952D6">
              <w:rPr>
                <w:rFonts w:asciiTheme="majorBidi" w:hAnsiTheme="majorBidi" w:cstheme="majorBidi"/>
                <w:lang w:val="en-US"/>
              </w:rPr>
              <w:t>SIDS</w:t>
            </w:r>
          </w:p>
        </w:tc>
        <w:tc>
          <w:tcPr>
            <w:tcW w:w="4744" w:type="dxa"/>
          </w:tcPr>
          <w:p w14:paraId="2C0ADAFF" w14:textId="68B0078A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ru-RU"/>
              </w:rPr>
            </w:pPr>
            <w:r w:rsidRPr="007952D6">
              <w:rPr>
                <w:rFonts w:asciiTheme="majorBidi" w:hAnsiTheme="majorBidi" w:cstheme="majorBidi"/>
                <w:lang w:val="ru-RU"/>
              </w:rPr>
              <w:t>Малые островные развивающиеся государства</w:t>
            </w:r>
          </w:p>
        </w:tc>
      </w:tr>
      <w:tr w:rsidR="008060DC" w:rsidRPr="007952D6" w14:paraId="5DB4B44B" w14:textId="77777777" w:rsidTr="007952D6">
        <w:tc>
          <w:tcPr>
            <w:tcW w:w="1204" w:type="dxa"/>
          </w:tcPr>
          <w:p w14:paraId="4C892AC1" w14:textId="4873B4EC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en-US"/>
              </w:rPr>
            </w:pPr>
            <w:r w:rsidRPr="007952D6">
              <w:rPr>
                <w:rFonts w:asciiTheme="majorBidi" w:hAnsiTheme="majorBidi" w:cstheme="majorBidi"/>
                <w:lang w:val="en-US"/>
              </w:rPr>
              <w:t>CEITs</w:t>
            </w:r>
          </w:p>
        </w:tc>
        <w:tc>
          <w:tcPr>
            <w:tcW w:w="4744" w:type="dxa"/>
          </w:tcPr>
          <w:p w14:paraId="453A03E8" w14:textId="21F0AF31" w:rsidR="008060DC" w:rsidRPr="007952D6" w:rsidRDefault="008060DC" w:rsidP="007952D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7"/>
              <w:rPr>
                <w:rFonts w:asciiTheme="majorBidi" w:hAnsiTheme="majorBidi" w:cstheme="majorBidi"/>
                <w:lang w:val="ru-RU"/>
              </w:rPr>
            </w:pPr>
            <w:r w:rsidRPr="007952D6">
              <w:rPr>
                <w:rFonts w:asciiTheme="majorBidi" w:hAnsiTheme="majorBidi" w:cstheme="majorBidi"/>
                <w:lang w:val="ru-RU"/>
              </w:rPr>
              <w:t>Страны с переходной экономикой</w:t>
            </w:r>
          </w:p>
        </w:tc>
      </w:tr>
      <w:bookmarkEnd w:id="16"/>
    </w:tbl>
    <w:p w14:paraId="2614C027" w14:textId="77777777" w:rsidR="00CE62B0" w:rsidRPr="007952D6" w:rsidRDefault="00CE62B0" w:rsidP="007952D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asciiTheme="majorBidi" w:hAnsiTheme="majorBidi" w:cstheme="majorBidi"/>
          <w:sz w:val="24"/>
          <w:szCs w:val="24"/>
          <w:lang w:val="ru-RU"/>
        </w:rPr>
      </w:pPr>
      <w:r w:rsidRPr="007952D6">
        <w:rPr>
          <w:rFonts w:asciiTheme="majorBidi" w:hAnsiTheme="majorBidi" w:cstheme="majorBidi"/>
          <w:sz w:val="24"/>
          <w:szCs w:val="24"/>
          <w:lang w:val="ru-RU"/>
        </w:rPr>
        <w:br w:type="page"/>
      </w:r>
    </w:p>
    <w:p w14:paraId="051C5AC8" w14:textId="04429511" w:rsidR="00CE62B0" w:rsidRPr="0071386C" w:rsidRDefault="00E12A0E" w:rsidP="00A720F4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155" w:hanging="2155"/>
        <w:rPr>
          <w:lang w:val="ru-RU"/>
        </w:rPr>
      </w:pPr>
      <w:r w:rsidRPr="0071386C">
        <w:rPr>
          <w:lang w:val="ru-RU"/>
        </w:rPr>
        <w:lastRenderedPageBreak/>
        <w:t xml:space="preserve">Дополнение </w:t>
      </w:r>
      <w:r w:rsidR="00CE62B0" w:rsidRPr="0071386C">
        <w:rPr>
          <w:lang w:val="ru-RU"/>
        </w:rPr>
        <w:t>II</w:t>
      </w:r>
      <w:r w:rsidR="00A97223">
        <w:t>:</w:t>
      </w:r>
      <w:r w:rsidR="00CE62B0" w:rsidRPr="0071386C">
        <w:rPr>
          <w:lang w:val="ru-RU"/>
        </w:rPr>
        <w:tab/>
      </w:r>
      <w:r w:rsidRPr="0071386C">
        <w:rPr>
          <w:lang w:val="ru-RU"/>
        </w:rPr>
        <w:t>Второй раунд (2019 год</w:t>
      </w:r>
      <w:r w:rsidR="00CE62B0" w:rsidRPr="0071386C">
        <w:rPr>
          <w:lang w:val="ru-RU"/>
        </w:rPr>
        <w:t>)</w:t>
      </w:r>
    </w:p>
    <w:p w14:paraId="2BD3707E" w14:textId="681402C5" w:rsidR="00CE62B0" w:rsidRDefault="00CE62B0" w:rsidP="00A720F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71386C">
        <w:rPr>
          <w:rFonts w:asciiTheme="majorBidi" w:hAnsiTheme="majorBidi" w:cstheme="majorBidi"/>
          <w:noProof/>
          <w:sz w:val="24"/>
          <w:szCs w:val="24"/>
          <w:lang w:eastAsia="en-GB"/>
        </w:rPr>
        <w:drawing>
          <wp:inline distT="0" distB="0" distL="0" distR="0" wp14:anchorId="7ADA3618" wp14:editId="205A2A8F">
            <wp:extent cx="3081487" cy="3199551"/>
            <wp:effectExtent l="0" t="0" r="5080" b="1270"/>
            <wp:docPr id="5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3A65767B-F7A4-4D24-B5BF-4DED3E897FF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3A65767B-F7A4-4D24-B5BF-4DED3E897FF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06879" cy="3225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386C">
        <w:rPr>
          <w:rFonts w:asciiTheme="majorBidi" w:hAnsiTheme="majorBidi" w:cstheme="majorBidi"/>
          <w:noProof/>
          <w:sz w:val="24"/>
          <w:szCs w:val="24"/>
          <w:lang w:eastAsia="en-GB"/>
        </w:rPr>
        <w:drawing>
          <wp:inline distT="0" distB="0" distL="0" distR="0" wp14:anchorId="3E1F82E5" wp14:editId="59ED67F4">
            <wp:extent cx="3096298" cy="2948099"/>
            <wp:effectExtent l="0" t="0" r="8890" b="508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86F7DF-42AC-4233-8394-BA37E762DF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86F7DF-42AC-4233-8394-BA37E762DF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51576" cy="3000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8659D" w14:textId="77777777" w:rsidR="00A720F4" w:rsidRPr="007952D6" w:rsidRDefault="00A720F4" w:rsidP="00A720F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/>
        <w:rPr>
          <w:rFonts w:asciiTheme="majorBidi" w:hAnsiTheme="majorBidi" w:cstheme="majorBidi"/>
          <w:lang w:val="ru-RU"/>
        </w:rPr>
      </w:pPr>
      <w:r w:rsidRPr="007952D6">
        <w:rPr>
          <w:rFonts w:asciiTheme="majorBidi" w:hAnsiTheme="majorBidi" w:cstheme="majorBidi"/>
          <w:lang w:val="ru-RU"/>
        </w:rPr>
        <w:t>Перевод диаграммы</w:t>
      </w:r>
    </w:p>
    <w:tbl>
      <w:tblPr>
        <w:tblStyle w:val="TableGrid"/>
        <w:tblW w:w="0" w:type="auto"/>
        <w:tblInd w:w="1247" w:type="dxa"/>
        <w:tblLook w:val="04A0" w:firstRow="1" w:lastRow="0" w:firstColumn="1" w:lastColumn="0" w:noHBand="0" w:noVBand="1"/>
      </w:tblPr>
      <w:tblGrid>
        <w:gridCol w:w="4064"/>
        <w:gridCol w:w="4176"/>
      </w:tblGrid>
      <w:tr w:rsidR="00A75DF7" w:rsidRPr="00A720F4" w14:paraId="1FA4FE3D" w14:textId="77777777" w:rsidTr="00A75DF7">
        <w:tc>
          <w:tcPr>
            <w:tcW w:w="4064" w:type="dxa"/>
          </w:tcPr>
          <w:p w14:paraId="165D4512" w14:textId="1F63383F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Number of applications by region</w:t>
            </w:r>
          </w:p>
        </w:tc>
        <w:tc>
          <w:tcPr>
            <w:tcW w:w="4176" w:type="dxa"/>
          </w:tcPr>
          <w:p w14:paraId="132F7B97" w14:textId="4331AC70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ru-RU"/>
              </w:rPr>
              <w:t xml:space="preserve">Число заявок по регионам </w:t>
            </w:r>
          </w:p>
        </w:tc>
      </w:tr>
      <w:tr w:rsidR="00A75DF7" w:rsidRPr="00A720F4" w14:paraId="39CA6679" w14:textId="77777777" w:rsidTr="00A75DF7">
        <w:tc>
          <w:tcPr>
            <w:tcW w:w="4064" w:type="dxa"/>
          </w:tcPr>
          <w:p w14:paraId="17BA2E59" w14:textId="41EFA86C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Africa</w:t>
            </w:r>
          </w:p>
        </w:tc>
        <w:tc>
          <w:tcPr>
            <w:tcW w:w="4176" w:type="dxa"/>
          </w:tcPr>
          <w:p w14:paraId="5C90CB0C" w14:textId="50AABEB0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ru-RU"/>
              </w:rPr>
              <w:t>Африка</w:t>
            </w:r>
          </w:p>
        </w:tc>
      </w:tr>
      <w:tr w:rsidR="00A75DF7" w:rsidRPr="00A720F4" w14:paraId="1B4B610C" w14:textId="77777777" w:rsidTr="00A75DF7">
        <w:tc>
          <w:tcPr>
            <w:tcW w:w="4064" w:type="dxa"/>
          </w:tcPr>
          <w:p w14:paraId="24CA0501" w14:textId="1BBDF74B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Asia Pacific</w:t>
            </w:r>
          </w:p>
        </w:tc>
        <w:tc>
          <w:tcPr>
            <w:tcW w:w="4176" w:type="dxa"/>
          </w:tcPr>
          <w:p w14:paraId="752EB10E" w14:textId="5D6832A4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ru-RU"/>
              </w:rPr>
              <w:t>Азиатско-Тихоокеанский регион</w:t>
            </w:r>
          </w:p>
        </w:tc>
      </w:tr>
      <w:tr w:rsidR="00A75DF7" w:rsidRPr="00A720F4" w14:paraId="14F686BF" w14:textId="77777777" w:rsidTr="00A75DF7">
        <w:tc>
          <w:tcPr>
            <w:tcW w:w="4064" w:type="dxa"/>
          </w:tcPr>
          <w:p w14:paraId="35D6BFAF" w14:textId="6BD902D7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LAC</w:t>
            </w:r>
          </w:p>
        </w:tc>
        <w:tc>
          <w:tcPr>
            <w:tcW w:w="4176" w:type="dxa"/>
          </w:tcPr>
          <w:p w14:paraId="0A846A81" w14:textId="7B14AB9D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ru-RU"/>
              </w:rPr>
              <w:t>Латинская Америка и Карибский бассейн</w:t>
            </w:r>
          </w:p>
        </w:tc>
      </w:tr>
      <w:tr w:rsidR="00A75DF7" w:rsidRPr="00A720F4" w14:paraId="5677DD91" w14:textId="77777777" w:rsidTr="00A75DF7">
        <w:tc>
          <w:tcPr>
            <w:tcW w:w="4064" w:type="dxa"/>
          </w:tcPr>
          <w:p w14:paraId="509C037C" w14:textId="6F82CA50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CEE</w:t>
            </w:r>
          </w:p>
        </w:tc>
        <w:tc>
          <w:tcPr>
            <w:tcW w:w="4176" w:type="dxa"/>
          </w:tcPr>
          <w:p w14:paraId="0C3E8B6F" w14:textId="258059E4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ru-RU"/>
              </w:rPr>
              <w:t>Центральная и Восточная Европа</w:t>
            </w:r>
          </w:p>
        </w:tc>
      </w:tr>
      <w:tr w:rsidR="00A75DF7" w:rsidRPr="00A720F4" w14:paraId="279C3354" w14:textId="77777777" w:rsidTr="00A75DF7">
        <w:tc>
          <w:tcPr>
            <w:tcW w:w="4064" w:type="dxa"/>
          </w:tcPr>
          <w:p w14:paraId="4F7BDF03" w14:textId="121C38F3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Number of applications by economic status</w:t>
            </w:r>
          </w:p>
        </w:tc>
        <w:tc>
          <w:tcPr>
            <w:tcW w:w="4176" w:type="dxa"/>
          </w:tcPr>
          <w:p w14:paraId="5E276009" w14:textId="08E4F44B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rFonts w:asciiTheme="majorBidi" w:hAnsiTheme="majorBidi" w:cstheme="majorBidi"/>
                <w:lang w:val="ru-RU"/>
              </w:rPr>
              <w:t>Число заявок по экономическому статусу</w:t>
            </w:r>
          </w:p>
        </w:tc>
      </w:tr>
      <w:tr w:rsidR="00A75DF7" w:rsidRPr="00A720F4" w14:paraId="256A3257" w14:textId="77777777" w:rsidTr="00A75DF7">
        <w:tc>
          <w:tcPr>
            <w:tcW w:w="4064" w:type="dxa"/>
          </w:tcPr>
          <w:p w14:paraId="2E69F33C" w14:textId="52D1F9B3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DCs</w:t>
            </w:r>
          </w:p>
        </w:tc>
        <w:tc>
          <w:tcPr>
            <w:tcW w:w="4176" w:type="dxa"/>
          </w:tcPr>
          <w:p w14:paraId="31A516D8" w14:textId="5076E91B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lang w:val="ru-RU"/>
              </w:rPr>
              <w:t>Развивающиеся страны</w:t>
            </w:r>
          </w:p>
        </w:tc>
      </w:tr>
      <w:tr w:rsidR="00A75DF7" w:rsidRPr="00A720F4" w14:paraId="53FE6865" w14:textId="77777777" w:rsidTr="00A75DF7">
        <w:tc>
          <w:tcPr>
            <w:tcW w:w="4064" w:type="dxa"/>
          </w:tcPr>
          <w:p w14:paraId="7619ED39" w14:textId="56FAFB00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LDCs</w:t>
            </w:r>
          </w:p>
        </w:tc>
        <w:tc>
          <w:tcPr>
            <w:tcW w:w="4176" w:type="dxa"/>
          </w:tcPr>
          <w:p w14:paraId="5BAE97B2" w14:textId="7CD981E1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lang w:val="ru-RU"/>
              </w:rPr>
              <w:t>Наименее развитые страны</w:t>
            </w:r>
          </w:p>
        </w:tc>
      </w:tr>
      <w:tr w:rsidR="00A75DF7" w:rsidRPr="00A720F4" w14:paraId="4F11BDC6" w14:textId="77777777" w:rsidTr="00A75DF7">
        <w:tc>
          <w:tcPr>
            <w:tcW w:w="4064" w:type="dxa"/>
          </w:tcPr>
          <w:p w14:paraId="61F7D7A3" w14:textId="46DFDAFB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SIDS</w:t>
            </w:r>
          </w:p>
        </w:tc>
        <w:tc>
          <w:tcPr>
            <w:tcW w:w="4176" w:type="dxa"/>
          </w:tcPr>
          <w:p w14:paraId="7C186619" w14:textId="3F58831C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lang w:val="ru-RU"/>
              </w:rPr>
              <w:t>Малые островные развивающиеся государства</w:t>
            </w:r>
          </w:p>
        </w:tc>
      </w:tr>
      <w:tr w:rsidR="00A75DF7" w:rsidRPr="00A720F4" w14:paraId="3E5D6C34" w14:textId="77777777" w:rsidTr="00A75DF7">
        <w:tc>
          <w:tcPr>
            <w:tcW w:w="4064" w:type="dxa"/>
          </w:tcPr>
          <w:p w14:paraId="76AA35F5" w14:textId="145C3162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en-US"/>
              </w:rPr>
            </w:pPr>
            <w:r w:rsidRPr="00A720F4">
              <w:rPr>
                <w:rFonts w:asciiTheme="majorBidi" w:hAnsiTheme="majorBidi" w:cstheme="majorBidi"/>
                <w:lang w:val="en-US"/>
              </w:rPr>
              <w:t>CEITs</w:t>
            </w:r>
          </w:p>
        </w:tc>
        <w:tc>
          <w:tcPr>
            <w:tcW w:w="4176" w:type="dxa"/>
          </w:tcPr>
          <w:p w14:paraId="7AE500D2" w14:textId="41AA9214" w:rsidR="00A75DF7" w:rsidRPr="00A720F4" w:rsidRDefault="00A75DF7" w:rsidP="0044630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after="40"/>
              <w:ind w:left="0"/>
              <w:rPr>
                <w:rFonts w:asciiTheme="majorBidi" w:hAnsiTheme="majorBidi" w:cstheme="majorBidi"/>
                <w:lang w:val="ru-RU"/>
              </w:rPr>
            </w:pPr>
            <w:r w:rsidRPr="00A720F4">
              <w:rPr>
                <w:lang w:val="ru-RU"/>
              </w:rPr>
              <w:t>Страны с переходной экономикой</w:t>
            </w:r>
          </w:p>
        </w:tc>
      </w:tr>
    </w:tbl>
    <w:p w14:paraId="7E1F9459" w14:textId="615C7721" w:rsidR="000A1CC4" w:rsidRPr="00232E5A" w:rsidRDefault="00232E5A" w:rsidP="00232E5A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360"/>
        <w:jc w:val="center"/>
      </w:pPr>
      <w:r>
        <w:t>_______________________</w:t>
      </w:r>
    </w:p>
    <w:sectPr w:rsidR="000A1CC4" w:rsidRPr="00232E5A" w:rsidSect="00F91A00">
      <w:headerReference w:type="even" r:id="rId25"/>
      <w:headerReference w:type="default" r:id="rId26"/>
      <w:headerReference w:type="first" r:id="rId27"/>
      <w:pgSz w:w="11907" w:h="16840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AE84F" w14:textId="77777777" w:rsidR="007C7079" w:rsidRDefault="007C7079">
      <w:r>
        <w:separator/>
      </w:r>
    </w:p>
  </w:endnote>
  <w:endnote w:type="continuationSeparator" w:id="0">
    <w:p w14:paraId="1CCF3A77" w14:textId="77777777" w:rsidR="007C7079" w:rsidRDefault="007C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5BF82" w14:textId="41A776CF" w:rsidR="007C7079" w:rsidRDefault="007C7079" w:rsidP="00AF1011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65B18" w14:textId="7064FFD9" w:rsidR="007C7079" w:rsidRDefault="007C7079" w:rsidP="00AF1011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 w:rsidRPr="0046461D">
      <w:rPr>
        <w:rStyle w:val="PageNumber"/>
      </w:rPr>
      <w:fldChar w:fldCharType="begin"/>
    </w:r>
    <w:r w:rsidRPr="0046461D">
      <w:rPr>
        <w:rStyle w:val="PageNumber"/>
      </w:rPr>
      <w:instrText xml:space="preserve"> PAGE </w:instrText>
    </w:r>
    <w:r w:rsidRPr="0046461D">
      <w:rPr>
        <w:rStyle w:val="PageNumber"/>
      </w:rPr>
      <w:fldChar w:fldCharType="separate"/>
    </w:r>
    <w:r>
      <w:rPr>
        <w:rStyle w:val="PageNumber"/>
        <w:noProof/>
      </w:rPr>
      <w:t>21</w:t>
    </w:r>
    <w:r w:rsidRPr="0046461D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593B1" w14:textId="4EECD28F" w:rsidR="007C7079" w:rsidRDefault="007C7079" w:rsidP="00F90F2B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proofErr w:type="spellStart"/>
    <w:r>
      <w:rPr>
        <w:sz w:val="20"/>
      </w:rPr>
      <w:t>K1903773</w:t>
    </w:r>
    <w:proofErr w:type="spellEnd"/>
    <w:r>
      <w:rPr>
        <w:sz w:val="20"/>
        <w:lang w:val="en-US"/>
      </w:rPr>
      <w:t xml:space="preserve">      </w:t>
    </w:r>
    <w:r>
      <w:rPr>
        <w:sz w:val="20"/>
      </w:rPr>
      <w:t>30</w:t>
    </w:r>
    <w:r>
      <w:rPr>
        <w:sz w:val="20"/>
        <w:lang w:val="en-US"/>
      </w:rPr>
      <w:t>09</w:t>
    </w:r>
    <w:r w:rsidRPr="00C4766A">
      <w:rPr>
        <w:sz w:val="20"/>
      </w:rPr>
      <w:t>1</w:t>
    </w:r>
    <w:r>
      <w:rPr>
        <w:sz w:val="20"/>
      </w:rPr>
      <w:t>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4290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3CCCF9" w14:textId="4F3CB80A" w:rsidR="007C7079" w:rsidRDefault="007C7079" w:rsidP="00260668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7B932" w14:textId="77777777" w:rsidR="007C7079" w:rsidRPr="00493097" w:rsidRDefault="007C7079" w:rsidP="00493097">
      <w:pPr>
        <w:spacing w:before="60"/>
        <w:ind w:left="624"/>
        <w:rPr>
          <w:sz w:val="18"/>
          <w:szCs w:val="18"/>
        </w:rPr>
      </w:pPr>
      <w:r w:rsidRPr="00493097">
        <w:rPr>
          <w:sz w:val="18"/>
          <w:szCs w:val="18"/>
        </w:rPr>
        <w:separator/>
      </w:r>
    </w:p>
  </w:footnote>
  <w:footnote w:type="continuationSeparator" w:id="0">
    <w:p w14:paraId="57101A46" w14:textId="77777777" w:rsidR="007C7079" w:rsidRDefault="007C7079">
      <w:r>
        <w:continuationSeparator/>
      </w:r>
    </w:p>
  </w:footnote>
  <w:footnote w:id="1">
    <w:p w14:paraId="64D35957" w14:textId="6D50955F" w:rsidR="007C7079" w:rsidRPr="00693632" w:rsidRDefault="007C7079" w:rsidP="00A30E6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  <w:lang w:val="ru-RU"/>
        </w:rPr>
      </w:pPr>
      <w:r w:rsidRPr="00693632">
        <w:rPr>
          <w:sz w:val="18"/>
          <w:szCs w:val="18"/>
          <w:lang w:val="ru-RU"/>
        </w:rPr>
        <w:t>*</w:t>
      </w:r>
      <w:r>
        <w:rPr>
          <w:sz w:val="18"/>
          <w:szCs w:val="18"/>
          <w:lang w:val="ru-RU"/>
        </w:rPr>
        <w:tab/>
      </w:r>
      <w:r w:rsidRPr="00493097">
        <w:rPr>
          <w:sz w:val="18"/>
          <w:szCs w:val="18"/>
        </w:rPr>
        <w:t>UNEP</w:t>
      </w:r>
      <w:r w:rsidRPr="00693632">
        <w:rPr>
          <w:sz w:val="18"/>
          <w:szCs w:val="18"/>
          <w:lang w:val="ru-RU"/>
        </w:rPr>
        <w:t>/</w:t>
      </w:r>
      <w:r w:rsidRPr="00493097">
        <w:rPr>
          <w:sz w:val="18"/>
          <w:szCs w:val="18"/>
        </w:rPr>
        <w:t>MC</w:t>
      </w:r>
      <w:r w:rsidRPr="00693632">
        <w:rPr>
          <w:sz w:val="18"/>
          <w:szCs w:val="18"/>
          <w:lang w:val="ru-RU"/>
        </w:rPr>
        <w:t>/</w:t>
      </w:r>
      <w:r w:rsidRPr="00493097">
        <w:rPr>
          <w:sz w:val="18"/>
          <w:szCs w:val="18"/>
        </w:rPr>
        <w:t>COP</w:t>
      </w:r>
      <w:r w:rsidRPr="00693632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3</w:t>
      </w:r>
      <w:r w:rsidRPr="00693632">
        <w:rPr>
          <w:sz w:val="18"/>
          <w:szCs w:val="18"/>
          <w:lang w:val="ru-RU"/>
        </w:rPr>
        <w:t>/1.</w:t>
      </w:r>
    </w:p>
  </w:footnote>
  <w:footnote w:id="2">
    <w:p w14:paraId="1B339F42" w14:textId="5FD9A51E" w:rsidR="007C7079" w:rsidRPr="007E3C20" w:rsidRDefault="007C7079" w:rsidP="0016526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7810DC">
        <w:rPr>
          <w:rStyle w:val="FootnoteReference"/>
          <w:sz w:val="18"/>
          <w:lang w:val="en-GB"/>
        </w:rPr>
        <w:footnoteRef/>
      </w:r>
      <w:r w:rsidRPr="007E3C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7E3C20">
        <w:rPr>
          <w:szCs w:val="18"/>
          <w:lang w:val="ru-RU"/>
        </w:rPr>
        <w:t xml:space="preserve">Совместное резюме председателей пятьдесят шестого совещания Совета </w:t>
      </w:r>
      <w:proofErr w:type="spellStart"/>
      <w:r w:rsidRPr="007E3C20">
        <w:rPr>
          <w:szCs w:val="18"/>
          <w:lang w:val="ru-RU"/>
        </w:rPr>
        <w:t>ГЭФ</w:t>
      </w:r>
      <w:proofErr w:type="spellEnd"/>
      <w:r w:rsidRPr="007E3C20">
        <w:rPr>
          <w:szCs w:val="18"/>
          <w:lang w:val="ru-RU"/>
        </w:rPr>
        <w:t>, решение по пункту</w:t>
      </w:r>
      <w:r>
        <w:rPr>
          <w:szCs w:val="18"/>
          <w:lang w:val="en-GB"/>
        </w:rPr>
        <w:t> </w:t>
      </w:r>
      <w:r w:rsidRPr="007E3C20">
        <w:rPr>
          <w:szCs w:val="18"/>
          <w:lang w:val="ru-RU"/>
        </w:rPr>
        <w:t>15</w:t>
      </w:r>
      <w:r>
        <w:rPr>
          <w:szCs w:val="18"/>
          <w:lang w:val="en-GB"/>
        </w:rPr>
        <w:t xml:space="preserve"> </w:t>
      </w:r>
      <w:r w:rsidRPr="007E3C20">
        <w:rPr>
          <w:szCs w:val="18"/>
          <w:lang w:val="ru-RU"/>
        </w:rPr>
        <w:t xml:space="preserve">повестки дня. </w:t>
      </w:r>
      <w:r>
        <w:rPr>
          <w:szCs w:val="18"/>
          <w:lang w:val="ru-RU"/>
        </w:rPr>
        <w:t>Доступно по адресу</w:t>
      </w:r>
      <w:r w:rsidRPr="007E3C20">
        <w:rPr>
          <w:szCs w:val="18"/>
          <w:lang w:val="ru-RU"/>
        </w:rPr>
        <w:t xml:space="preserve">: </w:t>
      </w:r>
      <w:r w:rsidRPr="00314E4F">
        <w:rPr>
          <w:szCs w:val="18"/>
          <w:lang w:val="en-GB"/>
        </w:rPr>
        <w:t>https</w:t>
      </w:r>
      <w:r w:rsidRPr="007E3C20">
        <w:rPr>
          <w:szCs w:val="18"/>
          <w:lang w:val="ru-RU"/>
        </w:rPr>
        <w:t>://</w:t>
      </w:r>
      <w:r w:rsidRPr="00314E4F">
        <w:rPr>
          <w:szCs w:val="18"/>
          <w:lang w:val="en-GB"/>
        </w:rPr>
        <w:t>www</w:t>
      </w:r>
      <w:r w:rsidRPr="007E3C20">
        <w:rPr>
          <w:szCs w:val="18"/>
          <w:lang w:val="ru-RU"/>
        </w:rPr>
        <w:t>.</w:t>
      </w:r>
      <w:proofErr w:type="spellStart"/>
      <w:r w:rsidRPr="00314E4F">
        <w:rPr>
          <w:szCs w:val="18"/>
          <w:lang w:val="en-GB"/>
        </w:rPr>
        <w:t>gefieo</w:t>
      </w:r>
      <w:proofErr w:type="spellEnd"/>
      <w:r w:rsidRPr="007E3C20">
        <w:rPr>
          <w:szCs w:val="18"/>
          <w:lang w:val="ru-RU"/>
        </w:rPr>
        <w:t>.</w:t>
      </w:r>
      <w:r w:rsidRPr="00314E4F">
        <w:rPr>
          <w:szCs w:val="18"/>
          <w:lang w:val="en-GB"/>
        </w:rPr>
        <w:t>org</w:t>
      </w:r>
      <w:r w:rsidRPr="007E3C20">
        <w:rPr>
          <w:szCs w:val="18"/>
          <w:lang w:val="ru-RU"/>
        </w:rPr>
        <w:t>/</w:t>
      </w:r>
      <w:r w:rsidRPr="00314E4F">
        <w:rPr>
          <w:szCs w:val="18"/>
          <w:lang w:val="en-GB"/>
        </w:rPr>
        <w:t>sites</w:t>
      </w:r>
      <w:r w:rsidRPr="007E3C20">
        <w:rPr>
          <w:szCs w:val="18"/>
          <w:lang w:val="ru-RU"/>
        </w:rPr>
        <w:t>/</w:t>
      </w:r>
      <w:r w:rsidRPr="00314E4F">
        <w:rPr>
          <w:szCs w:val="18"/>
          <w:lang w:val="en-GB"/>
        </w:rPr>
        <w:t>default</w:t>
      </w:r>
      <w:r w:rsidRPr="007E3C20">
        <w:rPr>
          <w:szCs w:val="18"/>
          <w:lang w:val="ru-RU"/>
        </w:rPr>
        <w:t>/</w:t>
      </w:r>
      <w:r w:rsidRPr="00314E4F">
        <w:rPr>
          <w:szCs w:val="18"/>
          <w:lang w:val="en-GB"/>
        </w:rPr>
        <w:t>files</w:t>
      </w:r>
      <w:r w:rsidRPr="007E3C20">
        <w:rPr>
          <w:szCs w:val="18"/>
          <w:lang w:val="ru-RU"/>
        </w:rPr>
        <w:t>/</w:t>
      </w:r>
      <w:proofErr w:type="spellStart"/>
      <w:r w:rsidRPr="00314E4F">
        <w:rPr>
          <w:szCs w:val="18"/>
          <w:lang w:val="en-GB"/>
        </w:rPr>
        <w:t>ieo</w:t>
      </w:r>
      <w:proofErr w:type="spellEnd"/>
      <w:r w:rsidRPr="007E3C20">
        <w:rPr>
          <w:szCs w:val="18"/>
          <w:lang w:val="ru-RU"/>
        </w:rPr>
        <w:t>/</w:t>
      </w:r>
      <w:r w:rsidRPr="00314E4F">
        <w:rPr>
          <w:szCs w:val="18"/>
          <w:lang w:val="en-GB"/>
        </w:rPr>
        <w:t>council</w:t>
      </w:r>
      <w:r w:rsidRPr="007E3C20">
        <w:rPr>
          <w:szCs w:val="18"/>
          <w:lang w:val="ru-RU"/>
        </w:rPr>
        <w:t>-</w:t>
      </w:r>
      <w:r w:rsidRPr="00314E4F">
        <w:rPr>
          <w:szCs w:val="18"/>
          <w:lang w:val="en-GB"/>
        </w:rPr>
        <w:t>documents</w:t>
      </w:r>
      <w:r w:rsidRPr="007E3C20">
        <w:rPr>
          <w:szCs w:val="18"/>
          <w:lang w:val="ru-RU"/>
        </w:rPr>
        <w:t>/</w:t>
      </w:r>
      <w:r w:rsidRPr="00314E4F">
        <w:rPr>
          <w:szCs w:val="18"/>
          <w:lang w:val="en-GB"/>
        </w:rPr>
        <w:t>files</w:t>
      </w:r>
      <w:r w:rsidRPr="007E3C20">
        <w:rPr>
          <w:szCs w:val="18"/>
          <w:lang w:val="ru-RU"/>
        </w:rPr>
        <w:t>/</w:t>
      </w:r>
      <w:r w:rsidRPr="00314E4F">
        <w:rPr>
          <w:szCs w:val="18"/>
          <w:lang w:val="en-GB"/>
        </w:rPr>
        <w:t>c</w:t>
      </w:r>
      <w:r w:rsidRPr="007E3C20">
        <w:rPr>
          <w:szCs w:val="18"/>
          <w:lang w:val="ru-RU"/>
        </w:rPr>
        <w:t>-56-</w:t>
      </w:r>
      <w:r w:rsidRPr="00314E4F">
        <w:rPr>
          <w:szCs w:val="18"/>
          <w:lang w:val="en-GB"/>
        </w:rPr>
        <w:t>joint</w:t>
      </w:r>
      <w:r w:rsidRPr="007E3C20">
        <w:rPr>
          <w:szCs w:val="18"/>
          <w:lang w:val="ru-RU"/>
        </w:rPr>
        <w:t>-</w:t>
      </w:r>
      <w:r w:rsidRPr="00314E4F">
        <w:rPr>
          <w:szCs w:val="18"/>
          <w:lang w:val="en-GB"/>
        </w:rPr>
        <w:t>summary</w:t>
      </w:r>
      <w:r w:rsidRPr="007E3C20">
        <w:rPr>
          <w:szCs w:val="18"/>
          <w:lang w:val="ru-RU"/>
        </w:rPr>
        <w:t>-</w:t>
      </w:r>
      <w:r w:rsidRPr="00314E4F">
        <w:rPr>
          <w:szCs w:val="18"/>
          <w:lang w:val="en-GB"/>
        </w:rPr>
        <w:t>chairs</w:t>
      </w:r>
      <w:r w:rsidRPr="007E3C20">
        <w:rPr>
          <w:szCs w:val="18"/>
          <w:lang w:val="ru-RU"/>
        </w:rPr>
        <w:t>.</w:t>
      </w:r>
      <w:r w:rsidRPr="00314E4F">
        <w:rPr>
          <w:szCs w:val="18"/>
          <w:lang w:val="en-GB"/>
        </w:rPr>
        <w:t>pdf</w:t>
      </w:r>
      <w:r w:rsidRPr="007E3C20">
        <w:rPr>
          <w:szCs w:val="18"/>
          <w:lang w:val="ru-RU"/>
        </w:rPr>
        <w:t>.</w:t>
      </w:r>
    </w:p>
  </w:footnote>
  <w:footnote w:id="3">
    <w:p w14:paraId="71D3F774" w14:textId="366E5762" w:rsidR="007C7079" w:rsidRPr="00693632" w:rsidRDefault="007C7079" w:rsidP="0016526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</w:rPr>
        <w:footnoteRef/>
      </w:r>
      <w:r w:rsidRPr="00693632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493097">
        <w:rPr>
          <w:szCs w:val="18"/>
          <w:lang w:val="en-US"/>
        </w:rPr>
        <w:t>http</w:t>
      </w:r>
      <w:r w:rsidRPr="00693632">
        <w:rPr>
          <w:szCs w:val="18"/>
          <w:lang w:val="ru-RU"/>
        </w:rPr>
        <w:t>://</w:t>
      </w:r>
      <w:r w:rsidRPr="00493097">
        <w:rPr>
          <w:szCs w:val="18"/>
          <w:lang w:val="en-US"/>
        </w:rPr>
        <w:t>www</w:t>
      </w:r>
      <w:r w:rsidRPr="00693632">
        <w:rPr>
          <w:szCs w:val="18"/>
          <w:lang w:val="ru-RU"/>
        </w:rPr>
        <w:t>.</w:t>
      </w:r>
      <w:proofErr w:type="spellStart"/>
      <w:r w:rsidRPr="00493097">
        <w:rPr>
          <w:szCs w:val="18"/>
          <w:lang w:val="en-US"/>
        </w:rPr>
        <w:t>gefieo</w:t>
      </w:r>
      <w:proofErr w:type="spellEnd"/>
      <w:r w:rsidRPr="00693632">
        <w:rPr>
          <w:szCs w:val="18"/>
          <w:lang w:val="ru-RU"/>
        </w:rPr>
        <w:t>.</w:t>
      </w:r>
      <w:r w:rsidRPr="00493097">
        <w:rPr>
          <w:szCs w:val="18"/>
          <w:lang w:val="en-US"/>
        </w:rPr>
        <w:t>org</w:t>
      </w:r>
      <w:r w:rsidRPr="00693632">
        <w:rPr>
          <w:szCs w:val="18"/>
          <w:lang w:val="ru-RU"/>
        </w:rPr>
        <w:t>/.</w:t>
      </w:r>
    </w:p>
  </w:footnote>
  <w:footnote w:id="4">
    <w:p w14:paraId="649F777B" w14:textId="77777777" w:rsidR="007C7079" w:rsidRPr="00237E91" w:rsidRDefault="007C7079" w:rsidP="00FB16AE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</w:rPr>
        <w:footnoteRef/>
      </w:r>
      <w:r w:rsidRPr="00237E91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237E91">
        <w:rPr>
          <w:szCs w:val="18"/>
          <w:lang w:val="ru-RU"/>
        </w:rPr>
        <w:t xml:space="preserve">Разбивка по регионам: Африка: Бенин и Лесото; Государства Азии и Тихого океана: Исламская Республика Иран; Центральная Европа и Восточная Европа: </w:t>
      </w:r>
      <w:r>
        <w:rPr>
          <w:szCs w:val="18"/>
          <w:lang w:val="ru-RU"/>
        </w:rPr>
        <w:t>Армения</w:t>
      </w:r>
      <w:r w:rsidRPr="00237E91">
        <w:rPr>
          <w:szCs w:val="18"/>
          <w:lang w:val="ru-RU"/>
        </w:rPr>
        <w:t xml:space="preserve">; Латинская Америка и Карибский бассейн: </w:t>
      </w:r>
      <w:r>
        <w:rPr>
          <w:szCs w:val="18"/>
          <w:lang w:val="ru-RU"/>
        </w:rPr>
        <w:t>Аргентина</w:t>
      </w:r>
      <w:r w:rsidRPr="00237E91">
        <w:rPr>
          <w:szCs w:val="18"/>
          <w:lang w:val="ru-RU"/>
        </w:rPr>
        <w:t>.</w:t>
      </w:r>
    </w:p>
  </w:footnote>
  <w:footnote w:id="5">
    <w:p w14:paraId="613DEDC4" w14:textId="77777777" w:rsidR="007C7079" w:rsidRPr="00693632" w:rsidRDefault="007C7079" w:rsidP="000A54FE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992BA8">
        <w:rPr>
          <w:rStyle w:val="FootnoteReference"/>
          <w:sz w:val="18"/>
        </w:rPr>
        <w:footnoteRef/>
      </w:r>
      <w:r w:rsidRPr="00693632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hyperlink r:id="rId1" w:history="1">
        <w:r w:rsidRPr="00997F4F">
          <w:rPr>
            <w:rStyle w:val="Hyperlink"/>
            <w:sz w:val="18"/>
            <w:szCs w:val="18"/>
            <w:lang w:val="en-GB"/>
          </w:rPr>
          <w:t>http</w:t>
        </w:r>
        <w:r w:rsidRPr="00997F4F">
          <w:rPr>
            <w:rStyle w:val="Hyperlink"/>
            <w:sz w:val="18"/>
            <w:szCs w:val="18"/>
            <w:lang w:val="ru-RU"/>
          </w:rPr>
          <w:t>://</w:t>
        </w:r>
        <w:r w:rsidRPr="00997F4F">
          <w:rPr>
            <w:rStyle w:val="Hyperlink"/>
            <w:sz w:val="18"/>
            <w:szCs w:val="18"/>
            <w:lang w:val="en-GB"/>
          </w:rPr>
          <w:t>www</w:t>
        </w:r>
        <w:r w:rsidRPr="00997F4F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997F4F">
          <w:rPr>
            <w:rStyle w:val="Hyperlink"/>
            <w:sz w:val="18"/>
            <w:szCs w:val="18"/>
            <w:lang w:val="en-GB"/>
          </w:rPr>
          <w:t>mercuryconvention</w:t>
        </w:r>
        <w:proofErr w:type="spellEnd"/>
        <w:r w:rsidRPr="00997F4F">
          <w:rPr>
            <w:rStyle w:val="Hyperlink"/>
            <w:sz w:val="18"/>
            <w:szCs w:val="18"/>
            <w:lang w:val="ru-RU"/>
          </w:rPr>
          <w:t>.</w:t>
        </w:r>
        <w:r w:rsidRPr="00997F4F">
          <w:rPr>
            <w:rStyle w:val="Hyperlink"/>
            <w:sz w:val="18"/>
            <w:szCs w:val="18"/>
            <w:lang w:val="en-GB"/>
          </w:rPr>
          <w:t>org</w:t>
        </w:r>
        <w:r w:rsidRPr="00997F4F">
          <w:rPr>
            <w:rStyle w:val="Hyperlink"/>
            <w:sz w:val="18"/>
            <w:szCs w:val="18"/>
            <w:lang w:val="ru-RU"/>
          </w:rPr>
          <w:t>/</w:t>
        </w:r>
        <w:r w:rsidRPr="00997F4F">
          <w:rPr>
            <w:rStyle w:val="Hyperlink"/>
            <w:sz w:val="18"/>
            <w:szCs w:val="18"/>
            <w:lang w:val="en-GB"/>
          </w:rPr>
          <w:t>Implementation</w:t>
        </w:r>
        <w:r w:rsidRPr="00997F4F">
          <w:rPr>
            <w:rStyle w:val="Hyperlink"/>
            <w:sz w:val="18"/>
            <w:szCs w:val="18"/>
            <w:lang w:val="ru-RU"/>
          </w:rPr>
          <w:t>/</w:t>
        </w:r>
        <w:proofErr w:type="spellStart"/>
        <w:r w:rsidRPr="00997F4F">
          <w:rPr>
            <w:rStyle w:val="Hyperlink"/>
            <w:sz w:val="18"/>
            <w:szCs w:val="18"/>
            <w:lang w:val="en-GB"/>
          </w:rPr>
          <w:t>SpecificInternationalProgramme</w:t>
        </w:r>
        <w:proofErr w:type="spellEnd"/>
        <w:r w:rsidRPr="00997F4F">
          <w:rPr>
            <w:rStyle w:val="Hyperlink"/>
            <w:sz w:val="18"/>
            <w:szCs w:val="18"/>
            <w:lang w:val="ru-RU"/>
          </w:rPr>
          <w:t>/</w:t>
        </w:r>
        <w:r w:rsidRPr="00997F4F">
          <w:rPr>
            <w:rStyle w:val="Hyperlink"/>
            <w:sz w:val="18"/>
            <w:szCs w:val="18"/>
            <w:lang w:val="en-GB"/>
          </w:rPr>
          <w:t>tabid</w:t>
        </w:r>
        <w:r w:rsidRPr="00997F4F">
          <w:rPr>
            <w:rStyle w:val="Hyperlink"/>
            <w:sz w:val="18"/>
            <w:szCs w:val="18"/>
            <w:lang w:val="ru-RU"/>
          </w:rPr>
          <w:t>/6334/</w:t>
        </w:r>
        <w:r w:rsidRPr="00997F4F">
          <w:rPr>
            <w:rStyle w:val="Hyperlink"/>
            <w:sz w:val="18"/>
            <w:szCs w:val="18"/>
            <w:lang w:val="ru-RU"/>
          </w:rPr>
          <w:br/>
        </w:r>
        <w:r w:rsidRPr="00997F4F">
          <w:rPr>
            <w:rStyle w:val="Hyperlink"/>
            <w:sz w:val="18"/>
            <w:szCs w:val="18"/>
            <w:lang w:val="en-GB"/>
          </w:rPr>
          <w:t>language</w:t>
        </w:r>
        <w:r w:rsidRPr="00997F4F">
          <w:rPr>
            <w:rStyle w:val="Hyperlink"/>
            <w:sz w:val="18"/>
            <w:szCs w:val="18"/>
            <w:lang w:val="ru-RU"/>
          </w:rPr>
          <w:t>/</w:t>
        </w:r>
        <w:proofErr w:type="spellStart"/>
        <w:r w:rsidRPr="00997F4F">
          <w:rPr>
            <w:rStyle w:val="Hyperlink"/>
            <w:sz w:val="18"/>
            <w:szCs w:val="18"/>
            <w:lang w:val="en-GB"/>
          </w:rPr>
          <w:t>en</w:t>
        </w:r>
        <w:proofErr w:type="spellEnd"/>
        <w:r w:rsidRPr="00997F4F">
          <w:rPr>
            <w:rStyle w:val="Hyperlink"/>
            <w:sz w:val="18"/>
            <w:szCs w:val="18"/>
            <w:lang w:val="ru-RU"/>
          </w:rPr>
          <w:t>-</w:t>
        </w:r>
        <w:r w:rsidRPr="00997F4F">
          <w:rPr>
            <w:rStyle w:val="Hyperlink"/>
            <w:sz w:val="18"/>
            <w:szCs w:val="18"/>
            <w:lang w:val="en-GB"/>
          </w:rPr>
          <w:t>US</w:t>
        </w:r>
        <w:r w:rsidRPr="00997F4F">
          <w:rPr>
            <w:rStyle w:val="Hyperlink"/>
            <w:sz w:val="18"/>
            <w:szCs w:val="18"/>
            <w:lang w:val="ru-RU"/>
          </w:rPr>
          <w:t>/</w:t>
        </w:r>
        <w:r w:rsidRPr="00997F4F">
          <w:rPr>
            <w:rStyle w:val="Hyperlink"/>
            <w:sz w:val="18"/>
            <w:szCs w:val="18"/>
            <w:lang w:val="en-GB"/>
          </w:rPr>
          <w:t>Default</w:t>
        </w:r>
        <w:r w:rsidRPr="00997F4F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997F4F">
          <w:rPr>
            <w:rStyle w:val="Hyperlink"/>
            <w:sz w:val="18"/>
            <w:szCs w:val="18"/>
            <w:lang w:val="en-GB"/>
          </w:rPr>
          <w:t>aspx</w:t>
        </w:r>
        <w:proofErr w:type="spellEnd"/>
      </w:hyperlink>
      <w:r w:rsidRPr="00693632">
        <w:rPr>
          <w:szCs w:val="18"/>
          <w:lang w:val="ru-RU"/>
        </w:rPr>
        <w:t>.</w:t>
      </w:r>
      <w:r w:rsidRPr="00693632" w:rsidDel="00D45B7D">
        <w:rPr>
          <w:rStyle w:val="Hyperlink"/>
          <w:sz w:val="18"/>
          <w:szCs w:val="18"/>
          <w:lang w:val="ru-RU"/>
        </w:rPr>
        <w:t xml:space="preserve"> </w:t>
      </w:r>
    </w:p>
  </w:footnote>
  <w:footnote w:id="6">
    <w:p w14:paraId="6829F0B1" w14:textId="7B422A3D" w:rsidR="007C7079" w:rsidRPr="00116678" w:rsidRDefault="007C7079" w:rsidP="0011667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116678">
        <w:rPr>
          <w:rStyle w:val="FootnoteReference"/>
          <w:lang w:val="ru-RU"/>
        </w:rPr>
        <w:footnoteRef/>
      </w:r>
      <w:r w:rsidRPr="00116678">
        <w:rPr>
          <w:szCs w:val="18"/>
          <w:lang w:val="ru-RU"/>
        </w:rPr>
        <w:t xml:space="preserve"> </w:t>
      </w:r>
      <w:r w:rsidRPr="00116678">
        <w:rPr>
          <w:szCs w:val="18"/>
          <w:lang w:val="ru-RU"/>
        </w:rPr>
        <w:tab/>
      </w:r>
      <w:proofErr w:type="spellStart"/>
      <w:r w:rsidRPr="00116678">
        <w:rPr>
          <w:szCs w:val="18"/>
          <w:lang w:val="ru-RU"/>
        </w:rPr>
        <w:t>UNEP</w:t>
      </w:r>
      <w:proofErr w:type="spellEnd"/>
      <w:r w:rsidRPr="00116678">
        <w:rPr>
          <w:szCs w:val="18"/>
          <w:lang w:val="ru-RU"/>
        </w:rPr>
        <w:t>/</w:t>
      </w:r>
      <w:proofErr w:type="spellStart"/>
      <w:r w:rsidRPr="00116678">
        <w:rPr>
          <w:szCs w:val="18"/>
          <w:lang w:val="ru-RU"/>
        </w:rPr>
        <w:t>MC</w:t>
      </w:r>
      <w:proofErr w:type="spellEnd"/>
      <w:r w:rsidRPr="00116678">
        <w:rPr>
          <w:szCs w:val="18"/>
          <w:lang w:val="ru-RU"/>
        </w:rPr>
        <w:t>/</w:t>
      </w:r>
      <w:proofErr w:type="spellStart"/>
      <w:r w:rsidRPr="00116678">
        <w:rPr>
          <w:szCs w:val="18"/>
          <w:lang w:val="ru-RU"/>
        </w:rPr>
        <w:t>COP.2</w:t>
      </w:r>
      <w:proofErr w:type="spellEnd"/>
      <w:r w:rsidRPr="00116678">
        <w:rPr>
          <w:szCs w:val="18"/>
          <w:lang w:val="ru-RU"/>
        </w:rPr>
        <w:t>/</w:t>
      </w:r>
      <w:proofErr w:type="spellStart"/>
      <w:r w:rsidRPr="00116678">
        <w:rPr>
          <w:szCs w:val="18"/>
          <w:lang w:val="ru-RU"/>
        </w:rPr>
        <w:t>INF</w:t>
      </w:r>
      <w:proofErr w:type="spellEnd"/>
      <w:r w:rsidRPr="00116678">
        <w:rPr>
          <w:szCs w:val="18"/>
          <w:lang w:val="ru-RU"/>
        </w:rPr>
        <w:t>/3 – Отчет Глобального экологического фонда для Конференции Сторон Минаматской конвенции о ртути на ее втором совещании</w:t>
      </w:r>
      <w:r>
        <w:rPr>
          <w:szCs w:val="18"/>
          <w:lang w:val="ru-RU"/>
        </w:rPr>
        <w:t>.</w:t>
      </w:r>
    </w:p>
  </w:footnote>
  <w:footnote w:id="7">
    <w:p w14:paraId="745A73FE" w14:textId="3E2E8C4C" w:rsidR="007C7079" w:rsidRPr="00116678" w:rsidRDefault="007C7079" w:rsidP="0011667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116678">
        <w:rPr>
          <w:rStyle w:val="FootnoteReference"/>
          <w:lang w:val="ru-RU"/>
        </w:rPr>
        <w:footnoteRef/>
      </w:r>
      <w:r w:rsidRPr="00116678">
        <w:rPr>
          <w:szCs w:val="18"/>
          <w:lang w:val="ru-RU"/>
        </w:rPr>
        <w:t xml:space="preserve"> </w:t>
      </w:r>
      <w:r w:rsidRPr="00116678">
        <w:rPr>
          <w:szCs w:val="18"/>
          <w:lang w:val="ru-RU"/>
        </w:rPr>
        <w:tab/>
        <w:t xml:space="preserve">ГЭФ, 2014 год, </w:t>
      </w:r>
      <w:r w:rsidRPr="00116678">
        <w:rPr>
          <w:lang w:val="ru-RU"/>
        </w:rPr>
        <w:t>Первоначальные руководящие принципы ГЭФ по стимулирующей деятельности для Минаматской конвенции о ртути</w:t>
      </w:r>
      <w:r w:rsidRPr="00116678">
        <w:rPr>
          <w:szCs w:val="18"/>
          <w:lang w:val="ru-RU"/>
        </w:rPr>
        <w:t>, документ Совета, GEF/C.45/Inf.05/Rev.01.</w:t>
      </w:r>
    </w:p>
  </w:footnote>
  <w:footnote w:id="8">
    <w:p w14:paraId="6F7862EA" w14:textId="5D60F2F8" w:rsidR="007C7079" w:rsidRPr="005E3735" w:rsidRDefault="007C7079" w:rsidP="0077195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rStyle w:val="FootnoteReference"/>
        </w:rPr>
        <w:footnoteRef/>
      </w:r>
      <w:r w:rsidRPr="00E16F2E">
        <w:rPr>
          <w:lang w:val="ru-RU"/>
        </w:rPr>
        <w:t xml:space="preserve"> </w:t>
      </w:r>
      <w:r>
        <w:rPr>
          <w:lang w:val="ru-RU"/>
        </w:rPr>
        <w:tab/>
      </w:r>
      <w:r w:rsidRPr="00E16F2E">
        <w:rPr>
          <w:lang w:val="ru-RU"/>
        </w:rPr>
        <w:t>По состоянию на 15 мая 2019 года в рамках ГЭФ-5, ГЭФ-6 и ГЭФ-7 ГЭФ оказал поддержку в осуществлении первоначальных оценок в рамках Минаматской конвенции в общей сложности 111</w:t>
      </w:r>
      <w:r>
        <w:rPr>
          <w:lang w:val="en-GB"/>
        </w:rPr>
        <w:t> </w:t>
      </w:r>
      <w:r w:rsidRPr="00E16F2E">
        <w:rPr>
          <w:lang w:val="ru-RU"/>
        </w:rPr>
        <w:t>странам и 34 странам в проведении их национальных планов действий (НПД) в области кустарной и мелкомасштабной золотодобычи (КМЗ).</w:t>
      </w:r>
      <w:r>
        <w:rPr>
          <w:lang w:val="ru-RU"/>
        </w:rPr>
        <w:t xml:space="preserve"> </w:t>
      </w:r>
      <w:r w:rsidRPr="00E16F2E">
        <w:rPr>
          <w:lang w:val="ru-RU"/>
        </w:rPr>
        <w:t xml:space="preserve">Из 111 профинансированных на сегодняшний день первоначальных оценок 17 стран не подписали соглашение и не являются Сторонами, 33 – подписали, но не являются Сторонами, 45 </w:t>
      </w:r>
      <w:r>
        <w:rPr>
          <w:lang w:val="ru-RU"/>
        </w:rPr>
        <w:t>–</w:t>
      </w:r>
      <w:r w:rsidRPr="00E16F2E">
        <w:rPr>
          <w:lang w:val="ru-RU"/>
        </w:rPr>
        <w:t xml:space="preserve"> подписали и являются Сторонами и 16 – не подписали, но являются Сторонами.</w:t>
      </w:r>
      <w:r>
        <w:rPr>
          <w:lang w:val="ru-RU"/>
        </w:rPr>
        <w:t xml:space="preserve"> </w:t>
      </w:r>
      <w:r w:rsidRPr="005E3735">
        <w:rPr>
          <w:lang w:val="ru-RU"/>
        </w:rPr>
        <w:t>Из 34 профинансированных НПД в области КМЗ 18 стран подписали соглашение и являются Сторонами, 9 – подписали, но не являются Сторонами, 4 – не подписали, но являются Сторонами и 3 – не подписали и не являются Сторонами.</w:t>
      </w:r>
      <w:r>
        <w:rPr>
          <w:lang w:val="ru-RU"/>
        </w:rPr>
        <w:t xml:space="preserve"> </w:t>
      </w:r>
      <w:r w:rsidRPr="005E3735">
        <w:rPr>
          <w:lang w:val="ru-RU"/>
        </w:rPr>
        <w:t>В общей сложности 18 странам будет необходимо ратифицировать Конвенцию, чтобы иметь право на получение финансирования первоначальной оценки.</w:t>
      </w:r>
    </w:p>
  </w:footnote>
  <w:footnote w:id="9">
    <w:p w14:paraId="3FC69216" w14:textId="209C718C" w:rsidR="007C7079" w:rsidRPr="00DC48F6" w:rsidRDefault="007C7079" w:rsidP="0077195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rStyle w:val="FootnoteReference"/>
        </w:rPr>
        <w:footnoteRef/>
      </w:r>
      <w:r w:rsidRPr="00DC48F6">
        <w:rPr>
          <w:lang w:val="ru-RU"/>
        </w:rPr>
        <w:t xml:space="preserve"> </w:t>
      </w:r>
      <w:r>
        <w:rPr>
          <w:lang w:val="ru-RU"/>
        </w:rPr>
        <w:tab/>
      </w:r>
      <w:r w:rsidRPr="00DC48F6">
        <w:rPr>
          <w:lang w:val="ru-RU"/>
        </w:rPr>
        <w:t>ГЭФ, 2018 год, доклад о седьмом пополнении Целевого фонда ГЭФ, документ Совета</w:t>
      </w:r>
      <w:r>
        <w:rPr>
          <w:lang w:val="ru-RU"/>
        </w:rPr>
        <w:t xml:space="preserve"> </w:t>
      </w:r>
      <w:r w:rsidRPr="002F7012">
        <w:rPr>
          <w:lang w:val="en-GB"/>
        </w:rPr>
        <w:t>GEF</w:t>
      </w:r>
      <w:r w:rsidRPr="00DC48F6">
        <w:rPr>
          <w:lang w:val="ru-RU"/>
        </w:rPr>
        <w:t>/</w:t>
      </w:r>
      <w:r w:rsidRPr="002F7012">
        <w:rPr>
          <w:lang w:val="en-GB"/>
        </w:rPr>
        <w:t>A</w:t>
      </w:r>
      <w:r w:rsidRPr="00DC48F6">
        <w:rPr>
          <w:lang w:val="ru-RU"/>
        </w:rPr>
        <w:t>.6/05/</w:t>
      </w:r>
      <w:r w:rsidRPr="002F7012">
        <w:rPr>
          <w:lang w:val="en-GB"/>
        </w:rPr>
        <w:t>Rev</w:t>
      </w:r>
      <w:r w:rsidRPr="00DC48F6">
        <w:rPr>
          <w:lang w:val="ru-RU"/>
        </w:rPr>
        <w:t>.01.</w:t>
      </w:r>
    </w:p>
  </w:footnote>
  <w:footnote w:id="10">
    <w:p w14:paraId="19F74D94" w14:textId="477F419E" w:rsidR="007C7079" w:rsidRPr="00F33C7B" w:rsidRDefault="007C7079" w:rsidP="004857F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F33C7B">
        <w:rPr>
          <w:rStyle w:val="FootnoteReference"/>
        </w:rPr>
        <w:footnoteRef/>
      </w:r>
      <w:r w:rsidRPr="00F33C7B">
        <w:rPr>
          <w:szCs w:val="18"/>
        </w:rPr>
        <w:t xml:space="preserve"> </w:t>
      </w:r>
      <w:r>
        <w:rPr>
          <w:szCs w:val="18"/>
        </w:rPr>
        <w:tab/>
      </w:r>
      <w:proofErr w:type="spellStart"/>
      <w:r w:rsidRPr="00F33C7B">
        <w:rPr>
          <w:szCs w:val="18"/>
        </w:rPr>
        <w:t>UNEP</w:t>
      </w:r>
      <w:proofErr w:type="spellEnd"/>
      <w:r w:rsidRPr="00F33C7B">
        <w:rPr>
          <w:szCs w:val="18"/>
        </w:rPr>
        <w:t>(</w:t>
      </w:r>
      <w:proofErr w:type="spellStart"/>
      <w:r w:rsidRPr="00F33C7B">
        <w:rPr>
          <w:szCs w:val="18"/>
        </w:rPr>
        <w:t>DTIE</w:t>
      </w:r>
      <w:proofErr w:type="spellEnd"/>
      <w:r w:rsidRPr="00F33C7B">
        <w:rPr>
          <w:szCs w:val="18"/>
        </w:rPr>
        <w:t>)/Hg/</w:t>
      </w:r>
      <w:proofErr w:type="spellStart"/>
      <w:r w:rsidRPr="00F33C7B">
        <w:rPr>
          <w:szCs w:val="18"/>
        </w:rPr>
        <w:t>INC.6</w:t>
      </w:r>
      <w:proofErr w:type="spellEnd"/>
      <w:r w:rsidRPr="00F33C7B">
        <w:rPr>
          <w:szCs w:val="18"/>
        </w:rPr>
        <w:t xml:space="preserve">/24, </w:t>
      </w:r>
      <w:hyperlink r:id="rId2" w:history="1">
        <w:r w:rsidRPr="00997F4F">
          <w:rPr>
            <w:rStyle w:val="Hyperlink"/>
            <w:szCs w:val="18"/>
          </w:rPr>
          <w:t>http://</w:t>
        </w:r>
        <w:proofErr w:type="spellStart"/>
        <w:r w:rsidRPr="00997F4F">
          <w:rPr>
            <w:rStyle w:val="Hyperlink"/>
            <w:szCs w:val="18"/>
          </w:rPr>
          <w:t>www.mercuryconvention.org</w:t>
        </w:r>
        <w:proofErr w:type="spellEnd"/>
        <w:r w:rsidRPr="00997F4F">
          <w:rPr>
            <w:rStyle w:val="Hyperlink"/>
            <w:szCs w:val="18"/>
          </w:rPr>
          <w:t>/</w:t>
        </w:r>
        <w:proofErr w:type="spellStart"/>
        <w:r w:rsidRPr="00997F4F">
          <w:rPr>
            <w:rStyle w:val="Hyperlink"/>
            <w:szCs w:val="18"/>
          </w:rPr>
          <w:t>Portals</w:t>
        </w:r>
        <w:proofErr w:type="spellEnd"/>
        <w:r w:rsidRPr="00997F4F">
          <w:rPr>
            <w:rStyle w:val="Hyperlink"/>
            <w:szCs w:val="18"/>
          </w:rPr>
          <w:t>/11/documents/</w:t>
        </w:r>
        <w:r w:rsidRPr="00997F4F">
          <w:rPr>
            <w:rStyle w:val="Hyperlink"/>
            <w:szCs w:val="18"/>
          </w:rPr>
          <w:br/>
          <w:t>meetings/</w:t>
        </w:r>
        <w:proofErr w:type="spellStart"/>
        <w:r w:rsidRPr="00997F4F">
          <w:rPr>
            <w:rStyle w:val="Hyperlink"/>
            <w:szCs w:val="18"/>
          </w:rPr>
          <w:t>inc6</w:t>
        </w:r>
        <w:proofErr w:type="spellEnd"/>
        <w:r w:rsidRPr="00997F4F">
          <w:rPr>
            <w:rStyle w:val="Hyperlink"/>
            <w:szCs w:val="18"/>
          </w:rPr>
          <w:t>/English/</w:t>
        </w:r>
        <w:proofErr w:type="spellStart"/>
        <w:r w:rsidRPr="00997F4F">
          <w:rPr>
            <w:rStyle w:val="Hyperlink"/>
            <w:szCs w:val="18"/>
          </w:rPr>
          <w:t>6_24_e_report.pdf</w:t>
        </w:r>
        <w:proofErr w:type="spellEnd"/>
      </w:hyperlink>
      <w:r>
        <w:rPr>
          <w:szCs w:val="18"/>
          <w:lang w:val="ru-RU"/>
        </w:rPr>
        <w:t>.</w:t>
      </w:r>
    </w:p>
  </w:footnote>
  <w:footnote w:id="11">
    <w:p w14:paraId="3F67E6D4" w14:textId="6E7A063A" w:rsidR="007C7079" w:rsidRPr="00F33C7B" w:rsidRDefault="007C7079" w:rsidP="004E6CE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F33C7B">
        <w:rPr>
          <w:rStyle w:val="FootnoteReference"/>
        </w:rPr>
        <w:footnoteRef/>
      </w:r>
      <w:r w:rsidRPr="00F33C7B">
        <w:rPr>
          <w:szCs w:val="18"/>
        </w:rPr>
        <w:t xml:space="preserve"> </w:t>
      </w:r>
      <w:r>
        <w:rPr>
          <w:szCs w:val="18"/>
        </w:rPr>
        <w:tab/>
      </w:r>
      <w:r w:rsidRPr="00F33C7B">
        <w:rPr>
          <w:szCs w:val="18"/>
        </w:rPr>
        <w:t xml:space="preserve">UNEP(DTIE)/Hg/CONF/4, </w:t>
      </w:r>
      <w:hyperlink r:id="rId3" w:history="1">
        <w:r w:rsidRPr="00F33C7B">
          <w:rPr>
            <w:rStyle w:val="Hyperlink"/>
            <w:szCs w:val="18"/>
          </w:rPr>
          <w:t>http://www.mercuryconvention.org/Portals/11/documents/meetings/dipcon/english/CONF_4_Final_Act_e.pdf</w:t>
        </w:r>
      </w:hyperlink>
      <w:r>
        <w:rPr>
          <w:rStyle w:val="Hyperlink"/>
          <w:szCs w:val="18"/>
          <w:lang w:val="ru-RU"/>
        </w:rPr>
        <w:t>.</w:t>
      </w:r>
      <w:r w:rsidRPr="00F33C7B">
        <w:rPr>
          <w:szCs w:val="18"/>
        </w:rPr>
        <w:t xml:space="preserve"> </w:t>
      </w:r>
    </w:p>
  </w:footnote>
  <w:footnote w:id="12">
    <w:p w14:paraId="100F3879" w14:textId="5A4DBE74" w:rsidR="007C7079" w:rsidRPr="00F33C7B" w:rsidRDefault="007C7079" w:rsidP="004E6CE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F33C7B">
        <w:rPr>
          <w:rStyle w:val="FootnoteReference"/>
        </w:rPr>
        <w:footnoteRef/>
      </w:r>
      <w:r w:rsidRPr="00F33C7B">
        <w:rPr>
          <w:szCs w:val="18"/>
        </w:rPr>
        <w:t xml:space="preserve"> </w:t>
      </w:r>
      <w:r>
        <w:rPr>
          <w:szCs w:val="18"/>
        </w:rPr>
        <w:tab/>
      </w:r>
      <w:proofErr w:type="spellStart"/>
      <w:r w:rsidRPr="00F33C7B">
        <w:rPr>
          <w:szCs w:val="18"/>
        </w:rPr>
        <w:t>UNEP</w:t>
      </w:r>
      <w:proofErr w:type="spellEnd"/>
      <w:r w:rsidRPr="00F33C7B">
        <w:rPr>
          <w:szCs w:val="18"/>
        </w:rPr>
        <w:t>(</w:t>
      </w:r>
      <w:proofErr w:type="spellStart"/>
      <w:r w:rsidRPr="00F33C7B">
        <w:rPr>
          <w:szCs w:val="18"/>
        </w:rPr>
        <w:t>DTIE</w:t>
      </w:r>
      <w:proofErr w:type="spellEnd"/>
      <w:r w:rsidRPr="00F33C7B">
        <w:rPr>
          <w:szCs w:val="18"/>
        </w:rPr>
        <w:t>)/Hg/</w:t>
      </w:r>
      <w:proofErr w:type="spellStart"/>
      <w:r w:rsidRPr="00F33C7B">
        <w:rPr>
          <w:szCs w:val="18"/>
        </w:rPr>
        <w:t>INC.6</w:t>
      </w:r>
      <w:proofErr w:type="spellEnd"/>
      <w:r w:rsidRPr="00F33C7B">
        <w:rPr>
          <w:szCs w:val="18"/>
        </w:rPr>
        <w:t xml:space="preserve">/24, </w:t>
      </w:r>
      <w:hyperlink r:id="rId4" w:history="1">
        <w:r w:rsidRPr="00997F4F">
          <w:rPr>
            <w:rStyle w:val="Hyperlink"/>
            <w:szCs w:val="18"/>
          </w:rPr>
          <w:t>http://</w:t>
        </w:r>
        <w:proofErr w:type="spellStart"/>
        <w:r w:rsidRPr="00997F4F">
          <w:rPr>
            <w:rStyle w:val="Hyperlink"/>
            <w:szCs w:val="18"/>
          </w:rPr>
          <w:t>www.mercuryconvention.org</w:t>
        </w:r>
        <w:proofErr w:type="spellEnd"/>
        <w:r w:rsidRPr="00997F4F">
          <w:rPr>
            <w:rStyle w:val="Hyperlink"/>
            <w:szCs w:val="18"/>
          </w:rPr>
          <w:t>/</w:t>
        </w:r>
        <w:proofErr w:type="spellStart"/>
        <w:r w:rsidRPr="00997F4F">
          <w:rPr>
            <w:rStyle w:val="Hyperlink"/>
            <w:szCs w:val="18"/>
          </w:rPr>
          <w:t>Portals</w:t>
        </w:r>
        <w:proofErr w:type="spellEnd"/>
        <w:r w:rsidRPr="00997F4F">
          <w:rPr>
            <w:rStyle w:val="Hyperlink"/>
            <w:szCs w:val="18"/>
          </w:rPr>
          <w:t>/11/documents/meetings/</w:t>
        </w:r>
        <w:r w:rsidRPr="00997F4F">
          <w:rPr>
            <w:rStyle w:val="Hyperlink"/>
            <w:szCs w:val="18"/>
          </w:rPr>
          <w:br/>
        </w:r>
        <w:proofErr w:type="spellStart"/>
        <w:r w:rsidRPr="00997F4F">
          <w:rPr>
            <w:rStyle w:val="Hyperlink"/>
            <w:szCs w:val="18"/>
          </w:rPr>
          <w:t>inc6</w:t>
        </w:r>
        <w:proofErr w:type="spellEnd"/>
        <w:r w:rsidRPr="00997F4F">
          <w:rPr>
            <w:rStyle w:val="Hyperlink"/>
            <w:szCs w:val="18"/>
          </w:rPr>
          <w:t>/English/</w:t>
        </w:r>
        <w:proofErr w:type="spellStart"/>
        <w:r w:rsidRPr="00997F4F">
          <w:rPr>
            <w:rStyle w:val="Hyperlink"/>
            <w:szCs w:val="18"/>
          </w:rPr>
          <w:t>6_24_e_report.pdf</w:t>
        </w:r>
        <w:proofErr w:type="spellEnd"/>
      </w:hyperlink>
      <w:r>
        <w:rPr>
          <w:rStyle w:val="Hyperlink"/>
          <w:szCs w:val="18"/>
          <w:lang w:val="ru-RU"/>
        </w:rPr>
        <w:t>.</w:t>
      </w:r>
      <w:r w:rsidRPr="00F33C7B">
        <w:rPr>
          <w:szCs w:val="18"/>
        </w:rPr>
        <w:t xml:space="preserve"> </w:t>
      </w:r>
    </w:p>
  </w:footnote>
  <w:footnote w:id="13">
    <w:p w14:paraId="32F62B30" w14:textId="73904AD2" w:rsidR="007C7079" w:rsidRPr="002F7012" w:rsidRDefault="007C7079" w:rsidP="004E6CE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en-GB"/>
        </w:rPr>
      </w:pPr>
      <w:r w:rsidRPr="00F33C7B">
        <w:rPr>
          <w:rStyle w:val="FootnoteReference"/>
        </w:rPr>
        <w:footnoteRef/>
      </w:r>
      <w:r w:rsidRPr="002F7012">
        <w:rPr>
          <w:szCs w:val="18"/>
          <w:lang w:val="en-GB"/>
        </w:rPr>
        <w:t xml:space="preserve"> </w:t>
      </w:r>
      <w:r>
        <w:rPr>
          <w:szCs w:val="18"/>
          <w:lang w:val="en-GB"/>
        </w:rPr>
        <w:tab/>
      </w:r>
      <w:r w:rsidRPr="002F7012">
        <w:rPr>
          <w:szCs w:val="18"/>
          <w:lang w:val="en-GB"/>
        </w:rPr>
        <w:t xml:space="preserve">GEF/A.5/09, </w:t>
      </w:r>
      <w:hyperlink r:id="rId5" w:history="1">
        <w:r w:rsidRPr="002F7012">
          <w:rPr>
            <w:rStyle w:val="Hyperlink"/>
            <w:szCs w:val="18"/>
            <w:lang w:val="en-GB"/>
          </w:rPr>
          <w:t>https://www.thegef.org/sites/default/files/council-meeting- documents/GEF.A.5.09_Amendments_to_the_Instrument_April_16_2014_V3_1.pdf</w:t>
        </w:r>
      </w:hyperlink>
      <w:r>
        <w:rPr>
          <w:rStyle w:val="Hyperlink"/>
          <w:szCs w:val="18"/>
          <w:lang w:val="ru-RU"/>
        </w:rPr>
        <w:t>.</w:t>
      </w:r>
      <w:r w:rsidRPr="002F7012">
        <w:rPr>
          <w:lang w:val="en-GB"/>
        </w:rPr>
        <w:t xml:space="preserve"> </w:t>
      </w:r>
    </w:p>
  </w:footnote>
  <w:footnote w:id="14">
    <w:p w14:paraId="28E390E1" w14:textId="4AB1D3D5" w:rsidR="007C7079" w:rsidRPr="00E27EA5" w:rsidRDefault="007C7079" w:rsidP="000465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rStyle w:val="FootnoteReference"/>
        </w:rPr>
        <w:footnoteRef/>
      </w:r>
      <w:r w:rsidRPr="00E27EA5">
        <w:rPr>
          <w:lang w:val="ru-RU"/>
        </w:rPr>
        <w:t xml:space="preserve"> </w:t>
      </w:r>
      <w:r>
        <w:rPr>
          <w:lang w:val="ru-RU"/>
        </w:rPr>
        <w:tab/>
      </w:r>
      <w:proofErr w:type="spellStart"/>
      <w:r>
        <w:rPr>
          <w:lang w:val="ru-RU"/>
        </w:rPr>
        <w:t>СД</w:t>
      </w:r>
      <w:proofErr w:type="spellEnd"/>
      <w:r w:rsidRPr="00E27EA5">
        <w:rPr>
          <w:lang w:val="ru-RU"/>
        </w:rPr>
        <w:t xml:space="preserve"> – стимулирующая деятельность, </w:t>
      </w:r>
      <w:proofErr w:type="spellStart"/>
      <w:r>
        <w:rPr>
          <w:lang w:val="ru-RU"/>
        </w:rPr>
        <w:t>СМП</w:t>
      </w:r>
      <w:proofErr w:type="spellEnd"/>
      <w:r w:rsidRPr="00E27EA5">
        <w:rPr>
          <w:lang w:val="ru-RU"/>
        </w:rPr>
        <w:t xml:space="preserve"> – средне</w:t>
      </w:r>
      <w:r>
        <w:rPr>
          <w:lang w:val="ru-RU"/>
        </w:rPr>
        <w:t>масштабные</w:t>
      </w:r>
      <w:r w:rsidRPr="00E27EA5">
        <w:rPr>
          <w:lang w:val="ru-RU"/>
        </w:rPr>
        <w:t xml:space="preserve"> проекты (проекты стоимостью менее 2 млн долл. США), </w:t>
      </w:r>
      <w:proofErr w:type="spellStart"/>
      <w:r>
        <w:rPr>
          <w:lang w:val="ru-RU"/>
        </w:rPr>
        <w:t>КМП</w:t>
      </w:r>
      <w:proofErr w:type="spellEnd"/>
      <w:r w:rsidRPr="00E27EA5">
        <w:rPr>
          <w:lang w:val="ru-RU"/>
        </w:rPr>
        <w:t xml:space="preserve"> – </w:t>
      </w:r>
      <w:r>
        <w:rPr>
          <w:lang w:val="ru-RU"/>
        </w:rPr>
        <w:t>крупно</w:t>
      </w:r>
      <w:r w:rsidRPr="00E27EA5">
        <w:rPr>
          <w:lang w:val="ru-RU"/>
        </w:rPr>
        <w:t xml:space="preserve">масштабные проекты (проекты стоимостью более 2 млн долл. США), </w:t>
      </w:r>
      <w:proofErr w:type="spellStart"/>
      <w:r>
        <w:rPr>
          <w:lang w:val="ru-RU"/>
        </w:rPr>
        <w:t>ПРД</w:t>
      </w:r>
      <w:proofErr w:type="spellEnd"/>
      <w:r w:rsidRPr="00E27EA5">
        <w:rPr>
          <w:lang w:val="ru-RU"/>
        </w:rPr>
        <w:t xml:space="preserve"> – программный рамочный документ для программных подходов.</w:t>
      </w:r>
    </w:p>
  </w:footnote>
  <w:footnote w:id="15">
    <w:p w14:paraId="3D39C34F" w14:textId="0F27428C" w:rsidR="007C7079" w:rsidRPr="003F4344" w:rsidRDefault="007C7079" w:rsidP="000465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US"/>
        </w:rPr>
      </w:pPr>
      <w:r w:rsidRPr="00F33C7B">
        <w:rPr>
          <w:rStyle w:val="FootnoteReference"/>
        </w:rPr>
        <w:footnoteRef/>
      </w:r>
      <w:r w:rsidRPr="00E27EA5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E27EA5">
        <w:rPr>
          <w:szCs w:val="18"/>
          <w:lang w:val="ru-RU"/>
        </w:rPr>
        <w:t>Это только грант ГЭФ, исключая субсидии на подготовку проектов и гонорары агентств.</w:t>
      </w:r>
    </w:p>
  </w:footnote>
  <w:footnote w:id="16">
    <w:p w14:paraId="6C0670AF" w14:textId="23186E3E" w:rsidR="007C7079" w:rsidRPr="00E27EA5" w:rsidRDefault="007C7079" w:rsidP="000465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F33C7B">
        <w:rPr>
          <w:rStyle w:val="FootnoteReference"/>
        </w:rPr>
        <w:footnoteRef/>
      </w:r>
      <w:r w:rsidRPr="00E27EA5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>
        <w:rPr>
          <w:szCs w:val="18"/>
          <w:lang w:val="en-GB"/>
        </w:rPr>
        <w:t>«</w:t>
      </w:r>
      <w:r>
        <w:rPr>
          <w:szCs w:val="18"/>
          <w:lang w:val="ru-RU"/>
        </w:rPr>
        <w:t>О</w:t>
      </w:r>
      <w:r>
        <w:rPr>
          <w:szCs w:val="18"/>
          <w:lang w:val="en-GB"/>
        </w:rPr>
        <w:t>»</w:t>
      </w:r>
      <w:r w:rsidRPr="00E27EA5">
        <w:rPr>
          <w:szCs w:val="18"/>
          <w:lang w:val="ru-RU"/>
        </w:rPr>
        <w:t xml:space="preserve"> означает тематическую область, посвященную химическим веществам и отходам</w:t>
      </w:r>
    </w:p>
  </w:footnote>
  <w:footnote w:id="17">
    <w:p w14:paraId="4E1DD240" w14:textId="7B4A0E85" w:rsidR="007C7079" w:rsidRPr="0074717B" w:rsidRDefault="007C7079" w:rsidP="000465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F33C7B">
        <w:rPr>
          <w:rStyle w:val="FootnoteReference"/>
        </w:rPr>
        <w:footnoteRef/>
      </w:r>
      <w:r w:rsidRPr="006C350B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>
        <w:rPr>
          <w:szCs w:val="18"/>
          <w:lang w:val="en-GB"/>
        </w:rPr>
        <w:t>«</w:t>
      </w:r>
      <w:r>
        <w:rPr>
          <w:szCs w:val="18"/>
          <w:lang w:val="ru-RU"/>
        </w:rPr>
        <w:t>С</w:t>
      </w:r>
      <w:r>
        <w:rPr>
          <w:szCs w:val="18"/>
          <w:lang w:val="en-GB"/>
        </w:rPr>
        <w:t>»</w:t>
      </w:r>
      <w:r w:rsidRPr="006C350B">
        <w:rPr>
          <w:szCs w:val="18"/>
          <w:lang w:val="ru-RU"/>
        </w:rPr>
        <w:t xml:space="preserve"> означает тематическую область </w:t>
      </w:r>
      <w:proofErr w:type="spellStart"/>
      <w:r w:rsidRPr="006C350B">
        <w:rPr>
          <w:szCs w:val="18"/>
          <w:lang w:val="ru-RU"/>
        </w:rPr>
        <w:t>СОЗ</w:t>
      </w:r>
      <w:proofErr w:type="spellEnd"/>
      <w:r w:rsidRPr="006C350B">
        <w:rPr>
          <w:szCs w:val="18"/>
          <w:lang w:val="ru-RU"/>
        </w:rPr>
        <w:t xml:space="preserve">, которая существовала до конца </w:t>
      </w:r>
      <w:proofErr w:type="spellStart"/>
      <w:r w:rsidRPr="006C350B">
        <w:rPr>
          <w:szCs w:val="18"/>
          <w:lang w:val="ru-RU"/>
        </w:rPr>
        <w:t>ГЭФ</w:t>
      </w:r>
      <w:proofErr w:type="spellEnd"/>
      <w:r w:rsidRPr="006C350B">
        <w:rPr>
          <w:szCs w:val="18"/>
          <w:lang w:val="ru-RU"/>
        </w:rPr>
        <w:t xml:space="preserve">-5. </w:t>
      </w:r>
      <w:r w:rsidRPr="0074717B">
        <w:rPr>
          <w:szCs w:val="18"/>
          <w:lang w:val="ru-RU"/>
        </w:rPr>
        <w:t>После внесения поправки в Документ ГЭФ на пятой Ассамблее ГЭФ в мае 2014</w:t>
      </w:r>
      <w:r>
        <w:rPr>
          <w:szCs w:val="18"/>
          <w:lang w:val="en-GB"/>
        </w:rPr>
        <w:t> </w:t>
      </w:r>
      <w:r w:rsidRPr="0074717B">
        <w:rPr>
          <w:szCs w:val="18"/>
          <w:lang w:val="ru-RU"/>
        </w:rPr>
        <w:t>года вместо тематической области СОЗ была создана тематическая область, касающаяся химических веществ и отходов.</w:t>
      </w:r>
    </w:p>
  </w:footnote>
  <w:footnote w:id="18">
    <w:p w14:paraId="6917B1A5" w14:textId="780517A5" w:rsidR="007C7079" w:rsidRPr="00560B57" w:rsidRDefault="007C7079" w:rsidP="00E25511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rStyle w:val="FootnoteReference"/>
        </w:rPr>
        <w:footnoteRef/>
      </w:r>
      <w:r w:rsidRPr="00560B57">
        <w:rPr>
          <w:lang w:val="ru-RU"/>
        </w:rPr>
        <w:t xml:space="preserve"> </w:t>
      </w:r>
      <w:r>
        <w:rPr>
          <w:lang w:val="ru-RU"/>
        </w:rPr>
        <w:tab/>
      </w:r>
      <w:proofErr w:type="spellStart"/>
      <w:r>
        <w:rPr>
          <w:lang w:val="ru-RU"/>
        </w:rPr>
        <w:t>МЦП</w:t>
      </w:r>
      <w:proofErr w:type="spellEnd"/>
      <w:r w:rsidRPr="00560B57">
        <w:rPr>
          <w:lang w:val="ru-RU"/>
        </w:rPr>
        <w:t xml:space="preserve"> – многоцелевые проекты, т.е. проекты, направленные на решение многочисленных приоритетных задач ГЭФ в разных тематических областях в рамках одного проекта.</w:t>
      </w:r>
    </w:p>
  </w:footnote>
  <w:footnote w:id="19">
    <w:p w14:paraId="2935A61F" w14:textId="2512169C" w:rsidR="007C7079" w:rsidRPr="00BA5DD6" w:rsidRDefault="007C7079" w:rsidP="00707B8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  <w:lang w:val="en-GB"/>
        </w:rPr>
        <w:footnoteRef/>
      </w:r>
      <w:r w:rsidRPr="006A37B6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493097">
        <w:rPr>
          <w:szCs w:val="18"/>
          <w:lang w:val="en-GB"/>
        </w:rPr>
        <w:t>http</w:t>
      </w:r>
      <w:r w:rsidRPr="006A37B6">
        <w:rPr>
          <w:szCs w:val="18"/>
          <w:lang w:val="ru-RU"/>
        </w:rPr>
        <w:t>://</w:t>
      </w:r>
      <w:r w:rsidRPr="00493097">
        <w:rPr>
          <w:szCs w:val="18"/>
          <w:lang w:val="en-GB"/>
        </w:rPr>
        <w:t>www</w:t>
      </w:r>
      <w:r w:rsidRPr="006A37B6">
        <w:rPr>
          <w:szCs w:val="18"/>
          <w:lang w:val="ru-RU"/>
        </w:rPr>
        <w:t>.</w:t>
      </w:r>
      <w:proofErr w:type="spellStart"/>
      <w:r w:rsidRPr="00493097">
        <w:rPr>
          <w:szCs w:val="18"/>
          <w:lang w:val="en-GB"/>
        </w:rPr>
        <w:t>mercuryconvention</w:t>
      </w:r>
      <w:proofErr w:type="spellEnd"/>
      <w:r w:rsidRPr="006A37B6">
        <w:rPr>
          <w:szCs w:val="18"/>
          <w:lang w:val="ru-RU"/>
        </w:rPr>
        <w:t>.</w:t>
      </w:r>
      <w:r w:rsidRPr="00493097">
        <w:rPr>
          <w:szCs w:val="18"/>
          <w:lang w:val="en-GB"/>
        </w:rPr>
        <w:t>org</w:t>
      </w:r>
      <w:r w:rsidRPr="006A37B6">
        <w:rPr>
          <w:szCs w:val="18"/>
          <w:lang w:val="ru-RU"/>
        </w:rPr>
        <w:t>/</w:t>
      </w:r>
      <w:r w:rsidRPr="00493097">
        <w:rPr>
          <w:szCs w:val="18"/>
          <w:lang w:val="en-GB"/>
        </w:rPr>
        <w:t>Portals</w:t>
      </w:r>
      <w:r w:rsidRPr="006A37B6">
        <w:rPr>
          <w:szCs w:val="18"/>
          <w:lang w:val="ru-RU"/>
        </w:rPr>
        <w:t>/11/</w:t>
      </w:r>
      <w:r w:rsidRPr="00493097">
        <w:rPr>
          <w:szCs w:val="18"/>
          <w:lang w:val="en-GB"/>
        </w:rPr>
        <w:t>documents</w:t>
      </w:r>
      <w:r w:rsidRPr="006A37B6">
        <w:rPr>
          <w:szCs w:val="18"/>
          <w:lang w:val="ru-RU"/>
        </w:rPr>
        <w:t>/</w:t>
      </w:r>
      <w:r w:rsidRPr="00493097">
        <w:rPr>
          <w:szCs w:val="18"/>
          <w:lang w:val="en-GB"/>
        </w:rPr>
        <w:t>SIP</w:t>
      </w:r>
      <w:r w:rsidRPr="006A37B6">
        <w:rPr>
          <w:szCs w:val="18"/>
          <w:lang w:val="ru-RU"/>
        </w:rPr>
        <w:t>/</w:t>
      </w:r>
      <w:r w:rsidRPr="00493097">
        <w:rPr>
          <w:szCs w:val="18"/>
          <w:lang w:val="en-GB"/>
        </w:rPr>
        <w:t>SIP</w:t>
      </w:r>
      <w:r w:rsidRPr="006A37B6">
        <w:rPr>
          <w:szCs w:val="18"/>
          <w:lang w:val="ru-RU"/>
        </w:rPr>
        <w:t>.1_6</w:t>
      </w:r>
      <w:r w:rsidRPr="00493097">
        <w:rPr>
          <w:szCs w:val="18"/>
          <w:lang w:val="en-GB"/>
        </w:rPr>
        <w:t>Report</w:t>
      </w:r>
      <w:r w:rsidRPr="006A37B6">
        <w:rPr>
          <w:szCs w:val="18"/>
          <w:lang w:val="ru-RU"/>
        </w:rPr>
        <w:t>.</w:t>
      </w:r>
      <w:r w:rsidRPr="00493097">
        <w:rPr>
          <w:szCs w:val="18"/>
          <w:lang w:val="en-GB"/>
        </w:rPr>
        <w:t>pdf</w:t>
      </w:r>
      <w:r>
        <w:rPr>
          <w:szCs w:val="18"/>
          <w:lang w:val="ru-RU"/>
        </w:rPr>
        <w:t>.</w:t>
      </w:r>
    </w:p>
  </w:footnote>
  <w:footnote w:id="20">
    <w:p w14:paraId="41848B8C" w14:textId="232744F3" w:rsidR="007C7079" w:rsidRPr="00A53B86" w:rsidRDefault="007C7079" w:rsidP="00707B8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  <w:lang w:val="en-GB"/>
        </w:rPr>
        <w:footnoteRef/>
      </w:r>
      <w:r w:rsidRPr="00A53B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A53B86">
        <w:rPr>
          <w:szCs w:val="18"/>
          <w:lang w:val="ru-RU"/>
        </w:rPr>
        <w:t>Разбивка по регионам: Африка: Бенин и Лесото; Государства Азии и Тихого океана</w:t>
      </w:r>
      <w:r>
        <w:rPr>
          <w:szCs w:val="18"/>
          <w:lang w:val="ru-RU"/>
        </w:rPr>
        <w:t>:</w:t>
      </w:r>
      <w:r w:rsidRPr="00A53B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Иран</w:t>
      </w:r>
      <w:r w:rsidRPr="00A53B86">
        <w:rPr>
          <w:szCs w:val="18"/>
          <w:lang w:val="ru-RU"/>
        </w:rPr>
        <w:t xml:space="preserve">; Центральная Европа и Восточная Европа: </w:t>
      </w:r>
      <w:r>
        <w:rPr>
          <w:szCs w:val="18"/>
          <w:lang w:val="ru-RU"/>
        </w:rPr>
        <w:t>Армения</w:t>
      </w:r>
      <w:r w:rsidRPr="00A53B86">
        <w:rPr>
          <w:szCs w:val="18"/>
          <w:lang w:val="ru-RU"/>
        </w:rPr>
        <w:t xml:space="preserve">; Латинская Америка и Карибский бассейн: </w:t>
      </w:r>
      <w:r>
        <w:rPr>
          <w:szCs w:val="18"/>
          <w:lang w:val="ru-RU"/>
        </w:rPr>
        <w:t>Аргентина</w:t>
      </w:r>
      <w:r w:rsidRPr="00A53B86">
        <w:rPr>
          <w:szCs w:val="18"/>
          <w:lang w:val="ru-RU"/>
        </w:rPr>
        <w:t>.</w:t>
      </w:r>
    </w:p>
  </w:footnote>
  <w:footnote w:id="21">
    <w:p w14:paraId="14EA4E02" w14:textId="2B7B2081" w:rsidR="007C7079" w:rsidRPr="00693632" w:rsidRDefault="007C7079" w:rsidP="00707B8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  <w:lang w:val="en-GB"/>
        </w:rPr>
        <w:footnoteRef/>
      </w:r>
      <w:r w:rsidRPr="00693632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493097">
        <w:rPr>
          <w:szCs w:val="18"/>
          <w:lang w:val="en-GB"/>
        </w:rPr>
        <w:t>http</w:t>
      </w:r>
      <w:r w:rsidRPr="00693632">
        <w:rPr>
          <w:szCs w:val="18"/>
          <w:lang w:val="ru-RU"/>
        </w:rPr>
        <w:t>://</w:t>
      </w:r>
      <w:r w:rsidRPr="00493097">
        <w:rPr>
          <w:szCs w:val="18"/>
          <w:lang w:val="en-GB"/>
        </w:rPr>
        <w:t>www</w:t>
      </w:r>
      <w:r w:rsidRPr="00693632">
        <w:rPr>
          <w:szCs w:val="18"/>
          <w:lang w:val="ru-RU"/>
        </w:rPr>
        <w:t>.</w:t>
      </w:r>
      <w:proofErr w:type="spellStart"/>
      <w:r w:rsidRPr="00493097">
        <w:rPr>
          <w:szCs w:val="18"/>
          <w:lang w:val="en-GB"/>
        </w:rPr>
        <w:t>mercuryconvention</w:t>
      </w:r>
      <w:proofErr w:type="spellEnd"/>
      <w:r w:rsidRPr="00693632">
        <w:rPr>
          <w:szCs w:val="18"/>
          <w:lang w:val="ru-RU"/>
        </w:rPr>
        <w:t>.</w:t>
      </w:r>
      <w:r w:rsidRPr="00493097">
        <w:rPr>
          <w:szCs w:val="18"/>
          <w:lang w:val="en-GB"/>
        </w:rPr>
        <w:t>org</w:t>
      </w:r>
      <w:r w:rsidRPr="00693632">
        <w:rPr>
          <w:szCs w:val="18"/>
          <w:lang w:val="ru-RU"/>
        </w:rPr>
        <w:t>/</w:t>
      </w:r>
      <w:r w:rsidRPr="00493097">
        <w:rPr>
          <w:szCs w:val="18"/>
          <w:lang w:val="en-GB"/>
        </w:rPr>
        <w:t>Portals</w:t>
      </w:r>
      <w:r w:rsidRPr="00693632">
        <w:rPr>
          <w:szCs w:val="18"/>
          <w:lang w:val="ru-RU"/>
        </w:rPr>
        <w:t>/11/</w:t>
      </w:r>
      <w:r w:rsidRPr="00493097">
        <w:rPr>
          <w:szCs w:val="18"/>
          <w:lang w:val="en-GB"/>
        </w:rPr>
        <w:t>documents</w:t>
      </w:r>
      <w:r w:rsidRPr="00693632">
        <w:rPr>
          <w:szCs w:val="18"/>
          <w:lang w:val="ru-RU"/>
        </w:rPr>
        <w:t>/</w:t>
      </w:r>
      <w:r w:rsidRPr="00493097">
        <w:rPr>
          <w:szCs w:val="18"/>
          <w:lang w:val="en-GB"/>
        </w:rPr>
        <w:t>SIP</w:t>
      </w:r>
      <w:r w:rsidRPr="00693632">
        <w:rPr>
          <w:szCs w:val="18"/>
          <w:lang w:val="ru-RU"/>
        </w:rPr>
        <w:t>/</w:t>
      </w:r>
      <w:r w:rsidRPr="00493097">
        <w:rPr>
          <w:szCs w:val="18"/>
          <w:lang w:val="en-GB"/>
        </w:rPr>
        <w:t>SIP</w:t>
      </w:r>
      <w:r w:rsidRPr="00693632">
        <w:rPr>
          <w:szCs w:val="18"/>
          <w:lang w:val="ru-RU"/>
        </w:rPr>
        <w:t>.</w:t>
      </w:r>
      <w:r w:rsidRPr="00493097">
        <w:rPr>
          <w:szCs w:val="18"/>
          <w:lang w:val="en-GB"/>
        </w:rPr>
        <w:t>GB</w:t>
      </w:r>
      <w:r w:rsidRPr="00693632">
        <w:rPr>
          <w:szCs w:val="18"/>
          <w:lang w:val="ru-RU"/>
        </w:rPr>
        <w:t>.3.2_</w:t>
      </w:r>
      <w:r w:rsidRPr="00493097">
        <w:rPr>
          <w:szCs w:val="18"/>
          <w:lang w:val="en-GB"/>
        </w:rPr>
        <w:t>Report</w:t>
      </w:r>
      <w:r w:rsidRPr="00693632">
        <w:rPr>
          <w:szCs w:val="18"/>
          <w:lang w:val="ru-RU"/>
        </w:rPr>
        <w:t>_</w:t>
      </w:r>
      <w:r w:rsidRPr="00493097">
        <w:rPr>
          <w:szCs w:val="18"/>
          <w:lang w:val="en-GB"/>
        </w:rPr>
        <w:t>Second</w:t>
      </w:r>
      <w:r w:rsidRPr="00693632">
        <w:rPr>
          <w:szCs w:val="18"/>
          <w:lang w:val="ru-RU"/>
        </w:rPr>
        <w:t>_</w:t>
      </w:r>
      <w:r w:rsidRPr="00493097">
        <w:rPr>
          <w:szCs w:val="18"/>
          <w:lang w:val="en-GB"/>
        </w:rPr>
        <w:t>Meeting</w:t>
      </w:r>
      <w:r w:rsidRPr="00693632">
        <w:rPr>
          <w:szCs w:val="18"/>
          <w:lang w:val="ru-RU"/>
        </w:rPr>
        <w:t>.</w:t>
      </w:r>
      <w:r w:rsidRPr="00493097">
        <w:rPr>
          <w:szCs w:val="18"/>
          <w:lang w:val="en-GB"/>
        </w:rPr>
        <w:t>pdf</w:t>
      </w:r>
    </w:p>
  </w:footnote>
  <w:footnote w:id="22">
    <w:p w14:paraId="7BBF5586" w14:textId="68CA2FD7" w:rsidR="007C7079" w:rsidRPr="00DE3854" w:rsidRDefault="007C7079" w:rsidP="00707B8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  <w:lang w:val="en-GB"/>
        </w:rPr>
        <w:footnoteRef/>
      </w:r>
      <w:r w:rsidRPr="00DE3854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DE3854">
        <w:rPr>
          <w:szCs w:val="18"/>
          <w:lang w:val="ru-RU"/>
        </w:rPr>
        <w:t xml:space="preserve">См. </w:t>
      </w:r>
      <w:r w:rsidRPr="00DE3854">
        <w:rPr>
          <w:szCs w:val="18"/>
          <w:lang w:val="en-GB"/>
        </w:rPr>
        <w:t>UNEP</w:t>
      </w:r>
      <w:r w:rsidRPr="00DE3854">
        <w:rPr>
          <w:szCs w:val="18"/>
          <w:lang w:val="ru-RU"/>
        </w:rPr>
        <w:t>/</w:t>
      </w:r>
      <w:r w:rsidRPr="00DE3854">
        <w:rPr>
          <w:szCs w:val="18"/>
          <w:lang w:val="en-GB"/>
        </w:rPr>
        <w:t>MC</w:t>
      </w:r>
      <w:r w:rsidRPr="00DE3854">
        <w:rPr>
          <w:szCs w:val="18"/>
          <w:lang w:val="ru-RU"/>
        </w:rPr>
        <w:t>/</w:t>
      </w:r>
      <w:r w:rsidRPr="00DE3854">
        <w:rPr>
          <w:szCs w:val="18"/>
          <w:lang w:val="en-GB"/>
        </w:rPr>
        <w:t>COP</w:t>
      </w:r>
      <w:r>
        <w:rPr>
          <w:szCs w:val="18"/>
          <w:lang w:val="ru-RU"/>
        </w:rPr>
        <w:t>.</w:t>
      </w:r>
      <w:r w:rsidRPr="00DE3854">
        <w:rPr>
          <w:szCs w:val="18"/>
          <w:lang w:val="ru-RU"/>
        </w:rPr>
        <w:t>3/10/</w:t>
      </w:r>
      <w:r w:rsidRPr="00DE3854">
        <w:rPr>
          <w:szCs w:val="18"/>
          <w:lang w:val="en-GB"/>
        </w:rPr>
        <w:t>Add</w:t>
      </w:r>
      <w:r w:rsidRPr="00DE3854">
        <w:rPr>
          <w:szCs w:val="18"/>
          <w:lang w:val="ru-RU"/>
        </w:rPr>
        <w:t xml:space="preserve">.1, приложение </w:t>
      </w:r>
      <w:r w:rsidRPr="00DE3854">
        <w:rPr>
          <w:szCs w:val="18"/>
          <w:lang w:val="en-GB"/>
        </w:rPr>
        <w:t>I</w:t>
      </w:r>
      <w:r w:rsidRPr="00DE3854">
        <w:rPr>
          <w:szCs w:val="18"/>
          <w:lang w:val="ru-RU"/>
        </w:rPr>
        <w:t xml:space="preserve"> для Доклада третьего совещания Правления.</w:t>
      </w:r>
    </w:p>
  </w:footnote>
  <w:footnote w:id="23">
    <w:p w14:paraId="0E82AC6A" w14:textId="1488E4EA" w:rsidR="007C7079" w:rsidRPr="00693632" w:rsidRDefault="007C7079" w:rsidP="00707B8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</w:rPr>
        <w:footnoteRef/>
      </w:r>
      <w:r w:rsidRPr="00693632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493097">
        <w:rPr>
          <w:szCs w:val="18"/>
          <w:lang w:val="en-GB"/>
        </w:rPr>
        <w:t>http</w:t>
      </w:r>
      <w:r w:rsidRPr="00693632">
        <w:rPr>
          <w:szCs w:val="18"/>
          <w:lang w:val="ru-RU"/>
        </w:rPr>
        <w:t>://</w:t>
      </w:r>
      <w:r w:rsidRPr="00493097">
        <w:rPr>
          <w:szCs w:val="18"/>
          <w:lang w:val="en-GB"/>
        </w:rPr>
        <w:t>www</w:t>
      </w:r>
      <w:r w:rsidRPr="00693632">
        <w:rPr>
          <w:szCs w:val="18"/>
          <w:lang w:val="ru-RU"/>
        </w:rPr>
        <w:t>.</w:t>
      </w:r>
      <w:proofErr w:type="spellStart"/>
      <w:r w:rsidRPr="00493097">
        <w:rPr>
          <w:szCs w:val="18"/>
          <w:lang w:val="en-GB"/>
        </w:rPr>
        <w:t>mercuryconvention</w:t>
      </w:r>
      <w:proofErr w:type="spellEnd"/>
      <w:r w:rsidRPr="00693632">
        <w:rPr>
          <w:szCs w:val="18"/>
          <w:lang w:val="ru-RU"/>
        </w:rPr>
        <w:t>.</w:t>
      </w:r>
      <w:r w:rsidRPr="00493097">
        <w:rPr>
          <w:szCs w:val="18"/>
          <w:lang w:val="en-GB"/>
        </w:rPr>
        <w:t>org</w:t>
      </w:r>
      <w:r w:rsidRPr="00693632">
        <w:rPr>
          <w:szCs w:val="18"/>
          <w:lang w:val="ru-RU"/>
        </w:rPr>
        <w:t>/</w:t>
      </w:r>
      <w:r w:rsidRPr="00493097">
        <w:rPr>
          <w:szCs w:val="18"/>
          <w:lang w:val="en-GB"/>
        </w:rPr>
        <w:t>Implementation</w:t>
      </w:r>
      <w:r w:rsidRPr="00693632">
        <w:rPr>
          <w:szCs w:val="18"/>
          <w:lang w:val="ru-RU"/>
        </w:rPr>
        <w:t>/</w:t>
      </w:r>
      <w:proofErr w:type="spellStart"/>
      <w:r w:rsidRPr="00493097">
        <w:rPr>
          <w:szCs w:val="18"/>
          <w:lang w:val="en-GB"/>
        </w:rPr>
        <w:t>SpecificInternationalProgramme</w:t>
      </w:r>
      <w:proofErr w:type="spellEnd"/>
      <w:r w:rsidRPr="00693632">
        <w:rPr>
          <w:szCs w:val="18"/>
          <w:lang w:val="ru-RU"/>
        </w:rPr>
        <w:t>/</w:t>
      </w:r>
      <w:r>
        <w:rPr>
          <w:szCs w:val="18"/>
          <w:lang w:val="ru-RU"/>
        </w:rPr>
        <w:br/>
      </w:r>
      <w:r w:rsidRPr="00493097">
        <w:rPr>
          <w:szCs w:val="18"/>
          <w:lang w:val="en-GB"/>
        </w:rPr>
        <w:t>tabid</w:t>
      </w:r>
      <w:r w:rsidRPr="00693632">
        <w:rPr>
          <w:szCs w:val="18"/>
          <w:lang w:val="ru-RU"/>
        </w:rPr>
        <w:t>/6334/</w:t>
      </w:r>
      <w:r w:rsidRPr="00493097">
        <w:rPr>
          <w:szCs w:val="18"/>
          <w:lang w:val="en-GB"/>
        </w:rPr>
        <w:t>language</w:t>
      </w:r>
      <w:r w:rsidRPr="00693632">
        <w:rPr>
          <w:szCs w:val="18"/>
          <w:lang w:val="ru-RU"/>
        </w:rPr>
        <w:t>/</w:t>
      </w:r>
      <w:proofErr w:type="spellStart"/>
      <w:r w:rsidRPr="00493097">
        <w:rPr>
          <w:szCs w:val="18"/>
          <w:lang w:val="en-GB"/>
        </w:rPr>
        <w:t>en</w:t>
      </w:r>
      <w:proofErr w:type="spellEnd"/>
      <w:r w:rsidRPr="00693632">
        <w:rPr>
          <w:szCs w:val="18"/>
          <w:lang w:val="ru-RU"/>
        </w:rPr>
        <w:t>-</w:t>
      </w:r>
      <w:r w:rsidRPr="00493097">
        <w:rPr>
          <w:szCs w:val="18"/>
          <w:lang w:val="en-GB"/>
        </w:rPr>
        <w:t>US</w:t>
      </w:r>
      <w:r w:rsidRPr="00693632">
        <w:rPr>
          <w:szCs w:val="18"/>
          <w:lang w:val="ru-RU"/>
        </w:rPr>
        <w:t>/</w:t>
      </w:r>
      <w:r w:rsidRPr="00493097">
        <w:rPr>
          <w:szCs w:val="18"/>
          <w:lang w:val="en-GB"/>
        </w:rPr>
        <w:t>Default</w:t>
      </w:r>
      <w:r w:rsidRPr="00693632">
        <w:rPr>
          <w:szCs w:val="18"/>
          <w:lang w:val="ru-RU"/>
        </w:rPr>
        <w:t>.</w:t>
      </w:r>
      <w:proofErr w:type="spellStart"/>
      <w:r w:rsidRPr="00493097">
        <w:rPr>
          <w:szCs w:val="18"/>
          <w:lang w:val="en-GB"/>
        </w:rPr>
        <w:t>aspx</w:t>
      </w:r>
      <w:proofErr w:type="spellEnd"/>
    </w:p>
  </w:footnote>
  <w:footnote w:id="24">
    <w:p w14:paraId="5C4C4279" w14:textId="41FA1273" w:rsidR="007C7079" w:rsidRPr="003A714C" w:rsidRDefault="007C7079" w:rsidP="006827CB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93097">
        <w:rPr>
          <w:rStyle w:val="FootnoteReference"/>
          <w:sz w:val="18"/>
          <w:lang w:val="en-GB"/>
        </w:rPr>
        <w:footnoteRef/>
      </w:r>
      <w:r w:rsidRPr="003A714C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3A714C">
        <w:rPr>
          <w:szCs w:val="18"/>
          <w:lang w:val="ru-RU"/>
        </w:rPr>
        <w:t xml:space="preserve">Шестью источниками являются: </w:t>
      </w:r>
      <w:proofErr w:type="spellStart"/>
      <w:r w:rsidRPr="00B042B1">
        <w:rPr>
          <w:szCs w:val="18"/>
          <w:lang w:val="en-GB"/>
        </w:rPr>
        <w:t>i</w:t>
      </w:r>
      <w:proofErr w:type="spellEnd"/>
      <w:r w:rsidRPr="003A714C">
        <w:rPr>
          <w:szCs w:val="18"/>
          <w:lang w:val="ru-RU"/>
        </w:rPr>
        <w:t xml:space="preserve">) Глобальный экологический фонд; </w:t>
      </w:r>
      <w:r w:rsidRPr="00B042B1">
        <w:rPr>
          <w:szCs w:val="18"/>
          <w:lang w:val="en-GB"/>
        </w:rPr>
        <w:t>ii</w:t>
      </w:r>
      <w:r w:rsidRPr="003A714C">
        <w:rPr>
          <w:szCs w:val="18"/>
          <w:lang w:val="ru-RU"/>
        </w:rPr>
        <w:t xml:space="preserve">) Целевая международная программа Минаматской конвенции; </w:t>
      </w:r>
      <w:r w:rsidRPr="003A714C">
        <w:rPr>
          <w:szCs w:val="18"/>
          <w:lang w:val="en-GB"/>
        </w:rPr>
        <w:t>iii</w:t>
      </w:r>
      <w:r w:rsidRPr="003A714C">
        <w:rPr>
          <w:szCs w:val="18"/>
          <w:lang w:val="ru-RU"/>
        </w:rPr>
        <w:t xml:space="preserve">) Специальная программа по оказанию поддержки деятельности по укреплению институционального потенциала на национальном уровне в интересах осуществления Базельской конвенции,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конвенции, Минаматской конвенции и Стратегического подхода к международному регулированию химических веществ; </w:t>
      </w:r>
      <w:r w:rsidRPr="00805F8F">
        <w:rPr>
          <w:szCs w:val="18"/>
          <w:lang w:val="en-GB"/>
        </w:rPr>
        <w:t>iv</w:t>
      </w:r>
      <w:r w:rsidRPr="00805F8F">
        <w:rPr>
          <w:szCs w:val="18"/>
          <w:lang w:val="ru-RU"/>
        </w:rPr>
        <w:t>) собственные мероприятия секретариата Минаматской конвенции для поддержки создания потенциала и технической помощи; v) Глобальное партнерство по ртути</w:t>
      </w:r>
      <w:r>
        <w:rPr>
          <w:szCs w:val="18"/>
          <w:lang w:val="ru-RU"/>
        </w:rPr>
        <w:t>;</w:t>
      </w:r>
      <w:r w:rsidRPr="00805F8F">
        <w:rPr>
          <w:szCs w:val="18"/>
          <w:lang w:val="ru-RU"/>
        </w:rPr>
        <w:t xml:space="preserve"> и </w:t>
      </w:r>
      <w:proofErr w:type="spellStart"/>
      <w:r w:rsidRPr="00805F8F">
        <w:rPr>
          <w:szCs w:val="18"/>
          <w:lang w:val="ru-RU"/>
        </w:rPr>
        <w:t>vi</w:t>
      </w:r>
      <w:proofErr w:type="spellEnd"/>
      <w:r w:rsidRPr="00805F8F">
        <w:rPr>
          <w:szCs w:val="18"/>
          <w:lang w:val="ru-RU"/>
        </w:rPr>
        <w:t>)</w:t>
      </w:r>
      <w:r>
        <w:rPr>
          <w:szCs w:val="18"/>
          <w:lang w:val="en-GB"/>
        </w:rPr>
        <w:t> </w:t>
      </w:r>
      <w:r w:rsidRPr="00805F8F">
        <w:rPr>
          <w:szCs w:val="18"/>
          <w:lang w:val="ru-RU"/>
        </w:rPr>
        <w:t>прямые двусторонние мероприятия по поддержке осуществления</w:t>
      </w:r>
      <w:r w:rsidRPr="003A714C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0EBCA" w14:textId="738D1776" w:rsidR="007C7079" w:rsidRPr="00CA5CA9" w:rsidRDefault="007C7079" w:rsidP="00AF1011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COP.3</w:t>
    </w:r>
    <w:r w:rsidRPr="00CA5CA9">
      <w:rPr>
        <w:szCs w:val="18"/>
      </w:rPr>
      <w:t>/</w:t>
    </w:r>
    <w:r>
      <w:rPr>
        <w:szCs w:val="18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9C825" w14:textId="4B8A4C75" w:rsidR="007C7079" w:rsidRPr="00CA5CA9" w:rsidRDefault="007C7079" w:rsidP="00AF1011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COP.3</w:t>
    </w:r>
    <w:r w:rsidRPr="00CA5CA9">
      <w:rPr>
        <w:szCs w:val="18"/>
      </w:rPr>
      <w:t>/</w:t>
    </w:r>
    <w:r>
      <w:rPr>
        <w:szCs w:val="18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6E18A" w14:textId="030B66B0" w:rsidR="007C7079" w:rsidRPr="00F90F2B" w:rsidRDefault="007C7079" w:rsidP="00F90F2B">
    <w:pPr>
      <w:pStyle w:val="Header"/>
      <w:pBdr>
        <w:bottom w:val="none" w:sz="0" w:space="0" w:color="auto"/>
      </w:pBdr>
      <w:tabs>
        <w:tab w:val="clear" w:pos="1247"/>
        <w:tab w:val="clear" w:pos="4536"/>
        <w:tab w:val="clear" w:pos="9072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E1782" w14:textId="625BDCB5" w:rsidR="007C7079" w:rsidRDefault="007C7079" w:rsidP="00CF1CDC">
    <w:pPr>
      <w:pStyle w:val="Header-pool"/>
    </w:pPr>
    <w:r>
      <w:rPr>
        <w:bCs/>
      </w:rPr>
      <w:t>U</w:t>
    </w:r>
    <w:r w:rsidRPr="00C75B4C">
      <w:rPr>
        <w:bCs/>
      </w:rPr>
      <w:t>NEP</w:t>
    </w:r>
    <w:r w:rsidRPr="00C75B4C">
      <w:t>/MC/COP.3/11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FE026" w14:textId="73194AC2" w:rsidR="007C7079" w:rsidRDefault="007C7079" w:rsidP="00CF1CDC">
    <w:pPr>
      <w:pStyle w:val="Header-pool"/>
      <w:jc w:val="right"/>
    </w:pPr>
    <w:r>
      <w:rPr>
        <w:bCs/>
      </w:rPr>
      <w:t>U</w:t>
    </w:r>
    <w:r w:rsidRPr="00C75B4C">
      <w:rPr>
        <w:bCs/>
      </w:rPr>
      <w:t>NEP</w:t>
    </w:r>
    <w:r w:rsidRPr="00C75B4C">
      <w:t>/MC/COP.3/11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19E62" w14:textId="0F096AA2" w:rsidR="007C7079" w:rsidRDefault="007C7079" w:rsidP="00F042C8">
    <w:pPr>
      <w:pStyle w:val="Header-pool"/>
    </w:pPr>
    <w:r w:rsidRPr="005E4496">
      <w:rPr>
        <w:bCs/>
      </w:rPr>
      <w:t>UNE</w:t>
    </w:r>
    <w:r>
      <w:rPr>
        <w:bCs/>
      </w:rPr>
      <w:t>P</w:t>
    </w:r>
    <w:r w:rsidRPr="005E4496">
      <w:t>/MC/</w:t>
    </w:r>
    <w:proofErr w:type="spellStart"/>
    <w:r w:rsidRPr="005E4496">
      <w:t>CO</w:t>
    </w:r>
    <w:r>
      <w:t>P</w:t>
    </w:r>
    <w:r w:rsidRPr="005E4496">
      <w:t>.3</w:t>
    </w:r>
    <w:proofErr w:type="spellEnd"/>
    <w:r w:rsidRPr="005E4496">
      <w:t>/11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916FA" w14:textId="7E8AAF67" w:rsidR="007C7079" w:rsidRDefault="007C7079" w:rsidP="00CF1CDC">
    <w:pPr>
      <w:pStyle w:val="Header-pool"/>
    </w:pPr>
    <w:r>
      <w:rPr>
        <w:bCs/>
      </w:rPr>
      <w:t>U</w:t>
    </w:r>
    <w:r w:rsidRPr="00C75B4C">
      <w:rPr>
        <w:bCs/>
      </w:rPr>
      <w:t>NEP</w:t>
    </w:r>
    <w:r w:rsidRPr="00C75B4C">
      <w:t>/MC/COP.3/11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5D71E" w14:textId="3FBA2BF3" w:rsidR="007C7079" w:rsidRDefault="007C7079" w:rsidP="00CF1CDC">
    <w:pPr>
      <w:pStyle w:val="Header-pool"/>
      <w:jc w:val="right"/>
    </w:pPr>
    <w:r>
      <w:rPr>
        <w:bCs/>
      </w:rPr>
      <w:t>U</w:t>
    </w:r>
    <w:r w:rsidRPr="00C75B4C">
      <w:rPr>
        <w:bCs/>
      </w:rPr>
      <w:t>NEP</w:t>
    </w:r>
    <w:r w:rsidRPr="00C75B4C">
      <w:t>/MC/COP.3/11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627F4" w14:textId="16712DD0" w:rsidR="007C7079" w:rsidRDefault="007C7079" w:rsidP="00260668">
    <w:pPr>
      <w:pStyle w:val="Header-pool"/>
    </w:pPr>
    <w:r w:rsidRPr="00260668">
      <w:rPr>
        <w:bCs/>
      </w:rPr>
      <w:t>UNEP</w:t>
    </w:r>
    <w:r w:rsidRPr="00260668">
      <w:t>/MC/COP.3/11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FF5"/>
    <w:multiLevelType w:val="multilevel"/>
    <w:tmpl w:val="AD3C4848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" w15:restartNumberingAfterBreak="0">
    <w:nsid w:val="16E34146"/>
    <w:multiLevelType w:val="multilevel"/>
    <w:tmpl w:val="CF2EA1F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134"/>
        </w:tabs>
        <w:ind w:left="2948" w:hanging="567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7C16143"/>
    <w:multiLevelType w:val="multilevel"/>
    <w:tmpl w:val="C4A8D48E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29B6776B"/>
    <w:multiLevelType w:val="hybridMultilevel"/>
    <w:tmpl w:val="49D86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4372AF7"/>
    <w:multiLevelType w:val="hybridMultilevel"/>
    <w:tmpl w:val="26A4CA74"/>
    <w:lvl w:ilvl="0" w:tplc="5D74888E">
      <w:start w:val="1"/>
      <w:numFmt w:val="lowerLetter"/>
      <w:lvlText w:val="(%1)"/>
      <w:lvlJc w:val="left"/>
      <w:pPr>
        <w:ind w:left="103" w:hanging="303"/>
      </w:pPr>
      <w:rPr>
        <w:rFonts w:ascii="Times New Roman" w:eastAsia="Times New Roman" w:hAnsi="Times New Roman" w:cs="Times New Roman" w:hint="default"/>
        <w:color w:val="FFFFFF"/>
        <w:w w:val="100"/>
        <w:sz w:val="22"/>
        <w:szCs w:val="22"/>
      </w:rPr>
    </w:lvl>
    <w:lvl w:ilvl="1" w:tplc="24206C04">
      <w:numFmt w:val="bullet"/>
      <w:lvlText w:val="•"/>
      <w:lvlJc w:val="left"/>
      <w:pPr>
        <w:ind w:left="534" w:hanging="303"/>
      </w:pPr>
      <w:rPr>
        <w:rFonts w:hint="default"/>
      </w:rPr>
    </w:lvl>
    <w:lvl w:ilvl="2" w:tplc="466863BE">
      <w:numFmt w:val="bullet"/>
      <w:lvlText w:val="•"/>
      <w:lvlJc w:val="left"/>
      <w:pPr>
        <w:ind w:left="968" w:hanging="303"/>
      </w:pPr>
      <w:rPr>
        <w:rFonts w:hint="default"/>
      </w:rPr>
    </w:lvl>
    <w:lvl w:ilvl="3" w:tplc="DF8A38CE">
      <w:numFmt w:val="bullet"/>
      <w:lvlText w:val="•"/>
      <w:lvlJc w:val="left"/>
      <w:pPr>
        <w:ind w:left="1402" w:hanging="303"/>
      </w:pPr>
      <w:rPr>
        <w:rFonts w:hint="default"/>
      </w:rPr>
    </w:lvl>
    <w:lvl w:ilvl="4" w:tplc="C818B5BC">
      <w:numFmt w:val="bullet"/>
      <w:lvlText w:val="•"/>
      <w:lvlJc w:val="left"/>
      <w:pPr>
        <w:ind w:left="1836" w:hanging="303"/>
      </w:pPr>
      <w:rPr>
        <w:rFonts w:hint="default"/>
      </w:rPr>
    </w:lvl>
    <w:lvl w:ilvl="5" w:tplc="5F8E4920">
      <w:numFmt w:val="bullet"/>
      <w:lvlText w:val="•"/>
      <w:lvlJc w:val="left"/>
      <w:pPr>
        <w:ind w:left="2270" w:hanging="303"/>
      </w:pPr>
      <w:rPr>
        <w:rFonts w:hint="default"/>
      </w:rPr>
    </w:lvl>
    <w:lvl w:ilvl="6" w:tplc="D8C21DB4">
      <w:numFmt w:val="bullet"/>
      <w:lvlText w:val="•"/>
      <w:lvlJc w:val="left"/>
      <w:pPr>
        <w:ind w:left="2704" w:hanging="303"/>
      </w:pPr>
      <w:rPr>
        <w:rFonts w:hint="default"/>
      </w:rPr>
    </w:lvl>
    <w:lvl w:ilvl="7" w:tplc="E3FE2872">
      <w:numFmt w:val="bullet"/>
      <w:lvlText w:val="•"/>
      <w:lvlJc w:val="left"/>
      <w:pPr>
        <w:ind w:left="3138" w:hanging="303"/>
      </w:pPr>
      <w:rPr>
        <w:rFonts w:hint="default"/>
      </w:rPr>
    </w:lvl>
    <w:lvl w:ilvl="8" w:tplc="EF4E20CE">
      <w:numFmt w:val="bullet"/>
      <w:lvlText w:val="•"/>
      <w:lvlJc w:val="left"/>
      <w:pPr>
        <w:ind w:left="3573" w:hanging="303"/>
      </w:pPr>
      <w:rPr>
        <w:rFonts w:hint="default"/>
      </w:rPr>
    </w:lvl>
  </w:abstractNum>
  <w:abstractNum w:abstractNumId="7" w15:restartNumberingAfterBreak="0">
    <w:nsid w:val="45A217B9"/>
    <w:multiLevelType w:val="hybridMultilevel"/>
    <w:tmpl w:val="9ED27720"/>
    <w:lvl w:ilvl="0" w:tplc="A8EE1C58">
      <w:start w:val="1"/>
      <w:numFmt w:val="decimal"/>
      <w:pStyle w:val="MainParagraphwith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B7EFF"/>
    <w:multiLevelType w:val="hybridMultilevel"/>
    <w:tmpl w:val="4B405B9E"/>
    <w:lvl w:ilvl="0" w:tplc="47D07EA0">
      <w:start w:val="1"/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66A9D"/>
    <w:multiLevelType w:val="multilevel"/>
    <w:tmpl w:val="C85CFF9A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53AA5D1F"/>
    <w:multiLevelType w:val="hybridMultilevel"/>
    <w:tmpl w:val="6C849AC8"/>
    <w:lvl w:ilvl="0" w:tplc="8912F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4183B"/>
    <w:multiLevelType w:val="hybridMultilevel"/>
    <w:tmpl w:val="77905102"/>
    <w:lvl w:ilvl="0" w:tplc="12BC36F4">
      <w:start w:val="1"/>
      <w:numFmt w:val="lowerRoman"/>
      <w:lvlText w:val="(%1)"/>
      <w:lvlJc w:val="left"/>
      <w:pPr>
        <w:ind w:left="103" w:hanging="264"/>
      </w:pPr>
      <w:rPr>
        <w:rFonts w:ascii="Times New Roman" w:eastAsia="Times New Roman" w:hAnsi="Times New Roman" w:cs="Times New Roman" w:hint="default"/>
        <w:color w:val="FFFFFF"/>
        <w:w w:val="100"/>
        <w:sz w:val="22"/>
        <w:szCs w:val="22"/>
      </w:rPr>
    </w:lvl>
    <w:lvl w:ilvl="1" w:tplc="BFEC4494">
      <w:numFmt w:val="bullet"/>
      <w:lvlText w:val="•"/>
      <w:lvlJc w:val="left"/>
      <w:pPr>
        <w:ind w:left="534" w:hanging="264"/>
      </w:pPr>
      <w:rPr>
        <w:rFonts w:hint="default"/>
      </w:rPr>
    </w:lvl>
    <w:lvl w:ilvl="2" w:tplc="3FF62CAA">
      <w:numFmt w:val="bullet"/>
      <w:lvlText w:val="•"/>
      <w:lvlJc w:val="left"/>
      <w:pPr>
        <w:ind w:left="968" w:hanging="264"/>
      </w:pPr>
      <w:rPr>
        <w:rFonts w:hint="default"/>
      </w:rPr>
    </w:lvl>
    <w:lvl w:ilvl="3" w:tplc="FF24BB98">
      <w:numFmt w:val="bullet"/>
      <w:lvlText w:val="•"/>
      <w:lvlJc w:val="left"/>
      <w:pPr>
        <w:ind w:left="1402" w:hanging="264"/>
      </w:pPr>
      <w:rPr>
        <w:rFonts w:hint="default"/>
      </w:rPr>
    </w:lvl>
    <w:lvl w:ilvl="4" w:tplc="33C8DA62">
      <w:numFmt w:val="bullet"/>
      <w:lvlText w:val="•"/>
      <w:lvlJc w:val="left"/>
      <w:pPr>
        <w:ind w:left="1836" w:hanging="264"/>
      </w:pPr>
      <w:rPr>
        <w:rFonts w:hint="default"/>
      </w:rPr>
    </w:lvl>
    <w:lvl w:ilvl="5" w:tplc="6CD6C58E">
      <w:numFmt w:val="bullet"/>
      <w:lvlText w:val="•"/>
      <w:lvlJc w:val="left"/>
      <w:pPr>
        <w:ind w:left="2270" w:hanging="264"/>
      </w:pPr>
      <w:rPr>
        <w:rFonts w:hint="default"/>
      </w:rPr>
    </w:lvl>
    <w:lvl w:ilvl="6" w:tplc="922A02EE">
      <w:numFmt w:val="bullet"/>
      <w:lvlText w:val="•"/>
      <w:lvlJc w:val="left"/>
      <w:pPr>
        <w:ind w:left="2704" w:hanging="264"/>
      </w:pPr>
      <w:rPr>
        <w:rFonts w:hint="default"/>
      </w:rPr>
    </w:lvl>
    <w:lvl w:ilvl="7" w:tplc="9C503C62">
      <w:numFmt w:val="bullet"/>
      <w:lvlText w:val="•"/>
      <w:lvlJc w:val="left"/>
      <w:pPr>
        <w:ind w:left="3138" w:hanging="264"/>
      </w:pPr>
      <w:rPr>
        <w:rFonts w:hint="default"/>
      </w:rPr>
    </w:lvl>
    <w:lvl w:ilvl="8" w:tplc="D96ECF00">
      <w:numFmt w:val="bullet"/>
      <w:lvlText w:val="•"/>
      <w:lvlJc w:val="left"/>
      <w:pPr>
        <w:ind w:left="3573" w:hanging="264"/>
      </w:pPr>
      <w:rPr>
        <w:rFonts w:hint="default"/>
      </w:rPr>
    </w:lvl>
  </w:abstractNum>
  <w:abstractNum w:abstractNumId="12" w15:restartNumberingAfterBreak="0">
    <w:nsid w:val="70525B2E"/>
    <w:multiLevelType w:val="hybridMultilevel"/>
    <w:tmpl w:val="69C4E2A0"/>
    <w:lvl w:ilvl="0" w:tplc="A7A016AE">
      <w:start w:val="1"/>
      <w:numFmt w:val="lowerLetter"/>
      <w:lvlText w:val="(%1)"/>
      <w:lvlJc w:val="left"/>
      <w:pPr>
        <w:ind w:left="103" w:hanging="324"/>
      </w:pPr>
      <w:rPr>
        <w:rFonts w:ascii="Times New Roman" w:eastAsia="Times New Roman" w:hAnsi="Times New Roman" w:cs="Times New Roman" w:hint="default"/>
        <w:color w:val="FFFFFF"/>
        <w:w w:val="100"/>
        <w:sz w:val="22"/>
        <w:szCs w:val="22"/>
      </w:rPr>
    </w:lvl>
    <w:lvl w:ilvl="1" w:tplc="5A9EEA34">
      <w:numFmt w:val="bullet"/>
      <w:lvlText w:val="•"/>
      <w:lvlJc w:val="left"/>
      <w:pPr>
        <w:ind w:left="534" w:hanging="324"/>
      </w:pPr>
      <w:rPr>
        <w:rFonts w:hint="default"/>
      </w:rPr>
    </w:lvl>
    <w:lvl w:ilvl="2" w:tplc="5B0EA282">
      <w:numFmt w:val="bullet"/>
      <w:lvlText w:val="•"/>
      <w:lvlJc w:val="left"/>
      <w:pPr>
        <w:ind w:left="968" w:hanging="324"/>
      </w:pPr>
      <w:rPr>
        <w:rFonts w:hint="default"/>
      </w:rPr>
    </w:lvl>
    <w:lvl w:ilvl="3" w:tplc="C756D256">
      <w:numFmt w:val="bullet"/>
      <w:lvlText w:val="•"/>
      <w:lvlJc w:val="left"/>
      <w:pPr>
        <w:ind w:left="1402" w:hanging="324"/>
      </w:pPr>
      <w:rPr>
        <w:rFonts w:hint="default"/>
      </w:rPr>
    </w:lvl>
    <w:lvl w:ilvl="4" w:tplc="CE3C8A06">
      <w:numFmt w:val="bullet"/>
      <w:lvlText w:val="•"/>
      <w:lvlJc w:val="left"/>
      <w:pPr>
        <w:ind w:left="1836" w:hanging="324"/>
      </w:pPr>
      <w:rPr>
        <w:rFonts w:hint="default"/>
      </w:rPr>
    </w:lvl>
    <w:lvl w:ilvl="5" w:tplc="8DE299D6">
      <w:numFmt w:val="bullet"/>
      <w:lvlText w:val="•"/>
      <w:lvlJc w:val="left"/>
      <w:pPr>
        <w:ind w:left="2270" w:hanging="324"/>
      </w:pPr>
      <w:rPr>
        <w:rFonts w:hint="default"/>
      </w:rPr>
    </w:lvl>
    <w:lvl w:ilvl="6" w:tplc="1DDE590E">
      <w:numFmt w:val="bullet"/>
      <w:lvlText w:val="•"/>
      <w:lvlJc w:val="left"/>
      <w:pPr>
        <w:ind w:left="2704" w:hanging="324"/>
      </w:pPr>
      <w:rPr>
        <w:rFonts w:hint="default"/>
      </w:rPr>
    </w:lvl>
    <w:lvl w:ilvl="7" w:tplc="F9526C2A">
      <w:numFmt w:val="bullet"/>
      <w:lvlText w:val="•"/>
      <w:lvlJc w:val="left"/>
      <w:pPr>
        <w:ind w:left="3138" w:hanging="324"/>
      </w:pPr>
      <w:rPr>
        <w:rFonts w:hint="default"/>
      </w:rPr>
    </w:lvl>
    <w:lvl w:ilvl="8" w:tplc="278438C0">
      <w:numFmt w:val="bullet"/>
      <w:lvlText w:val="•"/>
      <w:lvlJc w:val="left"/>
      <w:pPr>
        <w:ind w:left="3573" w:hanging="324"/>
      </w:pPr>
      <w:rPr>
        <w:rFonts w:hint="default"/>
      </w:rPr>
    </w:lvl>
  </w:abstractNum>
  <w:num w:numId="1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9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10"/>
  </w:num>
  <w:num w:numId="11">
    <w:abstractNumId w:val="8"/>
  </w:num>
  <w:num w:numId="12">
    <w:abstractNumId w:val="11"/>
  </w:num>
  <w:num w:numId="13">
    <w:abstractNumId w:val="12"/>
  </w:num>
  <w:num w:numId="14">
    <w:abstractNumId w:val="6"/>
  </w:num>
  <w:num w:numId="1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H" w:vendorID="64" w:dllVersion="0" w:nlCheck="1" w:checkStyle="0"/>
  <w:activeWritingStyle w:appName="MSWord" w:lang="fr-CA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995"/>
    <w:rsid w:val="00000E4A"/>
    <w:rsid w:val="0000222A"/>
    <w:rsid w:val="000024A3"/>
    <w:rsid w:val="00002B9E"/>
    <w:rsid w:val="00002EA3"/>
    <w:rsid w:val="000077AD"/>
    <w:rsid w:val="000078CE"/>
    <w:rsid w:val="00011A16"/>
    <w:rsid w:val="00013619"/>
    <w:rsid w:val="000149E6"/>
    <w:rsid w:val="00023DA9"/>
    <w:rsid w:val="000247B0"/>
    <w:rsid w:val="0002588C"/>
    <w:rsid w:val="000265A2"/>
    <w:rsid w:val="00026997"/>
    <w:rsid w:val="00026A08"/>
    <w:rsid w:val="000317BB"/>
    <w:rsid w:val="00032E4E"/>
    <w:rsid w:val="00033E0B"/>
    <w:rsid w:val="00035A58"/>
    <w:rsid w:val="00035EDE"/>
    <w:rsid w:val="0004098F"/>
    <w:rsid w:val="0004257E"/>
    <w:rsid w:val="00044D0C"/>
    <w:rsid w:val="00046536"/>
    <w:rsid w:val="0005075A"/>
    <w:rsid w:val="000509B4"/>
    <w:rsid w:val="00050E3A"/>
    <w:rsid w:val="00051DC8"/>
    <w:rsid w:val="000542EA"/>
    <w:rsid w:val="00055CA9"/>
    <w:rsid w:val="00056013"/>
    <w:rsid w:val="0006035B"/>
    <w:rsid w:val="0006096F"/>
    <w:rsid w:val="00063976"/>
    <w:rsid w:val="000649C5"/>
    <w:rsid w:val="00066CC0"/>
    <w:rsid w:val="00071886"/>
    <w:rsid w:val="0007339A"/>
    <w:rsid w:val="000737B7"/>
    <w:rsid w:val="000742BC"/>
    <w:rsid w:val="000765C4"/>
    <w:rsid w:val="00076CC6"/>
    <w:rsid w:val="00077740"/>
    <w:rsid w:val="000803B0"/>
    <w:rsid w:val="000813F1"/>
    <w:rsid w:val="0008146F"/>
    <w:rsid w:val="0008194C"/>
    <w:rsid w:val="00082A0C"/>
    <w:rsid w:val="00083504"/>
    <w:rsid w:val="000839C0"/>
    <w:rsid w:val="00085EFC"/>
    <w:rsid w:val="00091D87"/>
    <w:rsid w:val="00095A76"/>
    <w:rsid w:val="00095CA9"/>
    <w:rsid w:val="00096083"/>
    <w:rsid w:val="0009640C"/>
    <w:rsid w:val="000A1CC4"/>
    <w:rsid w:val="000A54FE"/>
    <w:rsid w:val="000A6332"/>
    <w:rsid w:val="000A730C"/>
    <w:rsid w:val="000B20E4"/>
    <w:rsid w:val="000B22A2"/>
    <w:rsid w:val="000B3C9D"/>
    <w:rsid w:val="000B541B"/>
    <w:rsid w:val="000B622B"/>
    <w:rsid w:val="000B73F9"/>
    <w:rsid w:val="000C25C0"/>
    <w:rsid w:val="000C262E"/>
    <w:rsid w:val="000C2A52"/>
    <w:rsid w:val="000C2A88"/>
    <w:rsid w:val="000C5FC4"/>
    <w:rsid w:val="000C7417"/>
    <w:rsid w:val="000D1012"/>
    <w:rsid w:val="000D142B"/>
    <w:rsid w:val="000D3157"/>
    <w:rsid w:val="000D33C0"/>
    <w:rsid w:val="000D4CF6"/>
    <w:rsid w:val="000D59BC"/>
    <w:rsid w:val="000D6941"/>
    <w:rsid w:val="000E23D8"/>
    <w:rsid w:val="000E2C35"/>
    <w:rsid w:val="000E2DAC"/>
    <w:rsid w:val="000F09C6"/>
    <w:rsid w:val="000F4829"/>
    <w:rsid w:val="000F5522"/>
    <w:rsid w:val="000F6B68"/>
    <w:rsid w:val="000F6BEE"/>
    <w:rsid w:val="00100F8C"/>
    <w:rsid w:val="001020A9"/>
    <w:rsid w:val="00102AAC"/>
    <w:rsid w:val="001030C9"/>
    <w:rsid w:val="00103368"/>
    <w:rsid w:val="001054D0"/>
    <w:rsid w:val="00106602"/>
    <w:rsid w:val="00111B98"/>
    <w:rsid w:val="00112AD1"/>
    <w:rsid w:val="00113D07"/>
    <w:rsid w:val="00114DC2"/>
    <w:rsid w:val="00115FE2"/>
    <w:rsid w:val="00116678"/>
    <w:rsid w:val="00117F6B"/>
    <w:rsid w:val="001202E3"/>
    <w:rsid w:val="00123699"/>
    <w:rsid w:val="001241FB"/>
    <w:rsid w:val="0012683B"/>
    <w:rsid w:val="0013059D"/>
    <w:rsid w:val="00131D3F"/>
    <w:rsid w:val="00132FAC"/>
    <w:rsid w:val="001344E7"/>
    <w:rsid w:val="00134617"/>
    <w:rsid w:val="00136187"/>
    <w:rsid w:val="0014074F"/>
    <w:rsid w:val="0014164A"/>
    <w:rsid w:val="00141A55"/>
    <w:rsid w:val="00141F90"/>
    <w:rsid w:val="0014293F"/>
    <w:rsid w:val="0014397D"/>
    <w:rsid w:val="00143F8B"/>
    <w:rsid w:val="001446A3"/>
    <w:rsid w:val="0014699D"/>
    <w:rsid w:val="0015187C"/>
    <w:rsid w:val="00152775"/>
    <w:rsid w:val="00152B6B"/>
    <w:rsid w:val="00155395"/>
    <w:rsid w:val="00155A2F"/>
    <w:rsid w:val="00156B6B"/>
    <w:rsid w:val="00160D74"/>
    <w:rsid w:val="001646EA"/>
    <w:rsid w:val="00165264"/>
    <w:rsid w:val="00167D02"/>
    <w:rsid w:val="001714BF"/>
    <w:rsid w:val="001725CB"/>
    <w:rsid w:val="0017523A"/>
    <w:rsid w:val="001759D8"/>
    <w:rsid w:val="00176A7F"/>
    <w:rsid w:val="00177D7F"/>
    <w:rsid w:val="001800F9"/>
    <w:rsid w:val="00180C3F"/>
    <w:rsid w:val="00181EC8"/>
    <w:rsid w:val="00181F66"/>
    <w:rsid w:val="00184349"/>
    <w:rsid w:val="001875E9"/>
    <w:rsid w:val="001933B0"/>
    <w:rsid w:val="00194114"/>
    <w:rsid w:val="00195C08"/>
    <w:rsid w:val="00195F33"/>
    <w:rsid w:val="001A0857"/>
    <w:rsid w:val="001A0E37"/>
    <w:rsid w:val="001A1DFE"/>
    <w:rsid w:val="001B1617"/>
    <w:rsid w:val="001B4B28"/>
    <w:rsid w:val="001B504B"/>
    <w:rsid w:val="001B6DD6"/>
    <w:rsid w:val="001B6F98"/>
    <w:rsid w:val="001C191A"/>
    <w:rsid w:val="001C24BC"/>
    <w:rsid w:val="001C2F56"/>
    <w:rsid w:val="001C3BBF"/>
    <w:rsid w:val="001C573A"/>
    <w:rsid w:val="001C61BE"/>
    <w:rsid w:val="001D2310"/>
    <w:rsid w:val="001D3874"/>
    <w:rsid w:val="001D626D"/>
    <w:rsid w:val="001D72C2"/>
    <w:rsid w:val="001D7E75"/>
    <w:rsid w:val="001E0D73"/>
    <w:rsid w:val="001E45BD"/>
    <w:rsid w:val="001E4B3D"/>
    <w:rsid w:val="001E5422"/>
    <w:rsid w:val="001E56D2"/>
    <w:rsid w:val="001E5A81"/>
    <w:rsid w:val="001E726F"/>
    <w:rsid w:val="001E7D56"/>
    <w:rsid w:val="001F235D"/>
    <w:rsid w:val="001F405F"/>
    <w:rsid w:val="001F40FA"/>
    <w:rsid w:val="001F75DE"/>
    <w:rsid w:val="001F7B27"/>
    <w:rsid w:val="0020077E"/>
    <w:rsid w:val="00200D58"/>
    <w:rsid w:val="002011C1"/>
    <w:rsid w:val="002013BE"/>
    <w:rsid w:val="00201EDC"/>
    <w:rsid w:val="00203C88"/>
    <w:rsid w:val="002063A4"/>
    <w:rsid w:val="0021145B"/>
    <w:rsid w:val="00220C23"/>
    <w:rsid w:val="00222EFD"/>
    <w:rsid w:val="002244E3"/>
    <w:rsid w:val="002247F6"/>
    <w:rsid w:val="00225E21"/>
    <w:rsid w:val="00225E44"/>
    <w:rsid w:val="00226D2C"/>
    <w:rsid w:val="00232DF8"/>
    <w:rsid w:val="00232E5A"/>
    <w:rsid w:val="00234E78"/>
    <w:rsid w:val="00236C4A"/>
    <w:rsid w:val="00237E88"/>
    <w:rsid w:val="00237E91"/>
    <w:rsid w:val="00243D36"/>
    <w:rsid w:val="00246151"/>
    <w:rsid w:val="00247707"/>
    <w:rsid w:val="0025236A"/>
    <w:rsid w:val="00252456"/>
    <w:rsid w:val="00253913"/>
    <w:rsid w:val="0025781D"/>
    <w:rsid w:val="0026018E"/>
    <w:rsid w:val="00260668"/>
    <w:rsid w:val="00266723"/>
    <w:rsid w:val="00270AB2"/>
    <w:rsid w:val="0027136D"/>
    <w:rsid w:val="00273F8C"/>
    <w:rsid w:val="0027451E"/>
    <w:rsid w:val="00275CF2"/>
    <w:rsid w:val="002761B1"/>
    <w:rsid w:val="002769ED"/>
    <w:rsid w:val="002810BA"/>
    <w:rsid w:val="0028115E"/>
    <w:rsid w:val="002847B8"/>
    <w:rsid w:val="00286740"/>
    <w:rsid w:val="002874F3"/>
    <w:rsid w:val="00291EAE"/>
    <w:rsid w:val="002923BE"/>
    <w:rsid w:val="002929D8"/>
    <w:rsid w:val="00296E5F"/>
    <w:rsid w:val="00297B74"/>
    <w:rsid w:val="002A09DE"/>
    <w:rsid w:val="002A1D06"/>
    <w:rsid w:val="002A237D"/>
    <w:rsid w:val="002A25E7"/>
    <w:rsid w:val="002A2FA6"/>
    <w:rsid w:val="002A33E4"/>
    <w:rsid w:val="002A4C53"/>
    <w:rsid w:val="002A67B1"/>
    <w:rsid w:val="002A6867"/>
    <w:rsid w:val="002A752E"/>
    <w:rsid w:val="002A783B"/>
    <w:rsid w:val="002B0292"/>
    <w:rsid w:val="002B0672"/>
    <w:rsid w:val="002B247F"/>
    <w:rsid w:val="002B4C6F"/>
    <w:rsid w:val="002B50D4"/>
    <w:rsid w:val="002B58BF"/>
    <w:rsid w:val="002B5AC1"/>
    <w:rsid w:val="002C0AF1"/>
    <w:rsid w:val="002C107E"/>
    <w:rsid w:val="002C1336"/>
    <w:rsid w:val="002C145D"/>
    <w:rsid w:val="002C1DED"/>
    <w:rsid w:val="002C201E"/>
    <w:rsid w:val="002C2C3E"/>
    <w:rsid w:val="002C533E"/>
    <w:rsid w:val="002C5C69"/>
    <w:rsid w:val="002D027F"/>
    <w:rsid w:val="002D2D13"/>
    <w:rsid w:val="002D3E15"/>
    <w:rsid w:val="002D7A85"/>
    <w:rsid w:val="002D7B60"/>
    <w:rsid w:val="002E11A7"/>
    <w:rsid w:val="002E29CB"/>
    <w:rsid w:val="002E3A44"/>
    <w:rsid w:val="002E5339"/>
    <w:rsid w:val="002E6C6A"/>
    <w:rsid w:val="002E73F4"/>
    <w:rsid w:val="002E7FBE"/>
    <w:rsid w:val="002F0439"/>
    <w:rsid w:val="002F08DB"/>
    <w:rsid w:val="002F123A"/>
    <w:rsid w:val="002F4761"/>
    <w:rsid w:val="002F5C79"/>
    <w:rsid w:val="002F5C8E"/>
    <w:rsid w:val="002F68C2"/>
    <w:rsid w:val="002F68EE"/>
    <w:rsid w:val="002F7012"/>
    <w:rsid w:val="003019E2"/>
    <w:rsid w:val="00302B7F"/>
    <w:rsid w:val="003043C3"/>
    <w:rsid w:val="0030706D"/>
    <w:rsid w:val="00307829"/>
    <w:rsid w:val="00310162"/>
    <w:rsid w:val="00310A32"/>
    <w:rsid w:val="00310B32"/>
    <w:rsid w:val="00310BEB"/>
    <w:rsid w:val="0031413F"/>
    <w:rsid w:val="00314854"/>
    <w:rsid w:val="003148BB"/>
    <w:rsid w:val="00314D43"/>
    <w:rsid w:val="00317976"/>
    <w:rsid w:val="00320F2F"/>
    <w:rsid w:val="0032457E"/>
    <w:rsid w:val="00325D38"/>
    <w:rsid w:val="0032612A"/>
    <w:rsid w:val="00327BE0"/>
    <w:rsid w:val="00327CF1"/>
    <w:rsid w:val="00333D70"/>
    <w:rsid w:val="00334792"/>
    <w:rsid w:val="00335FB2"/>
    <w:rsid w:val="003410C9"/>
    <w:rsid w:val="003458E2"/>
    <w:rsid w:val="00347C79"/>
    <w:rsid w:val="003507A8"/>
    <w:rsid w:val="003507C8"/>
    <w:rsid w:val="0035220C"/>
    <w:rsid w:val="0035277E"/>
    <w:rsid w:val="00353807"/>
    <w:rsid w:val="0035395B"/>
    <w:rsid w:val="003555CA"/>
    <w:rsid w:val="00355EA9"/>
    <w:rsid w:val="00357141"/>
    <w:rsid w:val="003578DE"/>
    <w:rsid w:val="003609A4"/>
    <w:rsid w:val="00361688"/>
    <w:rsid w:val="00364032"/>
    <w:rsid w:val="003649C2"/>
    <w:rsid w:val="0036641F"/>
    <w:rsid w:val="00367FFE"/>
    <w:rsid w:val="003707F3"/>
    <w:rsid w:val="00372D38"/>
    <w:rsid w:val="0037340B"/>
    <w:rsid w:val="0037396C"/>
    <w:rsid w:val="00373C19"/>
    <w:rsid w:val="003748C9"/>
    <w:rsid w:val="003761C0"/>
    <w:rsid w:val="00380A39"/>
    <w:rsid w:val="00382350"/>
    <w:rsid w:val="0038536E"/>
    <w:rsid w:val="003877D5"/>
    <w:rsid w:val="003929B8"/>
    <w:rsid w:val="00392DCC"/>
    <w:rsid w:val="00393432"/>
    <w:rsid w:val="00393D38"/>
    <w:rsid w:val="00394208"/>
    <w:rsid w:val="00396179"/>
    <w:rsid w:val="00396257"/>
    <w:rsid w:val="00397EB8"/>
    <w:rsid w:val="003A4FD0"/>
    <w:rsid w:val="003A5430"/>
    <w:rsid w:val="003A69D1"/>
    <w:rsid w:val="003A714C"/>
    <w:rsid w:val="003A7705"/>
    <w:rsid w:val="003A77F1"/>
    <w:rsid w:val="003B04FE"/>
    <w:rsid w:val="003B0920"/>
    <w:rsid w:val="003B1545"/>
    <w:rsid w:val="003B2068"/>
    <w:rsid w:val="003B208C"/>
    <w:rsid w:val="003C16CE"/>
    <w:rsid w:val="003C3219"/>
    <w:rsid w:val="003C3840"/>
    <w:rsid w:val="003C409D"/>
    <w:rsid w:val="003C4544"/>
    <w:rsid w:val="003C5583"/>
    <w:rsid w:val="003C5BA6"/>
    <w:rsid w:val="003C74CF"/>
    <w:rsid w:val="003D0AA5"/>
    <w:rsid w:val="003D3752"/>
    <w:rsid w:val="003D6BCD"/>
    <w:rsid w:val="003E12A0"/>
    <w:rsid w:val="003E2C70"/>
    <w:rsid w:val="003E35DA"/>
    <w:rsid w:val="003E455D"/>
    <w:rsid w:val="003F06AA"/>
    <w:rsid w:val="003F0E85"/>
    <w:rsid w:val="003F10B7"/>
    <w:rsid w:val="003F3F4A"/>
    <w:rsid w:val="003F4344"/>
    <w:rsid w:val="00407A4D"/>
    <w:rsid w:val="004108C4"/>
    <w:rsid w:val="00410C55"/>
    <w:rsid w:val="00414005"/>
    <w:rsid w:val="00414091"/>
    <w:rsid w:val="00414D69"/>
    <w:rsid w:val="00415A75"/>
    <w:rsid w:val="00416854"/>
    <w:rsid w:val="00417725"/>
    <w:rsid w:val="00420FA9"/>
    <w:rsid w:val="00422549"/>
    <w:rsid w:val="0042266F"/>
    <w:rsid w:val="00422B0C"/>
    <w:rsid w:val="00425695"/>
    <w:rsid w:val="004312D4"/>
    <w:rsid w:val="004323B4"/>
    <w:rsid w:val="00432FD5"/>
    <w:rsid w:val="00436CF0"/>
    <w:rsid w:val="00437F26"/>
    <w:rsid w:val="00441D88"/>
    <w:rsid w:val="00444097"/>
    <w:rsid w:val="00445487"/>
    <w:rsid w:val="00446300"/>
    <w:rsid w:val="00447E0D"/>
    <w:rsid w:val="00450216"/>
    <w:rsid w:val="00453BE4"/>
    <w:rsid w:val="00453EA8"/>
    <w:rsid w:val="00453EEC"/>
    <w:rsid w:val="00454769"/>
    <w:rsid w:val="004552E2"/>
    <w:rsid w:val="004570E3"/>
    <w:rsid w:val="00457158"/>
    <w:rsid w:val="004618C1"/>
    <w:rsid w:val="004625DF"/>
    <w:rsid w:val="0046393E"/>
    <w:rsid w:val="0046461D"/>
    <w:rsid w:val="00466991"/>
    <w:rsid w:val="0047064C"/>
    <w:rsid w:val="0047208C"/>
    <w:rsid w:val="00473671"/>
    <w:rsid w:val="004742F5"/>
    <w:rsid w:val="004774F6"/>
    <w:rsid w:val="00477A02"/>
    <w:rsid w:val="00480D54"/>
    <w:rsid w:val="004822B7"/>
    <w:rsid w:val="004834AA"/>
    <w:rsid w:val="004857FC"/>
    <w:rsid w:val="0048755F"/>
    <w:rsid w:val="00487D21"/>
    <w:rsid w:val="00493033"/>
    <w:rsid w:val="00493097"/>
    <w:rsid w:val="00493538"/>
    <w:rsid w:val="0049469E"/>
    <w:rsid w:val="004A1D8F"/>
    <w:rsid w:val="004A2217"/>
    <w:rsid w:val="004A24F9"/>
    <w:rsid w:val="004A38DF"/>
    <w:rsid w:val="004A42E1"/>
    <w:rsid w:val="004B033D"/>
    <w:rsid w:val="004B162C"/>
    <w:rsid w:val="004B2ABE"/>
    <w:rsid w:val="004B3CD0"/>
    <w:rsid w:val="004C0690"/>
    <w:rsid w:val="004C3A6C"/>
    <w:rsid w:val="004C3DBE"/>
    <w:rsid w:val="004C40EB"/>
    <w:rsid w:val="004C5C96"/>
    <w:rsid w:val="004C5D5A"/>
    <w:rsid w:val="004C768A"/>
    <w:rsid w:val="004D06A4"/>
    <w:rsid w:val="004D21E8"/>
    <w:rsid w:val="004D7344"/>
    <w:rsid w:val="004E0DFF"/>
    <w:rsid w:val="004E1D2C"/>
    <w:rsid w:val="004E6CE0"/>
    <w:rsid w:val="004F033F"/>
    <w:rsid w:val="004F15F9"/>
    <w:rsid w:val="004F1A81"/>
    <w:rsid w:val="004F2DBC"/>
    <w:rsid w:val="004F3FCB"/>
    <w:rsid w:val="004F4A4F"/>
    <w:rsid w:val="004F5C4C"/>
    <w:rsid w:val="004F7050"/>
    <w:rsid w:val="004F77A1"/>
    <w:rsid w:val="004F78FD"/>
    <w:rsid w:val="00501354"/>
    <w:rsid w:val="00503E4C"/>
    <w:rsid w:val="005043CE"/>
    <w:rsid w:val="005050D2"/>
    <w:rsid w:val="005071AD"/>
    <w:rsid w:val="005072C2"/>
    <w:rsid w:val="00507F5D"/>
    <w:rsid w:val="00510619"/>
    <w:rsid w:val="0051062C"/>
    <w:rsid w:val="00511A12"/>
    <w:rsid w:val="00511F58"/>
    <w:rsid w:val="005125BB"/>
    <w:rsid w:val="00513186"/>
    <w:rsid w:val="0051601D"/>
    <w:rsid w:val="00517694"/>
    <w:rsid w:val="005218BD"/>
    <w:rsid w:val="005218D9"/>
    <w:rsid w:val="00521BFC"/>
    <w:rsid w:val="00525403"/>
    <w:rsid w:val="00525963"/>
    <w:rsid w:val="00525C45"/>
    <w:rsid w:val="00527B13"/>
    <w:rsid w:val="00532D35"/>
    <w:rsid w:val="005338A4"/>
    <w:rsid w:val="005345C9"/>
    <w:rsid w:val="00535E09"/>
    <w:rsid w:val="00536186"/>
    <w:rsid w:val="00540C0E"/>
    <w:rsid w:val="00544CBB"/>
    <w:rsid w:val="00545358"/>
    <w:rsid w:val="005464D2"/>
    <w:rsid w:val="00551B65"/>
    <w:rsid w:val="0055235C"/>
    <w:rsid w:val="00554050"/>
    <w:rsid w:val="00556704"/>
    <w:rsid w:val="00560B57"/>
    <w:rsid w:val="00564176"/>
    <w:rsid w:val="005656D7"/>
    <w:rsid w:val="00566984"/>
    <w:rsid w:val="0057135D"/>
    <w:rsid w:val="00571521"/>
    <w:rsid w:val="0057315F"/>
    <w:rsid w:val="00573A85"/>
    <w:rsid w:val="005752C8"/>
    <w:rsid w:val="00576104"/>
    <w:rsid w:val="00580880"/>
    <w:rsid w:val="005857B6"/>
    <w:rsid w:val="00585979"/>
    <w:rsid w:val="00586418"/>
    <w:rsid w:val="0059133F"/>
    <w:rsid w:val="00592B21"/>
    <w:rsid w:val="005944C4"/>
    <w:rsid w:val="00594E3C"/>
    <w:rsid w:val="0059564D"/>
    <w:rsid w:val="00596C89"/>
    <w:rsid w:val="005A0C2A"/>
    <w:rsid w:val="005A2B9E"/>
    <w:rsid w:val="005A3E72"/>
    <w:rsid w:val="005B0A78"/>
    <w:rsid w:val="005B421E"/>
    <w:rsid w:val="005B44BF"/>
    <w:rsid w:val="005B618B"/>
    <w:rsid w:val="005B7421"/>
    <w:rsid w:val="005C3436"/>
    <w:rsid w:val="005C3F6D"/>
    <w:rsid w:val="005C67C8"/>
    <w:rsid w:val="005C6AA3"/>
    <w:rsid w:val="005D0249"/>
    <w:rsid w:val="005D14CB"/>
    <w:rsid w:val="005D18FA"/>
    <w:rsid w:val="005D1AE4"/>
    <w:rsid w:val="005D2E3E"/>
    <w:rsid w:val="005D4FD4"/>
    <w:rsid w:val="005D64EF"/>
    <w:rsid w:val="005D664C"/>
    <w:rsid w:val="005D6E8C"/>
    <w:rsid w:val="005D709B"/>
    <w:rsid w:val="005E1B42"/>
    <w:rsid w:val="005E2A4D"/>
    <w:rsid w:val="005E3004"/>
    <w:rsid w:val="005E3357"/>
    <w:rsid w:val="005E3735"/>
    <w:rsid w:val="005E4496"/>
    <w:rsid w:val="005F100C"/>
    <w:rsid w:val="005F68DA"/>
    <w:rsid w:val="005F7419"/>
    <w:rsid w:val="00601BC9"/>
    <w:rsid w:val="00603EC1"/>
    <w:rsid w:val="00604142"/>
    <w:rsid w:val="0060773B"/>
    <w:rsid w:val="0061107E"/>
    <w:rsid w:val="006110FA"/>
    <w:rsid w:val="00611CFF"/>
    <w:rsid w:val="00613FD6"/>
    <w:rsid w:val="00613FF9"/>
    <w:rsid w:val="006157B5"/>
    <w:rsid w:val="00617224"/>
    <w:rsid w:val="00617422"/>
    <w:rsid w:val="0061797D"/>
    <w:rsid w:val="00617B1B"/>
    <w:rsid w:val="006208A2"/>
    <w:rsid w:val="006216FF"/>
    <w:rsid w:val="00626FC6"/>
    <w:rsid w:val="00627C8D"/>
    <w:rsid w:val="006303B4"/>
    <w:rsid w:val="00630ADC"/>
    <w:rsid w:val="006328E9"/>
    <w:rsid w:val="00633D3D"/>
    <w:rsid w:val="00637356"/>
    <w:rsid w:val="00640196"/>
    <w:rsid w:val="00641703"/>
    <w:rsid w:val="006431A6"/>
    <w:rsid w:val="00643E3A"/>
    <w:rsid w:val="006459F6"/>
    <w:rsid w:val="00647CF5"/>
    <w:rsid w:val="006501AD"/>
    <w:rsid w:val="00651BFA"/>
    <w:rsid w:val="006535C7"/>
    <w:rsid w:val="00654475"/>
    <w:rsid w:val="00656010"/>
    <w:rsid w:val="00656101"/>
    <w:rsid w:val="00656D9D"/>
    <w:rsid w:val="00656DF0"/>
    <w:rsid w:val="0066146C"/>
    <w:rsid w:val="00663DDB"/>
    <w:rsid w:val="00665A4B"/>
    <w:rsid w:val="00665E29"/>
    <w:rsid w:val="00667388"/>
    <w:rsid w:val="00670912"/>
    <w:rsid w:val="00670FAE"/>
    <w:rsid w:val="00681ADF"/>
    <w:rsid w:val="006827CB"/>
    <w:rsid w:val="00682B4E"/>
    <w:rsid w:val="006837BB"/>
    <w:rsid w:val="00687B99"/>
    <w:rsid w:val="006909EB"/>
    <w:rsid w:val="00692E2A"/>
    <w:rsid w:val="00693632"/>
    <w:rsid w:val="006946EE"/>
    <w:rsid w:val="0069496A"/>
    <w:rsid w:val="006965FB"/>
    <w:rsid w:val="00696C1C"/>
    <w:rsid w:val="006A37B6"/>
    <w:rsid w:val="006A768E"/>
    <w:rsid w:val="006A76F2"/>
    <w:rsid w:val="006B20CE"/>
    <w:rsid w:val="006B5C15"/>
    <w:rsid w:val="006B701C"/>
    <w:rsid w:val="006B7D29"/>
    <w:rsid w:val="006C350B"/>
    <w:rsid w:val="006C5732"/>
    <w:rsid w:val="006D071F"/>
    <w:rsid w:val="006D19D4"/>
    <w:rsid w:val="006D2D04"/>
    <w:rsid w:val="006D5644"/>
    <w:rsid w:val="006D6146"/>
    <w:rsid w:val="006D70BC"/>
    <w:rsid w:val="006D7EFB"/>
    <w:rsid w:val="006E17D2"/>
    <w:rsid w:val="006E32D5"/>
    <w:rsid w:val="006E6672"/>
    <w:rsid w:val="006E6722"/>
    <w:rsid w:val="006E68AA"/>
    <w:rsid w:val="006E7BB8"/>
    <w:rsid w:val="006F7AFF"/>
    <w:rsid w:val="006F7C97"/>
    <w:rsid w:val="0070279D"/>
    <w:rsid w:val="007027B9"/>
    <w:rsid w:val="0070374D"/>
    <w:rsid w:val="00705304"/>
    <w:rsid w:val="007066B5"/>
    <w:rsid w:val="007072C8"/>
    <w:rsid w:val="00707B82"/>
    <w:rsid w:val="00707E60"/>
    <w:rsid w:val="007121D1"/>
    <w:rsid w:val="0071386C"/>
    <w:rsid w:val="007145DA"/>
    <w:rsid w:val="00715E88"/>
    <w:rsid w:val="00716D63"/>
    <w:rsid w:val="00720787"/>
    <w:rsid w:val="0072324B"/>
    <w:rsid w:val="00724512"/>
    <w:rsid w:val="00731A83"/>
    <w:rsid w:val="00734CAA"/>
    <w:rsid w:val="00735935"/>
    <w:rsid w:val="007370A4"/>
    <w:rsid w:val="00740EE2"/>
    <w:rsid w:val="00742134"/>
    <w:rsid w:val="00742680"/>
    <w:rsid w:val="00743A15"/>
    <w:rsid w:val="00743A40"/>
    <w:rsid w:val="00747058"/>
    <w:rsid w:val="00747081"/>
    <w:rsid w:val="0074717B"/>
    <w:rsid w:val="00747A12"/>
    <w:rsid w:val="0075101E"/>
    <w:rsid w:val="0075473D"/>
    <w:rsid w:val="0075533C"/>
    <w:rsid w:val="00755A18"/>
    <w:rsid w:val="00757581"/>
    <w:rsid w:val="007602F5"/>
    <w:rsid w:val="00760D36"/>
    <w:rsid w:val="007611A0"/>
    <w:rsid w:val="007701A6"/>
    <w:rsid w:val="0077195D"/>
    <w:rsid w:val="007720C0"/>
    <w:rsid w:val="00772574"/>
    <w:rsid w:val="00773E54"/>
    <w:rsid w:val="007814C2"/>
    <w:rsid w:val="00781BE0"/>
    <w:rsid w:val="00783B0C"/>
    <w:rsid w:val="00784676"/>
    <w:rsid w:val="00787688"/>
    <w:rsid w:val="007901C3"/>
    <w:rsid w:val="0079185B"/>
    <w:rsid w:val="007935E6"/>
    <w:rsid w:val="00794326"/>
    <w:rsid w:val="007952D6"/>
    <w:rsid w:val="00795C84"/>
    <w:rsid w:val="0079604B"/>
    <w:rsid w:val="00796D3F"/>
    <w:rsid w:val="007A1683"/>
    <w:rsid w:val="007A322A"/>
    <w:rsid w:val="007A5C12"/>
    <w:rsid w:val="007A681D"/>
    <w:rsid w:val="007A7CB0"/>
    <w:rsid w:val="007B1222"/>
    <w:rsid w:val="007B32EC"/>
    <w:rsid w:val="007B34A8"/>
    <w:rsid w:val="007B608F"/>
    <w:rsid w:val="007B68A3"/>
    <w:rsid w:val="007C1EBD"/>
    <w:rsid w:val="007C2541"/>
    <w:rsid w:val="007C31BC"/>
    <w:rsid w:val="007C3F1B"/>
    <w:rsid w:val="007C4737"/>
    <w:rsid w:val="007C4CBC"/>
    <w:rsid w:val="007C609C"/>
    <w:rsid w:val="007C61C5"/>
    <w:rsid w:val="007C7079"/>
    <w:rsid w:val="007D66A8"/>
    <w:rsid w:val="007E003F"/>
    <w:rsid w:val="007E3768"/>
    <w:rsid w:val="007E3C20"/>
    <w:rsid w:val="007E5F26"/>
    <w:rsid w:val="007E69D8"/>
    <w:rsid w:val="007F08AF"/>
    <w:rsid w:val="007F0CF8"/>
    <w:rsid w:val="007F62CB"/>
    <w:rsid w:val="007F75B3"/>
    <w:rsid w:val="007F7E21"/>
    <w:rsid w:val="0080454B"/>
    <w:rsid w:val="00805369"/>
    <w:rsid w:val="00805F8F"/>
    <w:rsid w:val="008060DC"/>
    <w:rsid w:val="008068A6"/>
    <w:rsid w:val="008102E2"/>
    <w:rsid w:val="008110EA"/>
    <w:rsid w:val="008142EC"/>
    <w:rsid w:val="008164F2"/>
    <w:rsid w:val="00821395"/>
    <w:rsid w:val="00821F1A"/>
    <w:rsid w:val="008235D9"/>
    <w:rsid w:val="00823789"/>
    <w:rsid w:val="00823876"/>
    <w:rsid w:val="00823F49"/>
    <w:rsid w:val="00825494"/>
    <w:rsid w:val="00830E26"/>
    <w:rsid w:val="00831322"/>
    <w:rsid w:val="008328C1"/>
    <w:rsid w:val="00833533"/>
    <w:rsid w:val="00833602"/>
    <w:rsid w:val="00834368"/>
    <w:rsid w:val="0083441A"/>
    <w:rsid w:val="00840454"/>
    <w:rsid w:val="00842C2E"/>
    <w:rsid w:val="00843576"/>
    <w:rsid w:val="00843B64"/>
    <w:rsid w:val="00845261"/>
    <w:rsid w:val="00845D8B"/>
    <w:rsid w:val="00846310"/>
    <w:rsid w:val="0084754F"/>
    <w:rsid w:val="008478FC"/>
    <w:rsid w:val="00851BCC"/>
    <w:rsid w:val="00851C51"/>
    <w:rsid w:val="00852097"/>
    <w:rsid w:val="00853128"/>
    <w:rsid w:val="00854A3F"/>
    <w:rsid w:val="0085512F"/>
    <w:rsid w:val="00855479"/>
    <w:rsid w:val="00857FC1"/>
    <w:rsid w:val="00860BC0"/>
    <w:rsid w:val="008628E8"/>
    <w:rsid w:val="00863711"/>
    <w:rsid w:val="00864828"/>
    <w:rsid w:val="00867BFF"/>
    <w:rsid w:val="00867FD2"/>
    <w:rsid w:val="00871287"/>
    <w:rsid w:val="00871542"/>
    <w:rsid w:val="0087254A"/>
    <w:rsid w:val="00872BF6"/>
    <w:rsid w:val="00872E25"/>
    <w:rsid w:val="008738EE"/>
    <w:rsid w:val="0088480A"/>
    <w:rsid w:val="008874BC"/>
    <w:rsid w:val="0088757A"/>
    <w:rsid w:val="008876C2"/>
    <w:rsid w:val="008915FE"/>
    <w:rsid w:val="00891843"/>
    <w:rsid w:val="00891849"/>
    <w:rsid w:val="00891A99"/>
    <w:rsid w:val="00891E4B"/>
    <w:rsid w:val="0089283F"/>
    <w:rsid w:val="0089431B"/>
    <w:rsid w:val="00895668"/>
    <w:rsid w:val="008957DD"/>
    <w:rsid w:val="00897D98"/>
    <w:rsid w:val="008A11C8"/>
    <w:rsid w:val="008A594C"/>
    <w:rsid w:val="008A6DF2"/>
    <w:rsid w:val="008A7524"/>
    <w:rsid w:val="008A7544"/>
    <w:rsid w:val="008A7807"/>
    <w:rsid w:val="008B4CC9"/>
    <w:rsid w:val="008B6ACF"/>
    <w:rsid w:val="008B6D0C"/>
    <w:rsid w:val="008C0B15"/>
    <w:rsid w:val="008C655B"/>
    <w:rsid w:val="008C7CB5"/>
    <w:rsid w:val="008D34C6"/>
    <w:rsid w:val="008D6177"/>
    <w:rsid w:val="008D75E4"/>
    <w:rsid w:val="008D7A9F"/>
    <w:rsid w:val="008D7C99"/>
    <w:rsid w:val="008E0FCB"/>
    <w:rsid w:val="008E22C4"/>
    <w:rsid w:val="008E2A08"/>
    <w:rsid w:val="008E5341"/>
    <w:rsid w:val="008E6E64"/>
    <w:rsid w:val="008F145D"/>
    <w:rsid w:val="008F49A8"/>
    <w:rsid w:val="008F6DFE"/>
    <w:rsid w:val="00900FC4"/>
    <w:rsid w:val="00902A28"/>
    <w:rsid w:val="0090529F"/>
    <w:rsid w:val="009058EB"/>
    <w:rsid w:val="00905DAF"/>
    <w:rsid w:val="00906282"/>
    <w:rsid w:val="009063B6"/>
    <w:rsid w:val="00907B30"/>
    <w:rsid w:val="0091588E"/>
    <w:rsid w:val="009179CB"/>
    <w:rsid w:val="00917F68"/>
    <w:rsid w:val="0092157D"/>
    <w:rsid w:val="0092178C"/>
    <w:rsid w:val="009236B3"/>
    <w:rsid w:val="009251FF"/>
    <w:rsid w:val="00930B88"/>
    <w:rsid w:val="00933441"/>
    <w:rsid w:val="00934F2E"/>
    <w:rsid w:val="00935376"/>
    <w:rsid w:val="009365C6"/>
    <w:rsid w:val="0093694E"/>
    <w:rsid w:val="009371DB"/>
    <w:rsid w:val="00940DCC"/>
    <w:rsid w:val="0094179A"/>
    <w:rsid w:val="00941C15"/>
    <w:rsid w:val="00941FAC"/>
    <w:rsid w:val="00942355"/>
    <w:rsid w:val="0094325D"/>
    <w:rsid w:val="00943C49"/>
    <w:rsid w:val="0094459E"/>
    <w:rsid w:val="00944806"/>
    <w:rsid w:val="00944DBC"/>
    <w:rsid w:val="0094796C"/>
    <w:rsid w:val="00947C5F"/>
    <w:rsid w:val="00950116"/>
    <w:rsid w:val="00950977"/>
    <w:rsid w:val="00951673"/>
    <w:rsid w:val="00951A7B"/>
    <w:rsid w:val="009526CC"/>
    <w:rsid w:val="00955512"/>
    <w:rsid w:val="00955D70"/>
    <w:rsid w:val="009564A6"/>
    <w:rsid w:val="00956F1F"/>
    <w:rsid w:val="00957EF8"/>
    <w:rsid w:val="00957FA0"/>
    <w:rsid w:val="00966A53"/>
    <w:rsid w:val="00967621"/>
    <w:rsid w:val="00967E6A"/>
    <w:rsid w:val="00970A4F"/>
    <w:rsid w:val="00972302"/>
    <w:rsid w:val="0097365F"/>
    <w:rsid w:val="009771B5"/>
    <w:rsid w:val="0097780B"/>
    <w:rsid w:val="009805A3"/>
    <w:rsid w:val="009807B3"/>
    <w:rsid w:val="00982F6E"/>
    <w:rsid w:val="00984482"/>
    <w:rsid w:val="00984E5F"/>
    <w:rsid w:val="0098725D"/>
    <w:rsid w:val="009907B9"/>
    <w:rsid w:val="00990918"/>
    <w:rsid w:val="00990FF8"/>
    <w:rsid w:val="00992BA8"/>
    <w:rsid w:val="0099544B"/>
    <w:rsid w:val="009972C0"/>
    <w:rsid w:val="009A3A83"/>
    <w:rsid w:val="009A6FC1"/>
    <w:rsid w:val="009B4A0F"/>
    <w:rsid w:val="009B52CD"/>
    <w:rsid w:val="009C11D2"/>
    <w:rsid w:val="009C3B5E"/>
    <w:rsid w:val="009C3D2D"/>
    <w:rsid w:val="009C3DA6"/>
    <w:rsid w:val="009C3E45"/>
    <w:rsid w:val="009C4851"/>
    <w:rsid w:val="009C6C70"/>
    <w:rsid w:val="009C7B0A"/>
    <w:rsid w:val="009D0B63"/>
    <w:rsid w:val="009D2F5E"/>
    <w:rsid w:val="009D4167"/>
    <w:rsid w:val="009D4498"/>
    <w:rsid w:val="009D4586"/>
    <w:rsid w:val="009D5CB8"/>
    <w:rsid w:val="009E1B3E"/>
    <w:rsid w:val="009E307E"/>
    <w:rsid w:val="009E6376"/>
    <w:rsid w:val="009F086C"/>
    <w:rsid w:val="009F0E3D"/>
    <w:rsid w:val="009F1020"/>
    <w:rsid w:val="009F2037"/>
    <w:rsid w:val="009F2730"/>
    <w:rsid w:val="009F6871"/>
    <w:rsid w:val="009F6CA9"/>
    <w:rsid w:val="00A01C48"/>
    <w:rsid w:val="00A02185"/>
    <w:rsid w:val="00A02DF0"/>
    <w:rsid w:val="00A07870"/>
    <w:rsid w:val="00A07C54"/>
    <w:rsid w:val="00A07F19"/>
    <w:rsid w:val="00A114FE"/>
    <w:rsid w:val="00A11D9A"/>
    <w:rsid w:val="00A1348D"/>
    <w:rsid w:val="00A13C99"/>
    <w:rsid w:val="00A15213"/>
    <w:rsid w:val="00A21AF2"/>
    <w:rsid w:val="00A21AFF"/>
    <w:rsid w:val="00A232EE"/>
    <w:rsid w:val="00A24E09"/>
    <w:rsid w:val="00A26141"/>
    <w:rsid w:val="00A26CE8"/>
    <w:rsid w:val="00A26D24"/>
    <w:rsid w:val="00A30E62"/>
    <w:rsid w:val="00A364BE"/>
    <w:rsid w:val="00A373C9"/>
    <w:rsid w:val="00A4047F"/>
    <w:rsid w:val="00A407F0"/>
    <w:rsid w:val="00A4175F"/>
    <w:rsid w:val="00A43B15"/>
    <w:rsid w:val="00A43FA6"/>
    <w:rsid w:val="00A44411"/>
    <w:rsid w:val="00A469FA"/>
    <w:rsid w:val="00A53662"/>
    <w:rsid w:val="00A53B86"/>
    <w:rsid w:val="00A53BF5"/>
    <w:rsid w:val="00A55B01"/>
    <w:rsid w:val="00A56B5B"/>
    <w:rsid w:val="00A57AF7"/>
    <w:rsid w:val="00A603FF"/>
    <w:rsid w:val="00A619B6"/>
    <w:rsid w:val="00A61F4F"/>
    <w:rsid w:val="00A622F0"/>
    <w:rsid w:val="00A648CA"/>
    <w:rsid w:val="00A657DD"/>
    <w:rsid w:val="00A66474"/>
    <w:rsid w:val="00A666A6"/>
    <w:rsid w:val="00A675FD"/>
    <w:rsid w:val="00A70D10"/>
    <w:rsid w:val="00A718BC"/>
    <w:rsid w:val="00A720F4"/>
    <w:rsid w:val="00A72437"/>
    <w:rsid w:val="00A730E4"/>
    <w:rsid w:val="00A75DF7"/>
    <w:rsid w:val="00A76F33"/>
    <w:rsid w:val="00A8048B"/>
    <w:rsid w:val="00A80611"/>
    <w:rsid w:val="00A80706"/>
    <w:rsid w:val="00A80B86"/>
    <w:rsid w:val="00A80E06"/>
    <w:rsid w:val="00A810E6"/>
    <w:rsid w:val="00A854D4"/>
    <w:rsid w:val="00A94539"/>
    <w:rsid w:val="00A96321"/>
    <w:rsid w:val="00A96D21"/>
    <w:rsid w:val="00A97223"/>
    <w:rsid w:val="00AA0C59"/>
    <w:rsid w:val="00AA15B8"/>
    <w:rsid w:val="00AA2849"/>
    <w:rsid w:val="00AA5BF4"/>
    <w:rsid w:val="00AA7CD5"/>
    <w:rsid w:val="00AB061E"/>
    <w:rsid w:val="00AB08B6"/>
    <w:rsid w:val="00AB0E7C"/>
    <w:rsid w:val="00AB5340"/>
    <w:rsid w:val="00AB5436"/>
    <w:rsid w:val="00AB6F63"/>
    <w:rsid w:val="00AC0A89"/>
    <w:rsid w:val="00AC1CA0"/>
    <w:rsid w:val="00AC6678"/>
    <w:rsid w:val="00AC71B9"/>
    <w:rsid w:val="00AC7C96"/>
    <w:rsid w:val="00AD39F2"/>
    <w:rsid w:val="00AE0812"/>
    <w:rsid w:val="00AE1DCC"/>
    <w:rsid w:val="00AE237D"/>
    <w:rsid w:val="00AE2A0E"/>
    <w:rsid w:val="00AE502A"/>
    <w:rsid w:val="00AE54D5"/>
    <w:rsid w:val="00AE752B"/>
    <w:rsid w:val="00AF0010"/>
    <w:rsid w:val="00AF1011"/>
    <w:rsid w:val="00AF1A5E"/>
    <w:rsid w:val="00AF1AA8"/>
    <w:rsid w:val="00AF28A7"/>
    <w:rsid w:val="00AF2C1F"/>
    <w:rsid w:val="00AF398A"/>
    <w:rsid w:val="00AF40BC"/>
    <w:rsid w:val="00AF5B8A"/>
    <w:rsid w:val="00AF7519"/>
    <w:rsid w:val="00AF7C07"/>
    <w:rsid w:val="00B004B0"/>
    <w:rsid w:val="00B023C4"/>
    <w:rsid w:val="00B02651"/>
    <w:rsid w:val="00B03580"/>
    <w:rsid w:val="00B042B1"/>
    <w:rsid w:val="00B06C64"/>
    <w:rsid w:val="00B07D8E"/>
    <w:rsid w:val="00B10D39"/>
    <w:rsid w:val="00B11CAC"/>
    <w:rsid w:val="00B124B2"/>
    <w:rsid w:val="00B15A29"/>
    <w:rsid w:val="00B17D36"/>
    <w:rsid w:val="00B22C93"/>
    <w:rsid w:val="00B27589"/>
    <w:rsid w:val="00B3462A"/>
    <w:rsid w:val="00B34F36"/>
    <w:rsid w:val="00B3712A"/>
    <w:rsid w:val="00B40056"/>
    <w:rsid w:val="00B405B7"/>
    <w:rsid w:val="00B4223A"/>
    <w:rsid w:val="00B468C0"/>
    <w:rsid w:val="00B52222"/>
    <w:rsid w:val="00B531DA"/>
    <w:rsid w:val="00B54895"/>
    <w:rsid w:val="00B54FE7"/>
    <w:rsid w:val="00B5713A"/>
    <w:rsid w:val="00B571A7"/>
    <w:rsid w:val="00B647C6"/>
    <w:rsid w:val="00B655F9"/>
    <w:rsid w:val="00B66901"/>
    <w:rsid w:val="00B66F60"/>
    <w:rsid w:val="00B71E6D"/>
    <w:rsid w:val="00B72070"/>
    <w:rsid w:val="00B7321B"/>
    <w:rsid w:val="00B77342"/>
    <w:rsid w:val="00B774D0"/>
    <w:rsid w:val="00B777DE"/>
    <w:rsid w:val="00B779E1"/>
    <w:rsid w:val="00B81E3A"/>
    <w:rsid w:val="00B830B8"/>
    <w:rsid w:val="00B83D05"/>
    <w:rsid w:val="00B85CFB"/>
    <w:rsid w:val="00B85FD9"/>
    <w:rsid w:val="00B87A21"/>
    <w:rsid w:val="00B914E9"/>
    <w:rsid w:val="00B91EE1"/>
    <w:rsid w:val="00B92087"/>
    <w:rsid w:val="00B94602"/>
    <w:rsid w:val="00B95ED2"/>
    <w:rsid w:val="00BA0090"/>
    <w:rsid w:val="00BA1A67"/>
    <w:rsid w:val="00BA5DD6"/>
    <w:rsid w:val="00BA6A80"/>
    <w:rsid w:val="00BB45B2"/>
    <w:rsid w:val="00BB4ABB"/>
    <w:rsid w:val="00BB5902"/>
    <w:rsid w:val="00BB6B2F"/>
    <w:rsid w:val="00BC0658"/>
    <w:rsid w:val="00BC0970"/>
    <w:rsid w:val="00BC3E2F"/>
    <w:rsid w:val="00BC4C81"/>
    <w:rsid w:val="00BC5454"/>
    <w:rsid w:val="00BC62BA"/>
    <w:rsid w:val="00BD0338"/>
    <w:rsid w:val="00BD2A19"/>
    <w:rsid w:val="00BD3B06"/>
    <w:rsid w:val="00BD4E66"/>
    <w:rsid w:val="00BD5045"/>
    <w:rsid w:val="00BD5C3C"/>
    <w:rsid w:val="00BE1E16"/>
    <w:rsid w:val="00BE5290"/>
    <w:rsid w:val="00BE5B5F"/>
    <w:rsid w:val="00BE771D"/>
    <w:rsid w:val="00BE7993"/>
    <w:rsid w:val="00BF0620"/>
    <w:rsid w:val="00BF18A4"/>
    <w:rsid w:val="00BF371E"/>
    <w:rsid w:val="00BF3DD1"/>
    <w:rsid w:val="00BF6C58"/>
    <w:rsid w:val="00BF70DE"/>
    <w:rsid w:val="00C0264B"/>
    <w:rsid w:val="00C02CDC"/>
    <w:rsid w:val="00C06BE8"/>
    <w:rsid w:val="00C15963"/>
    <w:rsid w:val="00C164B5"/>
    <w:rsid w:val="00C169FE"/>
    <w:rsid w:val="00C179DE"/>
    <w:rsid w:val="00C23BE3"/>
    <w:rsid w:val="00C240C1"/>
    <w:rsid w:val="00C26E5D"/>
    <w:rsid w:val="00C26F55"/>
    <w:rsid w:val="00C30C63"/>
    <w:rsid w:val="00C30FF3"/>
    <w:rsid w:val="00C34D5C"/>
    <w:rsid w:val="00C36B8B"/>
    <w:rsid w:val="00C36F94"/>
    <w:rsid w:val="00C376CF"/>
    <w:rsid w:val="00C40561"/>
    <w:rsid w:val="00C414DD"/>
    <w:rsid w:val="00C415C1"/>
    <w:rsid w:val="00C43DBC"/>
    <w:rsid w:val="00C462EE"/>
    <w:rsid w:val="00C47DBF"/>
    <w:rsid w:val="00C508DA"/>
    <w:rsid w:val="00C523B9"/>
    <w:rsid w:val="00C552FF"/>
    <w:rsid w:val="00C558DA"/>
    <w:rsid w:val="00C55AF3"/>
    <w:rsid w:val="00C62C3F"/>
    <w:rsid w:val="00C65A27"/>
    <w:rsid w:val="00C66DAD"/>
    <w:rsid w:val="00C70AFE"/>
    <w:rsid w:val="00C7134D"/>
    <w:rsid w:val="00C72FCF"/>
    <w:rsid w:val="00C73E44"/>
    <w:rsid w:val="00C75B4C"/>
    <w:rsid w:val="00C75D14"/>
    <w:rsid w:val="00C7690D"/>
    <w:rsid w:val="00C771A9"/>
    <w:rsid w:val="00C774ED"/>
    <w:rsid w:val="00C80767"/>
    <w:rsid w:val="00C84759"/>
    <w:rsid w:val="00C86596"/>
    <w:rsid w:val="00C91E8D"/>
    <w:rsid w:val="00C91EC9"/>
    <w:rsid w:val="00C9206E"/>
    <w:rsid w:val="00C925E5"/>
    <w:rsid w:val="00C93096"/>
    <w:rsid w:val="00C974D5"/>
    <w:rsid w:val="00CA4DB3"/>
    <w:rsid w:val="00CA5CA9"/>
    <w:rsid w:val="00CA664E"/>
    <w:rsid w:val="00CA6C7F"/>
    <w:rsid w:val="00CA7F54"/>
    <w:rsid w:val="00CB007D"/>
    <w:rsid w:val="00CB0310"/>
    <w:rsid w:val="00CB0644"/>
    <w:rsid w:val="00CB1BAB"/>
    <w:rsid w:val="00CB60CA"/>
    <w:rsid w:val="00CB6C5F"/>
    <w:rsid w:val="00CC0FC7"/>
    <w:rsid w:val="00CC10A6"/>
    <w:rsid w:val="00CC111E"/>
    <w:rsid w:val="00CC4807"/>
    <w:rsid w:val="00CD2391"/>
    <w:rsid w:val="00CD4723"/>
    <w:rsid w:val="00CD4AEE"/>
    <w:rsid w:val="00CD5EB8"/>
    <w:rsid w:val="00CD612F"/>
    <w:rsid w:val="00CD7044"/>
    <w:rsid w:val="00CD7A30"/>
    <w:rsid w:val="00CE08B9"/>
    <w:rsid w:val="00CE3515"/>
    <w:rsid w:val="00CE524C"/>
    <w:rsid w:val="00CE59A0"/>
    <w:rsid w:val="00CE62B0"/>
    <w:rsid w:val="00CE6405"/>
    <w:rsid w:val="00CF141F"/>
    <w:rsid w:val="00CF1CDC"/>
    <w:rsid w:val="00CF4777"/>
    <w:rsid w:val="00CF4E6A"/>
    <w:rsid w:val="00CF65C8"/>
    <w:rsid w:val="00D013F5"/>
    <w:rsid w:val="00D01B15"/>
    <w:rsid w:val="00D05E3F"/>
    <w:rsid w:val="00D062B6"/>
    <w:rsid w:val="00D067BB"/>
    <w:rsid w:val="00D112C9"/>
    <w:rsid w:val="00D116C6"/>
    <w:rsid w:val="00D1243E"/>
    <w:rsid w:val="00D1352A"/>
    <w:rsid w:val="00D1638E"/>
    <w:rsid w:val="00D169AF"/>
    <w:rsid w:val="00D200EF"/>
    <w:rsid w:val="00D24A52"/>
    <w:rsid w:val="00D25175"/>
    <w:rsid w:val="00D25249"/>
    <w:rsid w:val="00D25766"/>
    <w:rsid w:val="00D25F5A"/>
    <w:rsid w:val="00D26854"/>
    <w:rsid w:val="00D319C3"/>
    <w:rsid w:val="00D33F35"/>
    <w:rsid w:val="00D3611B"/>
    <w:rsid w:val="00D36877"/>
    <w:rsid w:val="00D40CA1"/>
    <w:rsid w:val="00D40F7A"/>
    <w:rsid w:val="00D42000"/>
    <w:rsid w:val="00D44172"/>
    <w:rsid w:val="00D45B7D"/>
    <w:rsid w:val="00D468FB"/>
    <w:rsid w:val="00D47BE3"/>
    <w:rsid w:val="00D5006A"/>
    <w:rsid w:val="00D621A2"/>
    <w:rsid w:val="00D62670"/>
    <w:rsid w:val="00D63B8C"/>
    <w:rsid w:val="00D67794"/>
    <w:rsid w:val="00D67FF7"/>
    <w:rsid w:val="00D716A8"/>
    <w:rsid w:val="00D73012"/>
    <w:rsid w:val="00D739CC"/>
    <w:rsid w:val="00D806F9"/>
    <w:rsid w:val="00D807A6"/>
    <w:rsid w:val="00D8093D"/>
    <w:rsid w:val="00D8108C"/>
    <w:rsid w:val="00D842AE"/>
    <w:rsid w:val="00D85791"/>
    <w:rsid w:val="00D86AA5"/>
    <w:rsid w:val="00D872DB"/>
    <w:rsid w:val="00D9101D"/>
    <w:rsid w:val="00D9211C"/>
    <w:rsid w:val="00D92DE0"/>
    <w:rsid w:val="00D92E8C"/>
    <w:rsid w:val="00D92FEF"/>
    <w:rsid w:val="00D931F9"/>
    <w:rsid w:val="00D93A0F"/>
    <w:rsid w:val="00D94713"/>
    <w:rsid w:val="00D97A04"/>
    <w:rsid w:val="00DA1BCA"/>
    <w:rsid w:val="00DA1D80"/>
    <w:rsid w:val="00DA3084"/>
    <w:rsid w:val="00DA3663"/>
    <w:rsid w:val="00DA4165"/>
    <w:rsid w:val="00DA56CF"/>
    <w:rsid w:val="00DA6690"/>
    <w:rsid w:val="00DA7FA3"/>
    <w:rsid w:val="00DB1D42"/>
    <w:rsid w:val="00DB1FA1"/>
    <w:rsid w:val="00DB73E9"/>
    <w:rsid w:val="00DC46FF"/>
    <w:rsid w:val="00DC48F6"/>
    <w:rsid w:val="00DC5254"/>
    <w:rsid w:val="00DC569D"/>
    <w:rsid w:val="00DC6902"/>
    <w:rsid w:val="00DC7457"/>
    <w:rsid w:val="00DD02D3"/>
    <w:rsid w:val="00DD1A4F"/>
    <w:rsid w:val="00DD3107"/>
    <w:rsid w:val="00DD457C"/>
    <w:rsid w:val="00DD7B3C"/>
    <w:rsid w:val="00DD7C2C"/>
    <w:rsid w:val="00DE1A6F"/>
    <w:rsid w:val="00DE3854"/>
    <w:rsid w:val="00DE5BDA"/>
    <w:rsid w:val="00DE670E"/>
    <w:rsid w:val="00DE7302"/>
    <w:rsid w:val="00DF02C2"/>
    <w:rsid w:val="00DF433C"/>
    <w:rsid w:val="00DF519F"/>
    <w:rsid w:val="00DF6B69"/>
    <w:rsid w:val="00E002EB"/>
    <w:rsid w:val="00E0035A"/>
    <w:rsid w:val="00E0163F"/>
    <w:rsid w:val="00E03DC9"/>
    <w:rsid w:val="00E06100"/>
    <w:rsid w:val="00E06797"/>
    <w:rsid w:val="00E1265B"/>
    <w:rsid w:val="00E12A0E"/>
    <w:rsid w:val="00E12E09"/>
    <w:rsid w:val="00E13B48"/>
    <w:rsid w:val="00E14040"/>
    <w:rsid w:val="00E1404F"/>
    <w:rsid w:val="00E169EC"/>
    <w:rsid w:val="00E16F2E"/>
    <w:rsid w:val="00E210FB"/>
    <w:rsid w:val="00E21C83"/>
    <w:rsid w:val="00E24ADA"/>
    <w:rsid w:val="00E24E5F"/>
    <w:rsid w:val="00E25492"/>
    <w:rsid w:val="00E25511"/>
    <w:rsid w:val="00E27EA5"/>
    <w:rsid w:val="00E32F59"/>
    <w:rsid w:val="00E3646D"/>
    <w:rsid w:val="00E3651D"/>
    <w:rsid w:val="00E37CA8"/>
    <w:rsid w:val="00E41908"/>
    <w:rsid w:val="00E46D9A"/>
    <w:rsid w:val="00E50CBA"/>
    <w:rsid w:val="00E5132F"/>
    <w:rsid w:val="00E51E61"/>
    <w:rsid w:val="00E52927"/>
    <w:rsid w:val="00E54991"/>
    <w:rsid w:val="00E555F7"/>
    <w:rsid w:val="00E55DE4"/>
    <w:rsid w:val="00E56515"/>
    <w:rsid w:val="00E565FF"/>
    <w:rsid w:val="00E57037"/>
    <w:rsid w:val="00E5716E"/>
    <w:rsid w:val="00E600B2"/>
    <w:rsid w:val="00E600E6"/>
    <w:rsid w:val="00E62A85"/>
    <w:rsid w:val="00E62E26"/>
    <w:rsid w:val="00E63DD7"/>
    <w:rsid w:val="00E65388"/>
    <w:rsid w:val="00E65CFC"/>
    <w:rsid w:val="00E66179"/>
    <w:rsid w:val="00E72B5F"/>
    <w:rsid w:val="00E7563E"/>
    <w:rsid w:val="00E7741D"/>
    <w:rsid w:val="00E808CD"/>
    <w:rsid w:val="00E8348F"/>
    <w:rsid w:val="00E85B7D"/>
    <w:rsid w:val="00E90383"/>
    <w:rsid w:val="00E9121B"/>
    <w:rsid w:val="00E9302E"/>
    <w:rsid w:val="00E9533F"/>
    <w:rsid w:val="00E953EE"/>
    <w:rsid w:val="00E956DC"/>
    <w:rsid w:val="00E96C1E"/>
    <w:rsid w:val="00E976AB"/>
    <w:rsid w:val="00EA0AE2"/>
    <w:rsid w:val="00EA39E5"/>
    <w:rsid w:val="00EA57A3"/>
    <w:rsid w:val="00EB47FE"/>
    <w:rsid w:val="00EB6B2D"/>
    <w:rsid w:val="00EC2813"/>
    <w:rsid w:val="00EC5A46"/>
    <w:rsid w:val="00EC63E2"/>
    <w:rsid w:val="00EC7999"/>
    <w:rsid w:val="00ED0225"/>
    <w:rsid w:val="00ED366A"/>
    <w:rsid w:val="00ED3A07"/>
    <w:rsid w:val="00ED6BB7"/>
    <w:rsid w:val="00EE1031"/>
    <w:rsid w:val="00EE2EF6"/>
    <w:rsid w:val="00EE7F06"/>
    <w:rsid w:val="00EF1573"/>
    <w:rsid w:val="00EF22B3"/>
    <w:rsid w:val="00EF3A61"/>
    <w:rsid w:val="00EF4671"/>
    <w:rsid w:val="00F02718"/>
    <w:rsid w:val="00F031C0"/>
    <w:rsid w:val="00F03441"/>
    <w:rsid w:val="00F03B69"/>
    <w:rsid w:val="00F03EC0"/>
    <w:rsid w:val="00F042C8"/>
    <w:rsid w:val="00F05257"/>
    <w:rsid w:val="00F07A50"/>
    <w:rsid w:val="00F113DA"/>
    <w:rsid w:val="00F14EA1"/>
    <w:rsid w:val="00F151EA"/>
    <w:rsid w:val="00F2463D"/>
    <w:rsid w:val="00F2638C"/>
    <w:rsid w:val="00F266FC"/>
    <w:rsid w:val="00F3037A"/>
    <w:rsid w:val="00F344EA"/>
    <w:rsid w:val="00F3465A"/>
    <w:rsid w:val="00F36140"/>
    <w:rsid w:val="00F37DC8"/>
    <w:rsid w:val="00F40503"/>
    <w:rsid w:val="00F42E68"/>
    <w:rsid w:val="00F439B3"/>
    <w:rsid w:val="00F50D97"/>
    <w:rsid w:val="00F50F81"/>
    <w:rsid w:val="00F534EC"/>
    <w:rsid w:val="00F54AD0"/>
    <w:rsid w:val="00F5532A"/>
    <w:rsid w:val="00F567F9"/>
    <w:rsid w:val="00F57BF5"/>
    <w:rsid w:val="00F6231D"/>
    <w:rsid w:val="00F62F77"/>
    <w:rsid w:val="00F650C3"/>
    <w:rsid w:val="00F65D85"/>
    <w:rsid w:val="00F6700B"/>
    <w:rsid w:val="00F7137B"/>
    <w:rsid w:val="00F719BC"/>
    <w:rsid w:val="00F73AEE"/>
    <w:rsid w:val="00F8091E"/>
    <w:rsid w:val="00F82DE2"/>
    <w:rsid w:val="00F8615C"/>
    <w:rsid w:val="00F903E7"/>
    <w:rsid w:val="00F9049C"/>
    <w:rsid w:val="00F90F0E"/>
    <w:rsid w:val="00F90F2B"/>
    <w:rsid w:val="00F91674"/>
    <w:rsid w:val="00F91A00"/>
    <w:rsid w:val="00F95F8F"/>
    <w:rsid w:val="00F96879"/>
    <w:rsid w:val="00F969E5"/>
    <w:rsid w:val="00F97219"/>
    <w:rsid w:val="00FA0390"/>
    <w:rsid w:val="00FA4972"/>
    <w:rsid w:val="00FA6BB0"/>
    <w:rsid w:val="00FA7124"/>
    <w:rsid w:val="00FB0D3B"/>
    <w:rsid w:val="00FB0F36"/>
    <w:rsid w:val="00FB16AE"/>
    <w:rsid w:val="00FB1B29"/>
    <w:rsid w:val="00FB2DBD"/>
    <w:rsid w:val="00FC41EF"/>
    <w:rsid w:val="00FC59B9"/>
    <w:rsid w:val="00FD0963"/>
    <w:rsid w:val="00FD17F9"/>
    <w:rsid w:val="00FD48DF"/>
    <w:rsid w:val="00FD5860"/>
    <w:rsid w:val="00FD632E"/>
    <w:rsid w:val="00FE075A"/>
    <w:rsid w:val="00FE352D"/>
    <w:rsid w:val="00FE40EB"/>
    <w:rsid w:val="00FE4D02"/>
    <w:rsid w:val="00FE512B"/>
    <w:rsid w:val="00FE6067"/>
    <w:rsid w:val="00FE63B0"/>
    <w:rsid w:val="00FE698A"/>
    <w:rsid w:val="00FE6D2A"/>
    <w:rsid w:val="00FE7303"/>
    <w:rsid w:val="00FE7D62"/>
    <w:rsid w:val="00FF0F15"/>
    <w:rsid w:val="00FF1401"/>
    <w:rsid w:val="00FF3819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21F5315"/>
  <w15:docId w15:val="{86A76775-DFB5-4ADB-A65A-A9F521E9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uiPriority w:val="9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uiPriority w:val="9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uiPriority w:val="39"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7A322A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7A322A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7A322A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7A322A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Superscript 6 Point + 11 pt,Appel note de bas de page,-E Fußnotenzeichen,(Diplomarbeit FZ),(Diplomarbeit FZ)1,(Diplomarbeit FZ)2"/>
    <w:qFormat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uiPriority w:val="99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List Paragraph1,Bullets1,List Paragraph11,Bullets2,List Paragraph12,Bullets3,List Paragraph13,Dot pt,F5 List Paragraph,No Spacing1,List Paragraph Char Char Char,Indicator Text,Colorful List - Accent 11,Numbered Para 1,Bullet 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493097"/>
    <w:pPr>
      <w:tabs>
        <w:tab w:val="clear" w:pos="4082"/>
      </w:tabs>
      <w:spacing w:before="6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6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1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uiPriority w:val="39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uiPriority w:val="39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uiPriority w:val="39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uiPriority w:val="39"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E730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7A322A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FE7303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FE7303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FE7303"/>
    <w:rPr>
      <w:lang w:eastAsia="en-US"/>
    </w:rPr>
  </w:style>
  <w:style w:type="character" w:customStyle="1" w:styleId="Inget">
    <w:name w:val="Inget"/>
    <w:rsid w:val="00FE7303"/>
  </w:style>
  <w:style w:type="paragraph" w:customStyle="1" w:styleId="MainParagraphwith">
    <w:name w:val="Main Paragraph with #"/>
    <w:basedOn w:val="ListParagraph"/>
    <w:next w:val="Normal"/>
    <w:link w:val="MainParagraphwithChar"/>
    <w:autoRedefine/>
    <w:qFormat/>
    <w:rsid w:val="0004098F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adjustRightInd w:val="0"/>
      <w:spacing w:before="240" w:after="240"/>
      <w:ind w:left="0" w:firstLine="0"/>
    </w:pPr>
    <w:rPr>
      <w:rFonts w:asciiTheme="minorHAnsi" w:eastAsiaTheme="minorEastAsia" w:hAnsiTheme="minorHAnsi" w:cs="Verdana"/>
      <w:bCs/>
      <w:color w:val="000000"/>
      <w:sz w:val="24"/>
      <w:szCs w:val="24"/>
      <w:lang w:val="en-US" w:eastAsia="zh-CN"/>
    </w:rPr>
  </w:style>
  <w:style w:type="character" w:customStyle="1" w:styleId="MainParagraphwithChar">
    <w:name w:val="Main Paragraph with # Char"/>
    <w:basedOn w:val="DefaultParagraphFont"/>
    <w:link w:val="MainParagraphwith"/>
    <w:rsid w:val="0004098F"/>
    <w:rPr>
      <w:rFonts w:asciiTheme="minorHAnsi" w:eastAsiaTheme="minorEastAsia" w:hAnsiTheme="minorHAnsi" w:cs="Verdana"/>
      <w:bCs/>
      <w:color w:val="000000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1674"/>
    <w:rPr>
      <w:color w:val="605E5C"/>
      <w:shd w:val="clear" w:color="auto" w:fill="E1DFDD"/>
    </w:rPr>
  </w:style>
  <w:style w:type="character" w:customStyle="1" w:styleId="NormalnumberChar">
    <w:name w:val="Normal_number Char"/>
    <w:link w:val="Normalnumber"/>
    <w:locked/>
    <w:rsid w:val="0032612A"/>
    <w:rPr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953EE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customStyle="1" w:styleId="ListParagraphChar">
    <w:name w:val="List Paragraph Char"/>
    <w:aliases w:val="Bullets Char,List Paragraph1 Char,Bullets1 Char,List Paragraph11 Char,Bullets2 Char,List Paragraph12 Char,Bullets3 Char,List Paragraph13 Char,Dot pt Char,F5 List Paragraph Char,No Spacing1 Char,List Paragraph Char Char Char Char"/>
    <w:link w:val="ListParagraph"/>
    <w:uiPriority w:val="34"/>
    <w:locked/>
    <w:rsid w:val="00E953EE"/>
    <w:rPr>
      <w:lang w:eastAsia="en-US"/>
    </w:rPr>
  </w:style>
  <w:style w:type="table" w:styleId="GridTable5Dark-Accent1">
    <w:name w:val="Grid Table 5 Dark Accent 1"/>
    <w:basedOn w:val="TableNormal"/>
    <w:uiPriority w:val="50"/>
    <w:rsid w:val="00E953EE"/>
    <w:rPr>
      <w:rFonts w:eastAsia="MS Mincho"/>
      <w:szCs w:val="16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BodyText">
    <w:name w:val="Body Text"/>
    <w:basedOn w:val="Normal"/>
    <w:link w:val="BodyTextChar"/>
    <w:uiPriority w:val="1"/>
    <w:qFormat/>
    <w:rsid w:val="00E953EE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953EE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953EE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  <w:spacing w:before="53"/>
    </w:pPr>
    <w:rPr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53EE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E953EE"/>
    <w:rPr>
      <w:b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953EE"/>
    <w:rPr>
      <w:sz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953EE"/>
    <w:rPr>
      <w:color w:val="954F72"/>
      <w:u w:val="single"/>
    </w:rPr>
  </w:style>
  <w:style w:type="paragraph" w:customStyle="1" w:styleId="msonormal0">
    <w:name w:val="msonormal"/>
    <w:basedOn w:val="Normal"/>
    <w:rsid w:val="00E953EE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E953EE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E95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E95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E95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953EE"/>
    <w:rPr>
      <w:b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53EE"/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618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3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8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9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chart" Target="charts/chart2.xml"/><Relationship Id="rId27" Type="http://schemas.openxmlformats.org/officeDocument/2006/relationships/header" Target="header9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rcuryconvention.org/Portals/11/documents/meetings/dipcon/english/CONF_4_Final_Act_e.pdf" TargetMode="External"/><Relationship Id="rId2" Type="http://schemas.openxmlformats.org/officeDocument/2006/relationships/hyperlink" Target="http://www.mercuryconvention.org/Portals/11/documents/meetings/inc6/English/6_24_e_report.pdf" TargetMode="External"/><Relationship Id="rId1" Type="http://schemas.openxmlformats.org/officeDocument/2006/relationships/hyperlink" Target="http://www.mercuryconvention.org/Implementation/SpecificInternationalProgramme/tabid/6334/language/en-US/Default.aspx" TargetMode="External"/><Relationship Id="rId5" Type="http://schemas.openxmlformats.org/officeDocument/2006/relationships/hyperlink" Target="https://www.thegef.org/sites/default/files/council-meeting-%20documents/GEF.A.5.09_Amendments_to_the_Instrument_April_16_2014_V3_1.pdf" TargetMode="External"/><Relationship Id="rId4" Type="http://schemas.openxmlformats.org/officeDocument/2006/relationships/hyperlink" Target="http://www.mercuryconvention.org/Portals/11/documents/meetings/inc6/English/6_24_e_report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Keondc1ha011\UNON3\DCS\Common\docs\english\DRAFTS%202018\INSTRUMENTS\MINAMATA\1802572_excel%20files%20for%20UNEP-MC-COP-2-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Keondc1ha011\UNON3\DCS\Common\docs\english\DRAFTS%202018\INSTRUMENTS\MINAMATA\1802572_excel%20files%20for%20UNEP-MC-COP-2-9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Sheet1!$C$22</c:f>
              <c:strCache>
                <c:ptCount val="1"/>
                <c:pt idx="0">
                  <c:v>Number of applications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B78-4CD7-9499-3B358470862D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B78-4CD7-9499-3B358470862D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1B78-4CD7-9499-3B358470862D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1B78-4CD7-9499-3B358470862D}"/>
              </c:ext>
            </c:extLst>
          </c:dPt>
          <c:dLbls>
            <c:delete val="1"/>
          </c:dLbls>
          <c:cat>
            <c:strRef>
              <c:f>Sheet1!$B$23:$B$26</c:f>
              <c:strCache>
                <c:ptCount val="4"/>
                <c:pt idx="0">
                  <c:v>Africa (5)</c:v>
                </c:pt>
                <c:pt idx="1">
                  <c:v>LAC (7)</c:v>
                </c:pt>
                <c:pt idx="2">
                  <c:v>Asia (5)</c:v>
                </c:pt>
                <c:pt idx="3">
                  <c:v>CEE (2)</c:v>
                </c:pt>
              </c:strCache>
            </c:strRef>
          </c:cat>
          <c:val>
            <c:numRef>
              <c:f>Sheet1!$C$23:$C$26</c:f>
              <c:numCache>
                <c:formatCode>General</c:formatCode>
                <c:ptCount val="4"/>
                <c:pt idx="0">
                  <c:v>5</c:v>
                </c:pt>
                <c:pt idx="1">
                  <c:v>7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B78-4CD7-9499-3B358470862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Sheet1!$C$28</c:f>
              <c:strCache>
                <c:ptCount val="1"/>
                <c:pt idx="0">
                  <c:v>Number of applications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652-4D70-AA3F-C969680E8E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652-4D70-AA3F-C969680E8E5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652-4D70-AA3F-C969680E8E5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652-4D70-AA3F-C969680E8E57}"/>
              </c:ext>
            </c:extLst>
          </c:dPt>
          <c:cat>
            <c:strRef>
              <c:f>Sheet1!$B$29:$B$32</c:f>
              <c:strCache>
                <c:ptCount val="4"/>
                <c:pt idx="0">
                  <c:v>DCs (11)</c:v>
                </c:pt>
                <c:pt idx="1">
                  <c:v>LDCs (4)</c:v>
                </c:pt>
                <c:pt idx="2">
                  <c:v>SIDS (2)</c:v>
                </c:pt>
                <c:pt idx="3">
                  <c:v>CEITs (2)</c:v>
                </c:pt>
              </c:strCache>
            </c:strRef>
          </c:cat>
          <c:val>
            <c:numRef>
              <c:f>Sheet1!$C$29:$C$32</c:f>
              <c:numCache>
                <c:formatCode>General</c:formatCode>
                <c:ptCount val="4"/>
                <c:pt idx="0">
                  <c:v>11</c:v>
                </c:pt>
                <c:pt idx="1">
                  <c:v>4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652-4D70-AA3F-C969680E8E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9AFAB-889E-4346-8775-FFB50C25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33</Pages>
  <Words>10701</Words>
  <Characters>60997</Characters>
  <Application>Microsoft Office Word</Application>
  <DocSecurity>0</DocSecurity>
  <Lines>508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8</cp:revision>
  <cp:lastPrinted>2019-09-30T06:53:00Z</cp:lastPrinted>
  <dcterms:created xsi:type="dcterms:W3CDTF">2019-09-16T12:10:00Z</dcterms:created>
  <dcterms:modified xsi:type="dcterms:W3CDTF">2019-09-30T06:53:00Z</dcterms:modified>
</cp:coreProperties>
</file>