
<file path=[Content_Types].xml><?xml version="1.0" encoding="utf-8"?>
<Types xmlns="http://schemas.openxmlformats.org/package/2006/content-types">
  <Default Extension="bin" ContentType="application/vnd.openxmlformats-officedocument.oleObject"/>
  <Default Extension="png" ContentType="image/png"/>
  <Default Extension="tmp"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1A2820" w14:paraId="0F1FD21F" w14:textId="77777777" w:rsidTr="002E37F7">
        <w:trPr>
          <w:cantSplit/>
          <w:trHeight w:val="850"/>
          <w:jc w:val="right"/>
        </w:trPr>
        <w:tc>
          <w:tcPr>
            <w:tcW w:w="1519" w:type="dxa"/>
          </w:tcPr>
          <w:p w14:paraId="4BA0EA86" w14:textId="318E40FE" w:rsidR="00032E4E" w:rsidRPr="001A2820" w:rsidRDefault="002E37F7" w:rsidP="00023DA9">
            <w:pPr>
              <w:rPr>
                <w:rFonts w:ascii="Univers" w:hAnsi="Univers"/>
                <w:b/>
                <w:sz w:val="27"/>
                <w:szCs w:val="27"/>
                <w:lang w:val="fr-FR"/>
              </w:rPr>
            </w:pPr>
            <w:bookmarkStart w:id="0" w:name="_GoBack"/>
            <w:bookmarkEnd w:id="0"/>
            <w:r w:rsidRPr="001A2820">
              <w:rPr>
                <w:rFonts w:ascii="Arial" w:hAnsi="Arial" w:cs="Arial"/>
                <w:b/>
                <w:sz w:val="27"/>
                <w:szCs w:val="27"/>
                <w:lang w:val="fr-FR"/>
              </w:rPr>
              <w:t>NATIONS</w:t>
            </w:r>
            <w:r w:rsidR="002A25E7" w:rsidRPr="001A2820">
              <w:rPr>
                <w:rFonts w:ascii="Arial" w:hAnsi="Arial" w:cs="Arial"/>
                <w:b/>
                <w:sz w:val="27"/>
                <w:szCs w:val="27"/>
                <w:lang w:val="fr-FR"/>
              </w:rPr>
              <w:t xml:space="preserve"> </w:t>
            </w:r>
            <w:r w:rsidR="00032E4E" w:rsidRPr="001A2820">
              <w:rPr>
                <w:rFonts w:ascii="Arial" w:hAnsi="Arial" w:cs="Arial"/>
                <w:b/>
                <w:sz w:val="27"/>
                <w:szCs w:val="27"/>
                <w:lang w:val="fr-FR"/>
              </w:rPr>
              <w:br/>
            </w:r>
            <w:r w:rsidRPr="001A2820">
              <w:rPr>
                <w:rFonts w:ascii="Arial" w:hAnsi="Arial" w:cs="Arial"/>
                <w:b/>
                <w:sz w:val="27"/>
                <w:szCs w:val="27"/>
                <w:lang w:val="fr-FR"/>
              </w:rPr>
              <w:t>UNIES</w:t>
            </w:r>
          </w:p>
        </w:tc>
        <w:tc>
          <w:tcPr>
            <w:tcW w:w="4643" w:type="dxa"/>
          </w:tcPr>
          <w:p w14:paraId="7751FE9B" w14:textId="77777777" w:rsidR="00032E4E" w:rsidRPr="001A2820" w:rsidRDefault="00032E4E" w:rsidP="004A1D8F">
            <w:pPr>
              <w:rPr>
                <w:rFonts w:ascii="Univers" w:hAnsi="Univers"/>
                <w:b/>
                <w:sz w:val="27"/>
                <w:szCs w:val="27"/>
                <w:lang w:val="fr-FR"/>
              </w:rPr>
            </w:pPr>
          </w:p>
        </w:tc>
        <w:tc>
          <w:tcPr>
            <w:tcW w:w="3335" w:type="dxa"/>
          </w:tcPr>
          <w:p w14:paraId="1FA16EAE" w14:textId="77777777" w:rsidR="00032E4E" w:rsidRPr="001A2820" w:rsidRDefault="00787688" w:rsidP="00023DA9">
            <w:pPr>
              <w:jc w:val="right"/>
              <w:rPr>
                <w:rFonts w:ascii="Arial" w:hAnsi="Arial" w:cs="Arial"/>
                <w:b/>
                <w:sz w:val="64"/>
                <w:szCs w:val="64"/>
                <w:lang w:val="fr-FR"/>
              </w:rPr>
            </w:pPr>
            <w:r w:rsidRPr="001A2820">
              <w:rPr>
                <w:rFonts w:ascii="Arial" w:hAnsi="Arial" w:cs="Arial"/>
                <w:b/>
                <w:sz w:val="64"/>
                <w:szCs w:val="64"/>
                <w:lang w:val="fr-FR"/>
              </w:rPr>
              <w:t>MC</w:t>
            </w:r>
          </w:p>
        </w:tc>
      </w:tr>
      <w:tr w:rsidR="00032E4E" w:rsidRPr="001A2820" w14:paraId="13D8C5EC" w14:textId="77777777" w:rsidTr="002E37F7">
        <w:trPr>
          <w:cantSplit/>
          <w:trHeight w:val="281"/>
          <w:jc w:val="right"/>
        </w:trPr>
        <w:tc>
          <w:tcPr>
            <w:tcW w:w="1519" w:type="dxa"/>
            <w:tcBorders>
              <w:bottom w:val="single" w:sz="4" w:space="0" w:color="auto"/>
            </w:tcBorders>
          </w:tcPr>
          <w:p w14:paraId="52CC989F" w14:textId="77777777" w:rsidR="00032E4E" w:rsidRPr="001A2820" w:rsidRDefault="00032E4E" w:rsidP="00023DA9">
            <w:pPr>
              <w:rPr>
                <w:sz w:val="18"/>
                <w:szCs w:val="18"/>
                <w:lang w:val="fr-FR"/>
              </w:rPr>
            </w:pPr>
          </w:p>
        </w:tc>
        <w:tc>
          <w:tcPr>
            <w:tcW w:w="4643" w:type="dxa"/>
            <w:tcBorders>
              <w:bottom w:val="single" w:sz="4" w:space="0" w:color="auto"/>
            </w:tcBorders>
          </w:tcPr>
          <w:p w14:paraId="0E07EFCB" w14:textId="77777777" w:rsidR="00032E4E" w:rsidRPr="001A2820" w:rsidRDefault="00032E4E" w:rsidP="00023DA9">
            <w:pPr>
              <w:rPr>
                <w:rFonts w:ascii="Univers" w:hAnsi="Univers"/>
                <w:b/>
                <w:sz w:val="18"/>
                <w:szCs w:val="18"/>
                <w:lang w:val="fr-FR"/>
              </w:rPr>
            </w:pPr>
          </w:p>
        </w:tc>
        <w:tc>
          <w:tcPr>
            <w:tcW w:w="3335" w:type="dxa"/>
            <w:tcBorders>
              <w:bottom w:val="single" w:sz="4" w:space="0" w:color="auto"/>
            </w:tcBorders>
          </w:tcPr>
          <w:p w14:paraId="61870507" w14:textId="77777777" w:rsidR="00032E4E" w:rsidRPr="001A2820" w:rsidRDefault="00032E4E" w:rsidP="00787688">
            <w:pPr>
              <w:rPr>
                <w:sz w:val="18"/>
                <w:szCs w:val="18"/>
                <w:lang w:val="fr-FR"/>
              </w:rPr>
            </w:pPr>
            <w:r w:rsidRPr="001A2820">
              <w:rPr>
                <w:b/>
                <w:bCs/>
                <w:sz w:val="28"/>
                <w:lang w:val="fr-FR"/>
              </w:rPr>
              <w:t>UNEP</w:t>
            </w:r>
            <w:bookmarkStart w:id="1" w:name="OLE_LINK1"/>
            <w:bookmarkStart w:id="2" w:name="OLE_LINK2"/>
            <w:r w:rsidR="00787688" w:rsidRPr="001A2820">
              <w:rPr>
                <w:bCs/>
                <w:lang w:val="fr-FR"/>
              </w:rPr>
              <w:t>/</w:t>
            </w:r>
            <w:r w:rsidR="00787688" w:rsidRPr="001A2820">
              <w:rPr>
                <w:lang w:val="fr-FR"/>
              </w:rPr>
              <w:t>MC</w:t>
            </w:r>
            <w:r w:rsidRPr="001A2820">
              <w:rPr>
                <w:lang w:val="fr-FR"/>
              </w:rPr>
              <w:t>/</w:t>
            </w:r>
            <w:bookmarkEnd w:id="1"/>
            <w:bookmarkEnd w:id="2"/>
            <w:r w:rsidR="002E73F4" w:rsidRPr="001A2820">
              <w:rPr>
                <w:lang w:val="fr-FR"/>
              </w:rPr>
              <w:t>COP.</w:t>
            </w:r>
            <w:r w:rsidR="0080454B" w:rsidRPr="001A2820">
              <w:rPr>
                <w:lang w:val="fr-FR"/>
              </w:rPr>
              <w:t>3</w:t>
            </w:r>
            <w:r w:rsidRPr="001A2820">
              <w:rPr>
                <w:lang w:val="fr-FR"/>
              </w:rPr>
              <w:t>/</w:t>
            </w:r>
            <w:r w:rsidR="0080454B" w:rsidRPr="001A2820">
              <w:rPr>
                <w:lang w:val="fr-FR"/>
              </w:rPr>
              <w:t>1</w:t>
            </w:r>
            <w:r w:rsidR="00D40CA1" w:rsidRPr="001A2820">
              <w:rPr>
                <w:lang w:val="fr-FR"/>
              </w:rPr>
              <w:t>1</w:t>
            </w:r>
          </w:p>
        </w:tc>
      </w:tr>
      <w:bookmarkStart w:id="3" w:name="_MON_1021710482"/>
      <w:bookmarkEnd w:id="3"/>
      <w:bookmarkStart w:id="4" w:name="_MON_1021710510"/>
      <w:bookmarkEnd w:id="4"/>
      <w:tr w:rsidR="00032E4E" w:rsidRPr="00CF6A23" w14:paraId="360AD079" w14:textId="77777777" w:rsidTr="002E37F7">
        <w:trPr>
          <w:cantSplit/>
          <w:trHeight w:val="2549"/>
          <w:jc w:val="right"/>
        </w:trPr>
        <w:tc>
          <w:tcPr>
            <w:tcW w:w="1519" w:type="dxa"/>
            <w:tcBorders>
              <w:top w:val="single" w:sz="4" w:space="0" w:color="auto"/>
              <w:bottom w:val="single" w:sz="24" w:space="0" w:color="auto"/>
            </w:tcBorders>
          </w:tcPr>
          <w:p w14:paraId="7E2DA32E" w14:textId="77777777" w:rsidR="00032E4E" w:rsidRPr="001A2820" w:rsidRDefault="00D36877" w:rsidP="00023DA9">
            <w:pPr>
              <w:rPr>
                <w:lang w:val="fr-FR"/>
              </w:rPr>
            </w:pPr>
            <w:r w:rsidRPr="001A2820">
              <w:rPr>
                <w:noProof/>
                <w:lang w:val="fr-FR"/>
              </w:rPr>
              <w:object w:dxaOrig="1831" w:dyaOrig="1726" w14:anchorId="6CAE6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4pt;height:59.25pt;mso-width-percent:0;mso-height-percent:0;mso-width-percent:0;mso-height-percent:0" o:ole="" fillcolor="window">
                  <v:imagedata r:id="rId8" o:title=""/>
                </v:shape>
                <o:OLEObject Type="Embed" ProgID="Word.Picture.8" ShapeID="_x0000_i1025" DrawAspect="Content" ObjectID="_1631342681" r:id="rId9"/>
              </w:object>
            </w:r>
            <w:r w:rsidR="00011A16" w:rsidRPr="001A2820">
              <w:rPr>
                <w:noProof/>
                <w:lang w:val="fr-FR" w:eastAsia="fr-FR"/>
              </w:rPr>
              <w:drawing>
                <wp:inline distT="0" distB="0" distL="0" distR="0" wp14:anchorId="1D49C52E" wp14:editId="321E373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7DA219C" w14:textId="7F3E6409" w:rsidR="00032E4E" w:rsidRPr="001A2820" w:rsidRDefault="002E37F7" w:rsidP="00023DA9">
            <w:pPr>
              <w:spacing w:before="1200"/>
              <w:rPr>
                <w:rFonts w:ascii="Arial" w:hAnsi="Arial" w:cs="Arial"/>
                <w:b/>
                <w:sz w:val="28"/>
                <w:lang w:val="fr-FR"/>
              </w:rPr>
            </w:pPr>
            <w:r w:rsidRPr="001A2820">
              <w:rPr>
                <w:rFonts w:ascii="Arial" w:hAnsi="Arial" w:cs="Arial"/>
                <w:b/>
                <w:sz w:val="32"/>
                <w:szCs w:val="32"/>
                <w:lang w:val="fr-FR"/>
              </w:rPr>
              <w:t>Programme</w:t>
            </w:r>
            <w:r w:rsidRPr="001A2820">
              <w:rPr>
                <w:rFonts w:ascii="Arial" w:hAnsi="Arial" w:cs="Arial"/>
                <w:b/>
                <w:sz w:val="32"/>
                <w:szCs w:val="32"/>
                <w:lang w:val="fr-FR"/>
              </w:rPr>
              <w:br/>
              <w:t>des Nations</w:t>
            </w:r>
            <w:r w:rsidR="001A2820">
              <w:rPr>
                <w:rFonts w:ascii="Arial" w:hAnsi="Arial" w:cs="Arial"/>
                <w:b/>
                <w:sz w:val="32"/>
                <w:szCs w:val="32"/>
                <w:lang w:val="fr-FR"/>
              </w:rPr>
              <w:t> </w:t>
            </w:r>
            <w:r w:rsidRPr="001A2820">
              <w:rPr>
                <w:rFonts w:ascii="Arial" w:hAnsi="Arial" w:cs="Arial"/>
                <w:b/>
                <w:sz w:val="32"/>
                <w:szCs w:val="32"/>
                <w:lang w:val="fr-FR"/>
              </w:rPr>
              <w:t>Unies</w:t>
            </w:r>
            <w:r w:rsidRPr="001A2820">
              <w:rPr>
                <w:rFonts w:ascii="Arial" w:hAnsi="Arial" w:cs="Arial"/>
                <w:b/>
                <w:sz w:val="32"/>
                <w:szCs w:val="32"/>
                <w:lang w:val="fr-FR"/>
              </w:rPr>
              <w:br/>
              <w:t>pour l’environnement</w:t>
            </w:r>
          </w:p>
        </w:tc>
        <w:tc>
          <w:tcPr>
            <w:tcW w:w="3335" w:type="dxa"/>
            <w:tcBorders>
              <w:top w:val="single" w:sz="4" w:space="0" w:color="auto"/>
              <w:bottom w:val="single" w:sz="24" w:space="0" w:color="auto"/>
            </w:tcBorders>
          </w:tcPr>
          <w:p w14:paraId="464827ED" w14:textId="0553738E" w:rsidR="00032E4E" w:rsidRPr="001A2820" w:rsidRDefault="00032E4E" w:rsidP="002A25E7">
            <w:pPr>
              <w:spacing w:before="120"/>
              <w:rPr>
                <w:lang w:val="fr-FR"/>
              </w:rPr>
            </w:pPr>
            <w:r w:rsidRPr="001A2820">
              <w:rPr>
                <w:lang w:val="fr-FR"/>
              </w:rPr>
              <w:t>Distr.</w:t>
            </w:r>
            <w:r w:rsidR="008B4588">
              <w:rPr>
                <w:lang w:val="fr-FR"/>
              </w:rPr>
              <w:t> </w:t>
            </w:r>
            <w:r w:rsidR="002E37F7" w:rsidRPr="001A2820">
              <w:rPr>
                <w:lang w:val="fr-FR"/>
              </w:rPr>
              <w:t>générale</w:t>
            </w:r>
            <w:r w:rsidR="002A25E7" w:rsidRPr="001A2820">
              <w:rPr>
                <w:lang w:val="fr-FR"/>
              </w:rPr>
              <w:t xml:space="preserve"> </w:t>
            </w:r>
            <w:r w:rsidR="007A322A" w:rsidRPr="001A2820">
              <w:rPr>
                <w:lang w:val="fr-FR"/>
              </w:rPr>
              <w:br/>
            </w:r>
            <w:r w:rsidR="00CF6A23">
              <w:rPr>
                <w:lang w:val="fr-FR"/>
              </w:rPr>
              <w:t>2</w:t>
            </w:r>
            <w:r w:rsidR="007A322A" w:rsidRPr="001A2820">
              <w:rPr>
                <w:lang w:val="fr-FR"/>
              </w:rPr>
              <w:t>3</w:t>
            </w:r>
            <w:r w:rsidR="002E37F7" w:rsidRPr="001A2820">
              <w:rPr>
                <w:lang w:val="fr-FR"/>
              </w:rPr>
              <w:t> </w:t>
            </w:r>
            <w:r w:rsidR="00CF6A23">
              <w:rPr>
                <w:lang w:val="fr-FR"/>
              </w:rPr>
              <w:t>septembre</w:t>
            </w:r>
            <w:r w:rsidR="002E37F7" w:rsidRPr="001A2820">
              <w:rPr>
                <w:lang w:val="fr-FR"/>
              </w:rPr>
              <w:t> </w:t>
            </w:r>
            <w:r w:rsidR="0080454B" w:rsidRPr="001A2820">
              <w:rPr>
                <w:lang w:val="fr-FR"/>
              </w:rPr>
              <w:t>2019</w:t>
            </w:r>
          </w:p>
          <w:p w14:paraId="3593CCF6" w14:textId="77777777" w:rsidR="002E37F7" w:rsidRPr="001A2820" w:rsidRDefault="002E37F7" w:rsidP="002E37F7">
            <w:pPr>
              <w:rPr>
                <w:lang w:val="fr-FR"/>
              </w:rPr>
            </w:pPr>
          </w:p>
          <w:p w14:paraId="3E9F5951" w14:textId="540E96AE" w:rsidR="002E37F7" w:rsidRPr="001A2820" w:rsidRDefault="002E37F7" w:rsidP="002E37F7">
            <w:pPr>
              <w:rPr>
                <w:lang w:val="fr-FR"/>
              </w:rPr>
            </w:pPr>
            <w:r w:rsidRPr="001A2820">
              <w:rPr>
                <w:lang w:val="fr-FR"/>
              </w:rPr>
              <w:t>Français</w:t>
            </w:r>
          </w:p>
          <w:p w14:paraId="59308929" w14:textId="23278CF7" w:rsidR="00032E4E" w:rsidRPr="001A2820" w:rsidRDefault="00032E4E" w:rsidP="002E37F7">
            <w:pPr>
              <w:rPr>
                <w:lang w:val="fr-FR"/>
              </w:rPr>
            </w:pPr>
            <w:r w:rsidRPr="001A2820">
              <w:rPr>
                <w:lang w:val="fr-FR"/>
              </w:rPr>
              <w:t>Original</w:t>
            </w:r>
            <w:r w:rsidR="002E37F7" w:rsidRPr="001A2820">
              <w:rPr>
                <w:lang w:val="fr-FR"/>
              </w:rPr>
              <w:t> </w:t>
            </w:r>
            <w:r w:rsidRPr="001A2820">
              <w:rPr>
                <w:lang w:val="fr-FR"/>
              </w:rPr>
              <w:t xml:space="preserve">: </w:t>
            </w:r>
            <w:r w:rsidR="002E37F7" w:rsidRPr="001A2820">
              <w:rPr>
                <w:lang w:val="fr-FR"/>
              </w:rPr>
              <w:t>anglais</w:t>
            </w:r>
          </w:p>
        </w:tc>
      </w:tr>
    </w:tbl>
    <w:p w14:paraId="57EC7EFB" w14:textId="11DD8A5E" w:rsidR="00E976AB" w:rsidRPr="001A2820" w:rsidRDefault="002E37F7" w:rsidP="00E976AB">
      <w:pPr>
        <w:pStyle w:val="AATitle"/>
        <w:keepNext w:val="0"/>
        <w:keepLines w:val="0"/>
        <w:rPr>
          <w:lang w:val="fr-FR"/>
        </w:rPr>
      </w:pPr>
      <w:r w:rsidRPr="001A2820">
        <w:rPr>
          <w:lang w:val="fr-FR"/>
        </w:rPr>
        <w:t xml:space="preserve">Conférence des Parties à la Convention </w:t>
      </w:r>
      <w:r w:rsidRPr="001A2820">
        <w:rPr>
          <w:lang w:val="fr-FR"/>
        </w:rPr>
        <w:br/>
        <w:t>de Minamata sur le mercure</w:t>
      </w:r>
    </w:p>
    <w:p w14:paraId="26D058E6" w14:textId="60F3AC4D" w:rsidR="00E976AB" w:rsidRPr="001A2820" w:rsidRDefault="002E37F7" w:rsidP="00E976AB">
      <w:pPr>
        <w:pStyle w:val="AATitle"/>
        <w:keepNext w:val="0"/>
        <w:keepLines w:val="0"/>
        <w:rPr>
          <w:lang w:val="fr-FR"/>
        </w:rPr>
      </w:pPr>
      <w:r w:rsidRPr="001A2820">
        <w:rPr>
          <w:lang w:val="fr-FR"/>
        </w:rPr>
        <w:t>Troisième réunion</w:t>
      </w:r>
    </w:p>
    <w:p w14:paraId="21EF30BF" w14:textId="2417EE35" w:rsidR="00787688" w:rsidRPr="001A2820" w:rsidRDefault="002E37F7" w:rsidP="007121D1">
      <w:pPr>
        <w:pStyle w:val="AATitle"/>
        <w:rPr>
          <w:lang w:val="fr-FR"/>
        </w:rPr>
      </w:pPr>
      <w:r w:rsidRPr="001A2820">
        <w:rPr>
          <w:b w:val="0"/>
          <w:lang w:val="fr-FR"/>
        </w:rPr>
        <w:t>Genève</w:t>
      </w:r>
      <w:r w:rsidR="00E976AB" w:rsidRPr="001A2820">
        <w:rPr>
          <w:b w:val="0"/>
          <w:lang w:val="fr-FR"/>
        </w:rPr>
        <w:t xml:space="preserve">, </w:t>
      </w:r>
      <w:r w:rsidR="0080454B" w:rsidRPr="001A2820">
        <w:rPr>
          <w:b w:val="0"/>
          <w:lang w:val="fr-FR"/>
        </w:rPr>
        <w:t>25</w:t>
      </w:r>
      <w:r w:rsidR="005B11C7">
        <w:rPr>
          <w:b w:val="0"/>
          <w:lang w:val="fr-FR"/>
        </w:rPr>
        <w:t xml:space="preserve"> – 2</w:t>
      </w:r>
      <w:r w:rsidR="0080454B" w:rsidRPr="001A2820">
        <w:rPr>
          <w:b w:val="0"/>
          <w:lang w:val="fr-FR"/>
        </w:rPr>
        <w:t>9</w:t>
      </w:r>
      <w:r w:rsidRPr="001A2820">
        <w:rPr>
          <w:b w:val="0"/>
          <w:lang w:val="fr-FR"/>
        </w:rPr>
        <w:t> novembre </w:t>
      </w:r>
      <w:r w:rsidR="007121D1" w:rsidRPr="001A2820">
        <w:rPr>
          <w:b w:val="0"/>
          <w:lang w:val="fr-FR"/>
        </w:rPr>
        <w:t>201</w:t>
      </w:r>
      <w:r w:rsidR="0080454B" w:rsidRPr="001A2820">
        <w:rPr>
          <w:b w:val="0"/>
          <w:lang w:val="fr-FR"/>
        </w:rPr>
        <w:t>9</w:t>
      </w:r>
    </w:p>
    <w:p w14:paraId="702DC3E9" w14:textId="34F48392" w:rsidR="00FE7303" w:rsidRPr="001A2820" w:rsidRDefault="002E37F7" w:rsidP="00FE7303">
      <w:pPr>
        <w:pStyle w:val="AATitle"/>
        <w:rPr>
          <w:b w:val="0"/>
          <w:lang w:val="fr-FR"/>
        </w:rPr>
      </w:pPr>
      <w:r w:rsidRPr="001A2820">
        <w:rPr>
          <w:b w:val="0"/>
          <w:lang w:val="fr-FR"/>
        </w:rPr>
        <w:t>Point </w:t>
      </w:r>
      <w:r w:rsidR="007121D1" w:rsidRPr="001A2820">
        <w:rPr>
          <w:b w:val="0"/>
          <w:lang w:val="fr-FR"/>
        </w:rPr>
        <w:t>5</w:t>
      </w:r>
      <w:r w:rsidRPr="001A2820">
        <w:rPr>
          <w:b w:val="0"/>
          <w:lang w:val="fr-FR"/>
        </w:rPr>
        <w:t> </w:t>
      </w:r>
      <w:r w:rsidR="007121D1" w:rsidRPr="001A2820">
        <w:rPr>
          <w:b w:val="0"/>
          <w:lang w:val="fr-FR"/>
        </w:rPr>
        <w:t>e)</w:t>
      </w:r>
      <w:r w:rsidRPr="001A2820">
        <w:rPr>
          <w:b w:val="0"/>
          <w:lang w:val="fr-FR"/>
        </w:rPr>
        <w:t> </w:t>
      </w:r>
      <w:r w:rsidR="00FE7303" w:rsidRPr="001A2820">
        <w:rPr>
          <w:b w:val="0"/>
          <w:lang w:val="fr-FR"/>
        </w:rPr>
        <w:t>i</w:t>
      </w:r>
      <w:r w:rsidR="0080454B" w:rsidRPr="001A2820">
        <w:rPr>
          <w:b w:val="0"/>
          <w:lang w:val="fr-FR"/>
        </w:rPr>
        <w:t>ii</w:t>
      </w:r>
      <w:r w:rsidR="00FE7303" w:rsidRPr="001A2820">
        <w:rPr>
          <w:b w:val="0"/>
          <w:lang w:val="fr-FR"/>
        </w:rPr>
        <w:t xml:space="preserve">) </w:t>
      </w:r>
      <w:r w:rsidRPr="001A2820">
        <w:rPr>
          <w:b w:val="0"/>
          <w:lang w:val="fr-FR"/>
        </w:rPr>
        <w:t>de l’ordre du jour provisoire</w:t>
      </w:r>
      <w:r w:rsidR="00FE7303" w:rsidRPr="001A2820">
        <w:rPr>
          <w:b w:val="0"/>
          <w:lang w:val="fr-FR"/>
        </w:rPr>
        <w:footnoteReference w:customMarkFollows="1" w:id="1"/>
        <w:t>*</w:t>
      </w:r>
    </w:p>
    <w:p w14:paraId="26C1A826" w14:textId="2DDC4C08" w:rsidR="00FE7303" w:rsidRPr="001A2820" w:rsidRDefault="002E37F7" w:rsidP="007A322A">
      <w:pPr>
        <w:pStyle w:val="AATitle2"/>
        <w:rPr>
          <w:lang w:val="fr-FR"/>
        </w:rPr>
      </w:pPr>
      <w:r w:rsidRPr="001A2820">
        <w:rPr>
          <w:lang w:val="fr-FR"/>
        </w:rPr>
        <w:t>Questions soumises à la Conférence des Parties pour examen ou décision </w:t>
      </w:r>
      <w:r w:rsidR="00FE7303" w:rsidRPr="001A2820">
        <w:rPr>
          <w:lang w:val="fr-FR"/>
        </w:rPr>
        <w:t xml:space="preserve">: </w:t>
      </w:r>
      <w:r w:rsidRPr="001A2820">
        <w:rPr>
          <w:lang w:val="fr-FR"/>
        </w:rPr>
        <w:t>mécanisme de financement </w:t>
      </w:r>
      <w:r w:rsidR="007121D1" w:rsidRPr="001A2820">
        <w:rPr>
          <w:lang w:val="fr-FR"/>
        </w:rPr>
        <w:t xml:space="preserve">: </w:t>
      </w:r>
      <w:r w:rsidRPr="001A2820">
        <w:rPr>
          <w:lang w:val="fr-FR"/>
        </w:rPr>
        <w:t>examen du mécanisme de financement</w:t>
      </w:r>
    </w:p>
    <w:p w14:paraId="6E5C7FDC" w14:textId="7B4917AD" w:rsidR="00FE7303" w:rsidRPr="001A2820" w:rsidRDefault="008949DE" w:rsidP="007A322A">
      <w:pPr>
        <w:pStyle w:val="BBTitle"/>
        <w:rPr>
          <w:lang w:val="fr-FR"/>
        </w:rPr>
      </w:pPr>
      <w:r>
        <w:rPr>
          <w:lang w:val="fr-FR"/>
        </w:rPr>
        <w:t>Premier e</w:t>
      </w:r>
      <w:r w:rsidR="002E37F7" w:rsidRPr="001A2820">
        <w:rPr>
          <w:lang w:val="fr-FR"/>
        </w:rPr>
        <w:t>xamen du mécanisme de financement</w:t>
      </w:r>
      <w:r w:rsidR="00511F58" w:rsidRPr="001A2820">
        <w:rPr>
          <w:lang w:val="fr-FR"/>
        </w:rPr>
        <w:t xml:space="preserve"> </w:t>
      </w:r>
    </w:p>
    <w:p w14:paraId="6DA214C1" w14:textId="0823C893" w:rsidR="00FE7303" w:rsidRPr="001A2820" w:rsidRDefault="00FE7303" w:rsidP="007A322A">
      <w:pPr>
        <w:pStyle w:val="CH2"/>
        <w:rPr>
          <w:lang w:val="fr-FR"/>
        </w:rPr>
      </w:pPr>
      <w:r w:rsidRPr="001A2820">
        <w:rPr>
          <w:lang w:val="fr-FR"/>
        </w:rPr>
        <w:tab/>
      </w:r>
      <w:r w:rsidRPr="001A2820">
        <w:rPr>
          <w:lang w:val="fr-FR"/>
        </w:rPr>
        <w:tab/>
        <w:t xml:space="preserve">Note </w:t>
      </w:r>
      <w:r w:rsidR="002E37F7" w:rsidRPr="001A2820">
        <w:rPr>
          <w:lang w:val="fr-FR"/>
        </w:rPr>
        <w:t>du secrétariat</w:t>
      </w:r>
    </w:p>
    <w:p w14:paraId="7E031770" w14:textId="1A9C5BE6" w:rsidR="00364032" w:rsidRPr="001A2820" w:rsidRDefault="002E37F7" w:rsidP="007A322A">
      <w:pPr>
        <w:pStyle w:val="Normalnumber"/>
        <w:tabs>
          <w:tab w:val="clear" w:pos="1134"/>
          <w:tab w:val="clear" w:pos="1247"/>
          <w:tab w:val="clear" w:pos="1814"/>
          <w:tab w:val="clear" w:pos="2381"/>
          <w:tab w:val="clear" w:pos="2948"/>
          <w:tab w:val="clear" w:pos="3515"/>
          <w:tab w:val="clear" w:pos="4082"/>
          <w:tab w:val="num" w:pos="624"/>
        </w:tabs>
        <w:rPr>
          <w:lang w:val="fr-FR"/>
        </w:rPr>
      </w:pPr>
      <w:bookmarkStart w:id="5" w:name="_Hlk525996886"/>
      <w:r w:rsidRPr="001A2820">
        <w:rPr>
          <w:lang w:val="fr-FR"/>
        </w:rPr>
        <w:t>Au</w:t>
      </w:r>
      <w:r w:rsidR="00951673" w:rsidRPr="001A2820">
        <w:rPr>
          <w:lang w:val="fr-FR"/>
        </w:rPr>
        <w:t xml:space="preserve"> paragraph</w:t>
      </w:r>
      <w:r w:rsidRPr="001A2820">
        <w:rPr>
          <w:lang w:val="fr-FR"/>
        </w:rPr>
        <w:t>e </w:t>
      </w:r>
      <w:r w:rsidR="00951673" w:rsidRPr="001A2820">
        <w:rPr>
          <w:lang w:val="fr-FR"/>
        </w:rPr>
        <w:t xml:space="preserve">5 </w:t>
      </w:r>
      <w:r w:rsidRPr="001A2820">
        <w:rPr>
          <w:lang w:val="fr-FR"/>
        </w:rPr>
        <w:t>de l’</w:t>
      </w:r>
      <w:r w:rsidR="00951673" w:rsidRPr="001A2820">
        <w:rPr>
          <w:lang w:val="fr-FR"/>
        </w:rPr>
        <w:t>article</w:t>
      </w:r>
      <w:r w:rsidRPr="001A2820">
        <w:rPr>
          <w:lang w:val="fr-FR"/>
        </w:rPr>
        <w:t> </w:t>
      </w:r>
      <w:r w:rsidR="00951673" w:rsidRPr="001A2820">
        <w:rPr>
          <w:lang w:val="fr-FR"/>
        </w:rPr>
        <w:t>13</w:t>
      </w:r>
      <w:r w:rsidRPr="001A2820">
        <w:rPr>
          <w:lang w:val="fr-FR"/>
        </w:rPr>
        <w:t xml:space="preserve"> sur les ressources financières et le mécanisme de financement, la Convention de Minamata sur le mercure institue un mécanisme destiné à fournir en temps voulu des ressources financières adéquates et prévisibles pour aider les Parties qui sont des pays en développement ou des pays à économie en transition dans la mise en œuvre de leurs obligations au titre de la Convention</w:t>
      </w:r>
      <w:r w:rsidR="00D468FB" w:rsidRPr="001A2820">
        <w:rPr>
          <w:lang w:val="fr-FR"/>
        </w:rPr>
        <w:t xml:space="preserve">. </w:t>
      </w:r>
      <w:r w:rsidR="00F272E7" w:rsidRPr="001A2820">
        <w:rPr>
          <w:lang w:val="fr-FR"/>
        </w:rPr>
        <w:t>Le p</w:t>
      </w:r>
      <w:r w:rsidR="008A11C8" w:rsidRPr="001A2820">
        <w:rPr>
          <w:lang w:val="fr-FR"/>
        </w:rPr>
        <w:t>aragraph</w:t>
      </w:r>
      <w:r w:rsidR="00F272E7" w:rsidRPr="001A2820">
        <w:rPr>
          <w:lang w:val="fr-FR"/>
        </w:rPr>
        <w:t>e </w:t>
      </w:r>
      <w:r w:rsidR="008A11C8" w:rsidRPr="001A2820">
        <w:rPr>
          <w:lang w:val="fr-FR"/>
        </w:rPr>
        <w:t xml:space="preserve">6 </w:t>
      </w:r>
      <w:r w:rsidR="00F272E7" w:rsidRPr="001A2820">
        <w:rPr>
          <w:lang w:val="fr-FR"/>
        </w:rPr>
        <w:t>du même article</w:t>
      </w:r>
      <w:r w:rsidR="008A11C8" w:rsidRPr="001A2820">
        <w:rPr>
          <w:lang w:val="fr-FR"/>
        </w:rPr>
        <w:t xml:space="preserve"> </w:t>
      </w:r>
      <w:r w:rsidR="00F272E7" w:rsidRPr="001A2820">
        <w:rPr>
          <w:lang w:val="fr-FR"/>
        </w:rPr>
        <w:t xml:space="preserve">dispose que le mécanisme </w:t>
      </w:r>
      <w:r w:rsidR="0097554F">
        <w:rPr>
          <w:lang w:val="fr-FR"/>
        </w:rPr>
        <w:t>doit inclure</w:t>
      </w:r>
      <w:r w:rsidR="008A11C8" w:rsidRPr="001A2820">
        <w:rPr>
          <w:lang w:val="fr-FR"/>
        </w:rPr>
        <w:t xml:space="preserve"> </w:t>
      </w:r>
      <w:r w:rsidR="006C4BAA" w:rsidRPr="001A2820">
        <w:rPr>
          <w:lang w:val="fr-FR"/>
        </w:rPr>
        <w:t>la Caisse du Fonds pour l’environnement mondial</w:t>
      </w:r>
      <w:r w:rsidR="000458B1" w:rsidRPr="001A2820">
        <w:rPr>
          <w:lang w:val="fr-FR"/>
        </w:rPr>
        <w:t xml:space="preserve"> (FEM)</w:t>
      </w:r>
      <w:r w:rsidR="006C4BAA" w:rsidRPr="001A2820">
        <w:rPr>
          <w:lang w:val="fr-FR"/>
        </w:rPr>
        <w:t xml:space="preserve"> et</w:t>
      </w:r>
      <w:r w:rsidR="00D468FB" w:rsidRPr="001A2820">
        <w:rPr>
          <w:lang w:val="fr-FR"/>
        </w:rPr>
        <w:t xml:space="preserve"> </w:t>
      </w:r>
      <w:r w:rsidR="006C4BAA" w:rsidRPr="001A2820">
        <w:rPr>
          <w:lang w:val="fr-FR"/>
        </w:rPr>
        <w:t>un programme international spécifique visant à soutenir le renforcement des capacités et l’assistance technique</w:t>
      </w:r>
      <w:r w:rsidR="00D468FB" w:rsidRPr="001A2820">
        <w:rPr>
          <w:lang w:val="fr-FR"/>
        </w:rPr>
        <w:t>.</w:t>
      </w:r>
      <w:bookmarkEnd w:id="5"/>
      <w:r w:rsidR="00D468FB" w:rsidRPr="001A2820">
        <w:rPr>
          <w:lang w:val="fr-FR"/>
        </w:rPr>
        <w:t xml:space="preserve"> </w:t>
      </w:r>
    </w:p>
    <w:p w14:paraId="57A7101C" w14:textId="27565919" w:rsidR="00656010" w:rsidRPr="001A2820" w:rsidRDefault="006C4BAA" w:rsidP="007A322A">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 paragraphe </w:t>
      </w:r>
      <w:r w:rsidR="00CC4807" w:rsidRPr="001A2820">
        <w:rPr>
          <w:lang w:val="fr-FR"/>
        </w:rPr>
        <w:t xml:space="preserve">11 </w:t>
      </w:r>
      <w:r w:rsidRPr="001A2820">
        <w:rPr>
          <w:lang w:val="fr-FR"/>
        </w:rPr>
        <w:t>de l’</w:t>
      </w:r>
      <w:r w:rsidR="00CC4807" w:rsidRPr="001A2820">
        <w:rPr>
          <w:lang w:val="fr-FR"/>
        </w:rPr>
        <w:t>article</w:t>
      </w:r>
      <w:r w:rsidRPr="001A2820">
        <w:rPr>
          <w:lang w:val="fr-FR"/>
        </w:rPr>
        <w:t> </w:t>
      </w:r>
      <w:r w:rsidR="00CC4807" w:rsidRPr="001A2820">
        <w:rPr>
          <w:lang w:val="fr-FR"/>
        </w:rPr>
        <w:t xml:space="preserve">13 </w:t>
      </w:r>
      <w:r w:rsidRPr="001A2820">
        <w:rPr>
          <w:lang w:val="fr-FR"/>
        </w:rPr>
        <w:t>de la</w:t>
      </w:r>
      <w:r w:rsidR="00CC4807" w:rsidRPr="001A2820">
        <w:rPr>
          <w:lang w:val="fr-FR"/>
        </w:rPr>
        <w:t xml:space="preserve"> Convention stipul</w:t>
      </w:r>
      <w:r w:rsidR="00921510" w:rsidRPr="001A2820">
        <w:rPr>
          <w:lang w:val="fr-FR"/>
        </w:rPr>
        <w:t>e que la Conférence des Parties doit examiner, au plus tard à sa troisième réunion et, par la suite, à intervalles réguliers </w:t>
      </w:r>
      <w:r w:rsidR="00656010" w:rsidRPr="001A2820">
        <w:rPr>
          <w:bCs/>
          <w:lang w:val="fr-FR"/>
        </w:rPr>
        <w:t xml:space="preserve">: </w:t>
      </w:r>
    </w:p>
    <w:p w14:paraId="3F21D5B8" w14:textId="642C8851" w:rsidR="00656010" w:rsidRPr="001A2820" w:rsidRDefault="008B4588" w:rsidP="00921510">
      <w:pPr>
        <w:pStyle w:val="Normalnumber"/>
        <w:numPr>
          <w:ilvl w:val="1"/>
          <w:numId w:val="1"/>
        </w:numPr>
        <w:tabs>
          <w:tab w:val="clear" w:pos="1247"/>
          <w:tab w:val="clear" w:pos="1814"/>
          <w:tab w:val="clear" w:pos="2381"/>
          <w:tab w:val="clear" w:pos="2948"/>
          <w:tab w:val="clear" w:pos="3515"/>
          <w:tab w:val="clear" w:pos="4082"/>
        </w:tabs>
        <w:rPr>
          <w:lang w:val="fr-FR"/>
        </w:rPr>
      </w:pPr>
      <w:r>
        <w:rPr>
          <w:lang w:val="fr-FR"/>
        </w:rPr>
        <w:t>L</w:t>
      </w:r>
      <w:r w:rsidR="00921510" w:rsidRPr="001A2820">
        <w:rPr>
          <w:lang w:val="fr-FR"/>
        </w:rPr>
        <w:t>e niveau de financement </w:t>
      </w:r>
      <w:r w:rsidR="008A11C8" w:rsidRPr="001A2820">
        <w:rPr>
          <w:lang w:val="fr-FR"/>
        </w:rPr>
        <w:t>;</w:t>
      </w:r>
      <w:r w:rsidR="00CC4807" w:rsidRPr="001A2820">
        <w:rPr>
          <w:lang w:val="fr-FR"/>
        </w:rPr>
        <w:t xml:space="preserve"> </w:t>
      </w:r>
    </w:p>
    <w:p w14:paraId="1010BBA1" w14:textId="572F95C4" w:rsidR="00656010" w:rsidRPr="001A2820" w:rsidRDefault="008B4588" w:rsidP="007A322A">
      <w:pPr>
        <w:pStyle w:val="Normalnumber"/>
        <w:numPr>
          <w:ilvl w:val="1"/>
          <w:numId w:val="1"/>
        </w:numPr>
        <w:tabs>
          <w:tab w:val="clear" w:pos="1247"/>
          <w:tab w:val="clear" w:pos="1814"/>
          <w:tab w:val="clear" w:pos="2381"/>
          <w:tab w:val="clear" w:pos="2948"/>
          <w:tab w:val="clear" w:pos="3515"/>
          <w:tab w:val="clear" w:pos="4082"/>
        </w:tabs>
        <w:rPr>
          <w:lang w:val="fr-FR"/>
        </w:rPr>
      </w:pPr>
      <w:r>
        <w:rPr>
          <w:lang w:val="fr-FR"/>
        </w:rPr>
        <w:t>L</w:t>
      </w:r>
      <w:r w:rsidR="00921510" w:rsidRPr="001A2820">
        <w:rPr>
          <w:lang w:val="fr-FR"/>
        </w:rPr>
        <w:t>es orientations fournies par la Conférence des Parties aux entités chargées d’assurer le fonctionnement du mécanisme </w:t>
      </w:r>
      <w:r w:rsidR="008A11C8" w:rsidRPr="001A2820">
        <w:rPr>
          <w:lang w:val="fr-FR"/>
        </w:rPr>
        <w:t>;</w:t>
      </w:r>
      <w:r w:rsidR="00CC4807" w:rsidRPr="001A2820">
        <w:rPr>
          <w:lang w:val="fr-FR"/>
        </w:rPr>
        <w:t xml:space="preserve"> </w:t>
      </w:r>
    </w:p>
    <w:p w14:paraId="6CFAC369" w14:textId="2325A575" w:rsidR="00656010" w:rsidRPr="001A2820" w:rsidRDefault="008B4588" w:rsidP="007A322A">
      <w:pPr>
        <w:pStyle w:val="Normalnumber"/>
        <w:numPr>
          <w:ilvl w:val="1"/>
          <w:numId w:val="1"/>
        </w:numPr>
        <w:tabs>
          <w:tab w:val="clear" w:pos="1247"/>
          <w:tab w:val="clear" w:pos="1814"/>
          <w:tab w:val="clear" w:pos="2381"/>
          <w:tab w:val="clear" w:pos="2948"/>
          <w:tab w:val="clear" w:pos="3515"/>
          <w:tab w:val="clear" w:pos="4082"/>
        </w:tabs>
        <w:rPr>
          <w:lang w:val="fr-FR"/>
        </w:rPr>
      </w:pPr>
      <w:r>
        <w:rPr>
          <w:lang w:val="fr-FR"/>
        </w:rPr>
        <w:t>L</w:t>
      </w:r>
      <w:r w:rsidR="00921510" w:rsidRPr="001A2820">
        <w:rPr>
          <w:lang w:val="fr-FR"/>
        </w:rPr>
        <w:t>’efficacité de ces entités </w:t>
      </w:r>
      <w:r w:rsidR="008A11C8" w:rsidRPr="001A2820">
        <w:rPr>
          <w:lang w:val="fr-FR"/>
        </w:rPr>
        <w:t>;</w:t>
      </w:r>
      <w:r w:rsidR="00CC4807" w:rsidRPr="001A2820">
        <w:rPr>
          <w:lang w:val="fr-FR"/>
        </w:rPr>
        <w:t xml:space="preserve"> </w:t>
      </w:r>
    </w:p>
    <w:p w14:paraId="6B278EA0" w14:textId="605FCE8A" w:rsidR="00CC4807" w:rsidRPr="001A2820" w:rsidRDefault="008B4588" w:rsidP="007A322A">
      <w:pPr>
        <w:pStyle w:val="Normalnumber"/>
        <w:numPr>
          <w:ilvl w:val="1"/>
          <w:numId w:val="1"/>
        </w:numPr>
        <w:tabs>
          <w:tab w:val="clear" w:pos="1247"/>
          <w:tab w:val="clear" w:pos="1814"/>
          <w:tab w:val="clear" w:pos="2381"/>
          <w:tab w:val="clear" w:pos="2948"/>
          <w:tab w:val="clear" w:pos="3515"/>
          <w:tab w:val="clear" w:pos="4082"/>
        </w:tabs>
        <w:rPr>
          <w:lang w:val="fr-FR"/>
        </w:rPr>
      </w:pPr>
      <w:r>
        <w:rPr>
          <w:lang w:val="fr-FR"/>
        </w:rPr>
        <w:t>L</w:t>
      </w:r>
      <w:r w:rsidR="00921510" w:rsidRPr="001A2820">
        <w:rPr>
          <w:lang w:val="fr-FR"/>
        </w:rPr>
        <w:t xml:space="preserve">a </w:t>
      </w:r>
      <w:bookmarkStart w:id="6" w:name="_Hlk17810931"/>
      <w:r w:rsidR="00921510" w:rsidRPr="001A2820">
        <w:rPr>
          <w:lang w:val="fr-FR"/>
        </w:rPr>
        <w:t>capacité de ces entités à répondre aux besoins en évolution des Parties qui sont des pays en développement et des pays à économie en transition</w:t>
      </w:r>
      <w:bookmarkEnd w:id="6"/>
      <w:r w:rsidR="00CC4807" w:rsidRPr="001A2820">
        <w:rPr>
          <w:lang w:val="fr-FR"/>
        </w:rPr>
        <w:t xml:space="preserve">. </w:t>
      </w:r>
    </w:p>
    <w:p w14:paraId="67977726" w14:textId="4555EE0B" w:rsidR="00656010" w:rsidRPr="001A2820" w:rsidRDefault="00921510"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 même paragraphe dispose également que,</w:t>
      </w:r>
      <w:r w:rsidR="00656010" w:rsidRPr="001A2820">
        <w:rPr>
          <w:lang w:val="fr-FR"/>
        </w:rPr>
        <w:t xml:space="preserve"> </w:t>
      </w:r>
      <w:r w:rsidRPr="001A2820">
        <w:rPr>
          <w:lang w:val="fr-FR"/>
        </w:rPr>
        <w:t>sur la base de cet examen, la Conférence des Parties doit prendre des mesures appropriées pour améliorer l’efficacité du mécanisme</w:t>
      </w:r>
      <w:r w:rsidR="00542F04" w:rsidRPr="001A2820">
        <w:rPr>
          <w:lang w:val="fr-FR"/>
        </w:rPr>
        <w:t xml:space="preserve"> de financement</w:t>
      </w:r>
      <w:r w:rsidR="00656010" w:rsidRPr="001A2820">
        <w:rPr>
          <w:lang w:val="fr-FR"/>
        </w:rPr>
        <w:t>.</w:t>
      </w:r>
    </w:p>
    <w:p w14:paraId="38C2E3B7" w14:textId="331F2D05" w:rsidR="00CC4807" w:rsidRPr="001A2820" w:rsidRDefault="00542F04"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À sa deuxième réunion</w:t>
      </w:r>
      <w:r w:rsidR="00CC4807" w:rsidRPr="001A2820">
        <w:rPr>
          <w:lang w:val="fr-FR"/>
        </w:rPr>
        <w:t xml:space="preserve">, </w:t>
      </w:r>
      <w:r w:rsidRPr="001A2820">
        <w:rPr>
          <w:lang w:val="fr-FR"/>
        </w:rPr>
        <w:t>la Conférence des</w:t>
      </w:r>
      <w:r w:rsidR="00CC4807" w:rsidRPr="001A2820">
        <w:rPr>
          <w:lang w:val="fr-FR"/>
        </w:rPr>
        <w:t xml:space="preserve"> </w:t>
      </w:r>
      <w:r w:rsidR="00357141" w:rsidRPr="001A2820">
        <w:rPr>
          <w:lang w:val="fr-FR"/>
        </w:rPr>
        <w:t>Parties</w:t>
      </w:r>
      <w:r w:rsidR="00CC4807" w:rsidRPr="001A2820">
        <w:rPr>
          <w:lang w:val="fr-FR"/>
        </w:rPr>
        <w:t xml:space="preserve"> </w:t>
      </w:r>
      <w:r w:rsidRPr="001A2820">
        <w:rPr>
          <w:lang w:val="fr-FR"/>
        </w:rPr>
        <w:t xml:space="preserve">a demandé au secrétariat de recueillir auprès du </w:t>
      </w:r>
      <w:r w:rsidR="000458B1" w:rsidRPr="001A2820">
        <w:rPr>
          <w:lang w:val="fr-FR"/>
        </w:rPr>
        <w:t>FEM</w:t>
      </w:r>
      <w:r w:rsidRPr="001A2820">
        <w:rPr>
          <w:lang w:val="fr-FR"/>
        </w:rPr>
        <w:t xml:space="preserve">, du Programme international spécifique visant à soutenir le renforcement des capacités et l’assistance technique, des Parties et d’autres sources pertinentes les informations énumérées au paragraphe 11 de l’article 13, qui sont nécessaires pour l’examen du fonctionnement du mécanisme de financement, et de présenter une synthèse </w:t>
      </w:r>
      <w:r w:rsidR="003317CD" w:rsidRPr="001A2820">
        <w:rPr>
          <w:lang w:val="fr-FR"/>
        </w:rPr>
        <w:t>des</w:t>
      </w:r>
      <w:r w:rsidRPr="001A2820">
        <w:rPr>
          <w:lang w:val="fr-FR"/>
        </w:rPr>
        <w:t xml:space="preserve"> informations</w:t>
      </w:r>
      <w:r w:rsidR="003317CD" w:rsidRPr="001A2820">
        <w:rPr>
          <w:lang w:val="fr-FR"/>
        </w:rPr>
        <w:t xml:space="preserve"> reçues</w:t>
      </w:r>
      <w:r w:rsidRPr="001A2820">
        <w:rPr>
          <w:lang w:val="fr-FR"/>
        </w:rPr>
        <w:t xml:space="preserve"> pour examen par la Conférence</w:t>
      </w:r>
      <w:r w:rsidR="003317CD" w:rsidRPr="001A2820">
        <w:rPr>
          <w:lang w:val="fr-FR"/>
        </w:rPr>
        <w:t xml:space="preserve"> des Parties</w:t>
      </w:r>
      <w:r w:rsidRPr="001A2820">
        <w:rPr>
          <w:lang w:val="fr-FR"/>
        </w:rPr>
        <w:t xml:space="preserve"> à sa troisième réunion</w:t>
      </w:r>
      <w:r w:rsidR="003317CD" w:rsidRPr="001A2820">
        <w:rPr>
          <w:lang w:val="fr-FR"/>
        </w:rPr>
        <w:t xml:space="preserve"> </w:t>
      </w:r>
      <w:r w:rsidR="0059564D" w:rsidRPr="001A2820">
        <w:rPr>
          <w:lang w:val="fr-FR"/>
        </w:rPr>
        <w:t>(UNEP/MC/COP.2/19, par.</w:t>
      </w:r>
      <w:r w:rsidR="003317CD" w:rsidRPr="001A2820">
        <w:rPr>
          <w:lang w:val="fr-FR"/>
        </w:rPr>
        <w:t> </w:t>
      </w:r>
      <w:r w:rsidR="0059564D" w:rsidRPr="001A2820">
        <w:rPr>
          <w:lang w:val="fr-FR"/>
        </w:rPr>
        <w:t>120)</w:t>
      </w:r>
      <w:r w:rsidR="00CC4807" w:rsidRPr="001A2820">
        <w:rPr>
          <w:lang w:val="fr-FR"/>
        </w:rPr>
        <w:t xml:space="preserve">. </w:t>
      </w:r>
    </w:p>
    <w:p w14:paraId="27A6C770" w14:textId="6F0BF0A0" w:rsidR="00CC4807" w:rsidRPr="001A2820" w:rsidRDefault="003317CD" w:rsidP="005E12A9">
      <w:pPr>
        <w:pStyle w:val="Normalnumber"/>
        <w:keepNext/>
        <w:keepLines/>
        <w:tabs>
          <w:tab w:val="clear" w:pos="1134"/>
          <w:tab w:val="clear" w:pos="1247"/>
          <w:tab w:val="clear" w:pos="1814"/>
          <w:tab w:val="clear" w:pos="2381"/>
          <w:tab w:val="clear" w:pos="2948"/>
          <w:tab w:val="clear" w:pos="3515"/>
          <w:tab w:val="clear" w:pos="4082"/>
          <w:tab w:val="num" w:pos="624"/>
        </w:tabs>
        <w:rPr>
          <w:lang w:val="fr-FR"/>
        </w:rPr>
      </w:pPr>
      <w:r w:rsidRPr="001A2820">
        <w:rPr>
          <w:lang w:val="fr-FR"/>
        </w:rPr>
        <w:lastRenderedPageBreak/>
        <w:t>Après la deuxième réunion</w:t>
      </w:r>
      <w:r w:rsidR="00CC4807" w:rsidRPr="001A2820">
        <w:rPr>
          <w:lang w:val="fr-FR"/>
        </w:rPr>
        <w:t xml:space="preserve">, </w:t>
      </w:r>
      <w:r w:rsidR="00425FEC">
        <w:rPr>
          <w:lang w:val="fr-FR"/>
        </w:rPr>
        <w:t>la Secrétaire exécutive</w:t>
      </w:r>
      <w:r w:rsidRPr="001A2820">
        <w:rPr>
          <w:lang w:val="fr-FR"/>
        </w:rPr>
        <w:t xml:space="preserve"> a prié le</w:t>
      </w:r>
      <w:r w:rsidR="00C20980" w:rsidRPr="001A2820">
        <w:rPr>
          <w:lang w:val="fr-FR"/>
        </w:rPr>
        <w:t xml:space="preserve"> secrétariat du</w:t>
      </w:r>
      <w:r w:rsidRPr="001A2820">
        <w:rPr>
          <w:lang w:val="fr-FR"/>
        </w:rPr>
        <w:t xml:space="preserve"> FEM</w:t>
      </w:r>
      <w:r w:rsidR="000458B1" w:rsidRPr="001A2820">
        <w:rPr>
          <w:lang w:val="fr-FR"/>
        </w:rPr>
        <w:t xml:space="preserve"> et</w:t>
      </w:r>
      <w:r w:rsidR="00CC4807" w:rsidRPr="001A2820">
        <w:rPr>
          <w:lang w:val="fr-FR"/>
        </w:rPr>
        <w:t xml:space="preserve"> </w:t>
      </w:r>
      <w:r w:rsidR="000458B1" w:rsidRPr="001A2820">
        <w:rPr>
          <w:lang w:val="fr-FR"/>
        </w:rPr>
        <w:t xml:space="preserve">le Conseil d’administration du Programme international spécifique </w:t>
      </w:r>
      <w:r w:rsidR="00C20980" w:rsidRPr="001A2820">
        <w:rPr>
          <w:lang w:val="fr-FR"/>
        </w:rPr>
        <w:t>de fournir les informations</w:t>
      </w:r>
      <w:r w:rsidR="0059564D" w:rsidRPr="001A2820">
        <w:rPr>
          <w:lang w:val="fr-FR"/>
        </w:rPr>
        <w:t xml:space="preserve"> </w:t>
      </w:r>
      <w:r w:rsidR="00C20980" w:rsidRPr="001A2820">
        <w:rPr>
          <w:lang w:val="fr-FR"/>
        </w:rPr>
        <w:t>requises</w:t>
      </w:r>
      <w:r w:rsidR="00CC4807" w:rsidRPr="001A2820">
        <w:rPr>
          <w:lang w:val="fr-FR"/>
        </w:rPr>
        <w:t>.</w:t>
      </w:r>
      <w:r w:rsidR="005E12A9">
        <w:rPr>
          <w:lang w:val="fr-FR"/>
        </w:rPr>
        <w:t xml:space="preserve"> </w:t>
      </w:r>
      <w:r w:rsidR="005B11C7">
        <w:rPr>
          <w:lang w:val="fr-FR"/>
        </w:rPr>
        <w:t>La </w:t>
      </w:r>
      <w:r w:rsidR="00425FEC">
        <w:rPr>
          <w:lang w:val="fr-FR"/>
        </w:rPr>
        <w:t>Secrétaire exécutive</w:t>
      </w:r>
      <w:r w:rsidR="00C20980" w:rsidRPr="001A2820">
        <w:rPr>
          <w:lang w:val="fr-FR"/>
        </w:rPr>
        <w:t xml:space="preserve"> a également communiqué la demande d’informations aux Parties et autres parties prenantes dans une lettre</w:t>
      </w:r>
      <w:r w:rsidR="00CC4807" w:rsidRPr="001A2820">
        <w:rPr>
          <w:lang w:val="fr-FR"/>
        </w:rPr>
        <w:t xml:space="preserve"> </w:t>
      </w:r>
      <w:r w:rsidR="00C20980" w:rsidRPr="001A2820">
        <w:rPr>
          <w:lang w:val="fr-FR"/>
        </w:rPr>
        <w:t>datée du</w:t>
      </w:r>
      <w:r w:rsidR="00CC4807" w:rsidRPr="001A2820">
        <w:rPr>
          <w:lang w:val="fr-FR"/>
        </w:rPr>
        <w:t xml:space="preserve"> 3</w:t>
      </w:r>
      <w:r w:rsidR="00C20980" w:rsidRPr="001A2820">
        <w:rPr>
          <w:lang w:val="fr-FR"/>
        </w:rPr>
        <w:t> décembre </w:t>
      </w:r>
      <w:r w:rsidR="00CC4807" w:rsidRPr="001A2820">
        <w:rPr>
          <w:lang w:val="fr-FR"/>
        </w:rPr>
        <w:t xml:space="preserve">2018, </w:t>
      </w:r>
      <w:r w:rsidR="00C20980" w:rsidRPr="001A2820">
        <w:rPr>
          <w:lang w:val="fr-FR"/>
        </w:rPr>
        <w:t>invitant ces dernières à soumettre ces informations au secrétariat</w:t>
      </w:r>
      <w:r w:rsidR="0059564D" w:rsidRPr="001A2820">
        <w:rPr>
          <w:lang w:val="fr-FR"/>
        </w:rPr>
        <w:t xml:space="preserve"> </w:t>
      </w:r>
      <w:r w:rsidR="00C20980" w:rsidRPr="001A2820">
        <w:rPr>
          <w:lang w:val="fr-FR"/>
        </w:rPr>
        <w:t>avant le</w:t>
      </w:r>
      <w:r w:rsidR="00CC4807" w:rsidRPr="001A2820">
        <w:rPr>
          <w:lang w:val="fr-FR"/>
        </w:rPr>
        <w:t xml:space="preserve"> 30</w:t>
      </w:r>
      <w:r w:rsidR="00C20980" w:rsidRPr="001A2820">
        <w:rPr>
          <w:lang w:val="fr-FR"/>
        </w:rPr>
        <w:t> mai </w:t>
      </w:r>
      <w:r w:rsidR="00CC4807" w:rsidRPr="001A2820">
        <w:rPr>
          <w:lang w:val="fr-FR"/>
        </w:rPr>
        <w:t xml:space="preserve">2019. </w:t>
      </w:r>
    </w:p>
    <w:p w14:paraId="443DD301" w14:textId="47124F13" w:rsidR="00CC4807" w:rsidRPr="001A2820" w:rsidRDefault="00BC1123"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Les</w:t>
      </w:r>
      <w:r w:rsidR="00CC4807" w:rsidRPr="001A2820">
        <w:rPr>
          <w:lang w:val="fr-FR"/>
        </w:rPr>
        <w:t xml:space="preserve"> information</w:t>
      </w:r>
      <w:r w:rsidRPr="001A2820">
        <w:rPr>
          <w:lang w:val="fr-FR"/>
        </w:rPr>
        <w:t xml:space="preserve">s reçues par le secrétariat figurent dans les annexes </w:t>
      </w:r>
      <w:r w:rsidR="002C2CC7" w:rsidRPr="001A2820">
        <w:rPr>
          <w:lang w:val="fr-FR"/>
        </w:rPr>
        <w:t>de</w:t>
      </w:r>
      <w:r w:rsidRPr="001A2820">
        <w:rPr>
          <w:lang w:val="fr-FR"/>
        </w:rPr>
        <w:t xml:space="preserve"> la présente note afin que la Conférence des Parties les examine à sa troisième réunion</w:t>
      </w:r>
      <w:r w:rsidR="00CC4807" w:rsidRPr="001A2820">
        <w:rPr>
          <w:lang w:val="fr-FR"/>
        </w:rPr>
        <w:t>.</w:t>
      </w:r>
      <w:r w:rsidRPr="001A2820">
        <w:rPr>
          <w:lang w:val="fr-FR"/>
        </w:rPr>
        <w:t xml:space="preserve"> L’a</w:t>
      </w:r>
      <w:r w:rsidR="00270AB2" w:rsidRPr="001A2820">
        <w:rPr>
          <w:lang w:val="fr-FR"/>
        </w:rPr>
        <w:t>nnex</w:t>
      </w:r>
      <w:r w:rsidRPr="001A2820">
        <w:rPr>
          <w:lang w:val="fr-FR"/>
        </w:rPr>
        <w:t>e </w:t>
      </w:r>
      <w:r w:rsidR="00270AB2" w:rsidRPr="001A2820">
        <w:rPr>
          <w:lang w:val="fr-FR"/>
        </w:rPr>
        <w:t xml:space="preserve">I </w:t>
      </w:r>
      <w:r w:rsidRPr="001A2820">
        <w:rPr>
          <w:lang w:val="fr-FR"/>
        </w:rPr>
        <w:t>présente les informations transmises par le secrétariat du FEM conformément à l’article </w:t>
      </w:r>
      <w:r w:rsidR="00270AB2" w:rsidRPr="001A2820">
        <w:rPr>
          <w:lang w:val="fr-FR"/>
        </w:rPr>
        <w:t xml:space="preserve">13, </w:t>
      </w:r>
      <w:r w:rsidRPr="001A2820">
        <w:rPr>
          <w:lang w:val="fr-FR"/>
        </w:rPr>
        <w:t>tandis que l’</w:t>
      </w:r>
      <w:r w:rsidR="00270AB2" w:rsidRPr="001A2820">
        <w:rPr>
          <w:lang w:val="fr-FR"/>
        </w:rPr>
        <w:t>annex</w:t>
      </w:r>
      <w:r w:rsidRPr="001A2820">
        <w:rPr>
          <w:lang w:val="fr-FR"/>
        </w:rPr>
        <w:t>e </w:t>
      </w:r>
      <w:r w:rsidR="00270AB2" w:rsidRPr="001A2820">
        <w:rPr>
          <w:lang w:val="fr-FR"/>
        </w:rPr>
        <w:t xml:space="preserve">II </w:t>
      </w:r>
      <w:r w:rsidRPr="001A2820">
        <w:rPr>
          <w:lang w:val="fr-FR"/>
        </w:rPr>
        <w:t xml:space="preserve">contient </w:t>
      </w:r>
      <w:r w:rsidR="00425FEC">
        <w:rPr>
          <w:lang w:val="fr-FR"/>
        </w:rPr>
        <w:t>cel</w:t>
      </w:r>
      <w:r w:rsidRPr="001A2820">
        <w:rPr>
          <w:lang w:val="fr-FR"/>
        </w:rPr>
        <w:t>les communiquées par le</w:t>
      </w:r>
      <w:r w:rsidR="00270AB2" w:rsidRPr="001A2820">
        <w:rPr>
          <w:lang w:val="fr-FR"/>
        </w:rPr>
        <w:t xml:space="preserve"> </w:t>
      </w:r>
      <w:r w:rsidRPr="001A2820">
        <w:rPr>
          <w:lang w:val="fr-FR"/>
        </w:rPr>
        <w:t>Conseil d’administration du Programme international spécifique conformément à l’</w:t>
      </w:r>
      <w:r w:rsidR="00270AB2" w:rsidRPr="001A2820">
        <w:rPr>
          <w:lang w:val="fr-FR"/>
        </w:rPr>
        <w:t>article</w:t>
      </w:r>
      <w:r w:rsidRPr="001A2820">
        <w:rPr>
          <w:lang w:val="fr-FR"/>
        </w:rPr>
        <w:t> </w:t>
      </w:r>
      <w:r w:rsidR="00270AB2" w:rsidRPr="001A2820">
        <w:rPr>
          <w:lang w:val="fr-FR"/>
        </w:rPr>
        <w:t xml:space="preserve">13. </w:t>
      </w:r>
      <w:r w:rsidRPr="001A2820">
        <w:rPr>
          <w:lang w:val="fr-FR"/>
        </w:rPr>
        <w:t>Les</w:t>
      </w:r>
      <w:r w:rsidR="00270AB2" w:rsidRPr="001A2820">
        <w:rPr>
          <w:lang w:val="fr-FR"/>
        </w:rPr>
        <w:t xml:space="preserve"> annexes </w:t>
      </w:r>
      <w:r w:rsidRPr="001A2820">
        <w:rPr>
          <w:lang w:val="fr-FR"/>
        </w:rPr>
        <w:t>sont reproduites sans avoir été revues par les services d’édition</w:t>
      </w:r>
      <w:r w:rsidR="00270AB2" w:rsidRPr="001A2820">
        <w:rPr>
          <w:lang w:val="fr-FR"/>
        </w:rPr>
        <w:t>.</w:t>
      </w:r>
      <w:r w:rsidR="00270AB2" w:rsidRPr="001A2820" w:rsidDel="0059564D">
        <w:rPr>
          <w:lang w:val="fr-FR"/>
        </w:rPr>
        <w:t xml:space="preserve"> </w:t>
      </w:r>
      <w:r w:rsidR="005B11C7">
        <w:rPr>
          <w:lang w:val="fr-FR"/>
        </w:rPr>
        <w:t>Aucune </w:t>
      </w:r>
      <w:r w:rsidRPr="001A2820">
        <w:rPr>
          <w:lang w:val="fr-FR"/>
        </w:rPr>
        <w:t>information n’a été transmise par les Parties ou les parties prenantes</w:t>
      </w:r>
      <w:r w:rsidR="006965FB" w:rsidRPr="001A2820">
        <w:rPr>
          <w:lang w:val="fr-FR"/>
        </w:rPr>
        <w:t>.</w:t>
      </w:r>
    </w:p>
    <w:p w14:paraId="12D49380" w14:textId="454795C8" w:rsidR="00AF398A" w:rsidRPr="001A2820" w:rsidRDefault="00AF398A" w:rsidP="003A0358">
      <w:pPr>
        <w:pStyle w:val="CH1"/>
        <w:rPr>
          <w:lang w:val="fr-FR"/>
        </w:rPr>
      </w:pPr>
      <w:r w:rsidRPr="001A2820">
        <w:rPr>
          <w:lang w:val="fr-FR"/>
        </w:rPr>
        <w:tab/>
      </w:r>
      <w:r w:rsidR="003A0358" w:rsidRPr="00CF6A23">
        <w:rPr>
          <w:lang w:val="fr-FR"/>
        </w:rPr>
        <w:t>I</w:t>
      </w:r>
      <w:r w:rsidRPr="001A2820">
        <w:rPr>
          <w:lang w:val="fr-FR"/>
        </w:rPr>
        <w:t>.</w:t>
      </w:r>
      <w:r w:rsidRPr="001A2820">
        <w:rPr>
          <w:lang w:val="fr-FR"/>
        </w:rPr>
        <w:tab/>
      </w:r>
      <w:r w:rsidR="00BC1123" w:rsidRPr="001A2820">
        <w:rPr>
          <w:lang w:val="fr-FR"/>
        </w:rPr>
        <w:t xml:space="preserve">Appui du Fonds pour l’environnement mondial à la Convention de Minamata </w:t>
      </w:r>
    </w:p>
    <w:p w14:paraId="002B4994" w14:textId="246CAC3D" w:rsidR="00414D69" w:rsidRPr="001A2820" w:rsidRDefault="00BC1123"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 p</w:t>
      </w:r>
      <w:r w:rsidR="00FE6D2A" w:rsidRPr="001A2820">
        <w:rPr>
          <w:lang w:val="fr-FR"/>
        </w:rPr>
        <w:t>aragraph</w:t>
      </w:r>
      <w:r w:rsidRPr="001A2820">
        <w:rPr>
          <w:lang w:val="fr-FR"/>
        </w:rPr>
        <w:t>e </w:t>
      </w:r>
      <w:r w:rsidR="003E12A0" w:rsidRPr="001A2820">
        <w:rPr>
          <w:lang w:val="fr-FR"/>
        </w:rPr>
        <w:t xml:space="preserve">7 </w:t>
      </w:r>
      <w:r w:rsidRPr="001A2820">
        <w:rPr>
          <w:lang w:val="fr-FR"/>
        </w:rPr>
        <w:t>de l’</w:t>
      </w:r>
      <w:r w:rsidR="003E12A0" w:rsidRPr="001A2820">
        <w:rPr>
          <w:lang w:val="fr-FR"/>
        </w:rPr>
        <w:t>article</w:t>
      </w:r>
      <w:r w:rsidRPr="001A2820">
        <w:rPr>
          <w:lang w:val="fr-FR"/>
        </w:rPr>
        <w:t> </w:t>
      </w:r>
      <w:r w:rsidR="003E12A0" w:rsidRPr="001A2820">
        <w:rPr>
          <w:lang w:val="fr-FR"/>
        </w:rPr>
        <w:t xml:space="preserve">13 </w:t>
      </w:r>
      <w:r w:rsidR="00FF3AB8" w:rsidRPr="001A2820">
        <w:rPr>
          <w:lang w:val="fr-FR"/>
        </w:rPr>
        <w:t>stipule que la</w:t>
      </w:r>
      <w:r w:rsidR="00941FAC" w:rsidRPr="001A2820">
        <w:rPr>
          <w:lang w:val="fr-FR"/>
        </w:rPr>
        <w:t xml:space="preserve"> </w:t>
      </w:r>
      <w:r w:rsidR="00FF3AB8" w:rsidRPr="001A2820">
        <w:rPr>
          <w:lang w:val="fr-FR"/>
        </w:rPr>
        <w:t>Caisse du FEM doit fournir en temps voulu des ressources financières nouvelles, prévisibles et adéquates pour couvrir les coûts de l’aide à la mise en œuvre de la Convention, comme convenu par la Conférence des Parties</w:t>
      </w:r>
      <w:r w:rsidR="00414D69" w:rsidRPr="001A2820">
        <w:rPr>
          <w:lang w:val="fr-FR"/>
        </w:rPr>
        <w:t xml:space="preserve">. </w:t>
      </w:r>
      <w:r w:rsidR="00FF3AB8" w:rsidRPr="001A2820">
        <w:rPr>
          <w:lang w:val="fr-FR"/>
        </w:rPr>
        <w:t>Il stipule également qu’aux fins de la Convention, la Caisse du FEM est placée sous la direction de la Conférence des Parties à laquelle elle rend compte</w:t>
      </w:r>
      <w:r w:rsidR="00414D69" w:rsidRPr="001A2820">
        <w:rPr>
          <w:lang w:val="fr-FR"/>
        </w:rPr>
        <w:t>.</w:t>
      </w:r>
      <w:r w:rsidR="00FF3AB8" w:rsidRPr="001A2820">
        <w:rPr>
          <w:lang w:val="fr-FR"/>
        </w:rPr>
        <w:t xml:space="preserve"> La Conférence des Parties</w:t>
      </w:r>
      <w:r w:rsidR="00414D69" w:rsidRPr="001A2820">
        <w:rPr>
          <w:lang w:val="fr-FR"/>
        </w:rPr>
        <w:t xml:space="preserve"> </w:t>
      </w:r>
      <w:r w:rsidR="00FF3AB8" w:rsidRPr="001A2820">
        <w:rPr>
          <w:lang w:val="fr-FR"/>
        </w:rPr>
        <w:t>doit énoncer des orientations sur les stratégies, politiques et priorités programmatiques globales ainsi que sur les conditions requises pour avoir accès aux ressources financières et utiliser ces dernières</w:t>
      </w:r>
      <w:r w:rsidR="00414D69" w:rsidRPr="001A2820">
        <w:rPr>
          <w:lang w:val="fr-FR"/>
        </w:rPr>
        <w:t xml:space="preserve">. </w:t>
      </w:r>
      <w:r w:rsidR="00FF3AB8" w:rsidRPr="001A2820">
        <w:rPr>
          <w:lang w:val="fr-FR"/>
        </w:rPr>
        <w:t>En outre, la Conférence des Parties doit énoncer des orientations sur une liste indicative des catégories d’activités qui pourraient bénéficier du soutien de la Caisse</w:t>
      </w:r>
      <w:r w:rsidR="00414D69" w:rsidRPr="001A2820">
        <w:rPr>
          <w:lang w:val="fr-FR"/>
        </w:rPr>
        <w:t xml:space="preserve">. </w:t>
      </w:r>
      <w:r w:rsidR="00425FEC">
        <w:rPr>
          <w:lang w:val="fr-FR"/>
        </w:rPr>
        <w:t>Par ailleurs</w:t>
      </w:r>
      <w:r w:rsidR="00941FAC" w:rsidRPr="001A2820">
        <w:rPr>
          <w:lang w:val="fr-FR"/>
        </w:rPr>
        <w:t>,</w:t>
      </w:r>
      <w:r w:rsidR="00FF3AB8" w:rsidRPr="001A2820">
        <w:rPr>
          <w:lang w:val="fr-FR"/>
        </w:rPr>
        <w:t xml:space="preserve"> la</w:t>
      </w:r>
      <w:r w:rsidR="00941FAC" w:rsidRPr="001A2820">
        <w:rPr>
          <w:lang w:val="fr-FR"/>
        </w:rPr>
        <w:t xml:space="preserve"> </w:t>
      </w:r>
      <w:r w:rsidR="00FF3AB8" w:rsidRPr="001A2820">
        <w:rPr>
          <w:lang w:val="fr-FR"/>
        </w:rPr>
        <w:t>Caisse du FEM doit fournir des ressources pour couvrir les surcoûts convenus liés aux avantages environnementaux mondiaux et l’ensemble des coûts convenus de certaines activités habilitantes</w:t>
      </w:r>
      <w:r w:rsidR="00414D69" w:rsidRPr="001A2820">
        <w:rPr>
          <w:lang w:val="fr-FR"/>
        </w:rPr>
        <w:t>.</w:t>
      </w:r>
    </w:p>
    <w:p w14:paraId="17B26F76" w14:textId="3696899A" w:rsidR="00414D69" w:rsidRPr="001A2820" w:rsidRDefault="00FF3AB8"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 p</w:t>
      </w:r>
      <w:r w:rsidR="003E12A0" w:rsidRPr="001A2820">
        <w:rPr>
          <w:lang w:val="fr-FR"/>
        </w:rPr>
        <w:t>aragraph</w:t>
      </w:r>
      <w:r w:rsidRPr="001A2820">
        <w:rPr>
          <w:lang w:val="fr-FR"/>
        </w:rPr>
        <w:t>e </w:t>
      </w:r>
      <w:r w:rsidR="003E12A0" w:rsidRPr="001A2820">
        <w:rPr>
          <w:lang w:val="fr-FR"/>
        </w:rPr>
        <w:t xml:space="preserve">8 </w:t>
      </w:r>
      <w:r w:rsidRPr="001A2820">
        <w:rPr>
          <w:lang w:val="fr-FR"/>
        </w:rPr>
        <w:t xml:space="preserve">du même </w:t>
      </w:r>
      <w:r w:rsidR="003E12A0" w:rsidRPr="001A2820">
        <w:rPr>
          <w:lang w:val="fr-FR"/>
        </w:rPr>
        <w:t xml:space="preserve">article </w:t>
      </w:r>
      <w:r w:rsidRPr="001A2820">
        <w:rPr>
          <w:lang w:val="fr-FR"/>
        </w:rPr>
        <w:t xml:space="preserve">dispose que, lorsqu’elle fournit des ressources pour une activité, la Caisse du </w:t>
      </w:r>
      <w:r w:rsidR="00E37B1B" w:rsidRPr="001A2820">
        <w:rPr>
          <w:lang w:val="fr-FR"/>
        </w:rPr>
        <w:t>FEM</w:t>
      </w:r>
      <w:r w:rsidRPr="001A2820">
        <w:rPr>
          <w:lang w:val="fr-FR"/>
        </w:rPr>
        <w:t xml:space="preserve"> </w:t>
      </w:r>
      <w:r w:rsidR="00E37B1B" w:rsidRPr="001A2820">
        <w:rPr>
          <w:lang w:val="fr-FR"/>
        </w:rPr>
        <w:t>doit</w:t>
      </w:r>
      <w:r w:rsidRPr="001A2820">
        <w:rPr>
          <w:lang w:val="fr-FR"/>
        </w:rPr>
        <w:t xml:space="preserve"> tenir compte du potentiel de réduction du mercure de l’activité proposée par rapport à ses coûts</w:t>
      </w:r>
      <w:r w:rsidR="003E12A0" w:rsidRPr="001A2820">
        <w:rPr>
          <w:lang w:val="fr-FR"/>
        </w:rPr>
        <w:t>.</w:t>
      </w:r>
    </w:p>
    <w:p w14:paraId="2079887A" w14:textId="4E7B2F20" w:rsidR="00853128" w:rsidRPr="001A2820" w:rsidRDefault="00E37B1B"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 xml:space="preserve">L’Instrument pour la restructuration du Fonds pour l’environnement mondial </w:t>
      </w:r>
      <w:r w:rsidR="00A21AFF" w:rsidRPr="001A2820">
        <w:rPr>
          <w:lang w:val="fr-FR"/>
        </w:rPr>
        <w:t>(Instrument</w:t>
      </w:r>
      <w:r w:rsidRPr="001A2820">
        <w:rPr>
          <w:lang w:val="fr-FR"/>
        </w:rPr>
        <w:t xml:space="preserve"> du FEM</w:t>
      </w:r>
      <w:r w:rsidR="00A21AFF" w:rsidRPr="001A2820">
        <w:rPr>
          <w:lang w:val="fr-FR"/>
        </w:rPr>
        <w:t xml:space="preserve">) </w:t>
      </w:r>
      <w:r w:rsidRPr="001A2820">
        <w:rPr>
          <w:lang w:val="fr-FR"/>
        </w:rPr>
        <w:t>a été amendé lors de la cinquième</w:t>
      </w:r>
      <w:r w:rsidR="00941FAC" w:rsidRPr="001A2820">
        <w:rPr>
          <w:lang w:val="fr-FR"/>
        </w:rPr>
        <w:t xml:space="preserve"> </w:t>
      </w:r>
      <w:r w:rsidRPr="001A2820">
        <w:rPr>
          <w:lang w:val="fr-FR"/>
        </w:rPr>
        <w:t>Assemblée du FEM, qui s’est tenue</w:t>
      </w:r>
      <w:r w:rsidR="00941FAC" w:rsidRPr="001A2820">
        <w:rPr>
          <w:lang w:val="fr-FR"/>
        </w:rPr>
        <w:t xml:space="preserve"> </w:t>
      </w:r>
      <w:r w:rsidR="00D842D3" w:rsidRPr="001A2820">
        <w:rPr>
          <w:lang w:val="fr-FR"/>
        </w:rPr>
        <w:t>à</w:t>
      </w:r>
      <w:r w:rsidR="00941FAC" w:rsidRPr="001A2820">
        <w:rPr>
          <w:lang w:val="fr-FR"/>
        </w:rPr>
        <w:t xml:space="preserve"> </w:t>
      </w:r>
      <w:r w:rsidR="00D842D3" w:rsidRPr="001A2820">
        <w:rPr>
          <w:lang w:val="fr-FR"/>
        </w:rPr>
        <w:t>Cancún (Mexique) en mai 2014, afin de faire figurer la Convention de Minamata dans la liste des conventions dont le FEM est le mécanisme de financement</w:t>
      </w:r>
      <w:r w:rsidR="00853128" w:rsidRPr="001A2820">
        <w:rPr>
          <w:lang w:val="fr-FR"/>
        </w:rPr>
        <w:t>.</w:t>
      </w:r>
    </w:p>
    <w:p w14:paraId="717562F8" w14:textId="49868F4A" w:rsidR="0020077E" w:rsidRPr="001A2820" w:rsidRDefault="00F57A70"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 xml:space="preserve">Depuis </w:t>
      </w:r>
      <w:r w:rsidR="00F47184">
        <w:rPr>
          <w:lang w:val="fr-FR"/>
        </w:rPr>
        <w:t>l</w:t>
      </w:r>
      <w:r>
        <w:rPr>
          <w:lang w:val="fr-FR"/>
        </w:rPr>
        <w:t xml:space="preserve">a </w:t>
      </w:r>
      <w:r w:rsidRPr="00F57A70">
        <w:rPr>
          <w:lang w:val="fr-FR"/>
        </w:rPr>
        <w:t>cinquième reconstitution</w:t>
      </w:r>
      <w:r w:rsidR="00F47184">
        <w:rPr>
          <w:lang w:val="fr-FR"/>
        </w:rPr>
        <w:t xml:space="preserve"> de sa caisse (FEM-5)</w:t>
      </w:r>
      <w:r>
        <w:rPr>
          <w:lang w:val="fr-FR"/>
        </w:rPr>
        <w:t>,</w:t>
      </w:r>
      <w:r w:rsidRPr="00F57A70">
        <w:rPr>
          <w:lang w:val="fr-FR"/>
        </w:rPr>
        <w:t xml:space="preserve"> </w:t>
      </w:r>
      <w:r>
        <w:rPr>
          <w:lang w:val="fr-FR"/>
        </w:rPr>
        <w:t>l</w:t>
      </w:r>
      <w:r w:rsidR="00AE3E2B" w:rsidRPr="001A2820">
        <w:rPr>
          <w:lang w:val="fr-FR"/>
        </w:rPr>
        <w:t>e FEM appui</w:t>
      </w:r>
      <w:r>
        <w:rPr>
          <w:lang w:val="fr-FR"/>
        </w:rPr>
        <w:t xml:space="preserve">e la mise en place </w:t>
      </w:r>
      <w:r w:rsidR="00AE3E2B" w:rsidRPr="001A2820">
        <w:rPr>
          <w:lang w:val="fr-FR"/>
        </w:rPr>
        <w:t>de programm</w:t>
      </w:r>
      <w:r>
        <w:rPr>
          <w:lang w:val="fr-FR"/>
        </w:rPr>
        <w:t>es</w:t>
      </w:r>
      <w:r w:rsidR="00AE3E2B" w:rsidRPr="001A2820">
        <w:rPr>
          <w:lang w:val="fr-FR"/>
        </w:rPr>
        <w:t xml:space="preserve"> de gestion du mercure, </w:t>
      </w:r>
      <w:r>
        <w:rPr>
          <w:lang w:val="fr-FR"/>
        </w:rPr>
        <w:t>à la suite de l’allocation par</w:t>
      </w:r>
      <w:r w:rsidR="00AE3E2B" w:rsidRPr="001A2820">
        <w:rPr>
          <w:lang w:val="fr-FR"/>
        </w:rPr>
        <w:t xml:space="preserve"> </w:t>
      </w:r>
      <w:r>
        <w:rPr>
          <w:lang w:val="fr-FR"/>
        </w:rPr>
        <w:t>son</w:t>
      </w:r>
      <w:r w:rsidR="00AE3E2B" w:rsidRPr="001A2820">
        <w:rPr>
          <w:lang w:val="fr-FR"/>
        </w:rPr>
        <w:t xml:space="preserve"> Conseil, </w:t>
      </w:r>
      <w:r>
        <w:rPr>
          <w:lang w:val="fr-FR"/>
        </w:rPr>
        <w:t>à</w:t>
      </w:r>
      <w:r w:rsidR="00AE3E2B" w:rsidRPr="001A2820">
        <w:rPr>
          <w:lang w:val="fr-FR"/>
        </w:rPr>
        <w:t xml:space="preserve"> </w:t>
      </w:r>
      <w:r w:rsidR="00806B78">
        <w:rPr>
          <w:lang w:val="fr-FR"/>
        </w:rPr>
        <w:t>s</w:t>
      </w:r>
      <w:r w:rsidR="00AE3E2B" w:rsidRPr="001A2820">
        <w:rPr>
          <w:lang w:val="fr-FR"/>
        </w:rPr>
        <w:t>a quarante-quatrième réunion tenue en juin </w:t>
      </w:r>
      <w:r w:rsidR="00A21AFF" w:rsidRPr="001A2820">
        <w:rPr>
          <w:lang w:val="fr-FR"/>
        </w:rPr>
        <w:t>2013</w:t>
      </w:r>
      <w:r w:rsidR="00114DC2" w:rsidRPr="001A2820">
        <w:rPr>
          <w:lang w:val="fr-FR"/>
        </w:rPr>
        <w:t>,</w:t>
      </w:r>
      <w:r w:rsidR="00A21AFF" w:rsidRPr="001A2820">
        <w:rPr>
          <w:lang w:val="fr-FR"/>
        </w:rPr>
        <w:t xml:space="preserve"> </w:t>
      </w:r>
      <w:r>
        <w:rPr>
          <w:lang w:val="fr-FR"/>
        </w:rPr>
        <w:t xml:space="preserve">d’un montant de </w:t>
      </w:r>
      <w:r w:rsidR="0020077E" w:rsidRPr="001A2820">
        <w:rPr>
          <w:lang w:val="fr-FR"/>
        </w:rPr>
        <w:t>10</w:t>
      </w:r>
      <w:r w:rsidR="00AE3E2B" w:rsidRPr="001A2820">
        <w:rPr>
          <w:lang w:val="fr-FR"/>
        </w:rPr>
        <w:t> </w:t>
      </w:r>
      <w:r w:rsidR="0020077E" w:rsidRPr="001A2820">
        <w:rPr>
          <w:lang w:val="fr-FR"/>
        </w:rPr>
        <w:t>million</w:t>
      </w:r>
      <w:r w:rsidR="00AE3E2B" w:rsidRPr="001A2820">
        <w:rPr>
          <w:lang w:val="fr-FR"/>
        </w:rPr>
        <w:t xml:space="preserve">s de dollars </w:t>
      </w:r>
      <w:r>
        <w:rPr>
          <w:lang w:val="fr-FR"/>
        </w:rPr>
        <w:t>aux</w:t>
      </w:r>
      <w:r w:rsidR="00AE3E2B" w:rsidRPr="001A2820">
        <w:rPr>
          <w:lang w:val="fr-FR"/>
        </w:rPr>
        <w:t xml:space="preserve"> activités habilitantes</w:t>
      </w:r>
      <w:r w:rsidR="0020077E" w:rsidRPr="001A2820">
        <w:rPr>
          <w:lang w:val="fr-FR"/>
        </w:rPr>
        <w:t xml:space="preserve"> </w:t>
      </w:r>
      <w:r w:rsidR="00AE3E2B" w:rsidRPr="001A2820">
        <w:rPr>
          <w:lang w:val="fr-FR"/>
        </w:rPr>
        <w:t xml:space="preserve">menées </w:t>
      </w:r>
      <w:r>
        <w:rPr>
          <w:lang w:val="fr-FR"/>
        </w:rPr>
        <w:t>dans le cadre</w:t>
      </w:r>
      <w:r w:rsidR="00AE3E2B" w:rsidRPr="001A2820">
        <w:rPr>
          <w:lang w:val="fr-FR"/>
        </w:rPr>
        <w:t xml:space="preserve"> de la Convention de Minamata</w:t>
      </w:r>
      <w:r w:rsidR="0020077E" w:rsidRPr="001A2820">
        <w:rPr>
          <w:lang w:val="fr-FR"/>
        </w:rPr>
        <w:t>.</w:t>
      </w:r>
      <w:r w:rsidR="00AE3E2B" w:rsidRPr="001A2820">
        <w:rPr>
          <w:lang w:val="fr-FR"/>
        </w:rPr>
        <w:t xml:space="preserve"> Ce montant </w:t>
      </w:r>
      <w:r>
        <w:rPr>
          <w:lang w:val="fr-FR"/>
        </w:rPr>
        <w:t>est passé à</w:t>
      </w:r>
      <w:r w:rsidR="00AE3E2B" w:rsidRPr="001A2820">
        <w:rPr>
          <w:lang w:val="fr-FR"/>
        </w:rPr>
        <w:t xml:space="preserve"> </w:t>
      </w:r>
      <w:r w:rsidR="0020077E" w:rsidRPr="001A2820">
        <w:rPr>
          <w:lang w:val="fr-FR"/>
        </w:rPr>
        <w:t>141</w:t>
      </w:r>
      <w:r w:rsidR="00AE3E2B" w:rsidRPr="001A2820">
        <w:rPr>
          <w:lang w:val="fr-FR"/>
        </w:rPr>
        <w:t> </w:t>
      </w:r>
      <w:r w:rsidR="0020077E" w:rsidRPr="001A2820">
        <w:rPr>
          <w:lang w:val="fr-FR"/>
        </w:rPr>
        <w:t>million</w:t>
      </w:r>
      <w:r w:rsidR="00AE3E2B" w:rsidRPr="001A2820">
        <w:rPr>
          <w:lang w:val="fr-FR"/>
        </w:rPr>
        <w:t>s de dollars</w:t>
      </w:r>
      <w:r w:rsidR="00A21AFF" w:rsidRPr="001A2820">
        <w:rPr>
          <w:lang w:val="fr-FR"/>
        </w:rPr>
        <w:t xml:space="preserve"> </w:t>
      </w:r>
      <w:r>
        <w:rPr>
          <w:lang w:val="fr-FR"/>
        </w:rPr>
        <w:t>à</w:t>
      </w:r>
      <w:r w:rsidR="009A527E" w:rsidRPr="001A2820">
        <w:rPr>
          <w:lang w:val="fr-FR"/>
        </w:rPr>
        <w:t xml:space="preserve"> la sixième reconstitution</w:t>
      </w:r>
      <w:r w:rsidR="00353807" w:rsidRPr="001A2820">
        <w:rPr>
          <w:lang w:val="fr-FR"/>
        </w:rPr>
        <w:t xml:space="preserve"> </w:t>
      </w:r>
      <w:r w:rsidR="00F47184">
        <w:rPr>
          <w:lang w:val="fr-FR"/>
        </w:rPr>
        <w:t xml:space="preserve">de la Caisse </w:t>
      </w:r>
      <w:r>
        <w:rPr>
          <w:lang w:val="fr-FR"/>
        </w:rPr>
        <w:t>du Fonds</w:t>
      </w:r>
      <w:r w:rsidR="0020077E" w:rsidRPr="001A2820">
        <w:rPr>
          <w:lang w:val="fr-FR"/>
        </w:rPr>
        <w:t xml:space="preserve"> </w:t>
      </w:r>
      <w:r w:rsidR="00F47184">
        <w:rPr>
          <w:lang w:val="fr-FR"/>
        </w:rPr>
        <w:t xml:space="preserve">(FEM-6) </w:t>
      </w:r>
      <w:r w:rsidR="009A527E" w:rsidRPr="001A2820">
        <w:rPr>
          <w:lang w:val="fr-FR"/>
        </w:rPr>
        <w:t xml:space="preserve">et </w:t>
      </w:r>
      <w:r>
        <w:rPr>
          <w:lang w:val="fr-FR"/>
        </w:rPr>
        <w:t>à</w:t>
      </w:r>
      <w:r w:rsidR="009A527E" w:rsidRPr="001A2820">
        <w:rPr>
          <w:lang w:val="fr-FR"/>
        </w:rPr>
        <w:t xml:space="preserve"> </w:t>
      </w:r>
      <w:r w:rsidR="0020077E" w:rsidRPr="001A2820">
        <w:rPr>
          <w:lang w:val="fr-FR"/>
        </w:rPr>
        <w:t>206</w:t>
      </w:r>
      <w:r w:rsidR="009A527E" w:rsidRPr="001A2820">
        <w:rPr>
          <w:lang w:val="fr-FR"/>
        </w:rPr>
        <w:t> </w:t>
      </w:r>
      <w:r w:rsidR="0020077E" w:rsidRPr="001A2820">
        <w:rPr>
          <w:lang w:val="fr-FR"/>
        </w:rPr>
        <w:t>million</w:t>
      </w:r>
      <w:r w:rsidR="009A527E" w:rsidRPr="001A2820">
        <w:rPr>
          <w:lang w:val="fr-FR"/>
        </w:rPr>
        <w:t xml:space="preserve">s de dollars </w:t>
      </w:r>
      <w:r>
        <w:rPr>
          <w:lang w:val="fr-FR"/>
        </w:rPr>
        <w:t>à s</w:t>
      </w:r>
      <w:r w:rsidR="009A527E" w:rsidRPr="001A2820">
        <w:rPr>
          <w:lang w:val="fr-FR"/>
        </w:rPr>
        <w:t>a septième reconstitution</w:t>
      </w:r>
      <w:r w:rsidR="00F47184">
        <w:rPr>
          <w:lang w:val="fr-FR"/>
        </w:rPr>
        <w:t xml:space="preserve"> (FEM-7)</w:t>
      </w:r>
      <w:r w:rsidR="0020077E" w:rsidRPr="001A2820">
        <w:rPr>
          <w:lang w:val="fr-FR"/>
        </w:rPr>
        <w:t xml:space="preserve">. </w:t>
      </w:r>
      <w:r w:rsidR="00BC125A">
        <w:rPr>
          <w:lang w:val="fr-FR"/>
        </w:rPr>
        <w:t xml:space="preserve">D’après les </w:t>
      </w:r>
      <w:r w:rsidR="0014695B">
        <w:rPr>
          <w:lang w:val="fr-FR"/>
        </w:rPr>
        <w:t>informations</w:t>
      </w:r>
      <w:r w:rsidR="00BC125A">
        <w:rPr>
          <w:lang w:val="fr-FR"/>
        </w:rPr>
        <w:t xml:space="preserve"> disponibles e</w:t>
      </w:r>
      <w:r w:rsidR="009A527E" w:rsidRPr="001A2820">
        <w:rPr>
          <w:lang w:val="fr-FR"/>
        </w:rPr>
        <w:t>n mai </w:t>
      </w:r>
      <w:r w:rsidR="00853128" w:rsidRPr="001A2820">
        <w:rPr>
          <w:lang w:val="fr-FR"/>
        </w:rPr>
        <w:t xml:space="preserve">2019, </w:t>
      </w:r>
      <w:r w:rsidR="00BC125A">
        <w:rPr>
          <w:lang w:val="fr-FR"/>
        </w:rPr>
        <w:t xml:space="preserve">l’appui fourni par </w:t>
      </w:r>
      <w:r w:rsidR="005B11C7">
        <w:rPr>
          <w:lang w:val="fr-FR"/>
        </w:rPr>
        <w:t>le FEM a </w:t>
      </w:r>
      <w:r w:rsidR="00BC125A">
        <w:rPr>
          <w:lang w:val="fr-FR"/>
        </w:rPr>
        <w:t>permis</w:t>
      </w:r>
      <w:r w:rsidR="009A527E" w:rsidRPr="001A2820">
        <w:rPr>
          <w:lang w:val="fr-FR"/>
        </w:rPr>
        <w:t xml:space="preserve"> à </w:t>
      </w:r>
      <w:r w:rsidR="00853128" w:rsidRPr="001A2820">
        <w:rPr>
          <w:lang w:val="fr-FR"/>
        </w:rPr>
        <w:t>111</w:t>
      </w:r>
      <w:r w:rsidR="009A527E" w:rsidRPr="001A2820">
        <w:rPr>
          <w:lang w:val="fr-FR"/>
        </w:rPr>
        <w:t> pays de procéder à leurs évaluations initiales au titre de la Convention de Minamata et à</w:t>
      </w:r>
      <w:r w:rsidR="00853128" w:rsidRPr="001A2820">
        <w:rPr>
          <w:lang w:val="fr-FR"/>
        </w:rPr>
        <w:t xml:space="preserve"> 3</w:t>
      </w:r>
      <w:r w:rsidR="00647CF5" w:rsidRPr="001A2820">
        <w:rPr>
          <w:lang w:val="fr-FR"/>
        </w:rPr>
        <w:t>5</w:t>
      </w:r>
      <w:r w:rsidR="009A527E" w:rsidRPr="001A2820">
        <w:rPr>
          <w:lang w:val="fr-FR"/>
        </w:rPr>
        <w:t> pays d’établir leurs plans d’action nationaux concernant l’extraction minière artisanale et à petite échelle d’or</w:t>
      </w:r>
      <w:r w:rsidR="00F662C6" w:rsidRPr="001A2820">
        <w:rPr>
          <w:lang w:val="fr-FR"/>
        </w:rPr>
        <w:t>. Sur les</w:t>
      </w:r>
      <w:r w:rsidR="00853128" w:rsidRPr="001A2820">
        <w:rPr>
          <w:lang w:val="fr-FR"/>
        </w:rPr>
        <w:t xml:space="preserve"> 111</w:t>
      </w:r>
      <w:r w:rsidR="00F662C6" w:rsidRPr="001A2820">
        <w:rPr>
          <w:lang w:val="fr-FR"/>
        </w:rPr>
        <w:t xml:space="preserve"> pays </w:t>
      </w:r>
      <w:r w:rsidR="00BC125A">
        <w:rPr>
          <w:lang w:val="fr-FR"/>
        </w:rPr>
        <w:t>qui ont reçu un financement pour leurs</w:t>
      </w:r>
      <w:r w:rsidR="00F662C6" w:rsidRPr="001A2820">
        <w:rPr>
          <w:lang w:val="fr-FR"/>
        </w:rPr>
        <w:t xml:space="preserve"> éval</w:t>
      </w:r>
      <w:bookmarkStart w:id="7" w:name="_Hlk17808355"/>
      <w:r w:rsidR="00F662C6" w:rsidRPr="001A2820">
        <w:rPr>
          <w:lang w:val="fr-FR"/>
        </w:rPr>
        <w:t>uations initiales</w:t>
      </w:r>
      <w:bookmarkEnd w:id="7"/>
      <w:r w:rsidR="00F662C6" w:rsidRPr="001A2820">
        <w:rPr>
          <w:lang w:val="fr-FR"/>
        </w:rPr>
        <w:t xml:space="preserve">, 17 ne sont ni signataires ni parties, </w:t>
      </w:r>
      <w:r w:rsidR="005E12A9">
        <w:rPr>
          <w:lang w:val="fr-FR"/>
        </w:rPr>
        <w:t>33 </w:t>
      </w:r>
      <w:r w:rsidR="00F662C6" w:rsidRPr="001A2820">
        <w:rPr>
          <w:lang w:val="fr-FR"/>
        </w:rPr>
        <w:t xml:space="preserve">sont signataires mais pas parties et </w:t>
      </w:r>
      <w:r w:rsidR="005E12A9">
        <w:rPr>
          <w:lang w:val="fr-FR"/>
        </w:rPr>
        <w:t>61 </w:t>
      </w:r>
      <w:r w:rsidR="00F662C6" w:rsidRPr="001A2820">
        <w:rPr>
          <w:lang w:val="fr-FR"/>
        </w:rPr>
        <w:t xml:space="preserve">sont </w:t>
      </w:r>
      <w:r w:rsidR="00BC125A">
        <w:rPr>
          <w:lang w:val="fr-FR"/>
        </w:rPr>
        <w:t>P</w:t>
      </w:r>
      <w:r w:rsidR="00F662C6" w:rsidRPr="001A2820">
        <w:rPr>
          <w:lang w:val="fr-FR"/>
        </w:rPr>
        <w:t>arties</w:t>
      </w:r>
      <w:r w:rsidR="00564176" w:rsidRPr="001A2820">
        <w:rPr>
          <w:lang w:val="fr-FR"/>
        </w:rPr>
        <w:t xml:space="preserve"> </w:t>
      </w:r>
      <w:r w:rsidR="00F662C6" w:rsidRPr="001A2820">
        <w:rPr>
          <w:lang w:val="fr-FR"/>
        </w:rPr>
        <w:t>à la</w:t>
      </w:r>
      <w:r w:rsidR="00564176" w:rsidRPr="001A2820">
        <w:rPr>
          <w:lang w:val="fr-FR"/>
        </w:rPr>
        <w:t xml:space="preserve"> </w:t>
      </w:r>
      <w:r w:rsidR="00BC125A">
        <w:rPr>
          <w:lang w:val="fr-FR"/>
        </w:rPr>
        <w:t>Convention de Minamata.</w:t>
      </w:r>
      <w:r w:rsidR="00564176" w:rsidRPr="001A2820">
        <w:rPr>
          <w:lang w:val="fr-FR"/>
        </w:rPr>
        <w:t xml:space="preserve"> </w:t>
      </w:r>
      <w:r w:rsidR="0032612A" w:rsidRPr="001A2820">
        <w:rPr>
          <w:lang w:val="fr-FR"/>
        </w:rPr>
        <w:t>A</w:t>
      </w:r>
      <w:r w:rsidR="00F662C6" w:rsidRPr="001A2820">
        <w:rPr>
          <w:lang w:val="fr-FR"/>
        </w:rPr>
        <w:t>u</w:t>
      </w:r>
      <w:r w:rsidR="0032612A" w:rsidRPr="001A2820">
        <w:rPr>
          <w:lang w:val="fr-FR"/>
        </w:rPr>
        <w:t xml:space="preserve"> total</w:t>
      </w:r>
      <w:r w:rsidR="00F662C6" w:rsidRPr="001A2820">
        <w:rPr>
          <w:lang w:val="fr-FR"/>
        </w:rPr>
        <w:t>,</w:t>
      </w:r>
      <w:r w:rsidR="0032612A" w:rsidRPr="001A2820">
        <w:rPr>
          <w:lang w:val="fr-FR"/>
        </w:rPr>
        <w:t xml:space="preserve"> 18</w:t>
      </w:r>
      <w:r w:rsidR="00F662C6" w:rsidRPr="001A2820">
        <w:rPr>
          <w:lang w:val="fr-FR"/>
        </w:rPr>
        <w:t> pays devront ratifier la</w:t>
      </w:r>
      <w:r w:rsidR="00564176" w:rsidRPr="001A2820">
        <w:rPr>
          <w:lang w:val="fr-FR"/>
        </w:rPr>
        <w:t xml:space="preserve"> </w:t>
      </w:r>
      <w:r w:rsidR="0020077E" w:rsidRPr="001A2820">
        <w:rPr>
          <w:lang w:val="fr-FR"/>
        </w:rPr>
        <w:t>Convention</w:t>
      </w:r>
      <w:r w:rsidR="00564176" w:rsidRPr="001A2820">
        <w:rPr>
          <w:lang w:val="fr-FR"/>
        </w:rPr>
        <w:t xml:space="preserve"> </w:t>
      </w:r>
      <w:r w:rsidR="007B213A" w:rsidRPr="001A2820">
        <w:rPr>
          <w:lang w:val="fr-FR"/>
        </w:rPr>
        <w:t xml:space="preserve">pour pouvoir prétendre à un financement </w:t>
      </w:r>
      <w:r w:rsidR="0014695B">
        <w:rPr>
          <w:lang w:val="fr-FR"/>
        </w:rPr>
        <w:t>de leur</w:t>
      </w:r>
      <w:r w:rsidR="007B213A" w:rsidRPr="001A2820">
        <w:rPr>
          <w:lang w:val="fr-FR"/>
        </w:rPr>
        <w:t>s évaluations initiales au titre de la Convention de Minamata</w:t>
      </w:r>
      <w:r w:rsidR="00564176" w:rsidRPr="001A2820">
        <w:rPr>
          <w:lang w:val="fr-FR"/>
        </w:rPr>
        <w:t xml:space="preserve"> </w:t>
      </w:r>
      <w:r w:rsidR="00992BA8" w:rsidRPr="001A2820">
        <w:rPr>
          <w:lang w:val="fr-FR"/>
        </w:rPr>
        <w:t>(GEF/A.6/05/Rev.01)</w:t>
      </w:r>
      <w:r w:rsidR="00564176" w:rsidRPr="001A2820">
        <w:rPr>
          <w:lang w:val="fr-FR"/>
        </w:rPr>
        <w:t>.</w:t>
      </w:r>
      <w:r w:rsidR="00564176" w:rsidRPr="001A2820">
        <w:rPr>
          <w:vertAlign w:val="superscript"/>
          <w:lang w:val="fr-FR"/>
        </w:rPr>
        <w:t xml:space="preserve"> </w:t>
      </w:r>
    </w:p>
    <w:p w14:paraId="3F62BC34" w14:textId="2B05BED5" w:rsidR="006C5732" w:rsidRPr="001A2820" w:rsidRDefault="007B213A"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Dans sa dé</w:t>
      </w:r>
      <w:r w:rsidR="006C5732" w:rsidRPr="001A2820">
        <w:rPr>
          <w:lang w:val="fr-FR"/>
        </w:rPr>
        <w:t>cision</w:t>
      </w:r>
      <w:r w:rsidRPr="001A2820">
        <w:rPr>
          <w:lang w:val="fr-FR"/>
        </w:rPr>
        <w:t> </w:t>
      </w:r>
      <w:r w:rsidR="006C5732" w:rsidRPr="001A2820">
        <w:rPr>
          <w:lang w:val="fr-FR"/>
        </w:rPr>
        <w:t>MC-1/5</w:t>
      </w:r>
      <w:r w:rsidR="00C0264B" w:rsidRPr="001A2820">
        <w:rPr>
          <w:lang w:val="fr-FR"/>
        </w:rPr>
        <w:t>,</w:t>
      </w:r>
      <w:r w:rsidR="006C5732" w:rsidRPr="001A2820">
        <w:rPr>
          <w:lang w:val="fr-FR"/>
        </w:rPr>
        <w:t xml:space="preserve"> </w:t>
      </w:r>
      <w:r w:rsidRPr="001A2820">
        <w:rPr>
          <w:lang w:val="fr-FR"/>
        </w:rPr>
        <w:t xml:space="preserve">la Conférence des </w:t>
      </w:r>
      <w:r w:rsidR="0032612A" w:rsidRPr="001A2820">
        <w:rPr>
          <w:lang w:val="fr-FR"/>
        </w:rPr>
        <w:t xml:space="preserve">Parties </w:t>
      </w:r>
      <w:r w:rsidRPr="001A2820">
        <w:rPr>
          <w:lang w:val="fr-FR"/>
        </w:rPr>
        <w:t xml:space="preserve">a adopté ses orientations à l’intention du FEM sur les stratégies, politiques et priorités programmatiques globales et les conditions d’octroi et d’utilisation des ressources financières et sur </w:t>
      </w:r>
      <w:r w:rsidR="0014695B">
        <w:rPr>
          <w:lang w:val="fr-FR"/>
        </w:rPr>
        <w:t>la</w:t>
      </w:r>
      <w:r w:rsidRPr="001A2820">
        <w:rPr>
          <w:lang w:val="fr-FR"/>
        </w:rPr>
        <w:t xml:space="preserve"> liste indicative des </w:t>
      </w:r>
      <w:r w:rsidR="0014695B">
        <w:rPr>
          <w:lang w:val="fr-FR"/>
        </w:rPr>
        <w:t>catégories d’</w:t>
      </w:r>
      <w:r w:rsidRPr="001A2820">
        <w:rPr>
          <w:lang w:val="fr-FR"/>
        </w:rPr>
        <w:t>activités pouvant bénéficier de l’appui de la Caisse du FEM</w:t>
      </w:r>
      <w:r w:rsidR="006C5732" w:rsidRPr="001A2820">
        <w:rPr>
          <w:lang w:val="fr-FR"/>
        </w:rPr>
        <w:t xml:space="preserve">. </w:t>
      </w:r>
    </w:p>
    <w:p w14:paraId="49DAF753" w14:textId="19517A20" w:rsidR="0032612A" w:rsidRPr="001A2820" w:rsidRDefault="005E12A9" w:rsidP="0032612A">
      <w:pPr>
        <w:pStyle w:val="Normalnumber"/>
        <w:numPr>
          <w:ilvl w:val="0"/>
          <w:numId w:val="6"/>
        </w:numPr>
        <w:tabs>
          <w:tab w:val="clear" w:pos="1134"/>
          <w:tab w:val="clear" w:pos="1247"/>
          <w:tab w:val="clear" w:pos="1814"/>
          <w:tab w:val="clear" w:pos="2381"/>
          <w:tab w:val="clear" w:pos="2948"/>
          <w:tab w:val="clear" w:pos="3515"/>
          <w:tab w:val="clear" w:pos="4082"/>
          <w:tab w:val="num" w:pos="624"/>
        </w:tabs>
        <w:rPr>
          <w:lang w:val="fr-FR"/>
        </w:rPr>
      </w:pPr>
      <w:r>
        <w:rPr>
          <w:lang w:val="fr-FR"/>
        </w:rPr>
        <w:t>À sa deuxième </w:t>
      </w:r>
      <w:r w:rsidR="00FA1818" w:rsidRPr="001A2820">
        <w:rPr>
          <w:lang w:val="fr-FR"/>
        </w:rPr>
        <w:t>réunion</w:t>
      </w:r>
      <w:r w:rsidR="003043C3" w:rsidRPr="001A2820">
        <w:rPr>
          <w:lang w:val="fr-FR"/>
        </w:rPr>
        <w:t>,</w:t>
      </w:r>
      <w:r w:rsidR="0032612A" w:rsidRPr="001A2820">
        <w:rPr>
          <w:lang w:val="fr-FR"/>
        </w:rPr>
        <w:t xml:space="preserve"> </w:t>
      </w:r>
      <w:r w:rsidR="00FA1818" w:rsidRPr="001A2820">
        <w:rPr>
          <w:lang w:val="fr-FR"/>
        </w:rPr>
        <w:t>e</w:t>
      </w:r>
      <w:r w:rsidR="0032612A" w:rsidRPr="001A2820">
        <w:rPr>
          <w:lang w:val="fr-FR"/>
        </w:rPr>
        <w:t xml:space="preserve">n </w:t>
      </w:r>
      <w:r w:rsidR="00FA1818" w:rsidRPr="001A2820">
        <w:rPr>
          <w:lang w:val="fr-FR"/>
        </w:rPr>
        <w:t>novembre </w:t>
      </w:r>
      <w:r w:rsidR="0032612A" w:rsidRPr="001A2820">
        <w:rPr>
          <w:lang w:val="fr-FR"/>
        </w:rPr>
        <w:t>2018,</w:t>
      </w:r>
      <w:r w:rsidR="003043C3" w:rsidRPr="001A2820">
        <w:rPr>
          <w:lang w:val="fr-FR"/>
        </w:rPr>
        <w:t xml:space="preserve"> </w:t>
      </w:r>
      <w:r w:rsidR="00FA1818" w:rsidRPr="001A2820">
        <w:rPr>
          <w:lang w:val="fr-FR"/>
        </w:rPr>
        <w:t xml:space="preserve">la Conférence des Parties a adopté le mémorandum d’accord </w:t>
      </w:r>
      <w:r w:rsidR="00107BC9" w:rsidRPr="001A2820">
        <w:rPr>
          <w:lang w:val="fr-FR"/>
        </w:rPr>
        <w:t xml:space="preserve">entre </w:t>
      </w:r>
      <w:r w:rsidR="0014695B">
        <w:rPr>
          <w:lang w:val="fr-FR"/>
        </w:rPr>
        <w:t>celle-ci</w:t>
      </w:r>
      <w:r w:rsidR="00107BC9" w:rsidRPr="001A2820">
        <w:rPr>
          <w:lang w:val="fr-FR"/>
        </w:rPr>
        <w:t xml:space="preserve"> et le Conseil du FEM </w:t>
      </w:r>
      <w:r w:rsidR="0032612A" w:rsidRPr="001A2820">
        <w:rPr>
          <w:lang w:val="fr-FR"/>
        </w:rPr>
        <w:t>(UNEP/MC/COP.2/19, par.</w:t>
      </w:r>
      <w:r w:rsidR="00107BC9" w:rsidRPr="001A2820">
        <w:rPr>
          <w:lang w:val="fr-FR"/>
        </w:rPr>
        <w:t> </w:t>
      </w:r>
      <w:r w:rsidR="0032612A" w:rsidRPr="001A2820">
        <w:rPr>
          <w:lang w:val="fr-FR"/>
        </w:rPr>
        <w:t>83)</w:t>
      </w:r>
      <w:r w:rsidR="006C5732" w:rsidRPr="001A2820">
        <w:rPr>
          <w:lang w:val="fr-FR"/>
        </w:rPr>
        <w:t xml:space="preserve">. </w:t>
      </w:r>
    </w:p>
    <w:p w14:paraId="704EFC39" w14:textId="28D825ED" w:rsidR="0032612A" w:rsidRPr="001A2820" w:rsidRDefault="00BC42A7" w:rsidP="0032612A">
      <w:pPr>
        <w:pStyle w:val="Normalnumber"/>
        <w:numPr>
          <w:ilvl w:val="0"/>
          <w:numId w:val="6"/>
        </w:numPr>
        <w:tabs>
          <w:tab w:val="clear" w:pos="1134"/>
          <w:tab w:val="clear" w:pos="1247"/>
          <w:tab w:val="clear" w:pos="1814"/>
          <w:tab w:val="clear" w:pos="2381"/>
          <w:tab w:val="clear" w:pos="2948"/>
          <w:tab w:val="clear" w:pos="3515"/>
          <w:tab w:val="clear" w:pos="4082"/>
          <w:tab w:val="num" w:pos="624"/>
        </w:tabs>
        <w:rPr>
          <w:lang w:val="fr-FR"/>
        </w:rPr>
      </w:pPr>
      <w:r w:rsidRPr="001A2820">
        <w:rPr>
          <w:bCs/>
          <w:lang w:val="fr-FR"/>
        </w:rPr>
        <w:t xml:space="preserve">Après la clôture de la deuxième réunion de la Conférence des Parties, le mémorandum d’accord, tel qu’adopté, a été communiqué au Conseil du FEM, qui </w:t>
      </w:r>
      <w:r w:rsidR="0014695B">
        <w:rPr>
          <w:bCs/>
          <w:lang w:val="fr-FR"/>
        </w:rPr>
        <w:t>l’</w:t>
      </w:r>
      <w:r w:rsidRPr="001A2820">
        <w:rPr>
          <w:bCs/>
          <w:lang w:val="fr-FR"/>
        </w:rPr>
        <w:t>a examiné et approuvé</w:t>
      </w:r>
      <w:r w:rsidR="0014695B">
        <w:rPr>
          <w:bCs/>
          <w:lang w:val="fr-FR"/>
        </w:rPr>
        <w:t xml:space="preserve"> à</w:t>
      </w:r>
      <w:r w:rsidRPr="001A2820">
        <w:rPr>
          <w:bCs/>
          <w:lang w:val="fr-FR"/>
        </w:rPr>
        <w:t xml:space="preserve"> sa cinquante-sixième réunion</w:t>
      </w:r>
      <w:r w:rsidR="0032612A" w:rsidRPr="001A2820">
        <w:rPr>
          <w:rStyle w:val="FootnoteReference"/>
          <w:bCs/>
          <w:lang w:val="fr-FR"/>
        </w:rPr>
        <w:footnoteReference w:id="2"/>
      </w:r>
      <w:r w:rsidR="00DB443A" w:rsidRPr="001A2820">
        <w:rPr>
          <w:bCs/>
          <w:lang w:val="fr-FR"/>
        </w:rPr>
        <w:t>.</w:t>
      </w:r>
    </w:p>
    <w:p w14:paraId="212F0514" w14:textId="770FB0CC" w:rsidR="0032612A" w:rsidRPr="001A2820" w:rsidRDefault="00DB443A" w:rsidP="0032612A">
      <w:pPr>
        <w:pStyle w:val="Normalnumber"/>
        <w:numPr>
          <w:ilvl w:val="0"/>
          <w:numId w:val="6"/>
        </w:numPr>
        <w:tabs>
          <w:tab w:val="clear" w:pos="1134"/>
          <w:tab w:val="clear" w:pos="1247"/>
          <w:tab w:val="clear" w:pos="1814"/>
          <w:tab w:val="clear" w:pos="2381"/>
          <w:tab w:val="clear" w:pos="2948"/>
          <w:tab w:val="clear" w:pos="3515"/>
          <w:tab w:val="clear" w:pos="4082"/>
          <w:tab w:val="num" w:pos="624"/>
        </w:tabs>
        <w:rPr>
          <w:lang w:val="fr-FR"/>
        </w:rPr>
      </w:pPr>
      <w:r w:rsidRPr="001A2820">
        <w:rPr>
          <w:bCs/>
          <w:lang w:val="fr-FR"/>
        </w:rPr>
        <w:lastRenderedPageBreak/>
        <w:t>Le mémorandum d’accord entre la Conférence des Parties et le Conseil du FEM est à présent en vigueur</w:t>
      </w:r>
      <w:r w:rsidR="0032612A" w:rsidRPr="001A2820">
        <w:rPr>
          <w:bCs/>
          <w:lang w:val="fr-FR"/>
        </w:rPr>
        <w:t xml:space="preserve">. </w:t>
      </w:r>
    </w:p>
    <w:p w14:paraId="471AFCB5" w14:textId="23AA3EF4" w:rsidR="00BD5045" w:rsidRPr="001A2820" w:rsidRDefault="00B303F7" w:rsidP="00B87A21">
      <w:pPr>
        <w:pStyle w:val="Normalnumber"/>
        <w:keepNext/>
        <w:keepLines/>
        <w:tabs>
          <w:tab w:val="clear" w:pos="1134"/>
          <w:tab w:val="clear" w:pos="1247"/>
          <w:tab w:val="clear" w:pos="1814"/>
          <w:tab w:val="clear" w:pos="2381"/>
          <w:tab w:val="clear" w:pos="2948"/>
          <w:tab w:val="clear" w:pos="3515"/>
          <w:tab w:val="clear" w:pos="4082"/>
          <w:tab w:val="num" w:pos="624"/>
        </w:tabs>
        <w:rPr>
          <w:bCs/>
          <w:lang w:val="fr-FR"/>
        </w:rPr>
      </w:pPr>
      <w:r w:rsidRPr="001A2820">
        <w:rPr>
          <w:lang w:val="fr-FR"/>
        </w:rPr>
        <w:t>Des informations actualisées concernant le FEM ont été fournie</w:t>
      </w:r>
      <w:r w:rsidR="005B11C7">
        <w:rPr>
          <w:lang w:val="fr-FR"/>
        </w:rPr>
        <w:t>s à la Conférence des Parties à </w:t>
      </w:r>
      <w:r w:rsidRPr="001A2820">
        <w:rPr>
          <w:lang w:val="fr-FR"/>
        </w:rPr>
        <w:t xml:space="preserve">ses première, deuxième et troisième réunions </w:t>
      </w:r>
      <w:r w:rsidR="00D45B7D" w:rsidRPr="001A2820">
        <w:rPr>
          <w:lang w:val="fr-FR"/>
        </w:rPr>
        <w:t>(</w:t>
      </w:r>
      <w:r w:rsidR="00D45B7D" w:rsidRPr="001A2820">
        <w:rPr>
          <w:szCs w:val="18"/>
          <w:lang w:val="fr-FR"/>
        </w:rPr>
        <w:t>UNEP/MC/COP.1/INF/3, UNEP/MC/COP.2/INF/3, UNEP/MC/COP.3/INF/2)</w:t>
      </w:r>
      <w:r w:rsidR="00656010" w:rsidRPr="001A2820">
        <w:rPr>
          <w:lang w:val="fr-FR"/>
        </w:rPr>
        <w:t>.</w:t>
      </w:r>
      <w:r w:rsidRPr="001A2820">
        <w:rPr>
          <w:lang w:val="fr-FR"/>
        </w:rPr>
        <w:t xml:space="preserve"> Des informations sur l’efficacité</w:t>
      </w:r>
      <w:r w:rsidR="00656010" w:rsidRPr="001A2820">
        <w:rPr>
          <w:lang w:val="fr-FR"/>
        </w:rPr>
        <w:t xml:space="preserve"> </w:t>
      </w:r>
      <w:r w:rsidR="00D33D0A" w:rsidRPr="001A2820">
        <w:rPr>
          <w:lang w:val="fr-FR"/>
        </w:rPr>
        <w:t>du financement</w:t>
      </w:r>
      <w:r w:rsidR="00BD5045" w:rsidRPr="001A2820">
        <w:rPr>
          <w:lang w:val="fr-FR"/>
        </w:rPr>
        <w:t xml:space="preserve"> </w:t>
      </w:r>
      <w:r w:rsidR="00C76B86">
        <w:rPr>
          <w:lang w:val="fr-FR"/>
        </w:rPr>
        <w:t>fourni</w:t>
      </w:r>
      <w:r w:rsidR="00D33D0A" w:rsidRPr="001A2820">
        <w:rPr>
          <w:lang w:val="fr-FR"/>
        </w:rPr>
        <w:t xml:space="preserve"> par le FEM et sur la capacité d</w:t>
      </w:r>
      <w:r w:rsidR="00C76B86">
        <w:rPr>
          <w:lang w:val="fr-FR"/>
        </w:rPr>
        <w:t>e ce dernier</w:t>
      </w:r>
      <w:r w:rsidR="00D33D0A" w:rsidRPr="001A2820">
        <w:rPr>
          <w:lang w:val="fr-FR"/>
        </w:rPr>
        <w:t xml:space="preserve"> à répondre aux besoins en évolution des Parties qui sont des pays en développement </w:t>
      </w:r>
      <w:r w:rsidR="00C76B86">
        <w:rPr>
          <w:lang w:val="fr-FR"/>
        </w:rPr>
        <w:t>ou</w:t>
      </w:r>
      <w:r w:rsidR="00D33D0A" w:rsidRPr="001A2820">
        <w:rPr>
          <w:lang w:val="fr-FR"/>
        </w:rPr>
        <w:t xml:space="preserve"> à économie en transition</w:t>
      </w:r>
      <w:r w:rsidR="00BD5045" w:rsidRPr="001A2820">
        <w:rPr>
          <w:lang w:val="fr-FR"/>
        </w:rPr>
        <w:t xml:space="preserve"> </w:t>
      </w:r>
      <w:r w:rsidR="00D33D0A" w:rsidRPr="001A2820">
        <w:rPr>
          <w:lang w:val="fr-FR"/>
        </w:rPr>
        <w:t>figurent dans les rapports</w:t>
      </w:r>
      <w:r w:rsidR="00BD5045" w:rsidRPr="001A2820">
        <w:rPr>
          <w:lang w:val="fr-FR"/>
        </w:rPr>
        <w:t xml:space="preserve"> </w:t>
      </w:r>
      <w:r w:rsidR="00D33D0A" w:rsidRPr="001A2820">
        <w:rPr>
          <w:lang w:val="fr-FR"/>
        </w:rPr>
        <w:t>du Bureau indépendant d’évaluation du FEM</w:t>
      </w:r>
      <w:r w:rsidR="00113D07" w:rsidRPr="001A2820">
        <w:rPr>
          <w:rStyle w:val="FootnoteReference"/>
          <w:lang w:val="fr-FR"/>
        </w:rPr>
        <w:footnoteReference w:id="3"/>
      </w:r>
      <w:r w:rsidR="00D33D0A" w:rsidRPr="001A2820">
        <w:rPr>
          <w:lang w:val="fr-FR"/>
        </w:rPr>
        <w:t>.</w:t>
      </w:r>
      <w:r w:rsidR="00BD5045" w:rsidRPr="001A2820">
        <w:rPr>
          <w:bCs/>
          <w:lang w:val="fr-FR"/>
        </w:rPr>
        <w:t xml:space="preserve"> </w:t>
      </w:r>
    </w:p>
    <w:p w14:paraId="715D8FC8" w14:textId="2CA9591C" w:rsidR="00364032" w:rsidRPr="001A2820" w:rsidRDefault="00364032" w:rsidP="003A0358">
      <w:pPr>
        <w:pStyle w:val="CH1"/>
        <w:rPr>
          <w:lang w:val="fr-FR"/>
        </w:rPr>
      </w:pPr>
      <w:r w:rsidRPr="001A2820">
        <w:rPr>
          <w:lang w:val="fr-FR"/>
        </w:rPr>
        <w:tab/>
      </w:r>
      <w:r w:rsidR="008949DE">
        <w:rPr>
          <w:lang w:val="fr-FR"/>
        </w:rPr>
        <w:t>II</w:t>
      </w:r>
      <w:r w:rsidRPr="001A2820">
        <w:rPr>
          <w:lang w:val="fr-FR"/>
        </w:rPr>
        <w:t>.</w:t>
      </w:r>
      <w:r w:rsidRPr="001A2820">
        <w:rPr>
          <w:lang w:val="fr-FR"/>
        </w:rPr>
        <w:tab/>
      </w:r>
      <w:r w:rsidR="00D33D0A" w:rsidRPr="001A2820">
        <w:rPr>
          <w:lang w:val="fr-FR"/>
        </w:rPr>
        <w:t>Appui du Programme international spécifique à la Convention de Minamata</w:t>
      </w:r>
    </w:p>
    <w:p w14:paraId="2D61D84E" w14:textId="7B68AF1B" w:rsidR="003E12A0" w:rsidRPr="001A2820" w:rsidRDefault="00D33D0A"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Le p</w:t>
      </w:r>
      <w:r w:rsidR="003E12A0" w:rsidRPr="001A2820">
        <w:rPr>
          <w:lang w:val="fr-FR"/>
        </w:rPr>
        <w:t>aragraph</w:t>
      </w:r>
      <w:r w:rsidRPr="001A2820">
        <w:rPr>
          <w:lang w:val="fr-FR"/>
        </w:rPr>
        <w:t>e </w:t>
      </w:r>
      <w:r w:rsidR="003E12A0" w:rsidRPr="001A2820">
        <w:rPr>
          <w:lang w:val="fr-FR"/>
        </w:rPr>
        <w:t xml:space="preserve">9 </w:t>
      </w:r>
      <w:r w:rsidRPr="001A2820">
        <w:rPr>
          <w:lang w:val="fr-FR"/>
        </w:rPr>
        <w:t>de l’</w:t>
      </w:r>
      <w:r w:rsidR="003E12A0" w:rsidRPr="001A2820">
        <w:rPr>
          <w:lang w:val="fr-FR"/>
        </w:rPr>
        <w:t>article</w:t>
      </w:r>
      <w:r w:rsidRPr="001A2820">
        <w:rPr>
          <w:lang w:val="fr-FR"/>
        </w:rPr>
        <w:t> </w:t>
      </w:r>
      <w:r w:rsidR="003E12A0" w:rsidRPr="001A2820">
        <w:rPr>
          <w:lang w:val="fr-FR"/>
        </w:rPr>
        <w:t xml:space="preserve">13 </w:t>
      </w:r>
      <w:bookmarkStart w:id="8" w:name="_Hlk17960516"/>
      <w:r w:rsidRPr="001A2820">
        <w:rPr>
          <w:lang w:val="fr-FR"/>
        </w:rPr>
        <w:t>stipule que le</w:t>
      </w:r>
      <w:r w:rsidR="003E12A0" w:rsidRPr="001A2820">
        <w:rPr>
          <w:lang w:val="fr-FR"/>
        </w:rPr>
        <w:t xml:space="preserve"> </w:t>
      </w:r>
      <w:r w:rsidR="00A02CB4" w:rsidRPr="001A2820">
        <w:rPr>
          <w:lang w:val="fr-FR"/>
        </w:rPr>
        <w:t>Programme international spécifique sera placé sous la direction de la Conférence des Parties à laquelle il rendra compte</w:t>
      </w:r>
      <w:bookmarkEnd w:id="8"/>
      <w:r w:rsidR="003E12A0" w:rsidRPr="001A2820">
        <w:rPr>
          <w:lang w:val="fr-FR"/>
        </w:rPr>
        <w:t>.</w:t>
      </w:r>
      <w:r w:rsidR="005B11C7">
        <w:rPr>
          <w:lang w:val="fr-FR"/>
        </w:rPr>
        <w:t xml:space="preserve"> À sa première réunion, dans </w:t>
      </w:r>
      <w:r w:rsidR="00A02CB4" w:rsidRPr="001A2820">
        <w:rPr>
          <w:lang w:val="fr-FR"/>
        </w:rPr>
        <w:t>sa décision </w:t>
      </w:r>
      <w:r w:rsidR="00DD02D3" w:rsidRPr="001A2820">
        <w:rPr>
          <w:lang w:val="fr-FR"/>
        </w:rPr>
        <w:t>MC-1/6,</w:t>
      </w:r>
      <w:r w:rsidR="003E12A0" w:rsidRPr="001A2820">
        <w:rPr>
          <w:lang w:val="fr-FR"/>
        </w:rPr>
        <w:t xml:space="preserve"> </w:t>
      </w:r>
      <w:r w:rsidR="00A02CB4" w:rsidRPr="001A2820">
        <w:rPr>
          <w:lang w:val="fr-FR"/>
        </w:rPr>
        <w:t>la Conférence des Parties a décidé que le Programme</w:t>
      </w:r>
      <w:r w:rsidR="003E12A0" w:rsidRPr="001A2820">
        <w:rPr>
          <w:lang w:val="fr-FR"/>
        </w:rPr>
        <w:t xml:space="preserve"> </w:t>
      </w:r>
      <w:r w:rsidR="00A02CB4" w:rsidRPr="001A2820">
        <w:rPr>
          <w:lang w:val="fr-FR"/>
        </w:rPr>
        <w:t>devait être ouvert aux contributions et aux demandes d’aide pour une période de 10 ans à compter de la date de création de son fonds d’affectation spécial</w:t>
      </w:r>
      <w:r w:rsidR="00693667">
        <w:rPr>
          <w:lang w:val="fr-FR"/>
        </w:rPr>
        <w:t>e</w:t>
      </w:r>
      <w:r w:rsidR="00A02CB4" w:rsidRPr="001A2820">
        <w:rPr>
          <w:lang w:val="fr-FR"/>
        </w:rPr>
        <w:t xml:space="preserve"> et que</w:t>
      </w:r>
      <w:r w:rsidR="00DD02D3" w:rsidRPr="001A2820">
        <w:rPr>
          <w:lang w:val="fr-FR"/>
        </w:rPr>
        <w:t xml:space="preserve"> </w:t>
      </w:r>
      <w:r w:rsidR="00A02CB4" w:rsidRPr="001A2820">
        <w:rPr>
          <w:lang w:val="fr-FR"/>
        </w:rPr>
        <w:t>la</w:t>
      </w:r>
      <w:r w:rsidR="003E12A0" w:rsidRPr="001A2820">
        <w:rPr>
          <w:lang w:val="fr-FR"/>
        </w:rPr>
        <w:t xml:space="preserve"> Conf</w:t>
      </w:r>
      <w:r w:rsidR="00A02CB4" w:rsidRPr="001A2820">
        <w:rPr>
          <w:lang w:val="fr-FR"/>
        </w:rPr>
        <w:t>é</w:t>
      </w:r>
      <w:r w:rsidR="003E12A0" w:rsidRPr="001A2820">
        <w:rPr>
          <w:lang w:val="fr-FR"/>
        </w:rPr>
        <w:t xml:space="preserve">rence </w:t>
      </w:r>
      <w:r w:rsidR="00A02CB4" w:rsidRPr="001A2820">
        <w:rPr>
          <w:lang w:val="fr-FR"/>
        </w:rPr>
        <w:t>des</w:t>
      </w:r>
      <w:r w:rsidR="003E12A0" w:rsidRPr="001A2820">
        <w:rPr>
          <w:lang w:val="fr-FR"/>
        </w:rPr>
        <w:t xml:space="preserve"> </w:t>
      </w:r>
      <w:r w:rsidR="00357141" w:rsidRPr="001A2820">
        <w:rPr>
          <w:lang w:val="fr-FR"/>
        </w:rPr>
        <w:t>Parties</w:t>
      </w:r>
      <w:r w:rsidR="00A02CB4" w:rsidRPr="001A2820">
        <w:rPr>
          <w:lang w:val="fr-FR"/>
        </w:rPr>
        <w:t xml:space="preserve"> pourrait décider de prolonger cette période, sans toutefois dépasser sept ans supplémentaires, compte tenu du processus d’examen décrit au paragraphe 11 d</w:t>
      </w:r>
      <w:r w:rsidR="008949DE">
        <w:rPr>
          <w:lang w:val="fr-FR"/>
        </w:rPr>
        <w:t>e l’</w:t>
      </w:r>
      <w:r w:rsidR="00A02CB4" w:rsidRPr="001A2820">
        <w:rPr>
          <w:lang w:val="fr-FR"/>
        </w:rPr>
        <w:t>article</w:t>
      </w:r>
      <w:r w:rsidR="008949DE">
        <w:rPr>
          <w:lang w:val="fr-FR"/>
        </w:rPr>
        <w:t> 13</w:t>
      </w:r>
      <w:r w:rsidR="00A02CB4" w:rsidRPr="001A2820">
        <w:rPr>
          <w:lang w:val="fr-FR"/>
        </w:rPr>
        <w:t xml:space="preserve"> </w:t>
      </w:r>
      <w:r w:rsidR="005E12A9">
        <w:rPr>
          <w:lang w:val="fr-FR"/>
        </w:rPr>
        <w:t>ainsi qu’aux paragraphes 2 et </w:t>
      </w:r>
      <w:r w:rsidR="00A02CB4" w:rsidRPr="001A2820">
        <w:rPr>
          <w:lang w:val="fr-FR"/>
        </w:rPr>
        <w:t>3 de la présente note</w:t>
      </w:r>
      <w:r w:rsidR="003E12A0" w:rsidRPr="001A2820">
        <w:rPr>
          <w:lang w:val="fr-FR"/>
        </w:rPr>
        <w:t>.</w:t>
      </w:r>
      <w:r w:rsidR="00A02CB4" w:rsidRPr="001A2820">
        <w:rPr>
          <w:lang w:val="fr-FR"/>
        </w:rPr>
        <w:t xml:space="preserve"> En conséquence, </w:t>
      </w:r>
      <w:r w:rsidR="004B28CF" w:rsidRPr="001A2820">
        <w:rPr>
          <w:lang w:val="fr-FR"/>
        </w:rPr>
        <w:t xml:space="preserve">à la </w:t>
      </w:r>
      <w:r w:rsidR="00A02CB4" w:rsidRPr="001A2820">
        <w:rPr>
          <w:lang w:val="fr-FR"/>
        </w:rPr>
        <w:t xml:space="preserve">suite </w:t>
      </w:r>
      <w:r w:rsidR="004B28CF" w:rsidRPr="001A2820">
        <w:rPr>
          <w:lang w:val="fr-FR"/>
        </w:rPr>
        <w:t xml:space="preserve">de </w:t>
      </w:r>
      <w:r w:rsidR="00A02CB4" w:rsidRPr="001A2820">
        <w:rPr>
          <w:lang w:val="fr-FR"/>
        </w:rPr>
        <w:t>la création</w:t>
      </w:r>
      <w:r w:rsidR="003E12A0" w:rsidRPr="001A2820">
        <w:rPr>
          <w:lang w:val="fr-FR"/>
        </w:rPr>
        <w:t xml:space="preserve"> </w:t>
      </w:r>
      <w:r w:rsidR="004B28CF" w:rsidRPr="001A2820">
        <w:rPr>
          <w:lang w:val="fr-FR"/>
        </w:rPr>
        <w:t xml:space="preserve">du </w:t>
      </w:r>
      <w:bookmarkStart w:id="9" w:name="_Hlk17813100"/>
      <w:r w:rsidR="004B28CF" w:rsidRPr="001A2820">
        <w:rPr>
          <w:lang w:val="fr-FR"/>
        </w:rPr>
        <w:t xml:space="preserve">Fonds d’affectation spéciale particulier </w:t>
      </w:r>
      <w:bookmarkEnd w:id="9"/>
      <w:r w:rsidR="004B28CF" w:rsidRPr="001A2820">
        <w:rPr>
          <w:lang w:val="fr-FR"/>
        </w:rPr>
        <w:t xml:space="preserve">par le </w:t>
      </w:r>
      <w:r w:rsidR="00CB6730" w:rsidRPr="001A2820">
        <w:rPr>
          <w:lang w:val="fr-FR"/>
        </w:rPr>
        <w:t>Programme des Nations Unies pour l’environnement</w:t>
      </w:r>
      <w:r w:rsidR="00E1234C">
        <w:rPr>
          <w:lang w:val="fr-FR"/>
        </w:rPr>
        <w:t xml:space="preserve"> (PNUE)</w:t>
      </w:r>
      <w:r w:rsidR="004B28CF" w:rsidRPr="001A2820">
        <w:rPr>
          <w:lang w:val="fr-FR"/>
        </w:rPr>
        <w:t xml:space="preserve"> en janvier </w:t>
      </w:r>
      <w:r w:rsidR="00907B30" w:rsidRPr="001A2820">
        <w:rPr>
          <w:lang w:val="fr-FR"/>
        </w:rPr>
        <w:t>2018</w:t>
      </w:r>
      <w:r w:rsidR="004B28CF" w:rsidRPr="001A2820">
        <w:rPr>
          <w:lang w:val="fr-FR"/>
        </w:rPr>
        <w:t>, conformément à la décision </w:t>
      </w:r>
      <w:r w:rsidR="00907B30" w:rsidRPr="001A2820">
        <w:rPr>
          <w:lang w:val="fr-FR"/>
        </w:rPr>
        <w:t>MC</w:t>
      </w:r>
      <w:r w:rsidR="00907B30" w:rsidRPr="001A2820">
        <w:rPr>
          <w:lang w:val="fr-FR"/>
        </w:rPr>
        <w:noBreakHyphen/>
      </w:r>
      <w:r w:rsidR="00DD02D3" w:rsidRPr="001A2820">
        <w:rPr>
          <w:lang w:val="fr-FR"/>
        </w:rPr>
        <w:t>1/10</w:t>
      </w:r>
      <w:r w:rsidR="00955D70" w:rsidRPr="001A2820">
        <w:rPr>
          <w:lang w:val="fr-FR"/>
        </w:rPr>
        <w:t>,</w:t>
      </w:r>
      <w:r w:rsidR="00956F1F" w:rsidRPr="001A2820">
        <w:rPr>
          <w:lang w:val="fr-FR"/>
        </w:rPr>
        <w:t xml:space="preserve"> </w:t>
      </w:r>
      <w:r w:rsidR="004B28CF" w:rsidRPr="001A2820">
        <w:rPr>
          <w:lang w:val="fr-FR"/>
        </w:rPr>
        <w:t>le</w:t>
      </w:r>
      <w:r w:rsidR="003E12A0" w:rsidRPr="001A2820">
        <w:rPr>
          <w:lang w:val="fr-FR"/>
        </w:rPr>
        <w:t xml:space="preserve"> Programme </w:t>
      </w:r>
      <w:r w:rsidR="004B28CF" w:rsidRPr="001A2820">
        <w:rPr>
          <w:lang w:val="fr-FR"/>
        </w:rPr>
        <w:t>est opérationnel pour une période initiale de 10 ans, jusqu’en</w:t>
      </w:r>
      <w:r w:rsidR="003E12A0" w:rsidRPr="001A2820">
        <w:rPr>
          <w:lang w:val="fr-FR"/>
        </w:rPr>
        <w:t xml:space="preserve"> 2028.</w:t>
      </w:r>
    </w:p>
    <w:p w14:paraId="1A37F2E4" w14:textId="0015F43D" w:rsidR="00C0264B" w:rsidRPr="001A2820" w:rsidRDefault="006C1D13"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Alors que le FEM a fourni un financement en rapport a</w:t>
      </w:r>
      <w:r w:rsidR="005B11C7">
        <w:rPr>
          <w:lang w:val="fr-FR"/>
        </w:rPr>
        <w:t>vec le mercure au cours des six </w:t>
      </w:r>
      <w:r w:rsidRPr="001A2820">
        <w:rPr>
          <w:lang w:val="fr-FR"/>
        </w:rPr>
        <w:t xml:space="preserve">dernières années, </w:t>
      </w:r>
      <w:r w:rsidR="00C76B86">
        <w:rPr>
          <w:lang w:val="fr-FR"/>
        </w:rPr>
        <w:t xml:space="preserve">à savoir </w:t>
      </w:r>
      <w:r w:rsidRPr="001A2820">
        <w:rPr>
          <w:lang w:val="fr-FR"/>
        </w:rPr>
        <w:t>depuis 2013, le Programme international spécifique n’est opérationnel que depuis 18 mois</w:t>
      </w:r>
      <w:r w:rsidR="00134617" w:rsidRPr="001A2820">
        <w:rPr>
          <w:lang w:val="fr-FR"/>
        </w:rPr>
        <w:t xml:space="preserve">. </w:t>
      </w:r>
      <w:r w:rsidRPr="001A2820">
        <w:rPr>
          <w:lang w:val="fr-FR"/>
        </w:rPr>
        <w:t>Le</w:t>
      </w:r>
      <w:r w:rsidR="00134617" w:rsidRPr="001A2820">
        <w:rPr>
          <w:lang w:val="fr-FR"/>
        </w:rPr>
        <w:t xml:space="preserve"> </w:t>
      </w:r>
      <w:r w:rsidRPr="001A2820">
        <w:rPr>
          <w:lang w:val="fr-FR"/>
        </w:rPr>
        <w:t>Fonds d’affectation spéciale particulier est ouvert aux contributions depuis janvier </w:t>
      </w:r>
      <w:r w:rsidR="0079185B" w:rsidRPr="001A2820">
        <w:rPr>
          <w:lang w:val="fr-FR"/>
        </w:rPr>
        <w:t>2018</w:t>
      </w:r>
      <w:r w:rsidR="00C414DD" w:rsidRPr="001A2820">
        <w:rPr>
          <w:lang w:val="fr-FR"/>
        </w:rPr>
        <w:t xml:space="preserve">. </w:t>
      </w:r>
      <w:r w:rsidRPr="001A2820">
        <w:rPr>
          <w:lang w:val="fr-FR"/>
        </w:rPr>
        <w:t>Le Conseil d’administration</w:t>
      </w:r>
      <w:r w:rsidR="00091704" w:rsidRPr="001A2820">
        <w:rPr>
          <w:lang w:val="fr-FR"/>
        </w:rPr>
        <w:t xml:space="preserve"> a été constitué au début de l’année </w:t>
      </w:r>
      <w:r w:rsidR="00C414DD" w:rsidRPr="001A2820">
        <w:rPr>
          <w:lang w:val="fr-FR"/>
        </w:rPr>
        <w:t xml:space="preserve">2018 </w:t>
      </w:r>
      <w:r w:rsidR="00091704" w:rsidRPr="001A2820">
        <w:rPr>
          <w:lang w:val="fr-FR"/>
        </w:rPr>
        <w:t>et le</w:t>
      </w:r>
      <w:r w:rsidR="00C414DD" w:rsidRPr="001A2820">
        <w:rPr>
          <w:lang w:val="fr-FR"/>
        </w:rPr>
        <w:t xml:space="preserve"> </w:t>
      </w:r>
      <w:r w:rsidR="00091704" w:rsidRPr="001A2820">
        <w:rPr>
          <w:lang w:val="fr-FR"/>
        </w:rPr>
        <w:t>premier cycle de dépôt de demandes de financement au titre du Programme international spécifique a été ouvert du 5 juin au 31 août </w:t>
      </w:r>
      <w:r w:rsidR="00C414DD" w:rsidRPr="001A2820">
        <w:rPr>
          <w:lang w:val="fr-FR"/>
        </w:rPr>
        <w:t>2018.</w:t>
      </w:r>
      <w:r w:rsidR="00091704" w:rsidRPr="001A2820">
        <w:rPr>
          <w:lang w:val="fr-FR"/>
        </w:rPr>
        <w:t xml:space="preserve"> À la suite du premier cycle de dépôt de demandes, le Conseil d’administration a approuvé le financement de cinq projets</w:t>
      </w:r>
      <w:r w:rsidR="00C414DD" w:rsidRPr="001A2820">
        <w:rPr>
          <w:lang w:val="fr-FR"/>
        </w:rPr>
        <w:t xml:space="preserve"> </w:t>
      </w:r>
      <w:r w:rsidR="00091704" w:rsidRPr="001A2820">
        <w:rPr>
          <w:lang w:val="fr-FR"/>
        </w:rPr>
        <w:t>en octobre </w:t>
      </w:r>
      <w:r w:rsidR="00C414DD" w:rsidRPr="001A2820">
        <w:rPr>
          <w:lang w:val="fr-FR"/>
        </w:rPr>
        <w:t>2018</w:t>
      </w:r>
      <w:r w:rsidR="00152775" w:rsidRPr="001A2820">
        <w:rPr>
          <w:vertAlign w:val="superscript"/>
          <w:lang w:val="fr-FR"/>
        </w:rPr>
        <w:footnoteReference w:id="4"/>
      </w:r>
      <w:r w:rsidR="00091704" w:rsidRPr="001A2820">
        <w:rPr>
          <w:lang w:val="fr-FR"/>
        </w:rPr>
        <w:t>.</w:t>
      </w:r>
      <w:r w:rsidR="00C414DD" w:rsidRPr="001A2820">
        <w:rPr>
          <w:lang w:val="fr-FR"/>
        </w:rPr>
        <w:t xml:space="preserve"> </w:t>
      </w:r>
      <w:r w:rsidR="00091704" w:rsidRPr="001A2820">
        <w:rPr>
          <w:lang w:val="fr-FR"/>
        </w:rPr>
        <w:t>Le deuxième</w:t>
      </w:r>
      <w:r w:rsidR="00C414DD" w:rsidRPr="001A2820">
        <w:rPr>
          <w:lang w:val="fr-FR"/>
        </w:rPr>
        <w:t xml:space="preserve"> </w:t>
      </w:r>
      <w:bookmarkStart w:id="10" w:name="_Hlk17815872"/>
      <w:r w:rsidR="00091704" w:rsidRPr="001A2820">
        <w:rPr>
          <w:lang w:val="fr-FR"/>
        </w:rPr>
        <w:t xml:space="preserve">cycle de dépôt de demandes de financement </w:t>
      </w:r>
      <w:bookmarkEnd w:id="10"/>
      <w:r w:rsidR="00091704" w:rsidRPr="001A2820">
        <w:rPr>
          <w:lang w:val="fr-FR"/>
        </w:rPr>
        <w:t xml:space="preserve">au titre du Programme a été ouvert du </w:t>
      </w:r>
      <w:r w:rsidR="00C414DD" w:rsidRPr="001A2820">
        <w:rPr>
          <w:lang w:val="fr-FR"/>
        </w:rPr>
        <w:t>5</w:t>
      </w:r>
      <w:r w:rsidR="00091704" w:rsidRPr="001A2820">
        <w:rPr>
          <w:lang w:val="fr-FR"/>
        </w:rPr>
        <w:t xml:space="preserve"> mars au </w:t>
      </w:r>
      <w:r w:rsidR="00C414DD" w:rsidRPr="001A2820">
        <w:rPr>
          <w:lang w:val="fr-FR"/>
        </w:rPr>
        <w:t>14</w:t>
      </w:r>
      <w:r w:rsidR="00091704" w:rsidRPr="001A2820">
        <w:rPr>
          <w:lang w:val="fr-FR"/>
        </w:rPr>
        <w:t> juin </w:t>
      </w:r>
      <w:r w:rsidR="00C414DD" w:rsidRPr="001A2820">
        <w:rPr>
          <w:lang w:val="fr-FR"/>
        </w:rPr>
        <w:t xml:space="preserve">2019. </w:t>
      </w:r>
      <w:r w:rsidR="00091704" w:rsidRPr="001A2820">
        <w:rPr>
          <w:lang w:val="fr-FR"/>
        </w:rPr>
        <w:t>À sa quatrième réunion, en septembre </w:t>
      </w:r>
      <w:r w:rsidR="00C0264B" w:rsidRPr="001A2820">
        <w:rPr>
          <w:lang w:val="fr-FR"/>
        </w:rPr>
        <w:t xml:space="preserve">2019, </w:t>
      </w:r>
      <w:r w:rsidR="00091704" w:rsidRPr="001A2820">
        <w:rPr>
          <w:lang w:val="fr-FR"/>
        </w:rPr>
        <w:t xml:space="preserve">le Conseil d’administration </w:t>
      </w:r>
      <w:r w:rsidR="00CF6A23">
        <w:rPr>
          <w:lang w:val="fr-FR"/>
        </w:rPr>
        <w:t xml:space="preserve">a </w:t>
      </w:r>
      <w:r w:rsidR="00091704" w:rsidRPr="001A2820">
        <w:rPr>
          <w:lang w:val="fr-FR"/>
        </w:rPr>
        <w:t>approuv</w:t>
      </w:r>
      <w:r w:rsidR="00CF6A23">
        <w:rPr>
          <w:lang w:val="fr-FR"/>
        </w:rPr>
        <w:t>é</w:t>
      </w:r>
      <w:r w:rsidR="00091704" w:rsidRPr="001A2820">
        <w:rPr>
          <w:lang w:val="fr-FR"/>
        </w:rPr>
        <w:t xml:space="preserve"> </w:t>
      </w:r>
      <w:r w:rsidR="002C2CC7" w:rsidRPr="001A2820">
        <w:rPr>
          <w:lang w:val="fr-FR"/>
        </w:rPr>
        <w:t>des</w:t>
      </w:r>
      <w:r w:rsidR="00091704" w:rsidRPr="001A2820">
        <w:rPr>
          <w:lang w:val="fr-FR"/>
        </w:rPr>
        <w:t xml:space="preserve"> projets du deuxième cycle</w:t>
      </w:r>
      <w:r w:rsidR="007A1D41" w:rsidRPr="001A2820">
        <w:rPr>
          <w:lang w:val="fr-FR"/>
        </w:rPr>
        <w:t xml:space="preserve"> </w:t>
      </w:r>
      <w:r w:rsidR="002C2CC7" w:rsidRPr="001A2820">
        <w:rPr>
          <w:lang w:val="fr-FR"/>
        </w:rPr>
        <w:t>au regard du financement reçu avant la réunion</w:t>
      </w:r>
      <w:r w:rsidR="00B87A21" w:rsidRPr="001A2820">
        <w:rPr>
          <w:lang w:val="fr-FR"/>
        </w:rPr>
        <w:t xml:space="preserve">. </w:t>
      </w:r>
      <w:r w:rsidR="002C2CC7" w:rsidRPr="001A2820">
        <w:rPr>
          <w:szCs w:val="18"/>
          <w:lang w:val="fr-FR"/>
        </w:rPr>
        <w:t>Le document final de la quatrième réunion du Conseil d’administration figure dans l’annexe </w:t>
      </w:r>
      <w:r w:rsidR="00C0264B" w:rsidRPr="001A2820">
        <w:rPr>
          <w:szCs w:val="18"/>
          <w:lang w:val="fr-FR"/>
        </w:rPr>
        <w:t xml:space="preserve">III </w:t>
      </w:r>
      <w:r w:rsidR="002C2CC7" w:rsidRPr="001A2820">
        <w:rPr>
          <w:szCs w:val="18"/>
          <w:lang w:val="fr-FR"/>
        </w:rPr>
        <w:t>du</w:t>
      </w:r>
      <w:r w:rsidR="00B87A21" w:rsidRPr="001A2820">
        <w:rPr>
          <w:szCs w:val="18"/>
          <w:lang w:val="fr-FR"/>
        </w:rPr>
        <w:t xml:space="preserve"> document UNEP/MC/COP.3/10/Add.1</w:t>
      </w:r>
      <w:r w:rsidR="00CF6A23">
        <w:rPr>
          <w:szCs w:val="18"/>
          <w:lang w:val="fr-FR"/>
        </w:rPr>
        <w:t>.</w:t>
      </w:r>
    </w:p>
    <w:p w14:paraId="6F6DC5C1" w14:textId="46278538" w:rsidR="00656010" w:rsidRPr="001A2820" w:rsidRDefault="00D36903"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 xml:space="preserve">La mise en œuvre de quatre des cinq premiers projets approuvés dans le cadre du premier cycle de dépôt de demandes a débuté au cours du deuxième trimestre de </w:t>
      </w:r>
      <w:r w:rsidR="007F7E21" w:rsidRPr="001A2820">
        <w:rPr>
          <w:lang w:val="fr-FR"/>
        </w:rPr>
        <w:t>2019</w:t>
      </w:r>
      <w:r w:rsidRPr="001A2820">
        <w:rPr>
          <w:lang w:val="fr-FR"/>
        </w:rPr>
        <w:t>, après la conclusion des accords juridiques requis</w:t>
      </w:r>
      <w:r w:rsidR="007F7E21" w:rsidRPr="001A2820">
        <w:rPr>
          <w:lang w:val="fr-FR"/>
        </w:rPr>
        <w:t>.</w:t>
      </w:r>
      <w:r w:rsidRPr="001A2820">
        <w:rPr>
          <w:lang w:val="fr-FR"/>
        </w:rPr>
        <w:t xml:space="preserve"> </w:t>
      </w:r>
      <w:r w:rsidR="00FD487E">
        <w:rPr>
          <w:lang w:val="fr-FR"/>
        </w:rPr>
        <w:t>N’ay</w:t>
      </w:r>
      <w:r w:rsidR="00C77D6D">
        <w:rPr>
          <w:lang w:val="fr-FR"/>
        </w:rPr>
        <w:t>a</w:t>
      </w:r>
      <w:r w:rsidR="00FD487E">
        <w:rPr>
          <w:lang w:val="fr-FR"/>
        </w:rPr>
        <w:t>n</w:t>
      </w:r>
      <w:r w:rsidR="00C77D6D">
        <w:rPr>
          <w:lang w:val="fr-FR"/>
        </w:rPr>
        <w:t>t que</w:t>
      </w:r>
      <w:r w:rsidRPr="001A2820">
        <w:rPr>
          <w:lang w:val="fr-FR"/>
        </w:rPr>
        <w:t xml:space="preserve"> 18 mois d’expérience, le Conseil d’administration a estimé qu’il était trop tôt pour évaluer </w:t>
      </w:r>
      <w:bookmarkStart w:id="11" w:name="_Hlk17977238"/>
      <w:r w:rsidRPr="001A2820">
        <w:rPr>
          <w:lang w:val="fr-FR"/>
        </w:rPr>
        <w:t>l’efficacité du Programme ainsi que</w:t>
      </w:r>
      <w:r w:rsidR="007F7E21" w:rsidRPr="001A2820">
        <w:rPr>
          <w:lang w:val="fr-FR"/>
        </w:rPr>
        <w:t xml:space="preserve"> </w:t>
      </w:r>
      <w:r w:rsidRPr="001A2820">
        <w:rPr>
          <w:lang w:val="fr-FR"/>
        </w:rPr>
        <w:t xml:space="preserve">sa capacité à répondre aux besoins en évolution des Parties qui sont des pays en développement </w:t>
      </w:r>
      <w:r w:rsidR="00C76B86">
        <w:rPr>
          <w:lang w:val="fr-FR"/>
        </w:rPr>
        <w:t>ou</w:t>
      </w:r>
      <w:r w:rsidRPr="001A2820">
        <w:rPr>
          <w:lang w:val="fr-FR"/>
        </w:rPr>
        <w:t xml:space="preserve"> à économie en transition</w:t>
      </w:r>
      <w:bookmarkEnd w:id="11"/>
      <w:r w:rsidR="00AC6678" w:rsidRPr="001A2820">
        <w:rPr>
          <w:lang w:val="fr-FR"/>
        </w:rPr>
        <w:t>.</w:t>
      </w:r>
      <w:r w:rsidR="004F3FCB" w:rsidRPr="001A2820">
        <w:rPr>
          <w:lang w:val="fr-FR"/>
        </w:rPr>
        <w:t xml:space="preserve"> </w:t>
      </w:r>
    </w:p>
    <w:p w14:paraId="61486E67" w14:textId="056587E5" w:rsidR="00BD5045" w:rsidRPr="001A2820" w:rsidRDefault="00BE11FA"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Concernant le</w:t>
      </w:r>
      <w:r w:rsidR="00B00AA5" w:rsidRPr="001A2820">
        <w:rPr>
          <w:lang w:val="fr-FR"/>
        </w:rPr>
        <w:t xml:space="preserve"> </w:t>
      </w:r>
      <w:r w:rsidRPr="001A2820">
        <w:rPr>
          <w:lang w:val="fr-FR"/>
        </w:rPr>
        <w:t>niveau de financement du Programme international spécifique, les contributeurs au Programme sont, à ce jour, l’Allemagne, l’</w:t>
      </w:r>
      <w:r w:rsidR="00B87A21" w:rsidRPr="001A2820">
        <w:rPr>
          <w:lang w:val="fr-FR"/>
        </w:rPr>
        <w:t>Au</w:t>
      </w:r>
      <w:r w:rsidRPr="001A2820">
        <w:rPr>
          <w:lang w:val="fr-FR"/>
        </w:rPr>
        <w:t>triche</w:t>
      </w:r>
      <w:r w:rsidR="00B87A21" w:rsidRPr="001A2820">
        <w:rPr>
          <w:lang w:val="fr-FR"/>
        </w:rPr>
        <w:t>,</w:t>
      </w:r>
      <w:r w:rsidRPr="001A2820">
        <w:rPr>
          <w:lang w:val="fr-FR"/>
        </w:rPr>
        <w:t xml:space="preserve"> le</w:t>
      </w:r>
      <w:r w:rsidR="00B87A21" w:rsidRPr="001A2820">
        <w:rPr>
          <w:lang w:val="fr-FR"/>
        </w:rPr>
        <w:t xml:space="preserve"> D</w:t>
      </w:r>
      <w:r w:rsidRPr="001A2820">
        <w:rPr>
          <w:lang w:val="fr-FR"/>
        </w:rPr>
        <w:t>ane</w:t>
      </w:r>
      <w:r w:rsidR="00B87A21" w:rsidRPr="001A2820">
        <w:rPr>
          <w:lang w:val="fr-FR"/>
        </w:rPr>
        <w:t xml:space="preserve">mark, </w:t>
      </w:r>
      <w:r w:rsidR="005B11C7">
        <w:rPr>
          <w:lang w:val="fr-FR"/>
        </w:rPr>
        <w:t>les États-Unis d’Amérique, la </w:t>
      </w:r>
      <w:r w:rsidR="00B87A21" w:rsidRPr="001A2820">
        <w:rPr>
          <w:lang w:val="fr-FR"/>
        </w:rPr>
        <w:t>Nor</w:t>
      </w:r>
      <w:r w:rsidRPr="001A2820">
        <w:rPr>
          <w:lang w:val="fr-FR"/>
        </w:rPr>
        <w:t>vège</w:t>
      </w:r>
      <w:r w:rsidR="00B87A21" w:rsidRPr="001A2820">
        <w:rPr>
          <w:lang w:val="fr-FR"/>
        </w:rPr>
        <w:t xml:space="preserve">, </w:t>
      </w:r>
      <w:r w:rsidRPr="001A2820">
        <w:rPr>
          <w:lang w:val="fr-FR"/>
        </w:rPr>
        <w:t>les Pays-Bas, le Royaume-Uni de Grande-Bretagne et d’Irlande du Nord, la Suède et</w:t>
      </w:r>
      <w:r w:rsidR="00B87A21" w:rsidRPr="001A2820">
        <w:rPr>
          <w:lang w:val="fr-FR"/>
        </w:rPr>
        <w:t xml:space="preserve"> </w:t>
      </w:r>
      <w:r w:rsidR="005B11C7">
        <w:rPr>
          <w:lang w:val="fr-FR"/>
        </w:rPr>
        <w:t>la </w:t>
      </w:r>
      <w:r w:rsidRPr="001A2820">
        <w:rPr>
          <w:lang w:val="fr-FR"/>
        </w:rPr>
        <w:t>Suisse</w:t>
      </w:r>
      <w:r w:rsidR="00B87A21" w:rsidRPr="001A2820">
        <w:rPr>
          <w:lang w:val="fr-FR"/>
        </w:rPr>
        <w:t>. A</w:t>
      </w:r>
      <w:r w:rsidRPr="001A2820">
        <w:rPr>
          <w:lang w:val="fr-FR"/>
        </w:rPr>
        <w:t>u</w:t>
      </w:r>
      <w:r w:rsidR="00B87A21" w:rsidRPr="001A2820">
        <w:rPr>
          <w:lang w:val="fr-FR"/>
        </w:rPr>
        <w:t xml:space="preserve"> total</w:t>
      </w:r>
      <w:r w:rsidRPr="001A2820">
        <w:rPr>
          <w:lang w:val="fr-FR"/>
        </w:rPr>
        <w:t xml:space="preserve">, </w:t>
      </w:r>
      <w:r w:rsidR="005752C8" w:rsidRPr="001A2820">
        <w:rPr>
          <w:lang w:val="fr-FR"/>
        </w:rPr>
        <w:t>1</w:t>
      </w:r>
      <w:r w:rsidRPr="001A2820">
        <w:rPr>
          <w:lang w:val="fr-FR"/>
        </w:rPr>
        <w:t> </w:t>
      </w:r>
      <w:r w:rsidR="005752C8" w:rsidRPr="001A2820">
        <w:rPr>
          <w:lang w:val="fr-FR"/>
        </w:rPr>
        <w:t>281</w:t>
      </w:r>
      <w:r w:rsidRPr="001A2820">
        <w:rPr>
          <w:lang w:val="fr-FR"/>
        </w:rPr>
        <w:t> </w:t>
      </w:r>
      <w:r w:rsidR="005752C8" w:rsidRPr="001A2820">
        <w:rPr>
          <w:lang w:val="fr-FR"/>
        </w:rPr>
        <w:t>448</w:t>
      </w:r>
      <w:r w:rsidRPr="001A2820">
        <w:rPr>
          <w:lang w:val="fr-FR"/>
        </w:rPr>
        <w:t> dollars ont été reçus pour le premier cycle</w:t>
      </w:r>
      <w:r w:rsidR="005752C8" w:rsidRPr="001A2820">
        <w:rPr>
          <w:lang w:val="fr-FR"/>
        </w:rPr>
        <w:t xml:space="preserve"> </w:t>
      </w:r>
      <w:r w:rsidRPr="001A2820">
        <w:rPr>
          <w:lang w:val="fr-FR"/>
        </w:rPr>
        <w:t xml:space="preserve">de dépôt de demandes </w:t>
      </w:r>
      <w:r w:rsidR="005752C8" w:rsidRPr="001A2820">
        <w:rPr>
          <w:lang w:val="fr-FR"/>
        </w:rPr>
        <w:t xml:space="preserve">(2018) </w:t>
      </w:r>
      <w:r w:rsidRPr="001A2820">
        <w:rPr>
          <w:lang w:val="fr-FR"/>
        </w:rPr>
        <w:t>et</w:t>
      </w:r>
      <w:r w:rsidR="005752C8" w:rsidRPr="001A2820">
        <w:rPr>
          <w:lang w:val="fr-FR"/>
        </w:rPr>
        <w:t xml:space="preserve"> 2</w:t>
      </w:r>
      <w:r w:rsidRPr="001A2820">
        <w:rPr>
          <w:lang w:val="fr-FR"/>
        </w:rPr>
        <w:t> </w:t>
      </w:r>
      <w:r w:rsidR="005752C8" w:rsidRPr="001A2820">
        <w:rPr>
          <w:lang w:val="fr-FR"/>
        </w:rPr>
        <w:t>414</w:t>
      </w:r>
      <w:r w:rsidRPr="001A2820">
        <w:rPr>
          <w:lang w:val="fr-FR"/>
        </w:rPr>
        <w:t> </w:t>
      </w:r>
      <w:r w:rsidR="005752C8" w:rsidRPr="001A2820">
        <w:rPr>
          <w:lang w:val="fr-FR"/>
        </w:rPr>
        <w:t>413</w:t>
      </w:r>
      <w:r w:rsidRPr="001A2820">
        <w:rPr>
          <w:lang w:val="fr-FR"/>
        </w:rPr>
        <w:t> dollars</w:t>
      </w:r>
      <w:r w:rsidR="00B87A21" w:rsidRPr="001A2820">
        <w:rPr>
          <w:lang w:val="fr-FR"/>
        </w:rPr>
        <w:t xml:space="preserve"> </w:t>
      </w:r>
      <w:r w:rsidR="00FD487E" w:rsidRPr="00FD487E">
        <w:rPr>
          <w:lang w:val="fr-FR"/>
        </w:rPr>
        <w:t>pour le deuxième cycle (2019)</w:t>
      </w:r>
      <w:r w:rsidR="00FD487E">
        <w:rPr>
          <w:lang w:val="fr-FR"/>
        </w:rPr>
        <w:t>,</w:t>
      </w:r>
      <w:r w:rsidR="00FD487E" w:rsidRPr="00FD487E">
        <w:rPr>
          <w:lang w:val="fr-FR"/>
        </w:rPr>
        <w:t xml:space="preserve"> </w:t>
      </w:r>
      <w:r w:rsidRPr="001A2820">
        <w:rPr>
          <w:lang w:val="fr-FR"/>
        </w:rPr>
        <w:t xml:space="preserve">soit près du double </w:t>
      </w:r>
      <w:r w:rsidR="00712152" w:rsidRPr="001A2820">
        <w:rPr>
          <w:lang w:val="fr-FR"/>
        </w:rPr>
        <w:t>des contributions annoncées et versées</w:t>
      </w:r>
      <w:r w:rsidR="00B87A21" w:rsidRPr="001A2820">
        <w:rPr>
          <w:lang w:val="fr-FR"/>
        </w:rPr>
        <w:t xml:space="preserve"> </w:t>
      </w:r>
      <w:r w:rsidR="00712152" w:rsidRPr="001A2820">
        <w:rPr>
          <w:lang w:val="fr-FR"/>
        </w:rPr>
        <w:t>pour le cycle</w:t>
      </w:r>
      <w:r w:rsidR="00FD487E">
        <w:rPr>
          <w:lang w:val="fr-FR"/>
        </w:rPr>
        <w:t xml:space="preserve"> précédent</w:t>
      </w:r>
      <w:r w:rsidR="005752C8" w:rsidRPr="001A2820">
        <w:rPr>
          <w:lang w:val="fr-FR"/>
        </w:rPr>
        <w:t>.</w:t>
      </w:r>
      <w:r w:rsidR="00B87A21" w:rsidRPr="001A2820">
        <w:rPr>
          <w:lang w:val="fr-FR"/>
        </w:rPr>
        <w:t xml:space="preserve"> </w:t>
      </w:r>
      <w:r w:rsidR="00712152" w:rsidRPr="001A2820">
        <w:rPr>
          <w:lang w:val="fr-FR"/>
        </w:rPr>
        <w:t xml:space="preserve">L’augmentation des contributions </w:t>
      </w:r>
      <w:bookmarkStart w:id="12" w:name="_Hlk17968535"/>
      <w:r w:rsidR="00712152" w:rsidRPr="001A2820">
        <w:rPr>
          <w:lang w:val="fr-FR"/>
        </w:rPr>
        <w:t>indique clairement une confiance élevée des donateurs dans le</w:t>
      </w:r>
      <w:r w:rsidR="00B87A21" w:rsidRPr="001A2820">
        <w:rPr>
          <w:lang w:val="fr-FR"/>
        </w:rPr>
        <w:t xml:space="preserve"> Programme</w:t>
      </w:r>
      <w:bookmarkEnd w:id="12"/>
      <w:r w:rsidR="00B87A21" w:rsidRPr="001A2820">
        <w:rPr>
          <w:lang w:val="fr-FR"/>
        </w:rPr>
        <w:t>.</w:t>
      </w:r>
      <w:r w:rsidR="005752C8" w:rsidRPr="001A2820">
        <w:rPr>
          <w:lang w:val="fr-FR"/>
        </w:rPr>
        <w:t xml:space="preserve"> </w:t>
      </w:r>
    </w:p>
    <w:p w14:paraId="17F66E3B" w14:textId="18089B30" w:rsidR="00FF1401" w:rsidRPr="001A2820" w:rsidRDefault="00712152"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 xml:space="preserve">Toutefois, malgré </w:t>
      </w:r>
      <w:r w:rsidR="00452648">
        <w:rPr>
          <w:lang w:val="fr-FR"/>
        </w:rPr>
        <w:t xml:space="preserve">cette </w:t>
      </w:r>
      <w:r w:rsidRPr="001A2820">
        <w:rPr>
          <w:lang w:val="fr-FR"/>
        </w:rPr>
        <w:t xml:space="preserve">importante augmentation, le montant </w:t>
      </w:r>
      <w:r w:rsidR="00452648">
        <w:rPr>
          <w:lang w:val="fr-FR"/>
        </w:rPr>
        <w:t xml:space="preserve">mis à disposition </w:t>
      </w:r>
      <w:r w:rsidRPr="001A2820">
        <w:rPr>
          <w:lang w:val="fr-FR"/>
        </w:rPr>
        <w:t xml:space="preserve">pour le deuxième cycle </w:t>
      </w:r>
      <w:r w:rsidR="00A1334C">
        <w:rPr>
          <w:lang w:val="fr-FR"/>
        </w:rPr>
        <w:t xml:space="preserve">ne </w:t>
      </w:r>
      <w:r w:rsidRPr="001A2820">
        <w:rPr>
          <w:lang w:val="fr-FR"/>
        </w:rPr>
        <w:t xml:space="preserve">représente </w:t>
      </w:r>
      <w:r w:rsidR="00A1334C">
        <w:rPr>
          <w:lang w:val="fr-FR"/>
        </w:rPr>
        <w:t>que</w:t>
      </w:r>
      <w:r w:rsidRPr="001A2820">
        <w:rPr>
          <w:lang w:val="fr-FR"/>
        </w:rPr>
        <w:t xml:space="preserve"> la moitié </w:t>
      </w:r>
      <w:r w:rsidR="00A1334C">
        <w:rPr>
          <w:lang w:val="fr-FR"/>
        </w:rPr>
        <w:t>de celui qui serait</w:t>
      </w:r>
      <w:r w:rsidRPr="001A2820">
        <w:rPr>
          <w:lang w:val="fr-FR"/>
        </w:rPr>
        <w:t xml:space="preserve"> nécessaire pour financer toutes les demandes reçues pour </w:t>
      </w:r>
      <w:r w:rsidR="00A1334C">
        <w:rPr>
          <w:lang w:val="fr-FR"/>
        </w:rPr>
        <w:t>ce</w:t>
      </w:r>
      <w:r w:rsidRPr="001A2820">
        <w:rPr>
          <w:lang w:val="fr-FR"/>
        </w:rPr>
        <w:t xml:space="preserve"> cycle, à savoir </w:t>
      </w:r>
      <w:r w:rsidR="005752C8" w:rsidRPr="001A2820">
        <w:rPr>
          <w:lang w:val="fr-FR"/>
        </w:rPr>
        <w:t>4</w:t>
      </w:r>
      <w:r w:rsidRPr="001A2820">
        <w:rPr>
          <w:lang w:val="fr-FR"/>
        </w:rPr>
        <w:t> </w:t>
      </w:r>
      <w:r w:rsidR="005752C8" w:rsidRPr="001A2820">
        <w:rPr>
          <w:lang w:val="fr-FR"/>
        </w:rPr>
        <w:t>284</w:t>
      </w:r>
      <w:r w:rsidRPr="001A2820">
        <w:rPr>
          <w:lang w:val="fr-FR"/>
        </w:rPr>
        <w:t> </w:t>
      </w:r>
      <w:r w:rsidR="005752C8" w:rsidRPr="001A2820">
        <w:rPr>
          <w:lang w:val="fr-FR"/>
        </w:rPr>
        <w:t>393</w:t>
      </w:r>
      <w:r w:rsidRPr="001A2820">
        <w:rPr>
          <w:lang w:val="fr-FR"/>
        </w:rPr>
        <w:t> dollars</w:t>
      </w:r>
      <w:r w:rsidR="00B87A21" w:rsidRPr="001A2820">
        <w:rPr>
          <w:lang w:val="fr-FR"/>
        </w:rPr>
        <w:t>.</w:t>
      </w:r>
      <w:r w:rsidR="005752C8" w:rsidRPr="001A2820">
        <w:rPr>
          <w:lang w:val="fr-FR"/>
        </w:rPr>
        <w:t xml:space="preserve"> </w:t>
      </w:r>
    </w:p>
    <w:p w14:paraId="63EF9DD4" w14:textId="0F33AF66" w:rsidR="00FF1401" w:rsidRPr="001A2820" w:rsidRDefault="00404437"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Dans la partie </w:t>
      </w:r>
      <w:r w:rsidR="00D45B7D" w:rsidRPr="001A2820">
        <w:rPr>
          <w:lang w:val="fr-FR"/>
        </w:rPr>
        <w:t xml:space="preserve">B </w:t>
      </w:r>
      <w:r w:rsidRPr="001A2820">
        <w:rPr>
          <w:lang w:val="fr-FR"/>
        </w:rPr>
        <w:t>de l’</w:t>
      </w:r>
      <w:r w:rsidR="00B87A21" w:rsidRPr="001A2820">
        <w:rPr>
          <w:lang w:val="fr-FR"/>
        </w:rPr>
        <w:t>annex</w:t>
      </w:r>
      <w:r w:rsidRPr="001A2820">
        <w:rPr>
          <w:lang w:val="fr-FR"/>
        </w:rPr>
        <w:t>e </w:t>
      </w:r>
      <w:r w:rsidR="00B87A21" w:rsidRPr="001A2820">
        <w:rPr>
          <w:lang w:val="fr-FR"/>
        </w:rPr>
        <w:t xml:space="preserve">I </w:t>
      </w:r>
      <w:r w:rsidRPr="001A2820">
        <w:rPr>
          <w:lang w:val="fr-FR"/>
        </w:rPr>
        <w:t>de la décision </w:t>
      </w:r>
      <w:r w:rsidR="00FF1401" w:rsidRPr="001A2820">
        <w:rPr>
          <w:lang w:val="fr-FR"/>
        </w:rPr>
        <w:t>MC-1/6</w:t>
      </w:r>
      <w:r w:rsidR="00B87A21" w:rsidRPr="001A2820">
        <w:rPr>
          <w:lang w:val="fr-FR"/>
        </w:rPr>
        <w:t>,</w:t>
      </w:r>
      <w:r w:rsidR="00FF1401" w:rsidRPr="001A2820">
        <w:rPr>
          <w:lang w:val="fr-FR"/>
        </w:rPr>
        <w:t xml:space="preserve"> </w:t>
      </w:r>
      <w:r w:rsidRPr="001A2820">
        <w:rPr>
          <w:lang w:val="fr-FR"/>
        </w:rPr>
        <w:t>la Conférence des Parties</w:t>
      </w:r>
      <w:r w:rsidR="00D01D54" w:rsidRPr="001A2820">
        <w:rPr>
          <w:lang w:val="fr-FR"/>
        </w:rPr>
        <w:t xml:space="preserve"> a fourni des orientations sur la portée, les</w:t>
      </w:r>
      <w:r w:rsidR="00FF1401" w:rsidRPr="001A2820">
        <w:rPr>
          <w:lang w:val="fr-FR"/>
        </w:rPr>
        <w:t xml:space="preserve"> </w:t>
      </w:r>
      <w:r w:rsidR="00D01D54" w:rsidRPr="001A2820">
        <w:rPr>
          <w:lang w:val="fr-FR"/>
        </w:rPr>
        <w:t>conditions d’octroi des ressources</w:t>
      </w:r>
      <w:r w:rsidR="000F09C6" w:rsidRPr="001A2820">
        <w:rPr>
          <w:lang w:val="fr-FR"/>
        </w:rPr>
        <w:t xml:space="preserve">, </w:t>
      </w:r>
      <w:r w:rsidR="00D01D54" w:rsidRPr="001A2820">
        <w:rPr>
          <w:lang w:val="fr-FR"/>
        </w:rPr>
        <w:t>le fonctionnement et les</w:t>
      </w:r>
      <w:r w:rsidR="000F09C6" w:rsidRPr="001A2820">
        <w:rPr>
          <w:lang w:val="fr-FR"/>
        </w:rPr>
        <w:t xml:space="preserve"> res</w:t>
      </w:r>
      <w:r w:rsidR="00D01D54" w:rsidRPr="001A2820">
        <w:rPr>
          <w:lang w:val="fr-FR"/>
        </w:rPr>
        <w:t>s</w:t>
      </w:r>
      <w:r w:rsidR="000F09C6" w:rsidRPr="001A2820">
        <w:rPr>
          <w:lang w:val="fr-FR"/>
        </w:rPr>
        <w:t>ources</w:t>
      </w:r>
      <w:r w:rsidR="00D45B7D" w:rsidRPr="001A2820">
        <w:rPr>
          <w:lang w:val="fr-FR"/>
        </w:rPr>
        <w:t xml:space="preserve"> </w:t>
      </w:r>
      <w:r w:rsidR="005E12A9">
        <w:rPr>
          <w:lang w:val="fr-FR"/>
        </w:rPr>
        <w:t>du </w:t>
      </w:r>
      <w:r w:rsidR="00D01D54" w:rsidRPr="001A2820">
        <w:rPr>
          <w:lang w:val="fr-FR"/>
        </w:rPr>
        <w:t>Programme international spécifique, tandis que l’annexe </w:t>
      </w:r>
      <w:r w:rsidR="000F09C6" w:rsidRPr="001A2820">
        <w:rPr>
          <w:lang w:val="fr-FR"/>
        </w:rPr>
        <w:t xml:space="preserve">II </w:t>
      </w:r>
      <w:r w:rsidR="00D01D54" w:rsidRPr="001A2820">
        <w:rPr>
          <w:lang w:val="fr-FR"/>
        </w:rPr>
        <w:t>contient le mandat du Programme</w:t>
      </w:r>
      <w:r w:rsidR="000F09C6" w:rsidRPr="001A2820">
        <w:rPr>
          <w:lang w:val="fr-FR"/>
        </w:rPr>
        <w:t xml:space="preserve">. </w:t>
      </w:r>
      <w:r w:rsidR="005E12A9">
        <w:rPr>
          <w:lang w:val="fr-FR"/>
        </w:rPr>
        <w:t>Les </w:t>
      </w:r>
      <w:r w:rsidR="00D01D54" w:rsidRPr="001A2820">
        <w:rPr>
          <w:lang w:val="fr-FR"/>
        </w:rPr>
        <w:t>orientations et le mandat ont été in</w:t>
      </w:r>
      <w:r w:rsidR="008949DE">
        <w:rPr>
          <w:lang w:val="fr-FR"/>
        </w:rPr>
        <w:t>corpo</w:t>
      </w:r>
      <w:r w:rsidR="00D01D54" w:rsidRPr="001A2820">
        <w:rPr>
          <w:lang w:val="fr-FR"/>
        </w:rPr>
        <w:t>rés dans le règlement intérieur adopté par le Conseil d’administration à sa première réunion</w:t>
      </w:r>
      <w:r w:rsidR="00452648">
        <w:rPr>
          <w:lang w:val="fr-FR"/>
        </w:rPr>
        <w:t>,</w:t>
      </w:r>
      <w:r w:rsidR="00D01D54" w:rsidRPr="001A2820">
        <w:rPr>
          <w:lang w:val="fr-FR"/>
        </w:rPr>
        <w:t xml:space="preserve"> tenue à Genève en mai </w:t>
      </w:r>
      <w:r w:rsidR="00D45B7D" w:rsidRPr="001A2820">
        <w:rPr>
          <w:lang w:val="fr-FR"/>
        </w:rPr>
        <w:t>2018</w:t>
      </w:r>
      <w:r w:rsidR="000F09C6" w:rsidRPr="001A2820">
        <w:rPr>
          <w:lang w:val="fr-FR"/>
        </w:rPr>
        <w:t>,</w:t>
      </w:r>
      <w:r w:rsidR="00D45B7D" w:rsidRPr="001A2820">
        <w:rPr>
          <w:lang w:val="fr-FR"/>
        </w:rPr>
        <w:t xml:space="preserve"> </w:t>
      </w:r>
      <w:r w:rsidR="00452648">
        <w:rPr>
          <w:lang w:val="fr-FR"/>
        </w:rPr>
        <w:t>de même</w:t>
      </w:r>
      <w:r w:rsidR="00D01D54" w:rsidRPr="001A2820">
        <w:rPr>
          <w:lang w:val="fr-FR"/>
        </w:rPr>
        <w:t xml:space="preserve"> que les critères </w:t>
      </w:r>
      <w:r w:rsidR="00D01D54" w:rsidRPr="001A2820">
        <w:rPr>
          <w:lang w:val="fr-FR"/>
        </w:rPr>
        <w:lastRenderedPageBreak/>
        <w:t>d’évaluation pour le premier cycle et le cadre de décision concernant les demandes de financement pour le deuxième cycle, comme convenu à sa troisième réunion en février </w:t>
      </w:r>
      <w:r w:rsidR="00E90383" w:rsidRPr="001A2820">
        <w:rPr>
          <w:lang w:val="fr-FR"/>
        </w:rPr>
        <w:t>2019</w:t>
      </w:r>
      <w:r w:rsidR="000F09C6" w:rsidRPr="001A2820">
        <w:rPr>
          <w:lang w:val="fr-FR"/>
        </w:rPr>
        <w:t xml:space="preserve">. </w:t>
      </w:r>
    </w:p>
    <w:p w14:paraId="7A86CA65" w14:textId="34F0BE88" w:rsidR="004E0DFF" w:rsidRPr="001A2820" w:rsidRDefault="00ED05BA" w:rsidP="000A1CC4">
      <w:pPr>
        <w:pStyle w:val="Normalnumber"/>
        <w:tabs>
          <w:tab w:val="clear" w:pos="1134"/>
          <w:tab w:val="clear" w:pos="1247"/>
          <w:tab w:val="clear" w:pos="1814"/>
          <w:tab w:val="clear" w:pos="2381"/>
          <w:tab w:val="clear" w:pos="2948"/>
          <w:tab w:val="clear" w:pos="3515"/>
          <w:tab w:val="clear" w:pos="4082"/>
          <w:tab w:val="num" w:pos="624"/>
        </w:tabs>
        <w:rPr>
          <w:lang w:val="fr-FR"/>
        </w:rPr>
      </w:pPr>
      <w:r w:rsidRPr="001A2820">
        <w:rPr>
          <w:lang w:val="fr-FR"/>
        </w:rPr>
        <w:t xml:space="preserve">Des rapports sur le Programme international spécifique ont été présentés à la Conférence des Parties </w:t>
      </w:r>
      <w:r w:rsidR="008949DE">
        <w:rPr>
          <w:lang w:val="fr-FR"/>
        </w:rPr>
        <w:t xml:space="preserve">pour examen </w:t>
      </w:r>
      <w:r w:rsidRPr="001A2820">
        <w:rPr>
          <w:lang w:val="fr-FR"/>
        </w:rPr>
        <w:t xml:space="preserve">à ses deuxième et troisième réunions </w:t>
      </w:r>
      <w:r w:rsidR="00D45B7D" w:rsidRPr="001A2820">
        <w:rPr>
          <w:bCs/>
          <w:lang w:val="fr-FR"/>
        </w:rPr>
        <w:t>(</w:t>
      </w:r>
      <w:r w:rsidR="00D45B7D" w:rsidRPr="001A2820">
        <w:rPr>
          <w:rStyle w:val="Hyperlink"/>
        </w:rPr>
        <w:t>UNEP/MC/COP.2/9</w:t>
      </w:r>
      <w:r w:rsidRPr="001A2820">
        <w:rPr>
          <w:rStyle w:val="Hyperlink"/>
        </w:rPr>
        <w:t> </w:t>
      </w:r>
      <w:r w:rsidR="00992BA8" w:rsidRPr="001A2820">
        <w:rPr>
          <w:rStyle w:val="Hyperlink"/>
        </w:rPr>
        <w:t>;</w:t>
      </w:r>
      <w:r w:rsidR="00D45B7D" w:rsidRPr="001A2820">
        <w:rPr>
          <w:rStyle w:val="Hyperlink"/>
        </w:rPr>
        <w:t xml:space="preserve"> UNEP</w:t>
      </w:r>
      <w:r w:rsidR="00D45B7D" w:rsidRPr="001A2820">
        <w:rPr>
          <w:lang w:val="fr-FR"/>
        </w:rPr>
        <w:t>/MC/COP</w:t>
      </w:r>
      <w:r w:rsidRPr="001A2820">
        <w:rPr>
          <w:lang w:val="fr-FR"/>
        </w:rPr>
        <w:t>.</w:t>
      </w:r>
      <w:r w:rsidR="00D45B7D" w:rsidRPr="001A2820">
        <w:rPr>
          <w:lang w:val="fr-FR"/>
        </w:rPr>
        <w:t>3/10)</w:t>
      </w:r>
      <w:r w:rsidR="00B17D36" w:rsidRPr="001A2820">
        <w:rPr>
          <w:bCs/>
          <w:lang w:val="fr-FR"/>
        </w:rPr>
        <w:t xml:space="preserve">. </w:t>
      </w:r>
      <w:r w:rsidRPr="001A2820">
        <w:rPr>
          <w:bCs/>
          <w:lang w:val="fr-FR"/>
        </w:rPr>
        <w:t>En outre</w:t>
      </w:r>
      <w:r w:rsidR="00D14D45">
        <w:rPr>
          <w:bCs/>
          <w:lang w:val="fr-FR"/>
        </w:rPr>
        <w:t>,</w:t>
      </w:r>
      <w:r w:rsidRPr="001A2820">
        <w:rPr>
          <w:bCs/>
          <w:lang w:val="fr-FR"/>
        </w:rPr>
        <w:t xml:space="preserve"> les rapports des </w:t>
      </w:r>
      <w:r w:rsidR="005E12A9">
        <w:rPr>
          <w:bCs/>
          <w:lang w:val="fr-FR"/>
        </w:rPr>
        <w:t>première, deuxième et troisième </w:t>
      </w:r>
      <w:r w:rsidRPr="001A2820">
        <w:rPr>
          <w:bCs/>
          <w:lang w:val="fr-FR"/>
        </w:rPr>
        <w:t>réunions du Conseil d’administration</w:t>
      </w:r>
      <w:r w:rsidR="00B17D36" w:rsidRPr="001A2820">
        <w:rPr>
          <w:bCs/>
          <w:lang w:val="fr-FR"/>
        </w:rPr>
        <w:t xml:space="preserve"> </w:t>
      </w:r>
      <w:r w:rsidR="00992BA8" w:rsidRPr="001A2820">
        <w:rPr>
          <w:rStyle w:val="Hyperlink"/>
        </w:rPr>
        <w:t>(UNEP/MC/SIP.GB.1/6</w:t>
      </w:r>
      <w:r w:rsidRPr="001A2820">
        <w:rPr>
          <w:rStyle w:val="Hyperlink"/>
        </w:rPr>
        <w:t> </w:t>
      </w:r>
      <w:r w:rsidR="00992BA8" w:rsidRPr="001A2820">
        <w:rPr>
          <w:rStyle w:val="Hyperlink"/>
        </w:rPr>
        <w:t>; UNEP/MC/SIP.GB.3/2</w:t>
      </w:r>
      <w:r w:rsidRPr="001A2820">
        <w:rPr>
          <w:rStyle w:val="Hyperlink"/>
        </w:rPr>
        <w:t> </w:t>
      </w:r>
      <w:r w:rsidR="00992BA8" w:rsidRPr="001A2820">
        <w:rPr>
          <w:rStyle w:val="Hyperlink"/>
        </w:rPr>
        <w:t xml:space="preserve">; </w:t>
      </w:r>
      <w:r w:rsidR="00992BA8" w:rsidRPr="001A2820">
        <w:rPr>
          <w:lang w:val="fr-FR"/>
        </w:rPr>
        <w:t>UNEP/MC/COP</w:t>
      </w:r>
      <w:r w:rsidRPr="001A2820">
        <w:rPr>
          <w:lang w:val="fr-FR"/>
        </w:rPr>
        <w:t>.</w:t>
      </w:r>
      <w:r w:rsidR="00992BA8" w:rsidRPr="001A2820">
        <w:rPr>
          <w:lang w:val="fr-FR"/>
        </w:rPr>
        <w:t>3/10/Add.1, annex</w:t>
      </w:r>
      <w:r w:rsidRPr="001A2820">
        <w:rPr>
          <w:lang w:val="fr-FR"/>
        </w:rPr>
        <w:t>e </w:t>
      </w:r>
      <w:r w:rsidR="00992BA8" w:rsidRPr="001A2820">
        <w:rPr>
          <w:lang w:val="fr-FR"/>
        </w:rPr>
        <w:t>I)</w:t>
      </w:r>
      <w:r w:rsidR="003609A4" w:rsidRPr="001A2820">
        <w:rPr>
          <w:bCs/>
          <w:lang w:val="fr-FR"/>
        </w:rPr>
        <w:t xml:space="preserve"> </w:t>
      </w:r>
      <w:r w:rsidRPr="001A2820">
        <w:rPr>
          <w:bCs/>
          <w:lang w:val="fr-FR"/>
        </w:rPr>
        <w:t xml:space="preserve">sont </w:t>
      </w:r>
      <w:r w:rsidR="001150D5">
        <w:rPr>
          <w:bCs/>
          <w:lang w:val="fr-FR"/>
        </w:rPr>
        <w:t xml:space="preserve">disponibles </w:t>
      </w:r>
      <w:r w:rsidRPr="001A2820">
        <w:rPr>
          <w:bCs/>
          <w:lang w:val="fr-FR"/>
        </w:rPr>
        <w:t xml:space="preserve">sur le site Web de la Convention de </w:t>
      </w:r>
      <w:r w:rsidR="003609A4" w:rsidRPr="001A2820">
        <w:rPr>
          <w:bCs/>
          <w:lang w:val="fr-FR"/>
        </w:rPr>
        <w:t>Minamata</w:t>
      </w:r>
      <w:r w:rsidR="00F91674" w:rsidRPr="001A2820">
        <w:rPr>
          <w:rStyle w:val="FootnoteReference"/>
          <w:bCs/>
          <w:szCs w:val="20"/>
          <w:lang w:val="fr-FR"/>
        </w:rPr>
        <w:footnoteReference w:id="5"/>
      </w:r>
      <w:r w:rsidRPr="001A2820">
        <w:rPr>
          <w:bCs/>
          <w:lang w:val="fr-FR"/>
        </w:rPr>
        <w:t>.</w:t>
      </w:r>
      <w:r w:rsidR="00B17D36" w:rsidRPr="001A2820">
        <w:rPr>
          <w:bCs/>
          <w:lang w:val="fr-FR"/>
        </w:rPr>
        <w:t xml:space="preserve"> </w:t>
      </w:r>
    </w:p>
    <w:p w14:paraId="200F729D" w14:textId="4AFCA80E" w:rsidR="00FE7303" w:rsidRPr="001A2820" w:rsidRDefault="00FE7303" w:rsidP="000A1CC4">
      <w:pPr>
        <w:pStyle w:val="CH2"/>
        <w:rPr>
          <w:lang w:val="fr-FR"/>
        </w:rPr>
      </w:pPr>
      <w:r w:rsidRPr="001A2820">
        <w:rPr>
          <w:lang w:val="fr-FR"/>
        </w:rPr>
        <w:tab/>
      </w:r>
      <w:r w:rsidRPr="001A2820">
        <w:rPr>
          <w:lang w:val="fr-FR"/>
        </w:rPr>
        <w:tab/>
      </w:r>
      <w:r w:rsidR="00ED05BA" w:rsidRPr="001A2820">
        <w:rPr>
          <w:lang w:val="fr-FR"/>
        </w:rPr>
        <w:t>Mesure que pourrait prendre la Conférence des Parties</w:t>
      </w:r>
    </w:p>
    <w:p w14:paraId="0BACB67F" w14:textId="76A1E0CE" w:rsidR="00FE7303" w:rsidRPr="00622701" w:rsidRDefault="00ED05BA" w:rsidP="000A1CC4">
      <w:pPr>
        <w:pStyle w:val="Normalnumber"/>
        <w:tabs>
          <w:tab w:val="clear" w:pos="1134"/>
          <w:tab w:val="clear" w:pos="1247"/>
          <w:tab w:val="clear" w:pos="1814"/>
          <w:tab w:val="clear" w:pos="2381"/>
          <w:tab w:val="clear" w:pos="2948"/>
          <w:tab w:val="clear" w:pos="3515"/>
          <w:tab w:val="clear" w:pos="4082"/>
          <w:tab w:val="num" w:pos="624"/>
        </w:tabs>
        <w:rPr>
          <w:lang w:val="fr-FR"/>
        </w:rPr>
      </w:pPr>
      <w:bookmarkStart w:id="13" w:name="_Hlk526149645"/>
      <w:r w:rsidRPr="001A2820">
        <w:rPr>
          <w:lang w:val="fr-FR"/>
        </w:rPr>
        <w:t>Compte tenu</w:t>
      </w:r>
      <w:r w:rsidR="000C25C0" w:rsidRPr="001A2820">
        <w:rPr>
          <w:lang w:val="fr-FR"/>
        </w:rPr>
        <w:t xml:space="preserve"> </w:t>
      </w:r>
      <w:r w:rsidRPr="001A2820">
        <w:rPr>
          <w:lang w:val="fr-FR"/>
        </w:rPr>
        <w:t xml:space="preserve">de la disposition de la Convention </w:t>
      </w:r>
      <w:r w:rsidR="00370CD6">
        <w:rPr>
          <w:lang w:val="fr-FR"/>
        </w:rPr>
        <w:t>exigeant que</w:t>
      </w:r>
      <w:r w:rsidRPr="001A2820">
        <w:rPr>
          <w:lang w:val="fr-FR"/>
        </w:rPr>
        <w:t xml:space="preserve"> la Conférence des Parties examine</w:t>
      </w:r>
      <w:r w:rsidR="0028456D" w:rsidRPr="001A2820">
        <w:rPr>
          <w:lang w:val="fr-FR"/>
        </w:rPr>
        <w:t>,</w:t>
      </w:r>
      <w:r w:rsidRPr="001A2820">
        <w:rPr>
          <w:lang w:val="fr-FR"/>
        </w:rPr>
        <w:t xml:space="preserve"> </w:t>
      </w:r>
      <w:r w:rsidR="0028456D" w:rsidRPr="001A2820">
        <w:rPr>
          <w:lang w:val="fr-FR"/>
        </w:rPr>
        <w:t xml:space="preserve">au plus tard à sa troisième réunion, </w:t>
      </w:r>
      <w:r w:rsidRPr="001A2820">
        <w:rPr>
          <w:lang w:val="fr-FR"/>
        </w:rPr>
        <w:t>le mécanisme de financement</w:t>
      </w:r>
      <w:r w:rsidR="00310162" w:rsidRPr="001A2820">
        <w:rPr>
          <w:lang w:val="fr-FR"/>
        </w:rPr>
        <w:t xml:space="preserve"> </w:t>
      </w:r>
      <w:r w:rsidR="0028456D" w:rsidRPr="001A2820">
        <w:rPr>
          <w:lang w:val="fr-FR"/>
        </w:rPr>
        <w:t>institué en application de l’article 13</w:t>
      </w:r>
      <w:r w:rsidR="006E68AA" w:rsidRPr="001A2820">
        <w:rPr>
          <w:bCs/>
          <w:lang w:val="fr-FR"/>
        </w:rPr>
        <w:t>,</w:t>
      </w:r>
      <w:r w:rsidR="0028456D" w:rsidRPr="001A2820">
        <w:rPr>
          <w:bCs/>
          <w:lang w:val="fr-FR"/>
        </w:rPr>
        <w:t xml:space="preserve"> la Conférence des Parties souhaitera peut-être examiner les informations contenues dans la présente note dans le cadre de </w:t>
      </w:r>
      <w:r w:rsidR="008949DE">
        <w:rPr>
          <w:bCs/>
          <w:lang w:val="fr-FR"/>
        </w:rPr>
        <w:t>son premier</w:t>
      </w:r>
      <w:r w:rsidR="0028456D" w:rsidRPr="001A2820">
        <w:rPr>
          <w:bCs/>
          <w:lang w:val="fr-FR"/>
        </w:rPr>
        <w:t xml:space="preserve"> examen</w:t>
      </w:r>
      <w:bookmarkEnd w:id="13"/>
      <w:r w:rsidR="008949DE">
        <w:rPr>
          <w:bCs/>
          <w:lang w:val="fr-FR"/>
        </w:rPr>
        <w:t xml:space="preserve"> et adopter une décision </w:t>
      </w:r>
      <w:r w:rsidR="00622701">
        <w:rPr>
          <w:bCs/>
          <w:lang w:val="fr-FR"/>
        </w:rPr>
        <w:t>libellée comme suit :</w:t>
      </w:r>
    </w:p>
    <w:p w14:paraId="3B7D2CDD" w14:textId="69BDAC4B" w:rsidR="00622701" w:rsidRPr="00AD3A44" w:rsidRDefault="00622701" w:rsidP="00622701">
      <w:pPr>
        <w:pStyle w:val="ZZAnxtitle"/>
        <w:rPr>
          <w:lang w:val="fr-FR"/>
        </w:rPr>
      </w:pPr>
      <w:r>
        <w:rPr>
          <w:lang w:val="fr-FR"/>
        </w:rPr>
        <w:t>D</w:t>
      </w:r>
      <w:r w:rsidRPr="00AD3A44">
        <w:rPr>
          <w:lang w:val="fr-FR"/>
        </w:rPr>
        <w:t>écision MC-3/[</w:t>
      </w:r>
      <w:r>
        <w:rPr>
          <w:lang w:val="fr-FR"/>
        </w:rPr>
        <w:t>--</w:t>
      </w:r>
      <w:r w:rsidRPr="00AD3A44">
        <w:rPr>
          <w:lang w:val="fr-FR"/>
        </w:rPr>
        <w:t>] </w:t>
      </w:r>
    </w:p>
    <w:p w14:paraId="4C2EDB79" w14:textId="77777777" w:rsidR="00622701" w:rsidRPr="00AD3A44" w:rsidRDefault="00622701" w:rsidP="00622701">
      <w:pPr>
        <w:pStyle w:val="Normal-pool"/>
        <w:tabs>
          <w:tab w:val="clear" w:pos="1247"/>
          <w:tab w:val="clear" w:pos="1814"/>
          <w:tab w:val="clear" w:pos="2381"/>
          <w:tab w:val="clear" w:pos="2948"/>
          <w:tab w:val="clear" w:pos="3515"/>
          <w:tab w:val="left" w:pos="624"/>
        </w:tabs>
        <w:spacing w:after="120"/>
        <w:ind w:left="1247" w:firstLine="624"/>
        <w:rPr>
          <w:i/>
          <w:iCs/>
          <w:lang w:val="fr-FR"/>
        </w:rPr>
      </w:pPr>
      <w:r w:rsidRPr="00AD3A44">
        <w:rPr>
          <w:i/>
          <w:iCs/>
          <w:lang w:val="fr-FR"/>
        </w:rPr>
        <w:t>La Conférence of the Parties,</w:t>
      </w:r>
    </w:p>
    <w:p w14:paraId="3CA68BD8" w14:textId="2D4F66B6" w:rsidR="00622701" w:rsidRDefault="00622701" w:rsidP="00622701">
      <w:pPr>
        <w:pStyle w:val="Normal-pool"/>
        <w:tabs>
          <w:tab w:val="clear" w:pos="1247"/>
          <w:tab w:val="clear" w:pos="1814"/>
          <w:tab w:val="clear" w:pos="2381"/>
          <w:tab w:val="clear" w:pos="2948"/>
          <w:tab w:val="clear" w:pos="3515"/>
          <w:tab w:val="left" w:pos="624"/>
        </w:tabs>
        <w:spacing w:after="120"/>
        <w:ind w:left="1247" w:firstLine="624"/>
        <w:rPr>
          <w:lang w:val="fr-FR"/>
        </w:rPr>
      </w:pPr>
      <w:r>
        <w:rPr>
          <w:i/>
          <w:iCs/>
          <w:lang w:val="fr-FR"/>
        </w:rPr>
        <w:t>Considér</w:t>
      </w:r>
      <w:r w:rsidRPr="00AD3A44">
        <w:rPr>
          <w:i/>
          <w:iCs/>
          <w:lang w:val="fr-FR"/>
        </w:rPr>
        <w:t>ant</w:t>
      </w:r>
      <w:r w:rsidRPr="00AD3A44">
        <w:rPr>
          <w:lang w:val="fr-FR"/>
        </w:rPr>
        <w:t xml:space="preserve"> le paragraphe </w:t>
      </w:r>
      <w:r>
        <w:rPr>
          <w:lang w:val="fr-FR"/>
        </w:rPr>
        <w:t>11</w:t>
      </w:r>
      <w:r w:rsidRPr="00AD3A44">
        <w:rPr>
          <w:lang w:val="fr-FR"/>
        </w:rPr>
        <w:t xml:space="preserve"> de l’article</w:t>
      </w:r>
      <w:r>
        <w:rPr>
          <w:lang w:val="fr-FR"/>
        </w:rPr>
        <w:t> 13</w:t>
      </w:r>
      <w:r w:rsidRPr="00AD3A44">
        <w:rPr>
          <w:lang w:val="fr-FR"/>
        </w:rPr>
        <w:t xml:space="preserve"> </w:t>
      </w:r>
      <w:r>
        <w:rPr>
          <w:lang w:val="fr-FR"/>
        </w:rPr>
        <w:t>sur l’examen du mécanisme de financement</w:t>
      </w:r>
      <w:r w:rsidRPr="00AD3A44">
        <w:rPr>
          <w:lang w:val="fr-FR"/>
        </w:rPr>
        <w:t>,</w:t>
      </w:r>
    </w:p>
    <w:p w14:paraId="5A242783" w14:textId="1ECF79AA" w:rsidR="00622701" w:rsidRDefault="00622701" w:rsidP="00622701">
      <w:pPr>
        <w:pStyle w:val="Normal-pool"/>
        <w:numPr>
          <w:ilvl w:val="6"/>
          <w:numId w:val="1"/>
        </w:numPr>
        <w:tabs>
          <w:tab w:val="clear" w:pos="1247"/>
          <w:tab w:val="clear" w:pos="1814"/>
          <w:tab w:val="clear" w:pos="2381"/>
          <w:tab w:val="clear" w:pos="2948"/>
          <w:tab w:val="clear" w:pos="3515"/>
          <w:tab w:val="clear" w:pos="4082"/>
          <w:tab w:val="clear" w:pos="8555"/>
          <w:tab w:val="left" w:pos="624"/>
        </w:tabs>
        <w:spacing w:after="120"/>
        <w:ind w:left="1248" w:firstLine="623"/>
        <w:rPr>
          <w:lang w:val="fr-FR"/>
        </w:rPr>
      </w:pPr>
      <w:r>
        <w:rPr>
          <w:i/>
          <w:iCs/>
          <w:lang w:val="fr-FR"/>
        </w:rPr>
        <w:t>Accueille avec satisfaction</w:t>
      </w:r>
      <w:r>
        <w:rPr>
          <w:lang w:val="fr-FR"/>
        </w:rPr>
        <w:t xml:space="preserve"> le rapport sur le premier examen du mécanisme de financement, sur la base duquel</w:t>
      </w:r>
      <w:r w:rsidR="00AA152A">
        <w:rPr>
          <w:lang w:val="fr-FR"/>
        </w:rPr>
        <w:t xml:space="preserve"> elle a entrepris l’examen de ce dernier, conformément au paragraphe 11 de l’article 13 ;</w:t>
      </w:r>
    </w:p>
    <w:p w14:paraId="187B3891" w14:textId="23FC19E2" w:rsidR="00AA152A" w:rsidRPr="00AD3A44" w:rsidRDefault="00AA152A" w:rsidP="00622701">
      <w:pPr>
        <w:pStyle w:val="Normal-pool"/>
        <w:numPr>
          <w:ilvl w:val="6"/>
          <w:numId w:val="1"/>
        </w:numPr>
        <w:tabs>
          <w:tab w:val="clear" w:pos="1247"/>
          <w:tab w:val="clear" w:pos="1814"/>
          <w:tab w:val="clear" w:pos="2381"/>
          <w:tab w:val="clear" w:pos="2948"/>
          <w:tab w:val="clear" w:pos="3515"/>
          <w:tab w:val="clear" w:pos="4082"/>
          <w:tab w:val="clear" w:pos="8555"/>
          <w:tab w:val="left" w:pos="624"/>
        </w:tabs>
        <w:spacing w:after="120"/>
        <w:ind w:left="1248" w:firstLine="623"/>
        <w:rPr>
          <w:lang w:val="fr-FR"/>
        </w:rPr>
      </w:pPr>
      <w:r>
        <w:rPr>
          <w:i/>
          <w:iCs/>
          <w:lang w:val="fr-FR"/>
        </w:rPr>
        <w:t>Prie</w:t>
      </w:r>
      <w:r>
        <w:rPr>
          <w:lang w:val="fr-FR"/>
        </w:rPr>
        <w:t xml:space="preserve"> le secrétariat d’établir un projet de cadre pour le deuxième examen, afin qu’elle puisse l’examiner à sa quatrième réunion.</w:t>
      </w:r>
    </w:p>
    <w:p w14:paraId="6656C761" w14:textId="77777777" w:rsidR="00C75B4C" w:rsidRPr="001A2820" w:rsidRDefault="00FE7303" w:rsidP="00FE7303">
      <w:pPr>
        <w:pStyle w:val="Normalnumber"/>
        <w:numPr>
          <w:ilvl w:val="0"/>
          <w:numId w:val="0"/>
        </w:numPr>
        <w:ind w:left="1247"/>
        <w:rPr>
          <w:lang w:val="fr-FR"/>
        </w:rPr>
        <w:sectPr w:rsidR="00C75B4C" w:rsidRPr="001A2820" w:rsidSect="00314D4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907" w:right="992" w:bottom="1418" w:left="1418" w:header="539" w:footer="975" w:gutter="0"/>
          <w:cols w:space="720"/>
          <w:titlePg/>
          <w:docGrid w:linePitch="272"/>
        </w:sectPr>
      </w:pPr>
      <w:r w:rsidRPr="001A2820">
        <w:rPr>
          <w:lang w:val="fr-FR"/>
        </w:rPr>
        <w:br w:type="page"/>
      </w:r>
    </w:p>
    <w:p w14:paraId="558D9371" w14:textId="77777777" w:rsidR="00002ECA" w:rsidRPr="001A2820" w:rsidRDefault="00002ECA" w:rsidP="00002ECA">
      <w:pPr>
        <w:pStyle w:val="ZZAnxheader"/>
        <w:rPr>
          <w:lang w:val="fr-FR"/>
        </w:rPr>
      </w:pPr>
      <w:r w:rsidRPr="001A2820">
        <w:rPr>
          <w:lang w:val="fr-FR"/>
        </w:rPr>
        <w:lastRenderedPageBreak/>
        <w:t xml:space="preserve">Annexe I </w:t>
      </w:r>
    </w:p>
    <w:p w14:paraId="335E2A6C" w14:textId="77777777" w:rsidR="00002ECA" w:rsidRPr="001A2820" w:rsidRDefault="00002ECA" w:rsidP="00002ECA">
      <w:pPr>
        <w:pStyle w:val="ZZAnxtitle"/>
        <w:rPr>
          <w:lang w:val="fr-FR"/>
        </w:rPr>
      </w:pPr>
      <w:r w:rsidRPr="001A2820">
        <w:rPr>
          <w:lang w:val="fr-FR"/>
        </w:rPr>
        <w:t xml:space="preserve">Informations fournies par le Fonds pour l’environnement mondial conformément à l’article 13 de la Convention de Minamata sur le mercure </w:t>
      </w:r>
    </w:p>
    <w:p w14:paraId="3E8E38F1" w14:textId="77777777" w:rsidR="00002ECA" w:rsidRPr="001A2820" w:rsidRDefault="00002ECA" w:rsidP="00002ECA">
      <w:pPr>
        <w:pStyle w:val="Normal-pool"/>
        <w:rPr>
          <w:lang w:val="fr-FR"/>
        </w:rPr>
      </w:pPr>
    </w:p>
    <w:tbl>
      <w:tblPr>
        <w:tblStyle w:val="TableGrid"/>
        <w:tblW w:w="0" w:type="auto"/>
        <w:tblLook w:val="04A0" w:firstRow="1" w:lastRow="0" w:firstColumn="1" w:lastColumn="0" w:noHBand="0" w:noVBand="1"/>
      </w:tblPr>
      <w:tblGrid>
        <w:gridCol w:w="9470"/>
        <w:gridCol w:w="22"/>
      </w:tblGrid>
      <w:tr w:rsidR="00002ECA" w:rsidRPr="00FF3028" w14:paraId="24976C41" w14:textId="77777777" w:rsidTr="0075453A">
        <w:tc>
          <w:tcPr>
            <w:tcW w:w="9487" w:type="dxa"/>
            <w:gridSpan w:val="2"/>
            <w:tcBorders>
              <w:top w:val="nil"/>
              <w:left w:val="nil"/>
              <w:bottom w:val="nil"/>
              <w:right w:val="nil"/>
            </w:tcBorders>
          </w:tcPr>
          <w:p w14:paraId="712B48DE" w14:textId="77777777" w:rsidR="00002ECA" w:rsidRPr="00FF3028" w:rsidRDefault="00002ECA" w:rsidP="0075453A">
            <w:pPr>
              <w:jc w:val="center"/>
              <w:rPr>
                <w:rFonts w:ascii="Calibri" w:eastAsia="SimSun" w:hAnsi="Calibri"/>
                <w:szCs w:val="22"/>
                <w:lang w:val="fr-FR" w:eastAsia="zh-CN"/>
              </w:rPr>
            </w:pPr>
            <w:r w:rsidRPr="00FF3028">
              <w:rPr>
                <w:rFonts w:ascii="Arial" w:hAnsi="Arial" w:cs="Arial"/>
                <w:noProof/>
                <w:color w:val="2F5496"/>
                <w:sz w:val="24"/>
                <w:szCs w:val="24"/>
                <w:lang w:val="fr-FR" w:eastAsia="fr-FR"/>
              </w:rPr>
              <w:drawing>
                <wp:inline distT="0" distB="0" distL="0" distR="0" wp14:anchorId="7B10A823" wp14:editId="490F4CFC">
                  <wp:extent cx="654689" cy="6591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082270.tmp"/>
                          <pic:cNvPicPr/>
                        </pic:nvPicPr>
                        <pic:blipFill>
                          <a:blip r:embed="rId17">
                            <a:extLst>
                              <a:ext uri="{28A0092B-C50C-407E-A947-70E740481C1C}">
                                <a14:useLocalDpi xmlns:a14="http://schemas.microsoft.com/office/drawing/2010/main" val="0"/>
                              </a:ext>
                            </a:extLst>
                          </a:blip>
                          <a:stretch>
                            <a:fillRect/>
                          </a:stretch>
                        </pic:blipFill>
                        <pic:spPr>
                          <a:xfrm>
                            <a:off x="0" y="0"/>
                            <a:ext cx="654689" cy="659130"/>
                          </a:xfrm>
                          <a:prstGeom prst="rect">
                            <a:avLst/>
                          </a:prstGeom>
                        </pic:spPr>
                      </pic:pic>
                    </a:graphicData>
                  </a:graphic>
                </wp:inline>
              </w:drawing>
            </w:r>
            <w:r w:rsidRPr="00FF3028">
              <w:rPr>
                <w:rFonts w:ascii="Calibri" w:eastAsia="SimSun" w:hAnsi="Calibri"/>
                <w:b/>
                <w:color w:val="336600"/>
                <w:sz w:val="28"/>
                <w:szCs w:val="28"/>
                <w:lang w:val="fr-FR" w:eastAsia="zh-CN"/>
              </w:rPr>
              <w:t xml:space="preserve"> </w:t>
            </w:r>
            <w:r>
              <w:rPr>
                <w:rFonts w:ascii="Calibri" w:eastAsia="SimSun" w:hAnsi="Calibri"/>
                <w:b/>
                <w:color w:val="336600"/>
                <w:sz w:val="28"/>
                <w:szCs w:val="28"/>
                <w:lang w:val="fr-FR" w:eastAsia="zh-CN"/>
              </w:rPr>
              <w:t>FOND POUR L’ENVIRONNEMENT</w:t>
            </w:r>
          </w:p>
        </w:tc>
      </w:tr>
      <w:tr w:rsidR="00002ECA" w:rsidRPr="00CF6A23" w14:paraId="334577ED" w14:textId="77777777" w:rsidTr="0075453A">
        <w:tc>
          <w:tcPr>
            <w:tcW w:w="9487" w:type="dxa"/>
            <w:gridSpan w:val="2"/>
            <w:tcBorders>
              <w:top w:val="nil"/>
              <w:left w:val="nil"/>
              <w:bottom w:val="nil"/>
              <w:right w:val="nil"/>
            </w:tcBorders>
          </w:tcPr>
          <w:p w14:paraId="6020B9FA" w14:textId="0F458C38" w:rsidR="00002ECA" w:rsidRPr="00357E32" w:rsidRDefault="00002ECA" w:rsidP="0075453A">
            <w:pPr>
              <w:jc w:val="center"/>
              <w:rPr>
                <w:rFonts w:ascii="Calibri" w:eastAsia="SimSun" w:hAnsi="Calibri"/>
                <w:color w:val="336600"/>
                <w:lang w:val="fr-FR" w:eastAsia="zh-CN"/>
              </w:rPr>
            </w:pPr>
            <w:r w:rsidRPr="00357E32">
              <w:rPr>
                <w:rFonts w:ascii="Calibri" w:eastAsia="SimSun" w:hAnsi="Calibri"/>
                <w:color w:val="336600"/>
                <w:lang w:val="fr-FR" w:eastAsia="zh-CN"/>
              </w:rPr>
              <w:t xml:space="preserve">INVESTIR DANS NOTE </w:t>
            </w:r>
            <w:r w:rsidR="001814D4">
              <w:rPr>
                <w:rFonts w:ascii="Calibri" w:eastAsia="SimSun" w:hAnsi="Calibri"/>
                <w:caps/>
                <w:color w:val="336600"/>
                <w:lang w:val="fr-FR" w:eastAsia="zh-CN"/>
              </w:rPr>
              <w:t>PLANÈTE</w:t>
            </w:r>
          </w:p>
          <w:p w14:paraId="628B86C8" w14:textId="77777777" w:rsidR="00002ECA" w:rsidRDefault="00002ECA" w:rsidP="0075453A">
            <w:pPr>
              <w:jc w:val="center"/>
              <w:rPr>
                <w:rFonts w:ascii="Calibri" w:eastAsia="SimSun" w:hAnsi="Calibri"/>
                <w:b/>
                <w:color w:val="336600"/>
                <w:sz w:val="24"/>
                <w:szCs w:val="24"/>
                <w:lang w:val="fr-FR" w:eastAsia="zh-CN"/>
              </w:rPr>
            </w:pPr>
          </w:p>
          <w:p w14:paraId="1DBE9421" w14:textId="77777777" w:rsidR="00002ECA" w:rsidRPr="00FF3028" w:rsidRDefault="00002ECA" w:rsidP="0075453A">
            <w:pPr>
              <w:jc w:val="right"/>
              <w:rPr>
                <w:rFonts w:ascii="Calibri" w:eastAsia="SimSun" w:hAnsi="Calibri"/>
                <w:b/>
                <w:sz w:val="24"/>
                <w:szCs w:val="24"/>
                <w:lang w:val="fr-FR" w:eastAsia="zh-CN"/>
              </w:rPr>
            </w:pPr>
            <w:r w:rsidRPr="001A2820">
              <w:rPr>
                <w:rFonts w:ascii="Calibri" w:eastAsia="SimSun" w:hAnsi="Calibri"/>
                <w:lang w:val="fr-FR" w:eastAsia="zh-CN"/>
              </w:rPr>
              <w:t>28 mai 2019</w:t>
            </w:r>
          </w:p>
        </w:tc>
      </w:tr>
      <w:tr w:rsidR="00002ECA" w:rsidRPr="00CF6A23" w14:paraId="0E8ABA10" w14:textId="77777777" w:rsidTr="0075453A">
        <w:trPr>
          <w:gridAfter w:val="1"/>
          <w:wAfter w:w="22" w:type="dxa"/>
          <w:trHeight w:val="711"/>
        </w:trPr>
        <w:tc>
          <w:tcPr>
            <w:tcW w:w="9470" w:type="dxa"/>
            <w:tcBorders>
              <w:top w:val="single" w:sz="12" w:space="0" w:color="auto"/>
              <w:left w:val="nil"/>
              <w:bottom w:val="nil"/>
              <w:right w:val="nil"/>
            </w:tcBorders>
          </w:tcPr>
          <w:p w14:paraId="0B1692F2" w14:textId="77777777" w:rsidR="00002ECA" w:rsidRPr="001A2820" w:rsidRDefault="00002ECA" w:rsidP="0075453A">
            <w:pPr>
              <w:jc w:val="right"/>
              <w:rPr>
                <w:rFonts w:ascii="Calibri" w:eastAsia="SimSun" w:hAnsi="Calibri"/>
                <w:lang w:val="fr-FR" w:eastAsia="zh-CN"/>
              </w:rPr>
            </w:pPr>
          </w:p>
          <w:p w14:paraId="7C100B34" w14:textId="77777777" w:rsidR="00002ECA" w:rsidRPr="001A2820" w:rsidRDefault="00002ECA" w:rsidP="0075453A">
            <w:pPr>
              <w:jc w:val="right"/>
              <w:rPr>
                <w:rFonts w:ascii="Calibri" w:eastAsia="SimSun" w:hAnsi="Calibri"/>
                <w:i/>
                <w:lang w:val="fr-FR" w:eastAsia="zh-CN"/>
              </w:rPr>
            </w:pPr>
          </w:p>
        </w:tc>
      </w:tr>
    </w:tbl>
    <w:p w14:paraId="033537D4" w14:textId="77777777" w:rsidR="00E953EE" w:rsidRPr="001A2820" w:rsidRDefault="00E953EE" w:rsidP="00E953EE">
      <w:pPr>
        <w:spacing w:before="240" w:after="240"/>
        <w:rPr>
          <w:rFonts w:ascii="Calibri" w:eastAsia="SimSun" w:hAnsi="Calibri"/>
          <w:lang w:val="fr-FR" w:eastAsia="zh-CN"/>
        </w:rPr>
      </w:pPr>
    </w:p>
    <w:p w14:paraId="2BAB67F4" w14:textId="77777777" w:rsidR="00E953EE" w:rsidRPr="001A2820" w:rsidRDefault="00E953EE" w:rsidP="00E953EE">
      <w:pPr>
        <w:spacing w:before="240" w:after="240"/>
        <w:rPr>
          <w:rFonts w:ascii="Calibri" w:eastAsia="SimSun" w:hAnsi="Calibri"/>
          <w:lang w:val="fr-FR" w:eastAsia="zh-CN"/>
        </w:rPr>
      </w:pPr>
    </w:p>
    <w:p w14:paraId="69BFCE5D" w14:textId="77777777" w:rsidR="00E953EE" w:rsidRPr="001A2820" w:rsidRDefault="00E953EE" w:rsidP="00E953EE">
      <w:pPr>
        <w:spacing w:before="240" w:after="240"/>
        <w:rPr>
          <w:rFonts w:ascii="Calibri" w:eastAsia="SimSun" w:hAnsi="Calibri"/>
          <w:lang w:val="fr-FR" w:eastAsia="zh-CN"/>
        </w:rPr>
      </w:pPr>
    </w:p>
    <w:p w14:paraId="7E5CA4A4" w14:textId="77777777" w:rsidR="00E953EE" w:rsidRPr="001A2820" w:rsidRDefault="00E953EE" w:rsidP="00E953EE">
      <w:pPr>
        <w:spacing w:before="240" w:after="240"/>
        <w:rPr>
          <w:rFonts w:ascii="Calibri" w:eastAsia="SimSun" w:hAnsi="Calibri"/>
          <w:b/>
          <w:smallCaps/>
          <w:lang w:val="fr-FR" w:eastAsia="zh-CN"/>
        </w:rPr>
      </w:pPr>
    </w:p>
    <w:p w14:paraId="43252622" w14:textId="77777777" w:rsidR="00E953EE" w:rsidRPr="001A2820" w:rsidRDefault="00E953EE" w:rsidP="00E953EE">
      <w:pPr>
        <w:spacing w:before="240" w:after="240"/>
        <w:jc w:val="center"/>
        <w:rPr>
          <w:rFonts w:ascii="Calibri" w:eastAsia="SimSun" w:hAnsi="Calibri"/>
          <w:b/>
          <w:smallCaps/>
          <w:sz w:val="36"/>
          <w:lang w:val="fr-FR" w:eastAsia="zh-CN"/>
        </w:rPr>
      </w:pPr>
    </w:p>
    <w:p w14:paraId="0334B841" w14:textId="77777777" w:rsidR="00E953EE" w:rsidRPr="001A2820" w:rsidRDefault="00E953EE" w:rsidP="00E953EE">
      <w:pPr>
        <w:spacing w:before="240" w:after="240"/>
        <w:jc w:val="center"/>
        <w:rPr>
          <w:rFonts w:ascii="Calibri" w:eastAsia="SimSun" w:hAnsi="Calibri"/>
          <w:b/>
          <w:smallCaps/>
          <w:sz w:val="36"/>
          <w:lang w:val="fr-FR" w:eastAsia="zh-CN"/>
        </w:rPr>
      </w:pPr>
    </w:p>
    <w:p w14:paraId="188D372F" w14:textId="77777777" w:rsidR="00E953EE" w:rsidRPr="001A2820" w:rsidRDefault="00E953EE" w:rsidP="00E953EE">
      <w:pPr>
        <w:spacing w:before="240" w:after="240"/>
        <w:jc w:val="center"/>
        <w:rPr>
          <w:rFonts w:ascii="Calibri" w:eastAsia="SimSun" w:hAnsi="Calibri"/>
          <w:b/>
          <w:smallCaps/>
          <w:sz w:val="36"/>
          <w:lang w:val="fr-FR" w:eastAsia="zh-CN"/>
        </w:rPr>
      </w:pPr>
    </w:p>
    <w:p w14:paraId="7C8AC7EF" w14:textId="3BC87523" w:rsidR="00E953EE" w:rsidRPr="00215CD5" w:rsidRDefault="00E953EE" w:rsidP="00E953EE">
      <w:pPr>
        <w:spacing w:before="240" w:after="240"/>
        <w:jc w:val="center"/>
        <w:rPr>
          <w:rFonts w:ascii="Calibri" w:eastAsia="SimSun" w:hAnsi="Calibri"/>
          <w:b/>
          <w:caps/>
          <w:sz w:val="28"/>
          <w:szCs w:val="28"/>
          <w:lang w:val="fr-FR" w:eastAsia="zh-CN"/>
        </w:rPr>
      </w:pPr>
      <w:r w:rsidRPr="00215CD5">
        <w:rPr>
          <w:rFonts w:ascii="Calibri" w:eastAsia="SimSun" w:hAnsi="Calibri"/>
          <w:b/>
          <w:caps/>
          <w:sz w:val="28"/>
          <w:szCs w:val="28"/>
          <w:lang w:val="fr-FR" w:eastAsia="zh-CN"/>
        </w:rPr>
        <w:t>Information</w:t>
      </w:r>
      <w:r w:rsidR="00CA01D8" w:rsidRPr="00215CD5">
        <w:rPr>
          <w:rFonts w:ascii="Calibri" w:eastAsia="SimSun" w:hAnsi="Calibri"/>
          <w:b/>
          <w:caps/>
          <w:sz w:val="28"/>
          <w:szCs w:val="28"/>
          <w:lang w:val="fr-FR" w:eastAsia="zh-CN"/>
        </w:rPr>
        <w:t>s fournies par le Fonds pour l’environnement mondial conform</w:t>
      </w:r>
      <w:r w:rsidR="00215CD5" w:rsidRPr="00215CD5">
        <w:rPr>
          <w:rFonts w:ascii="Calibri" w:eastAsia="SimSun" w:hAnsi="Calibri"/>
          <w:b/>
          <w:caps/>
          <w:sz w:val="28"/>
          <w:szCs w:val="28"/>
          <w:lang w:val="fr-FR" w:eastAsia="zh-CN"/>
        </w:rPr>
        <w:t>É</w:t>
      </w:r>
      <w:r w:rsidR="00CA01D8" w:rsidRPr="00215CD5">
        <w:rPr>
          <w:rFonts w:ascii="Calibri" w:eastAsia="SimSun" w:hAnsi="Calibri"/>
          <w:b/>
          <w:caps/>
          <w:sz w:val="28"/>
          <w:szCs w:val="28"/>
          <w:lang w:val="fr-FR" w:eastAsia="zh-CN"/>
        </w:rPr>
        <w:t xml:space="preserve">ment </w:t>
      </w:r>
      <w:r w:rsidR="00E1266D" w:rsidRPr="00215CD5">
        <w:rPr>
          <w:rFonts w:ascii="Calibri" w:eastAsia="SimSun" w:hAnsi="Calibri" w:cs="Calibri"/>
          <w:b/>
          <w:caps/>
          <w:sz w:val="28"/>
          <w:szCs w:val="28"/>
          <w:lang w:val="fr-FR" w:eastAsia="zh-CN"/>
        </w:rPr>
        <w:t>À</w:t>
      </w:r>
      <w:r w:rsidR="00E1266D" w:rsidRPr="00215CD5">
        <w:rPr>
          <w:rFonts w:ascii="Calibri" w:eastAsia="SimSun" w:hAnsi="Calibri"/>
          <w:b/>
          <w:caps/>
          <w:sz w:val="28"/>
          <w:szCs w:val="28"/>
          <w:lang w:val="fr-FR" w:eastAsia="zh-CN"/>
        </w:rPr>
        <w:t xml:space="preserve"> </w:t>
      </w:r>
      <w:r w:rsidR="00CA01D8" w:rsidRPr="00215CD5">
        <w:rPr>
          <w:rFonts w:ascii="Calibri" w:eastAsia="SimSun" w:hAnsi="Calibri"/>
          <w:b/>
          <w:caps/>
          <w:sz w:val="28"/>
          <w:szCs w:val="28"/>
          <w:lang w:val="fr-FR" w:eastAsia="zh-CN"/>
        </w:rPr>
        <w:t>l’article </w:t>
      </w:r>
      <w:r w:rsidRPr="00215CD5">
        <w:rPr>
          <w:rFonts w:ascii="Calibri" w:eastAsia="SimSun" w:hAnsi="Calibri"/>
          <w:b/>
          <w:caps/>
          <w:sz w:val="28"/>
          <w:szCs w:val="28"/>
          <w:lang w:val="fr-FR" w:eastAsia="zh-CN"/>
        </w:rPr>
        <w:t xml:space="preserve">13 </w:t>
      </w:r>
      <w:r w:rsidR="00CA01D8" w:rsidRPr="00215CD5">
        <w:rPr>
          <w:rFonts w:ascii="Calibri" w:eastAsia="SimSun" w:hAnsi="Calibri"/>
          <w:b/>
          <w:caps/>
          <w:sz w:val="28"/>
          <w:szCs w:val="28"/>
          <w:lang w:val="fr-FR" w:eastAsia="zh-CN"/>
        </w:rPr>
        <w:t>de la Convention de</w:t>
      </w:r>
      <w:r w:rsidRPr="00215CD5">
        <w:rPr>
          <w:rFonts w:ascii="Calibri" w:eastAsia="SimSun" w:hAnsi="Calibri"/>
          <w:b/>
          <w:caps/>
          <w:sz w:val="28"/>
          <w:szCs w:val="28"/>
          <w:lang w:val="fr-FR" w:eastAsia="zh-CN"/>
        </w:rPr>
        <w:t xml:space="preserve"> Minamata </w:t>
      </w:r>
      <w:r w:rsidR="00215CD5">
        <w:rPr>
          <w:rFonts w:ascii="Calibri" w:eastAsia="SimSun" w:hAnsi="Calibri"/>
          <w:b/>
          <w:caps/>
          <w:sz w:val="28"/>
          <w:szCs w:val="28"/>
          <w:lang w:val="fr-FR" w:eastAsia="zh-CN"/>
        </w:rPr>
        <w:t>sur le </w:t>
      </w:r>
      <w:r w:rsidR="00CA01D8" w:rsidRPr="00215CD5">
        <w:rPr>
          <w:rFonts w:ascii="Calibri" w:eastAsia="SimSun" w:hAnsi="Calibri"/>
          <w:b/>
          <w:caps/>
          <w:sz w:val="28"/>
          <w:szCs w:val="28"/>
          <w:lang w:val="fr-FR" w:eastAsia="zh-CN"/>
        </w:rPr>
        <w:t>mercure</w:t>
      </w:r>
      <w:r w:rsidRPr="00215CD5">
        <w:rPr>
          <w:rFonts w:ascii="Calibri" w:eastAsia="SimSun" w:hAnsi="Calibri"/>
          <w:b/>
          <w:caps/>
          <w:sz w:val="28"/>
          <w:szCs w:val="28"/>
          <w:lang w:val="fr-FR" w:eastAsia="zh-CN"/>
        </w:rPr>
        <w:br/>
      </w:r>
    </w:p>
    <w:p w14:paraId="02EBC486" w14:textId="77777777" w:rsidR="00C75B4C" w:rsidRPr="001A2820" w:rsidRDefault="00C75B4C">
      <w:pPr>
        <w:tabs>
          <w:tab w:val="clear" w:pos="1247"/>
          <w:tab w:val="clear" w:pos="1814"/>
          <w:tab w:val="clear" w:pos="2381"/>
          <w:tab w:val="clear" w:pos="2948"/>
          <w:tab w:val="clear" w:pos="3515"/>
        </w:tabs>
        <w:rPr>
          <w:rFonts w:ascii="Calibri" w:eastAsia="SimSun" w:hAnsi="Calibri"/>
          <w:lang w:val="fr-FR" w:eastAsia="zh-CN"/>
        </w:rPr>
      </w:pPr>
      <w:r w:rsidRPr="001A2820">
        <w:rPr>
          <w:rFonts w:ascii="Calibri" w:eastAsia="SimSun" w:hAnsi="Calibri"/>
          <w:b/>
          <w:lang w:val="fr-FR" w:eastAsia="zh-CN"/>
        </w:rPr>
        <w:br w:type="page"/>
      </w:r>
    </w:p>
    <w:p w14:paraId="68C006AA" w14:textId="0855D46F" w:rsidR="00E953EE" w:rsidRPr="001A2820" w:rsidRDefault="00E953EE" w:rsidP="0082332B">
      <w:pPr>
        <w:pStyle w:val="Heading1"/>
        <w:tabs>
          <w:tab w:val="clear" w:pos="1247"/>
          <w:tab w:val="left" w:pos="1276"/>
        </w:tabs>
        <w:ind w:left="0" w:firstLine="0"/>
        <w:rPr>
          <w:lang w:val="fr-FR"/>
        </w:rPr>
      </w:pPr>
      <w:bookmarkStart w:id="14" w:name="_Toc19781249"/>
      <w:r w:rsidRPr="001A2820">
        <w:rPr>
          <w:lang w:val="fr-FR"/>
        </w:rPr>
        <w:lastRenderedPageBreak/>
        <w:t xml:space="preserve">Table </w:t>
      </w:r>
      <w:r w:rsidR="007159B3">
        <w:rPr>
          <w:lang w:val="fr-FR"/>
        </w:rPr>
        <w:t>des matières</w:t>
      </w:r>
      <w:bookmarkEnd w:id="14"/>
    </w:p>
    <w:p w14:paraId="29CC84BF" w14:textId="77777777" w:rsidR="00E953EE" w:rsidRPr="001A2820" w:rsidRDefault="00E953EE" w:rsidP="00E953EE">
      <w:pPr>
        <w:rPr>
          <w:lang w:val="fr-FR"/>
        </w:rPr>
      </w:pPr>
    </w:p>
    <w:sdt>
      <w:sdtPr>
        <w:rPr>
          <w:rFonts w:ascii="Times New Roman" w:eastAsiaTheme="minorHAnsi" w:hAnsi="Times New Roman" w:cs="Times New Roman"/>
          <w:color w:val="auto"/>
          <w:sz w:val="24"/>
          <w:szCs w:val="24"/>
          <w:lang w:val="fr-FR"/>
        </w:rPr>
        <w:id w:val="1553426983"/>
        <w:docPartObj>
          <w:docPartGallery w:val="Table of Contents"/>
          <w:docPartUnique/>
        </w:docPartObj>
      </w:sdtPr>
      <w:sdtEndPr>
        <w:rPr>
          <w:rFonts w:eastAsia="Times New Roman"/>
          <w:b/>
          <w:bCs/>
          <w:noProof/>
          <w:sz w:val="20"/>
          <w:szCs w:val="20"/>
        </w:rPr>
      </w:sdtEndPr>
      <w:sdtContent>
        <w:p w14:paraId="260D56D3" w14:textId="77777777" w:rsidR="00E953EE" w:rsidRPr="001A2820" w:rsidRDefault="00E953EE" w:rsidP="00E953EE">
          <w:pPr>
            <w:pStyle w:val="TOCHeading"/>
            <w:rPr>
              <w:rFonts w:ascii="Times New Roman" w:hAnsi="Times New Roman" w:cs="Times New Roman"/>
              <w:lang w:val="fr-FR"/>
            </w:rPr>
          </w:pPr>
        </w:p>
        <w:p w14:paraId="5C2C0313" w14:textId="313F5106" w:rsidR="00AE68B3" w:rsidRDefault="00E953EE" w:rsidP="00AE68B3">
          <w:pPr>
            <w:pStyle w:val="TOC1"/>
            <w:tabs>
              <w:tab w:val="clear" w:pos="1814"/>
            </w:tabs>
            <w:ind w:left="1276" w:firstLine="0"/>
            <w:rPr>
              <w:rFonts w:asciiTheme="minorHAnsi" w:eastAsiaTheme="minorEastAsia" w:hAnsiTheme="minorHAnsi" w:cstheme="minorBidi"/>
              <w:bCs w:val="0"/>
              <w:noProof/>
              <w:sz w:val="22"/>
              <w:szCs w:val="22"/>
              <w:lang w:eastAsia="fr-FR"/>
            </w:rPr>
          </w:pPr>
          <w:r w:rsidRPr="001A2820">
            <w:rPr>
              <w:b/>
              <w:caps/>
              <w:noProof/>
            </w:rPr>
            <w:fldChar w:fldCharType="begin"/>
          </w:r>
          <w:r w:rsidRPr="001A2820">
            <w:rPr>
              <w:noProof/>
            </w:rPr>
            <w:instrText xml:space="preserve"> TOC \o "1-3" \h \z \u </w:instrText>
          </w:r>
          <w:r w:rsidRPr="001A2820">
            <w:rPr>
              <w:b/>
              <w:caps/>
              <w:noProof/>
            </w:rPr>
            <w:fldChar w:fldCharType="separate"/>
          </w:r>
          <w:hyperlink w:anchor="_Toc19781249" w:history="1">
            <w:r w:rsidR="00AE68B3" w:rsidRPr="00445133">
              <w:rPr>
                <w:rStyle w:val="Hyperlink"/>
                <w:noProof/>
              </w:rPr>
              <w:t>Table des matières</w:t>
            </w:r>
            <w:r w:rsidR="00AE68B3">
              <w:rPr>
                <w:noProof/>
                <w:webHidden/>
              </w:rPr>
              <w:tab/>
            </w:r>
            <w:r w:rsidR="00AE68B3">
              <w:rPr>
                <w:noProof/>
                <w:webHidden/>
              </w:rPr>
              <w:fldChar w:fldCharType="begin"/>
            </w:r>
            <w:r w:rsidR="00AE68B3">
              <w:rPr>
                <w:noProof/>
                <w:webHidden/>
              </w:rPr>
              <w:instrText xml:space="preserve"> PAGEREF _Toc19781249 \h </w:instrText>
            </w:r>
            <w:r w:rsidR="00AE68B3">
              <w:rPr>
                <w:noProof/>
                <w:webHidden/>
              </w:rPr>
            </w:r>
            <w:r w:rsidR="00AE68B3">
              <w:rPr>
                <w:noProof/>
                <w:webHidden/>
              </w:rPr>
              <w:fldChar w:fldCharType="separate"/>
            </w:r>
            <w:r w:rsidR="00664578">
              <w:rPr>
                <w:noProof/>
                <w:webHidden/>
              </w:rPr>
              <w:t>6</w:t>
            </w:r>
            <w:r w:rsidR="00AE68B3">
              <w:rPr>
                <w:noProof/>
                <w:webHidden/>
              </w:rPr>
              <w:fldChar w:fldCharType="end"/>
            </w:r>
          </w:hyperlink>
        </w:p>
        <w:p w14:paraId="1F7ECDB7" w14:textId="2C4406BB" w:rsidR="00AE68B3" w:rsidRDefault="00A46FC6">
          <w:pPr>
            <w:pStyle w:val="TOC1"/>
            <w:rPr>
              <w:rFonts w:asciiTheme="minorHAnsi" w:eastAsiaTheme="minorEastAsia" w:hAnsiTheme="minorHAnsi" w:cstheme="minorBidi"/>
              <w:bCs w:val="0"/>
              <w:noProof/>
              <w:sz w:val="22"/>
              <w:szCs w:val="22"/>
              <w:lang w:eastAsia="fr-FR"/>
            </w:rPr>
          </w:pPr>
          <w:hyperlink w:anchor="_Toc19781250" w:history="1">
            <w:r w:rsidR="00AE68B3" w:rsidRPr="00445133">
              <w:rPr>
                <w:rStyle w:val="Hyperlink"/>
                <w:noProof/>
              </w:rPr>
              <w:t>Introduction :</w:t>
            </w:r>
            <w:r w:rsidR="00AE68B3">
              <w:rPr>
                <w:noProof/>
                <w:webHidden/>
              </w:rPr>
              <w:tab/>
            </w:r>
            <w:r w:rsidR="00AE68B3">
              <w:rPr>
                <w:noProof/>
                <w:webHidden/>
              </w:rPr>
              <w:fldChar w:fldCharType="begin"/>
            </w:r>
            <w:r w:rsidR="00AE68B3">
              <w:rPr>
                <w:noProof/>
                <w:webHidden/>
              </w:rPr>
              <w:instrText xml:space="preserve"> PAGEREF _Toc19781250 \h </w:instrText>
            </w:r>
            <w:r w:rsidR="00AE68B3">
              <w:rPr>
                <w:noProof/>
                <w:webHidden/>
              </w:rPr>
            </w:r>
            <w:r w:rsidR="00AE68B3">
              <w:rPr>
                <w:noProof/>
                <w:webHidden/>
              </w:rPr>
              <w:fldChar w:fldCharType="separate"/>
            </w:r>
            <w:r w:rsidR="00664578">
              <w:rPr>
                <w:noProof/>
                <w:webHidden/>
              </w:rPr>
              <w:t>7</w:t>
            </w:r>
            <w:r w:rsidR="00AE68B3">
              <w:rPr>
                <w:noProof/>
                <w:webHidden/>
              </w:rPr>
              <w:fldChar w:fldCharType="end"/>
            </w:r>
          </w:hyperlink>
        </w:p>
        <w:p w14:paraId="5EA6A8D7" w14:textId="7DF156BA" w:rsidR="00AE68B3" w:rsidRDefault="00A46FC6" w:rsidP="00AE68B3">
          <w:pPr>
            <w:pStyle w:val="TOC1"/>
            <w:tabs>
              <w:tab w:val="clear" w:pos="1247"/>
              <w:tab w:val="clear" w:pos="1814"/>
            </w:tabs>
            <w:ind w:left="1276" w:firstLine="0"/>
            <w:rPr>
              <w:rFonts w:asciiTheme="minorHAnsi" w:eastAsiaTheme="minorEastAsia" w:hAnsiTheme="minorHAnsi" w:cstheme="minorBidi"/>
              <w:bCs w:val="0"/>
              <w:noProof/>
              <w:sz w:val="22"/>
              <w:szCs w:val="22"/>
              <w:lang w:eastAsia="fr-FR"/>
            </w:rPr>
          </w:pPr>
          <w:hyperlink w:anchor="_Toc19781251" w:history="1">
            <w:r w:rsidR="00AE68B3" w:rsidRPr="00445133">
              <w:rPr>
                <w:rStyle w:val="Hyperlink"/>
                <w:noProof/>
              </w:rPr>
              <w:t>Compilation des suites données par le Conseil du FEM aux orientations fournies par la Convention de Minamata sur le mercure :</w:t>
            </w:r>
            <w:r w:rsidR="00AE68B3">
              <w:rPr>
                <w:noProof/>
                <w:webHidden/>
              </w:rPr>
              <w:tab/>
            </w:r>
            <w:r w:rsidR="00AE68B3">
              <w:rPr>
                <w:noProof/>
                <w:webHidden/>
              </w:rPr>
              <w:fldChar w:fldCharType="begin"/>
            </w:r>
            <w:r w:rsidR="00AE68B3">
              <w:rPr>
                <w:noProof/>
                <w:webHidden/>
              </w:rPr>
              <w:instrText xml:space="preserve"> PAGEREF _Toc19781251 \h </w:instrText>
            </w:r>
            <w:r w:rsidR="00AE68B3">
              <w:rPr>
                <w:noProof/>
                <w:webHidden/>
              </w:rPr>
            </w:r>
            <w:r w:rsidR="00AE68B3">
              <w:rPr>
                <w:noProof/>
                <w:webHidden/>
              </w:rPr>
              <w:fldChar w:fldCharType="separate"/>
            </w:r>
            <w:r w:rsidR="00664578">
              <w:rPr>
                <w:noProof/>
                <w:webHidden/>
              </w:rPr>
              <w:t>8</w:t>
            </w:r>
            <w:r w:rsidR="00AE68B3">
              <w:rPr>
                <w:noProof/>
                <w:webHidden/>
              </w:rPr>
              <w:fldChar w:fldCharType="end"/>
            </w:r>
          </w:hyperlink>
        </w:p>
        <w:p w14:paraId="3AA82542" w14:textId="43A4E044" w:rsidR="00AE68B3" w:rsidRDefault="00A46FC6" w:rsidP="00AE68B3">
          <w:pPr>
            <w:pStyle w:val="TOC2"/>
            <w:ind w:hanging="1105"/>
            <w:rPr>
              <w:rFonts w:asciiTheme="minorHAnsi" w:eastAsiaTheme="minorEastAsia" w:hAnsiTheme="minorHAnsi" w:cstheme="minorBidi"/>
              <w:noProof/>
              <w:sz w:val="22"/>
              <w:szCs w:val="22"/>
              <w:lang w:eastAsia="fr-FR"/>
            </w:rPr>
          </w:pPr>
          <w:hyperlink w:anchor="_Toc19781252" w:history="1">
            <w:r w:rsidR="00AE68B3" w:rsidRPr="00445133">
              <w:rPr>
                <w:rStyle w:val="Hyperlink"/>
                <w:noProof/>
              </w:rPr>
              <w:t>Orientations initiales fournies au FEM lors de la première réunion de la Conférence des Parties</w:t>
            </w:r>
            <w:r w:rsidR="00AE68B3">
              <w:rPr>
                <w:noProof/>
                <w:webHidden/>
              </w:rPr>
              <w:tab/>
            </w:r>
            <w:r w:rsidR="00AE68B3">
              <w:rPr>
                <w:noProof/>
                <w:webHidden/>
              </w:rPr>
              <w:fldChar w:fldCharType="begin"/>
            </w:r>
            <w:r w:rsidR="00AE68B3">
              <w:rPr>
                <w:noProof/>
                <w:webHidden/>
              </w:rPr>
              <w:instrText xml:space="preserve"> PAGEREF _Toc19781252 \h </w:instrText>
            </w:r>
            <w:r w:rsidR="00AE68B3">
              <w:rPr>
                <w:noProof/>
                <w:webHidden/>
              </w:rPr>
            </w:r>
            <w:r w:rsidR="00AE68B3">
              <w:rPr>
                <w:noProof/>
                <w:webHidden/>
              </w:rPr>
              <w:fldChar w:fldCharType="separate"/>
            </w:r>
            <w:r w:rsidR="00664578">
              <w:rPr>
                <w:noProof/>
                <w:webHidden/>
              </w:rPr>
              <w:t>8</w:t>
            </w:r>
            <w:r w:rsidR="00AE68B3">
              <w:rPr>
                <w:noProof/>
                <w:webHidden/>
              </w:rPr>
              <w:fldChar w:fldCharType="end"/>
            </w:r>
          </w:hyperlink>
        </w:p>
        <w:p w14:paraId="5FAA370E" w14:textId="523ADA67" w:rsidR="00AE68B3" w:rsidRDefault="00A46FC6" w:rsidP="00AE68B3">
          <w:pPr>
            <w:pStyle w:val="TOC2"/>
            <w:ind w:hanging="1105"/>
            <w:rPr>
              <w:rFonts w:asciiTheme="minorHAnsi" w:eastAsiaTheme="minorEastAsia" w:hAnsiTheme="minorHAnsi" w:cstheme="minorBidi"/>
              <w:noProof/>
              <w:sz w:val="22"/>
              <w:szCs w:val="22"/>
              <w:lang w:eastAsia="fr-FR"/>
            </w:rPr>
          </w:pPr>
          <w:hyperlink w:anchor="_Toc19781253" w:history="1">
            <w:r w:rsidR="00AE68B3" w:rsidRPr="00445133">
              <w:rPr>
                <w:rStyle w:val="Hyperlink"/>
                <w:rFonts w:cstheme="minorHAnsi"/>
                <w:noProof/>
              </w:rPr>
              <w:t>Orientations fournies lors de la sixième session du Comité de négociation intergouvernemental</w:t>
            </w:r>
            <w:r w:rsidR="00AE68B3">
              <w:rPr>
                <w:noProof/>
                <w:webHidden/>
              </w:rPr>
              <w:tab/>
            </w:r>
            <w:r w:rsidR="00AE68B3">
              <w:rPr>
                <w:noProof/>
                <w:webHidden/>
              </w:rPr>
              <w:fldChar w:fldCharType="begin"/>
            </w:r>
            <w:r w:rsidR="00AE68B3">
              <w:rPr>
                <w:noProof/>
                <w:webHidden/>
              </w:rPr>
              <w:instrText xml:space="preserve"> PAGEREF _Toc19781253 \h </w:instrText>
            </w:r>
            <w:r w:rsidR="00AE68B3">
              <w:rPr>
                <w:noProof/>
                <w:webHidden/>
              </w:rPr>
            </w:r>
            <w:r w:rsidR="00AE68B3">
              <w:rPr>
                <w:noProof/>
                <w:webHidden/>
              </w:rPr>
              <w:fldChar w:fldCharType="separate"/>
            </w:r>
            <w:r w:rsidR="00664578">
              <w:rPr>
                <w:noProof/>
                <w:webHidden/>
              </w:rPr>
              <w:t>14</w:t>
            </w:r>
            <w:r w:rsidR="00AE68B3">
              <w:rPr>
                <w:noProof/>
                <w:webHidden/>
              </w:rPr>
              <w:fldChar w:fldCharType="end"/>
            </w:r>
          </w:hyperlink>
        </w:p>
        <w:p w14:paraId="200F0B60" w14:textId="286AC221" w:rsidR="00AE68B3" w:rsidRDefault="00A46FC6" w:rsidP="00AE68B3">
          <w:pPr>
            <w:pStyle w:val="TOC2"/>
            <w:tabs>
              <w:tab w:val="clear" w:pos="2381"/>
            </w:tabs>
            <w:ind w:left="1276" w:firstLine="0"/>
            <w:rPr>
              <w:rFonts w:asciiTheme="minorHAnsi" w:eastAsiaTheme="minorEastAsia" w:hAnsiTheme="minorHAnsi" w:cstheme="minorBidi"/>
              <w:noProof/>
              <w:sz w:val="22"/>
              <w:szCs w:val="22"/>
              <w:lang w:eastAsia="fr-FR"/>
            </w:rPr>
          </w:pPr>
          <w:hyperlink w:anchor="_Toc19781254" w:history="1">
            <w:r w:rsidR="00AE68B3" w:rsidRPr="00445133">
              <w:rPr>
                <w:rStyle w:val="Hyperlink"/>
                <w:rFonts w:cstheme="minorHAnsi"/>
                <w:noProof/>
              </w:rPr>
              <w:t xml:space="preserve">Résolutions adoptées par la Conférence de plénipotentiaires relative </w:t>
            </w:r>
            <w:r w:rsidR="00664578">
              <w:rPr>
                <w:rStyle w:val="Hyperlink"/>
                <w:rFonts w:cstheme="minorHAnsi"/>
                <w:noProof/>
              </w:rPr>
              <w:t>à la Convention de Minamata sur </w:t>
            </w:r>
            <w:r w:rsidR="00AE68B3" w:rsidRPr="00445133">
              <w:rPr>
                <w:rStyle w:val="Hyperlink"/>
                <w:rFonts w:cstheme="minorHAnsi"/>
                <w:noProof/>
              </w:rPr>
              <w:t>le mercure et suites données par le FEM</w:t>
            </w:r>
            <w:r w:rsidR="00AE68B3">
              <w:rPr>
                <w:noProof/>
                <w:webHidden/>
              </w:rPr>
              <w:tab/>
            </w:r>
            <w:r w:rsidR="00AE68B3">
              <w:rPr>
                <w:noProof/>
                <w:webHidden/>
              </w:rPr>
              <w:fldChar w:fldCharType="begin"/>
            </w:r>
            <w:r w:rsidR="00AE68B3">
              <w:rPr>
                <w:noProof/>
                <w:webHidden/>
              </w:rPr>
              <w:instrText xml:space="preserve"> PAGEREF _Toc19781254 \h </w:instrText>
            </w:r>
            <w:r w:rsidR="00AE68B3">
              <w:rPr>
                <w:noProof/>
                <w:webHidden/>
              </w:rPr>
            </w:r>
            <w:r w:rsidR="00AE68B3">
              <w:rPr>
                <w:noProof/>
                <w:webHidden/>
              </w:rPr>
              <w:fldChar w:fldCharType="separate"/>
            </w:r>
            <w:r w:rsidR="00664578">
              <w:rPr>
                <w:noProof/>
                <w:webHidden/>
              </w:rPr>
              <w:t>15</w:t>
            </w:r>
            <w:r w:rsidR="00AE68B3">
              <w:rPr>
                <w:noProof/>
                <w:webHidden/>
              </w:rPr>
              <w:fldChar w:fldCharType="end"/>
            </w:r>
          </w:hyperlink>
        </w:p>
        <w:p w14:paraId="7C341BF1" w14:textId="63AFD1E1" w:rsidR="00AE68B3" w:rsidRDefault="00A46FC6">
          <w:pPr>
            <w:pStyle w:val="TOC1"/>
            <w:rPr>
              <w:rFonts w:asciiTheme="minorHAnsi" w:eastAsiaTheme="minorEastAsia" w:hAnsiTheme="minorHAnsi" w:cstheme="minorBidi"/>
              <w:bCs w:val="0"/>
              <w:noProof/>
              <w:sz w:val="22"/>
              <w:szCs w:val="22"/>
              <w:lang w:eastAsia="fr-FR"/>
            </w:rPr>
          </w:pPr>
          <w:hyperlink w:anchor="_Toc19781255" w:history="1">
            <w:r w:rsidR="00AE68B3" w:rsidRPr="00445133">
              <w:rPr>
                <w:rStyle w:val="Hyperlink"/>
                <w:rFonts w:cstheme="minorHAnsi"/>
                <w:noProof/>
              </w:rPr>
              <w:t>Ressources programmées pour la Convention de Minamata (juillet 2010 – mai 2019)</w:t>
            </w:r>
            <w:r w:rsidR="00AE68B3">
              <w:rPr>
                <w:noProof/>
                <w:webHidden/>
              </w:rPr>
              <w:tab/>
            </w:r>
            <w:r w:rsidR="00AE68B3">
              <w:rPr>
                <w:noProof/>
                <w:webHidden/>
              </w:rPr>
              <w:fldChar w:fldCharType="begin"/>
            </w:r>
            <w:r w:rsidR="00AE68B3">
              <w:rPr>
                <w:noProof/>
                <w:webHidden/>
              </w:rPr>
              <w:instrText xml:space="preserve"> PAGEREF _Toc19781255 \h </w:instrText>
            </w:r>
            <w:r w:rsidR="00AE68B3">
              <w:rPr>
                <w:noProof/>
                <w:webHidden/>
              </w:rPr>
            </w:r>
            <w:r w:rsidR="00AE68B3">
              <w:rPr>
                <w:noProof/>
                <w:webHidden/>
              </w:rPr>
              <w:fldChar w:fldCharType="separate"/>
            </w:r>
            <w:r w:rsidR="00664578">
              <w:rPr>
                <w:noProof/>
                <w:webHidden/>
              </w:rPr>
              <w:t>18</w:t>
            </w:r>
            <w:r w:rsidR="00AE68B3">
              <w:rPr>
                <w:noProof/>
                <w:webHidden/>
              </w:rPr>
              <w:fldChar w:fldCharType="end"/>
            </w:r>
          </w:hyperlink>
        </w:p>
        <w:p w14:paraId="453C27FF" w14:textId="2BB1B9A7" w:rsidR="00E953EE" w:rsidRPr="001A2820" w:rsidRDefault="00E953EE" w:rsidP="00E953EE">
          <w:pPr>
            <w:rPr>
              <w:lang w:val="fr-FR"/>
            </w:rPr>
          </w:pPr>
          <w:r w:rsidRPr="001A2820">
            <w:rPr>
              <w:bCs/>
              <w:noProof/>
              <w:lang w:val="fr-FR"/>
            </w:rPr>
            <w:fldChar w:fldCharType="end"/>
          </w:r>
        </w:p>
      </w:sdtContent>
    </w:sdt>
    <w:p w14:paraId="4D98DF3E" w14:textId="77777777" w:rsidR="00C75B4C" w:rsidRPr="001A2820" w:rsidRDefault="00C75B4C" w:rsidP="0082332B">
      <w:pPr>
        <w:tabs>
          <w:tab w:val="clear" w:pos="1247"/>
          <w:tab w:val="clear" w:pos="1814"/>
          <w:tab w:val="clear" w:pos="2381"/>
          <w:tab w:val="clear" w:pos="2948"/>
          <w:tab w:val="clear" w:pos="3515"/>
        </w:tabs>
        <w:ind w:left="1276"/>
        <w:rPr>
          <w:lang w:val="fr-FR"/>
        </w:rPr>
      </w:pPr>
      <w:bookmarkStart w:id="15" w:name="_Toc9941937"/>
      <w:r w:rsidRPr="001A2820">
        <w:rPr>
          <w:b/>
          <w:lang w:val="fr-FR"/>
        </w:rPr>
        <w:br w:type="page"/>
      </w:r>
    </w:p>
    <w:p w14:paraId="08AF4E27" w14:textId="1783BF8B" w:rsidR="00E953EE" w:rsidRPr="001A2820" w:rsidRDefault="00E953EE" w:rsidP="00E953EE">
      <w:pPr>
        <w:pStyle w:val="Heading1"/>
        <w:ind w:firstLine="0"/>
        <w:rPr>
          <w:b w:val="0"/>
          <w:sz w:val="22"/>
          <w:szCs w:val="22"/>
          <w:lang w:val="fr-FR"/>
        </w:rPr>
      </w:pPr>
      <w:bookmarkStart w:id="16" w:name="_Toc19781250"/>
      <w:r w:rsidRPr="001A2820">
        <w:rPr>
          <w:sz w:val="24"/>
          <w:szCs w:val="24"/>
          <w:lang w:val="fr-FR"/>
        </w:rPr>
        <w:lastRenderedPageBreak/>
        <w:t>Introduction</w:t>
      </w:r>
      <w:r w:rsidR="00717BDD" w:rsidRPr="001A2820">
        <w:rPr>
          <w:sz w:val="24"/>
          <w:szCs w:val="24"/>
          <w:lang w:val="fr-FR"/>
        </w:rPr>
        <w:t> </w:t>
      </w:r>
      <w:r w:rsidRPr="001A2820">
        <w:rPr>
          <w:sz w:val="24"/>
          <w:szCs w:val="24"/>
          <w:lang w:val="fr-FR"/>
        </w:rPr>
        <w:t>:</w:t>
      </w:r>
      <w:bookmarkEnd w:id="15"/>
      <w:bookmarkEnd w:id="16"/>
    </w:p>
    <w:p w14:paraId="4855F6A0" w14:textId="58E55EED" w:rsidR="00E953EE" w:rsidRPr="001A2820" w:rsidRDefault="000A52AE" w:rsidP="00E953EE">
      <w:pPr>
        <w:pStyle w:val="MainParagraphwith"/>
        <w:numPr>
          <w:ilvl w:val="0"/>
          <w:numId w:val="15"/>
        </w:numPr>
        <w:ind w:left="0" w:firstLine="0"/>
        <w:rPr>
          <w:rFonts w:ascii="Times New Roman" w:hAnsi="Times New Roman" w:cs="Times New Roman"/>
          <w:sz w:val="22"/>
          <w:szCs w:val="22"/>
          <w:lang w:val="fr-FR"/>
        </w:rPr>
      </w:pPr>
      <w:bookmarkStart w:id="17" w:name="_Hlk17959972"/>
      <w:r w:rsidRPr="001A2820">
        <w:rPr>
          <w:rFonts w:ascii="Times New Roman" w:hAnsi="Times New Roman" w:cs="Times New Roman"/>
          <w:sz w:val="22"/>
          <w:szCs w:val="22"/>
          <w:lang w:val="fr-FR"/>
        </w:rPr>
        <w:t>Au</w:t>
      </w:r>
      <w:r w:rsidR="00717BDD" w:rsidRPr="001A2820">
        <w:rPr>
          <w:rFonts w:ascii="Times New Roman" w:hAnsi="Times New Roman" w:cs="Times New Roman"/>
          <w:sz w:val="22"/>
          <w:szCs w:val="22"/>
          <w:lang w:val="fr-FR"/>
        </w:rPr>
        <w:t xml:space="preserve"> paragraphe 5 de </w:t>
      </w:r>
      <w:r w:rsidRPr="001A2820">
        <w:rPr>
          <w:rFonts w:ascii="Times New Roman" w:hAnsi="Times New Roman" w:cs="Times New Roman"/>
          <w:sz w:val="22"/>
          <w:szCs w:val="22"/>
          <w:lang w:val="fr-FR"/>
        </w:rPr>
        <w:t xml:space="preserve">son </w:t>
      </w:r>
      <w:r w:rsidR="00717BDD" w:rsidRPr="001A2820">
        <w:rPr>
          <w:rFonts w:ascii="Times New Roman" w:hAnsi="Times New Roman" w:cs="Times New Roman"/>
          <w:sz w:val="22"/>
          <w:szCs w:val="22"/>
          <w:lang w:val="fr-FR"/>
        </w:rPr>
        <w:t>a</w:t>
      </w:r>
      <w:r w:rsidR="00E953EE" w:rsidRPr="001A2820">
        <w:rPr>
          <w:rFonts w:ascii="Times New Roman" w:hAnsi="Times New Roman" w:cs="Times New Roman"/>
          <w:sz w:val="22"/>
          <w:szCs w:val="22"/>
          <w:lang w:val="fr-FR"/>
        </w:rPr>
        <w:t>rticle</w:t>
      </w:r>
      <w:r w:rsidR="00717BDD" w:rsidRPr="001A2820">
        <w:rPr>
          <w:rFonts w:ascii="Times New Roman" w:hAnsi="Times New Roman" w:cs="Times New Roman"/>
          <w:sz w:val="22"/>
          <w:szCs w:val="22"/>
          <w:lang w:val="fr-FR"/>
        </w:rPr>
        <w:t> </w:t>
      </w:r>
      <w:r w:rsidR="00E953EE" w:rsidRPr="001A2820">
        <w:rPr>
          <w:rFonts w:ascii="Times New Roman" w:hAnsi="Times New Roman" w:cs="Times New Roman"/>
          <w:sz w:val="22"/>
          <w:szCs w:val="22"/>
          <w:lang w:val="fr-FR"/>
        </w:rPr>
        <w:t>13</w:t>
      </w:r>
      <w:r w:rsidRPr="001A2820">
        <w:rPr>
          <w:rFonts w:ascii="Times New Roman" w:hAnsi="Times New Roman" w:cs="Times New Roman"/>
          <w:sz w:val="22"/>
          <w:szCs w:val="22"/>
          <w:lang w:val="fr-FR"/>
        </w:rPr>
        <w:t>,</w:t>
      </w:r>
      <w:r w:rsidR="00717BDD" w:rsidRPr="001A2820">
        <w:rPr>
          <w:rFonts w:ascii="Times New Roman" w:hAnsi="Times New Roman" w:cs="Times New Roman"/>
          <w:sz w:val="22"/>
          <w:szCs w:val="22"/>
          <w:lang w:val="fr-FR"/>
        </w:rPr>
        <w:t xml:space="preserve"> la Convention de</w:t>
      </w:r>
      <w:r w:rsidR="00E953EE" w:rsidRPr="001A2820">
        <w:rPr>
          <w:rFonts w:ascii="Times New Roman" w:hAnsi="Times New Roman" w:cs="Times New Roman"/>
          <w:sz w:val="22"/>
          <w:szCs w:val="22"/>
          <w:lang w:val="fr-FR"/>
        </w:rPr>
        <w:t xml:space="preserve"> Minamata </w:t>
      </w:r>
      <w:r w:rsidR="00717BDD" w:rsidRPr="001A2820">
        <w:rPr>
          <w:rFonts w:ascii="Times New Roman" w:hAnsi="Times New Roman" w:cs="Times New Roman"/>
          <w:sz w:val="22"/>
          <w:szCs w:val="22"/>
          <w:lang w:val="fr-FR"/>
        </w:rPr>
        <w:t>sur le mercure</w:t>
      </w:r>
      <w:r w:rsidR="00E953EE" w:rsidRPr="001A2820">
        <w:rPr>
          <w:rFonts w:ascii="Times New Roman" w:hAnsi="Times New Roman" w:cs="Times New Roman"/>
          <w:sz w:val="22"/>
          <w:szCs w:val="22"/>
          <w:lang w:val="fr-FR"/>
        </w:rPr>
        <w:t xml:space="preserve"> </w:t>
      </w:r>
      <w:r w:rsidR="006D1554" w:rsidRPr="001A2820">
        <w:rPr>
          <w:rFonts w:ascii="Times New Roman" w:hAnsi="Times New Roman" w:cs="Times New Roman"/>
          <w:sz w:val="22"/>
          <w:szCs w:val="22"/>
          <w:lang w:val="fr-FR"/>
        </w:rPr>
        <w:t>institue un mécanisme destiné à fournir en temps voulu des ressources financières adéquates et prévisibles pour aider les Parties qui sont des pays en développement ou des pays à économie en transition dans la mise en œuvre de leurs obligations au titre de la Convention</w:t>
      </w:r>
      <w:bookmarkEnd w:id="17"/>
      <w:r w:rsidR="00E953EE" w:rsidRPr="001A2820">
        <w:rPr>
          <w:rFonts w:ascii="Times New Roman" w:hAnsi="Times New Roman" w:cs="Times New Roman"/>
          <w:sz w:val="22"/>
          <w:szCs w:val="22"/>
          <w:lang w:val="fr-FR"/>
        </w:rPr>
        <w:t>.</w:t>
      </w:r>
    </w:p>
    <w:p w14:paraId="24E32467" w14:textId="15089857" w:rsidR="00E953EE" w:rsidRPr="001A2820" w:rsidRDefault="00463AF6" w:rsidP="00E953EE">
      <w:pPr>
        <w:pStyle w:val="MainParagraphwith"/>
        <w:numPr>
          <w:ilvl w:val="0"/>
          <w:numId w:val="15"/>
        </w:numPr>
        <w:ind w:left="0" w:firstLine="0"/>
        <w:rPr>
          <w:rFonts w:ascii="Times New Roman" w:hAnsi="Times New Roman" w:cs="Times New Roman"/>
          <w:sz w:val="22"/>
          <w:szCs w:val="22"/>
          <w:lang w:val="fr-FR"/>
        </w:rPr>
      </w:pPr>
      <w:r w:rsidRPr="001A2820">
        <w:rPr>
          <w:rFonts w:ascii="Times New Roman" w:hAnsi="Times New Roman" w:cs="Times New Roman"/>
          <w:sz w:val="22"/>
          <w:szCs w:val="22"/>
          <w:lang w:val="fr-FR"/>
        </w:rPr>
        <w:t>Le paragraphe 6 de l’a</w:t>
      </w:r>
      <w:r w:rsidR="00E953EE" w:rsidRPr="001A2820">
        <w:rPr>
          <w:rFonts w:ascii="Times New Roman" w:hAnsi="Times New Roman" w:cs="Times New Roman"/>
          <w:sz w:val="22"/>
          <w:szCs w:val="22"/>
          <w:lang w:val="fr-FR"/>
        </w:rPr>
        <w:t>rticle</w:t>
      </w:r>
      <w:r w:rsidRPr="001A2820">
        <w:rPr>
          <w:rFonts w:ascii="Times New Roman" w:hAnsi="Times New Roman" w:cs="Times New Roman"/>
          <w:sz w:val="22"/>
          <w:szCs w:val="22"/>
          <w:lang w:val="fr-FR"/>
        </w:rPr>
        <w:t> </w:t>
      </w:r>
      <w:r w:rsidR="00E953EE" w:rsidRPr="001A2820">
        <w:rPr>
          <w:rFonts w:ascii="Times New Roman" w:hAnsi="Times New Roman" w:cs="Times New Roman"/>
          <w:sz w:val="22"/>
          <w:szCs w:val="22"/>
          <w:lang w:val="fr-FR"/>
        </w:rPr>
        <w:t>13</w:t>
      </w:r>
      <w:r w:rsidRPr="001A2820">
        <w:rPr>
          <w:rFonts w:ascii="Times New Roman" w:hAnsi="Times New Roman" w:cs="Times New Roman"/>
          <w:sz w:val="22"/>
          <w:szCs w:val="22"/>
          <w:lang w:val="fr-FR"/>
        </w:rPr>
        <w:t xml:space="preserve"> inclut dans le mécanisme la Caisse du </w:t>
      </w:r>
      <w:r w:rsidR="00E1234C">
        <w:rPr>
          <w:rFonts w:ascii="Times New Roman" w:hAnsi="Times New Roman" w:cs="Times New Roman"/>
          <w:sz w:val="22"/>
          <w:szCs w:val="22"/>
          <w:lang w:val="fr-FR"/>
        </w:rPr>
        <w:t>FEM</w:t>
      </w:r>
      <w:r w:rsidRPr="001A2820">
        <w:rPr>
          <w:rFonts w:ascii="Times New Roman" w:hAnsi="Times New Roman" w:cs="Times New Roman"/>
          <w:sz w:val="22"/>
          <w:szCs w:val="22"/>
          <w:lang w:val="fr-FR"/>
        </w:rPr>
        <w:t xml:space="preserve"> et un</w:t>
      </w:r>
      <w:r w:rsidR="00E953EE" w:rsidRPr="001A2820">
        <w:rPr>
          <w:rFonts w:ascii="Times New Roman" w:hAnsi="Times New Roman" w:cs="Times New Roman"/>
          <w:sz w:val="22"/>
          <w:szCs w:val="22"/>
          <w:lang w:val="fr-FR"/>
        </w:rPr>
        <w:t xml:space="preserve"> </w:t>
      </w:r>
      <w:r w:rsidRPr="001A2820">
        <w:rPr>
          <w:rFonts w:ascii="Times New Roman" w:hAnsi="Times New Roman" w:cs="Times New Roman"/>
          <w:sz w:val="22"/>
          <w:szCs w:val="22"/>
          <w:lang w:val="fr-FR"/>
        </w:rPr>
        <w:t>programme international spécifique visant à soutenir le renforcement des capacités et l’assistance technique.</w:t>
      </w:r>
    </w:p>
    <w:p w14:paraId="38F859D0" w14:textId="75F0F88C" w:rsidR="00E953EE" w:rsidRPr="001A2820" w:rsidRDefault="00463AF6" w:rsidP="00E953EE">
      <w:pPr>
        <w:pStyle w:val="MainParagraphwith"/>
        <w:numPr>
          <w:ilvl w:val="0"/>
          <w:numId w:val="15"/>
        </w:numPr>
        <w:ind w:left="0" w:firstLine="0"/>
        <w:rPr>
          <w:rFonts w:ascii="Times New Roman" w:hAnsi="Times New Roman" w:cs="Times New Roman"/>
          <w:sz w:val="22"/>
          <w:szCs w:val="22"/>
          <w:lang w:val="fr-FR"/>
        </w:rPr>
      </w:pPr>
      <w:r w:rsidRPr="001A2820">
        <w:rPr>
          <w:rFonts w:ascii="Times New Roman" w:hAnsi="Times New Roman" w:cs="Times New Roman"/>
          <w:sz w:val="22"/>
          <w:szCs w:val="22"/>
          <w:lang w:val="fr-FR"/>
        </w:rPr>
        <w:t>Aux termes du paragraphe 11 de l’a</w:t>
      </w:r>
      <w:r w:rsidR="00E953EE" w:rsidRPr="001A2820">
        <w:rPr>
          <w:rFonts w:ascii="Times New Roman" w:hAnsi="Times New Roman" w:cs="Times New Roman"/>
          <w:sz w:val="22"/>
          <w:szCs w:val="22"/>
          <w:lang w:val="fr-FR"/>
        </w:rPr>
        <w:t>rticle</w:t>
      </w:r>
      <w:r w:rsidR="00011BB5">
        <w:rPr>
          <w:rFonts w:ascii="Times New Roman" w:hAnsi="Times New Roman" w:cs="Times New Roman"/>
          <w:sz w:val="22"/>
          <w:szCs w:val="22"/>
          <w:lang w:val="fr-FR"/>
        </w:rPr>
        <w:t> </w:t>
      </w:r>
      <w:r w:rsidR="00E953EE" w:rsidRPr="001A2820">
        <w:rPr>
          <w:rFonts w:ascii="Times New Roman" w:hAnsi="Times New Roman" w:cs="Times New Roman"/>
          <w:sz w:val="22"/>
          <w:szCs w:val="22"/>
          <w:lang w:val="fr-FR"/>
        </w:rPr>
        <w:t>13</w:t>
      </w:r>
      <w:r w:rsidRPr="001A2820">
        <w:rPr>
          <w:rFonts w:ascii="Times New Roman" w:hAnsi="Times New Roman" w:cs="Times New Roman"/>
          <w:sz w:val="22"/>
          <w:szCs w:val="22"/>
          <w:lang w:val="fr-FR"/>
        </w:rPr>
        <w:t xml:space="preserve"> de la Convention de </w:t>
      </w:r>
      <w:r w:rsidR="00E953EE" w:rsidRPr="001A2820">
        <w:rPr>
          <w:rFonts w:ascii="Times New Roman" w:hAnsi="Times New Roman" w:cs="Times New Roman"/>
          <w:sz w:val="22"/>
          <w:szCs w:val="22"/>
          <w:lang w:val="fr-FR"/>
        </w:rPr>
        <w:t xml:space="preserve">Minamata </w:t>
      </w:r>
      <w:r w:rsidRPr="001A2820">
        <w:rPr>
          <w:rFonts w:ascii="Times New Roman" w:hAnsi="Times New Roman" w:cs="Times New Roman"/>
          <w:sz w:val="22"/>
          <w:szCs w:val="22"/>
          <w:lang w:val="fr-FR"/>
        </w:rPr>
        <w:t>sur le mercure </w:t>
      </w:r>
      <w:r w:rsidR="00E953EE" w:rsidRPr="001A2820">
        <w:rPr>
          <w:rFonts w:ascii="Times New Roman" w:hAnsi="Times New Roman" w:cs="Times New Roman"/>
          <w:sz w:val="22"/>
          <w:szCs w:val="22"/>
          <w:lang w:val="fr-FR"/>
        </w:rPr>
        <w:t xml:space="preserve">: </w:t>
      </w:r>
    </w:p>
    <w:p w14:paraId="2A9A4499" w14:textId="70B40A33" w:rsidR="00E953EE" w:rsidRPr="001A2820" w:rsidRDefault="00463AF6" w:rsidP="00E953EE">
      <w:pPr>
        <w:pStyle w:val="MainParagraphwith"/>
        <w:numPr>
          <w:ilvl w:val="0"/>
          <w:numId w:val="0"/>
        </w:numPr>
        <w:ind w:left="720"/>
        <w:rPr>
          <w:rFonts w:ascii="Times New Roman" w:hAnsi="Times New Roman" w:cs="Times New Roman"/>
          <w:sz w:val="22"/>
          <w:szCs w:val="22"/>
          <w:lang w:val="fr-FR"/>
        </w:rPr>
      </w:pPr>
      <w:r w:rsidRPr="001A2820">
        <w:rPr>
          <w:rFonts w:ascii="Times New Roman" w:hAnsi="Times New Roman" w:cs="Times New Roman"/>
          <w:sz w:val="22"/>
          <w:szCs w:val="22"/>
          <w:lang w:val="fr-FR"/>
        </w:rPr>
        <w:t>« La Conférence des Parties examine, au plus tard à sa troisi</w:t>
      </w:r>
      <w:r w:rsidR="0014206C">
        <w:rPr>
          <w:rFonts w:ascii="Times New Roman" w:hAnsi="Times New Roman" w:cs="Times New Roman"/>
          <w:sz w:val="22"/>
          <w:szCs w:val="22"/>
          <w:lang w:val="fr-FR"/>
        </w:rPr>
        <w:t>ème réunion et, par la suite, à </w:t>
      </w:r>
      <w:r w:rsidRPr="001A2820">
        <w:rPr>
          <w:rFonts w:ascii="Times New Roman" w:hAnsi="Times New Roman" w:cs="Times New Roman"/>
          <w:sz w:val="22"/>
          <w:szCs w:val="22"/>
          <w:lang w:val="fr-FR"/>
        </w:rPr>
        <w:t>intervalles réguliers, le niveau de financement, les orientations fournies par la Conférence des Parties aux entités chargées d’assurer le fonctionnement du mécanisme institué en vertu du présent article et leur efficacité, et leur capacité à répondre aux besoins en évolution des Parties qui sont des pays en développement et des pays à économie en transition</w:t>
      </w:r>
      <w:r w:rsidR="00E953EE" w:rsidRPr="001A2820">
        <w:rPr>
          <w:rFonts w:ascii="Times New Roman" w:hAnsi="Times New Roman" w:cs="Times New Roman"/>
          <w:sz w:val="22"/>
          <w:szCs w:val="22"/>
          <w:lang w:val="fr-FR"/>
        </w:rPr>
        <w:t xml:space="preserve">. </w:t>
      </w:r>
      <w:r w:rsidR="0014206C">
        <w:rPr>
          <w:rFonts w:ascii="Times New Roman" w:hAnsi="Times New Roman" w:cs="Times New Roman"/>
          <w:sz w:val="22"/>
          <w:szCs w:val="22"/>
          <w:lang w:val="fr-FR"/>
        </w:rPr>
        <w:t>Sur la base de cet examen, la </w:t>
      </w:r>
      <w:r w:rsidRPr="001A2820">
        <w:rPr>
          <w:rFonts w:ascii="Times New Roman" w:hAnsi="Times New Roman" w:cs="Times New Roman"/>
          <w:sz w:val="22"/>
          <w:szCs w:val="22"/>
          <w:lang w:val="fr-FR"/>
        </w:rPr>
        <w:t>Conférence des Parties prend des mesures appropriées pour améliorer l’efficacité du mécanisme. »</w:t>
      </w:r>
    </w:p>
    <w:p w14:paraId="7B4678B8" w14:textId="1C516DB2" w:rsidR="0082332B" w:rsidRDefault="003107A2" w:rsidP="00E953EE">
      <w:pPr>
        <w:pStyle w:val="MainParagraphwith"/>
        <w:numPr>
          <w:ilvl w:val="0"/>
          <w:numId w:val="15"/>
        </w:numPr>
        <w:ind w:left="0" w:firstLine="0"/>
        <w:rPr>
          <w:rFonts w:ascii="Times New Roman" w:hAnsi="Times New Roman" w:cs="Times New Roman"/>
          <w:sz w:val="22"/>
          <w:szCs w:val="22"/>
          <w:lang w:val="fr-FR"/>
        </w:rPr>
      </w:pPr>
      <w:r w:rsidRPr="001A2820">
        <w:rPr>
          <w:rFonts w:ascii="Times New Roman" w:hAnsi="Times New Roman" w:cs="Times New Roman"/>
          <w:sz w:val="22"/>
          <w:szCs w:val="22"/>
          <w:lang w:val="fr-FR"/>
        </w:rPr>
        <w:t>Le présent</w:t>
      </w:r>
      <w:r w:rsidR="00E953EE" w:rsidRPr="001A2820">
        <w:rPr>
          <w:rFonts w:ascii="Times New Roman" w:hAnsi="Times New Roman" w:cs="Times New Roman"/>
          <w:sz w:val="22"/>
          <w:szCs w:val="22"/>
          <w:lang w:val="fr-FR"/>
        </w:rPr>
        <w:t xml:space="preserve"> document</w:t>
      </w:r>
      <w:r w:rsidRPr="001A2820">
        <w:rPr>
          <w:rFonts w:ascii="Times New Roman" w:hAnsi="Times New Roman" w:cs="Times New Roman"/>
          <w:sz w:val="22"/>
          <w:szCs w:val="22"/>
          <w:lang w:val="fr-FR"/>
        </w:rPr>
        <w:t xml:space="preserve"> contient des informations sur le niveau de financement fourni par le FEM </w:t>
      </w:r>
      <w:r w:rsidR="0014206C">
        <w:rPr>
          <w:rFonts w:ascii="Times New Roman" w:hAnsi="Times New Roman" w:cs="Times New Roman"/>
          <w:sz w:val="22"/>
          <w:szCs w:val="22"/>
          <w:lang w:val="fr-FR"/>
        </w:rPr>
        <w:t>pour </w:t>
      </w:r>
      <w:r w:rsidR="00F21B08" w:rsidRPr="001A2820">
        <w:rPr>
          <w:rFonts w:ascii="Times New Roman" w:hAnsi="Times New Roman" w:cs="Times New Roman"/>
          <w:sz w:val="22"/>
          <w:szCs w:val="22"/>
          <w:lang w:val="fr-FR"/>
        </w:rPr>
        <w:t>aider les Parties qui sont des pays en développement ou des pays à économie en transition dans la mise en œuvre de leurs obligations au titre de la Convention et sur l</w:t>
      </w:r>
      <w:r w:rsidR="0028197E">
        <w:rPr>
          <w:rFonts w:ascii="Times New Roman" w:hAnsi="Times New Roman" w:cs="Times New Roman"/>
          <w:sz w:val="22"/>
          <w:szCs w:val="22"/>
          <w:lang w:val="fr-FR"/>
        </w:rPr>
        <w:t>es</w:t>
      </w:r>
      <w:r w:rsidR="00F21B08" w:rsidRPr="001A2820">
        <w:rPr>
          <w:rFonts w:ascii="Times New Roman" w:hAnsi="Times New Roman" w:cs="Times New Roman"/>
          <w:sz w:val="22"/>
          <w:szCs w:val="22"/>
          <w:lang w:val="fr-FR"/>
        </w:rPr>
        <w:t xml:space="preserve"> suite</w:t>
      </w:r>
      <w:r w:rsidR="0028197E">
        <w:rPr>
          <w:rFonts w:ascii="Times New Roman" w:hAnsi="Times New Roman" w:cs="Times New Roman"/>
          <w:sz w:val="22"/>
          <w:szCs w:val="22"/>
          <w:lang w:val="fr-FR"/>
        </w:rPr>
        <w:t>s</w:t>
      </w:r>
      <w:r w:rsidR="00F21B08" w:rsidRPr="001A2820">
        <w:rPr>
          <w:rFonts w:ascii="Times New Roman" w:hAnsi="Times New Roman" w:cs="Times New Roman"/>
          <w:sz w:val="22"/>
          <w:szCs w:val="22"/>
          <w:lang w:val="fr-FR"/>
        </w:rPr>
        <w:t xml:space="preserve"> donnée</w:t>
      </w:r>
      <w:r w:rsidR="0028197E">
        <w:rPr>
          <w:rFonts w:ascii="Times New Roman" w:hAnsi="Times New Roman" w:cs="Times New Roman"/>
          <w:sz w:val="22"/>
          <w:szCs w:val="22"/>
          <w:lang w:val="fr-FR"/>
        </w:rPr>
        <w:t>s</w:t>
      </w:r>
      <w:r w:rsidR="00F21B08" w:rsidRPr="001A2820">
        <w:rPr>
          <w:rFonts w:ascii="Times New Roman" w:hAnsi="Times New Roman" w:cs="Times New Roman"/>
          <w:sz w:val="22"/>
          <w:szCs w:val="22"/>
          <w:lang w:val="fr-FR"/>
        </w:rPr>
        <w:t xml:space="preserve"> aux orientations fournies par la Conférence des Parties et le Comité de négociation intergouvernemental ainsi que par</w:t>
      </w:r>
      <w:r w:rsidR="00E953EE" w:rsidRPr="001A2820">
        <w:rPr>
          <w:rFonts w:ascii="Times New Roman" w:hAnsi="Times New Roman" w:cs="Times New Roman"/>
          <w:sz w:val="22"/>
          <w:szCs w:val="22"/>
          <w:lang w:val="fr-FR"/>
        </w:rPr>
        <w:t xml:space="preserve"> </w:t>
      </w:r>
      <w:r w:rsidR="00F21B08" w:rsidRPr="001A2820">
        <w:rPr>
          <w:rFonts w:ascii="Times New Roman" w:hAnsi="Times New Roman" w:cs="Times New Roman"/>
          <w:sz w:val="22"/>
          <w:szCs w:val="22"/>
          <w:lang w:val="fr-FR"/>
        </w:rPr>
        <w:t>la</w:t>
      </w:r>
      <w:r w:rsidR="00E953EE" w:rsidRPr="001A2820">
        <w:rPr>
          <w:rFonts w:ascii="Times New Roman" w:hAnsi="Times New Roman" w:cs="Times New Roman"/>
          <w:sz w:val="22"/>
          <w:szCs w:val="22"/>
          <w:lang w:val="fr-FR"/>
        </w:rPr>
        <w:t xml:space="preserve"> </w:t>
      </w:r>
      <w:r w:rsidR="00F21B08" w:rsidRPr="001A2820">
        <w:rPr>
          <w:rFonts w:ascii="Times New Roman" w:hAnsi="Times New Roman" w:cs="Times New Roman"/>
          <w:sz w:val="22"/>
          <w:szCs w:val="22"/>
          <w:lang w:val="fr-FR"/>
        </w:rPr>
        <w:t>Conférence de plénipotentiaires relative à la Convention de Minamata sur le mercure</w:t>
      </w:r>
      <w:r w:rsidR="00E953EE" w:rsidRPr="001A2820" w:rsidDel="00D32145">
        <w:rPr>
          <w:rFonts w:ascii="Times New Roman" w:hAnsi="Times New Roman" w:cs="Times New Roman"/>
          <w:sz w:val="22"/>
          <w:szCs w:val="22"/>
          <w:lang w:val="fr-FR"/>
        </w:rPr>
        <w:t>.</w:t>
      </w:r>
    </w:p>
    <w:p w14:paraId="2463FE47" w14:textId="77777777" w:rsidR="0082332B" w:rsidRDefault="0082332B">
      <w:pPr>
        <w:tabs>
          <w:tab w:val="clear" w:pos="1247"/>
          <w:tab w:val="clear" w:pos="1814"/>
          <w:tab w:val="clear" w:pos="2381"/>
          <w:tab w:val="clear" w:pos="2948"/>
          <w:tab w:val="clear" w:pos="3515"/>
        </w:tabs>
        <w:rPr>
          <w:rFonts w:eastAsiaTheme="minorEastAsia"/>
          <w:bCs/>
          <w:color w:val="000000"/>
          <w:sz w:val="22"/>
          <w:szCs w:val="22"/>
          <w:lang w:val="fr-FR" w:eastAsia="zh-CN"/>
        </w:rPr>
      </w:pPr>
      <w:r>
        <w:rPr>
          <w:sz w:val="22"/>
          <w:szCs w:val="22"/>
          <w:lang w:val="fr-FR"/>
        </w:rPr>
        <w:br w:type="page"/>
      </w:r>
    </w:p>
    <w:p w14:paraId="62A3FE99" w14:textId="6971EE84" w:rsidR="00E474B7" w:rsidRPr="00425FEC" w:rsidRDefault="00E474B7" w:rsidP="00E474B7">
      <w:pPr>
        <w:pStyle w:val="Heading1"/>
        <w:ind w:firstLine="0"/>
        <w:rPr>
          <w:b w:val="0"/>
          <w:lang w:val="fr-FR"/>
        </w:rPr>
      </w:pPr>
      <w:bookmarkStart w:id="18" w:name="_Toc19781251"/>
      <w:bookmarkStart w:id="19" w:name="_Toc9942385"/>
      <w:r w:rsidRPr="001A2820">
        <w:rPr>
          <w:b w:val="0"/>
          <w:sz w:val="24"/>
          <w:szCs w:val="24"/>
          <w:lang w:val="fr-FR"/>
        </w:rPr>
        <w:lastRenderedPageBreak/>
        <w:t>Compilation des suites données par le Conseil du FEM aux orientations fournies par la Convention de Minamata sur le mercure :</w:t>
      </w:r>
      <w:bookmarkEnd w:id="18"/>
    </w:p>
    <w:p w14:paraId="60629A81" w14:textId="1E5E29E7" w:rsidR="00E474B7" w:rsidRPr="001A2820" w:rsidRDefault="00E474B7" w:rsidP="00E474B7">
      <w:pPr>
        <w:pStyle w:val="Heading2"/>
        <w:ind w:firstLine="0"/>
        <w:rPr>
          <w:lang w:val="fr-FR"/>
        </w:rPr>
      </w:pPr>
      <w:bookmarkStart w:id="20" w:name="_Toc19781252"/>
      <w:r w:rsidRPr="001A2820">
        <w:rPr>
          <w:lang w:val="fr-FR"/>
        </w:rPr>
        <w:t>Orientations initiales fournies au FEM lo</w:t>
      </w:r>
      <w:r w:rsidR="0014206C">
        <w:rPr>
          <w:lang w:val="fr-FR"/>
        </w:rPr>
        <w:t>rs de la première réunion de la </w:t>
      </w:r>
      <w:r w:rsidRPr="001A2820">
        <w:rPr>
          <w:lang w:val="fr-FR"/>
        </w:rPr>
        <w:t>Conférence des Parties</w:t>
      </w:r>
      <w:r w:rsidRPr="001A2820">
        <w:rPr>
          <w:rStyle w:val="FootnoteReference"/>
          <w:lang w:val="fr-FR"/>
        </w:rPr>
        <w:footnoteReference w:id="6"/>
      </w:r>
      <w:bookmarkEnd w:id="20"/>
    </w:p>
    <w:tbl>
      <w:tblPr>
        <w:tblStyle w:val="GridTable5Dark-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15" w:type="dxa"/>
          <w:right w:w="115" w:type="dxa"/>
        </w:tblCellMar>
        <w:tblLook w:val="04A0" w:firstRow="1" w:lastRow="0" w:firstColumn="1" w:lastColumn="0" w:noHBand="0" w:noVBand="1"/>
      </w:tblPr>
      <w:tblGrid>
        <w:gridCol w:w="450"/>
        <w:gridCol w:w="4876"/>
        <w:gridCol w:w="4161"/>
      </w:tblGrid>
      <w:tr w:rsidR="00E474B7" w:rsidRPr="00CF6A23" w14:paraId="6377F7A7" w14:textId="77777777" w:rsidTr="00371129">
        <w:trPr>
          <w:cnfStyle w:val="100000000000" w:firstRow="1" w:lastRow="0" w:firstColumn="0" w:lastColumn="0" w:oddVBand="0" w:evenVBand="0" w:oddHBand="0" w:evenHBand="0" w:firstRowFirstColumn="0" w:firstRowLastColumn="0" w:lastRowFirstColumn="0" w:lastRowLastColumn="0"/>
          <w:trHeight w:val="316"/>
          <w:tblHeader/>
          <w:jc w:val="center"/>
        </w:trPr>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4" w:space="0" w:color="auto"/>
              <w:left w:val="single" w:sz="4" w:space="0" w:color="auto"/>
              <w:right w:val="single" w:sz="4" w:space="0" w:color="auto"/>
            </w:tcBorders>
            <w:shd w:val="clear" w:color="auto" w:fill="FFFFFF" w:themeFill="background1"/>
          </w:tcPr>
          <w:bookmarkEnd w:id="19"/>
          <w:p w14:paraId="6EB82023" w14:textId="282C6EBF" w:rsidR="00E474B7" w:rsidRPr="00425FEC" w:rsidRDefault="00E474B7" w:rsidP="00E474B7">
            <w:pPr>
              <w:spacing w:before="60"/>
              <w:jc w:val="center"/>
              <w:rPr>
                <w:color w:val="auto"/>
                <w:sz w:val="22"/>
                <w:szCs w:val="22"/>
                <w:lang w:val="fr-FR"/>
              </w:rPr>
            </w:pPr>
            <w:r w:rsidRPr="001A2820">
              <w:rPr>
                <w:color w:val="auto"/>
                <w:sz w:val="22"/>
                <w:szCs w:val="22"/>
                <w:lang w:val="fr-FR"/>
              </w:rPr>
              <w:t>Orientation</w:t>
            </w:r>
            <w:r>
              <w:rPr>
                <w:color w:val="auto"/>
                <w:sz w:val="22"/>
                <w:szCs w:val="22"/>
                <w:lang w:val="fr-FR"/>
              </w:rPr>
              <w:t>s</w:t>
            </w:r>
            <w:r w:rsidRPr="001A2820">
              <w:rPr>
                <w:color w:val="auto"/>
                <w:sz w:val="22"/>
                <w:szCs w:val="22"/>
                <w:lang w:val="fr-FR"/>
              </w:rPr>
              <w:t xml:space="preserve"> de la Conférence des Parties</w:t>
            </w:r>
            <w:r w:rsidRPr="00425FEC">
              <w:rPr>
                <w:sz w:val="22"/>
                <w:szCs w:val="22"/>
                <w:lang w:val="fr-FR"/>
              </w:rPr>
              <w:t xml:space="preserve"> OP Guidance</w:t>
            </w:r>
          </w:p>
        </w:tc>
        <w:tc>
          <w:tcPr>
            <w:tcW w:w="0" w:type="auto"/>
            <w:tcBorders>
              <w:top w:val="single" w:sz="4" w:space="0" w:color="auto"/>
              <w:left w:val="single" w:sz="4" w:space="0" w:color="auto"/>
              <w:right w:val="single" w:sz="4" w:space="0" w:color="auto"/>
            </w:tcBorders>
            <w:shd w:val="clear" w:color="auto" w:fill="FFFFFF" w:themeFill="background1"/>
          </w:tcPr>
          <w:p w14:paraId="28B5D9F9" w14:textId="636FB965" w:rsidR="00E474B7" w:rsidRPr="00425FEC" w:rsidRDefault="00E474B7" w:rsidP="00E474B7">
            <w:pPr>
              <w:spacing w:before="60"/>
              <w:jc w:val="center"/>
              <w:cnfStyle w:val="100000000000" w:firstRow="1" w:lastRow="0" w:firstColumn="0" w:lastColumn="0" w:oddVBand="0" w:evenVBand="0" w:oddHBand="0" w:evenHBand="0" w:firstRowFirstColumn="0" w:firstRowLastColumn="0" w:lastRowFirstColumn="0" w:lastRowLastColumn="0"/>
              <w:rPr>
                <w:color w:val="auto"/>
                <w:sz w:val="22"/>
                <w:szCs w:val="22"/>
                <w:lang w:val="fr-FR"/>
              </w:rPr>
            </w:pPr>
            <w:r w:rsidRPr="001A2820">
              <w:rPr>
                <w:color w:val="auto"/>
                <w:sz w:val="22"/>
                <w:szCs w:val="22"/>
                <w:lang w:val="fr-FR"/>
              </w:rPr>
              <w:t>Suite</w:t>
            </w:r>
            <w:r>
              <w:rPr>
                <w:color w:val="auto"/>
                <w:sz w:val="22"/>
                <w:szCs w:val="22"/>
                <w:lang w:val="fr-FR"/>
              </w:rPr>
              <w:t>s</w:t>
            </w:r>
            <w:r w:rsidRPr="001A2820">
              <w:rPr>
                <w:color w:val="auto"/>
                <w:sz w:val="22"/>
                <w:szCs w:val="22"/>
                <w:lang w:val="fr-FR"/>
              </w:rPr>
              <w:t xml:space="preserve"> donnée</w:t>
            </w:r>
            <w:r>
              <w:rPr>
                <w:color w:val="auto"/>
                <w:sz w:val="22"/>
                <w:szCs w:val="22"/>
                <w:lang w:val="fr-FR"/>
              </w:rPr>
              <w:t>s</w:t>
            </w:r>
            <w:r w:rsidRPr="001A2820">
              <w:rPr>
                <w:color w:val="auto"/>
                <w:sz w:val="22"/>
                <w:szCs w:val="22"/>
                <w:lang w:val="fr-FR"/>
              </w:rPr>
              <w:t xml:space="preserve"> par le FEM</w:t>
            </w:r>
          </w:p>
        </w:tc>
      </w:tr>
      <w:tr w:rsidR="00E474B7" w:rsidRPr="00CF6A23" w14:paraId="0C2CEAB4"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single" w:sz="4" w:space="0" w:color="auto"/>
            </w:tcBorders>
            <w:shd w:val="clear" w:color="auto" w:fill="FFFFFF" w:themeFill="background1"/>
          </w:tcPr>
          <w:p w14:paraId="0C64A57A" w14:textId="747C37A6" w:rsidR="00E474B7" w:rsidRPr="00425FEC" w:rsidRDefault="00E474B7" w:rsidP="00E474B7">
            <w:pPr>
              <w:spacing w:before="60"/>
              <w:rPr>
                <w:color w:val="auto"/>
                <w:sz w:val="22"/>
                <w:szCs w:val="22"/>
                <w:lang w:val="fr-FR"/>
              </w:rPr>
            </w:pPr>
            <w:r w:rsidRPr="001A2820">
              <w:rPr>
                <w:color w:val="auto"/>
                <w:sz w:val="22"/>
                <w:szCs w:val="22"/>
                <w:lang w:val="fr-FR"/>
              </w:rPr>
              <w:t>I. Conditions requises pour avoir accès aux ressources financières et utiliser ces dernières</w:t>
            </w:r>
          </w:p>
        </w:tc>
      </w:tr>
      <w:tr w:rsidR="00E474B7" w:rsidRPr="00CF6A23" w14:paraId="7C52E3D7" w14:textId="77777777" w:rsidTr="00371129">
        <w:trPr>
          <w:trHeight w:val="1997"/>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234A367" w14:textId="77777777" w:rsidR="00E474B7" w:rsidRPr="002F7012" w:rsidRDefault="00E474B7" w:rsidP="00E474B7">
            <w:pPr>
              <w:spacing w:before="60"/>
              <w:jc w:val="center"/>
              <w:rPr>
                <w:b w:val="0"/>
                <w:color w:val="auto"/>
                <w:sz w:val="22"/>
                <w:szCs w:val="22"/>
              </w:rPr>
            </w:pPr>
            <w:r w:rsidRPr="002F7012">
              <w:rPr>
                <w:sz w:val="22"/>
                <w:szCs w:val="22"/>
              </w:rPr>
              <w:t>2</w:t>
            </w:r>
          </w:p>
        </w:tc>
        <w:tc>
          <w:tcPr>
            <w:tcW w:w="0" w:type="auto"/>
            <w:shd w:val="clear" w:color="auto" w:fill="FFFFFF" w:themeFill="background1"/>
          </w:tcPr>
          <w:p w14:paraId="286D801C" w14:textId="165DB76A"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Pour qu’un pays puisse bénéficier du financement du FEM, qui est l’une des entités constitutives du mécanisme de financement de la Convention de Minamata sur le mercure, il doit être Partie à la Convention et êtr</w:t>
            </w:r>
            <w:r w:rsidR="0014206C">
              <w:rPr>
                <w:sz w:val="22"/>
                <w:szCs w:val="22"/>
                <w:lang w:val="fr-FR"/>
              </w:rPr>
              <w:t>e un pays en développement ou à </w:t>
            </w:r>
            <w:r w:rsidRPr="001A2820">
              <w:rPr>
                <w:sz w:val="22"/>
                <w:szCs w:val="22"/>
                <w:lang w:val="fr-FR"/>
              </w:rPr>
              <w:t>économie en transition.</w:t>
            </w:r>
          </w:p>
        </w:tc>
        <w:tc>
          <w:tcPr>
            <w:tcW w:w="0" w:type="auto"/>
            <w:shd w:val="clear" w:color="auto" w:fill="FFFFFF" w:themeFill="background1"/>
          </w:tcPr>
          <w:p w14:paraId="78B79989" w14:textId="041A7724"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La politique du FEM </w:t>
            </w:r>
            <w:r w:rsidR="005E1255">
              <w:rPr>
                <w:sz w:val="22"/>
                <w:szCs w:val="22"/>
                <w:lang w:val="fr-FR"/>
              </w:rPr>
              <w:t xml:space="preserve">en matière </w:t>
            </w:r>
            <w:r w:rsidR="005E1255" w:rsidRPr="005E1255">
              <w:rPr>
                <w:sz w:val="22"/>
                <w:szCs w:val="22"/>
                <w:lang w:val="fr-FR"/>
              </w:rPr>
              <w:t xml:space="preserve">d’admissibilité </w:t>
            </w:r>
            <w:r w:rsidR="005E1255">
              <w:rPr>
                <w:sz w:val="22"/>
                <w:szCs w:val="22"/>
                <w:lang w:val="fr-FR"/>
              </w:rPr>
              <w:t>à bénéficier d’un financement se rapportant au</w:t>
            </w:r>
            <w:r w:rsidRPr="001A2820">
              <w:rPr>
                <w:sz w:val="22"/>
                <w:szCs w:val="22"/>
                <w:lang w:val="fr-FR"/>
              </w:rPr>
              <w:t xml:space="preserve"> mercure intègre les critères pour le financement des activités habilitantes. Les orientations concernant ces activités habilitantes figurent dans le document d’information de la quarante-cinquième réunion du Conseil du FEM, révisé en janvier 2014</w:t>
            </w:r>
            <w:r w:rsidRPr="001A2820">
              <w:rPr>
                <w:rStyle w:val="FootnoteReference"/>
                <w:sz w:val="22"/>
                <w:szCs w:val="22"/>
                <w:lang w:val="fr-FR"/>
              </w:rPr>
              <w:footnoteReference w:id="7"/>
            </w:r>
            <w:r>
              <w:rPr>
                <w:sz w:val="22"/>
                <w:szCs w:val="22"/>
                <w:lang w:val="fr-FR"/>
              </w:rPr>
              <w:t>.</w:t>
            </w:r>
          </w:p>
          <w:p w14:paraId="7451AC7B" w14:textId="2017C0ED"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Durant </w:t>
            </w:r>
            <w:r w:rsidR="00CC0A5B">
              <w:rPr>
                <w:sz w:val="22"/>
                <w:szCs w:val="22"/>
                <w:lang w:val="fr-FR"/>
              </w:rPr>
              <w:t>FEM-6</w:t>
            </w:r>
            <w:r w:rsidRPr="001A2820">
              <w:rPr>
                <w:sz w:val="22"/>
                <w:szCs w:val="22"/>
                <w:lang w:val="fr-FR"/>
              </w:rPr>
              <w:t xml:space="preserve">, avant la Conférence des Parties, les pays signataires </w:t>
            </w:r>
            <w:r w:rsidR="005E1255">
              <w:rPr>
                <w:sz w:val="22"/>
                <w:szCs w:val="22"/>
                <w:lang w:val="fr-FR"/>
              </w:rPr>
              <w:t>et</w:t>
            </w:r>
            <w:r>
              <w:rPr>
                <w:sz w:val="22"/>
                <w:szCs w:val="22"/>
                <w:lang w:val="fr-FR"/>
              </w:rPr>
              <w:t xml:space="preserve"> les</w:t>
            </w:r>
            <w:r w:rsidRPr="001A2820">
              <w:rPr>
                <w:sz w:val="22"/>
                <w:szCs w:val="22"/>
                <w:lang w:val="fr-FR"/>
              </w:rPr>
              <w:t xml:space="preserve"> </w:t>
            </w:r>
            <w:r>
              <w:rPr>
                <w:sz w:val="22"/>
                <w:szCs w:val="22"/>
                <w:lang w:val="fr-FR"/>
              </w:rPr>
              <w:t>P</w:t>
            </w:r>
            <w:r w:rsidRPr="001A2820">
              <w:rPr>
                <w:sz w:val="22"/>
                <w:szCs w:val="22"/>
                <w:lang w:val="fr-FR"/>
              </w:rPr>
              <w:t xml:space="preserve">arties pouvaient </w:t>
            </w:r>
            <w:r w:rsidR="005E1255">
              <w:rPr>
                <w:sz w:val="22"/>
                <w:szCs w:val="22"/>
                <w:lang w:val="fr-FR"/>
              </w:rPr>
              <w:t>au même titre prétendre à un</w:t>
            </w:r>
            <w:r w:rsidRPr="001A2820">
              <w:rPr>
                <w:sz w:val="22"/>
                <w:szCs w:val="22"/>
                <w:lang w:val="fr-FR"/>
              </w:rPr>
              <w:t xml:space="preserve"> financement du FEM. Dans le cadre de </w:t>
            </w:r>
            <w:r w:rsidR="00CC0A5B">
              <w:rPr>
                <w:sz w:val="22"/>
                <w:szCs w:val="22"/>
                <w:lang w:val="fr-FR"/>
              </w:rPr>
              <w:t>FEM-7</w:t>
            </w:r>
            <w:r w:rsidRPr="001A2820">
              <w:rPr>
                <w:sz w:val="22"/>
                <w:szCs w:val="22"/>
                <w:lang w:val="fr-FR"/>
              </w:rPr>
              <w:t xml:space="preserve">, seules les Parties peuvent avoir accès aux ressources </w:t>
            </w:r>
            <w:r w:rsidR="005E1255">
              <w:rPr>
                <w:sz w:val="22"/>
                <w:szCs w:val="22"/>
                <w:lang w:val="fr-FR"/>
              </w:rPr>
              <w:t xml:space="preserve">fournies par le </w:t>
            </w:r>
            <w:r w:rsidRPr="001A2820">
              <w:rPr>
                <w:sz w:val="22"/>
                <w:szCs w:val="22"/>
                <w:lang w:val="fr-FR"/>
              </w:rPr>
              <w:t>FEM.</w:t>
            </w:r>
          </w:p>
        </w:tc>
      </w:tr>
      <w:tr w:rsidR="00E474B7" w:rsidRPr="00CF6A23" w14:paraId="14EB0C6F" w14:textId="77777777" w:rsidTr="00371129">
        <w:trPr>
          <w:cnfStyle w:val="000000100000" w:firstRow="0" w:lastRow="0" w:firstColumn="0" w:lastColumn="0" w:oddVBand="0" w:evenVBand="0" w:oddHBand="1" w:evenHBand="0" w:firstRowFirstColumn="0" w:firstRowLastColumn="0" w:lastRowFirstColumn="0" w:lastRowLastColumn="0"/>
          <w:trHeight w:val="889"/>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12FBA45F" w14:textId="77777777" w:rsidR="00E474B7" w:rsidRPr="002F7012" w:rsidRDefault="00E474B7" w:rsidP="00E474B7">
            <w:pPr>
              <w:spacing w:before="60"/>
              <w:jc w:val="center"/>
              <w:rPr>
                <w:b w:val="0"/>
                <w:color w:val="auto"/>
                <w:sz w:val="22"/>
                <w:szCs w:val="22"/>
              </w:rPr>
            </w:pPr>
            <w:r w:rsidRPr="002F7012">
              <w:rPr>
                <w:sz w:val="22"/>
                <w:szCs w:val="22"/>
              </w:rPr>
              <w:t>3</w:t>
            </w:r>
          </w:p>
        </w:tc>
        <w:tc>
          <w:tcPr>
            <w:tcW w:w="0" w:type="auto"/>
            <w:shd w:val="clear" w:color="auto" w:fill="FFFFFF" w:themeFill="background1"/>
          </w:tcPr>
          <w:p w14:paraId="5ADD8E54" w14:textId="69D01773" w:rsidR="00E474B7" w:rsidRPr="00425FEC"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Les activités ouvrant droit à l’obtention de fonds de la Caisse du FEM sont celles qui visent à la réalisation des objectifs de la Convention et qui respectent les présentes orientations.</w:t>
            </w:r>
          </w:p>
        </w:tc>
        <w:tc>
          <w:tcPr>
            <w:tcW w:w="0" w:type="auto"/>
            <w:shd w:val="clear" w:color="auto" w:fill="FFFFFF" w:themeFill="background1"/>
          </w:tcPr>
          <w:p w14:paraId="00AA00BD" w14:textId="33E16871" w:rsidR="00E474B7" w:rsidRPr="00425FEC"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Conformément à l’alinéa e) du paragraphe 6 de l’Instrument</w:t>
            </w:r>
            <w:r>
              <w:rPr>
                <w:sz w:val="22"/>
                <w:szCs w:val="22"/>
                <w:lang w:val="fr-FR"/>
              </w:rPr>
              <w:t xml:space="preserve"> du FEM</w:t>
            </w:r>
            <w:r w:rsidRPr="001A2820">
              <w:rPr>
                <w:sz w:val="22"/>
                <w:szCs w:val="22"/>
                <w:lang w:val="fr-FR"/>
              </w:rPr>
              <w:t>, le FEM est l’une des entités constitutives du mécanisme de financement de la Convention de Minamata sur le mercure, au sens des parag</w:t>
            </w:r>
            <w:r w:rsidR="00BB7C6D">
              <w:rPr>
                <w:sz w:val="22"/>
                <w:szCs w:val="22"/>
                <w:lang w:val="fr-FR"/>
              </w:rPr>
              <w:t>raphes 5, 6 et </w:t>
            </w:r>
            <w:r w:rsidRPr="001A2820">
              <w:rPr>
                <w:sz w:val="22"/>
                <w:szCs w:val="22"/>
                <w:lang w:val="fr-FR"/>
              </w:rPr>
              <w:t>8 de l’arti</w:t>
            </w:r>
            <w:r w:rsidR="0014206C">
              <w:rPr>
                <w:sz w:val="22"/>
                <w:szCs w:val="22"/>
                <w:lang w:val="fr-FR"/>
              </w:rPr>
              <w:t>cle 13 de la Convention. À ce </w:t>
            </w:r>
            <w:r w:rsidRPr="001A2820">
              <w:rPr>
                <w:sz w:val="22"/>
                <w:szCs w:val="22"/>
                <w:lang w:val="fr-FR"/>
              </w:rPr>
              <w:t xml:space="preserve">titre, </w:t>
            </w:r>
            <w:r w:rsidR="005E1255">
              <w:rPr>
                <w:sz w:val="22"/>
                <w:szCs w:val="22"/>
                <w:lang w:val="fr-FR"/>
              </w:rPr>
              <w:t>il</w:t>
            </w:r>
            <w:r w:rsidRPr="001A2820">
              <w:rPr>
                <w:sz w:val="22"/>
                <w:szCs w:val="22"/>
                <w:lang w:val="fr-FR"/>
              </w:rPr>
              <w:t xml:space="preserve"> est placé sous la direction de la Conférence des Parties à laquelle il rend compte, et qui énonce des orientations sur les stratégies, politiques et priorités programmatiques globales, ainsi que sur les conditions requises pour avoir accès aux ressources financières et utiliser ces dernières. En outre, </w:t>
            </w:r>
            <w:r w:rsidR="005E1255">
              <w:rPr>
                <w:sz w:val="22"/>
                <w:szCs w:val="22"/>
                <w:lang w:val="fr-FR"/>
              </w:rPr>
              <w:t>il</w:t>
            </w:r>
            <w:r w:rsidRPr="001A2820">
              <w:rPr>
                <w:sz w:val="22"/>
                <w:szCs w:val="22"/>
                <w:lang w:val="fr-FR"/>
              </w:rPr>
              <w:t xml:space="preserve"> reçoit de la Conférence des Parties des orientations sur une liste indicative de catégories d’activités qui pourraient bénéficier d’un soutien ; et il fournit des ressources pour couvrir les surcoûts convenus liés aux avantages environnementaux mondiaux et l’ensemble des coûts convenus de certaines activités habilitantes, conformément aux dispositions du paragraphe 7 de l’article 13 de la Convention de Minamata sur le mercure.</w:t>
            </w:r>
          </w:p>
        </w:tc>
      </w:tr>
      <w:tr w:rsidR="00E474B7" w:rsidRPr="00CF6A23" w14:paraId="650F0CD5"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auto"/>
          </w:tcPr>
          <w:p w14:paraId="1848B387" w14:textId="77777777" w:rsidR="00E474B7" w:rsidRPr="002F7012" w:rsidRDefault="00E474B7" w:rsidP="00E474B7">
            <w:pPr>
              <w:spacing w:before="60"/>
              <w:jc w:val="center"/>
              <w:rPr>
                <w:b w:val="0"/>
                <w:color w:val="auto"/>
                <w:sz w:val="22"/>
                <w:szCs w:val="22"/>
              </w:rPr>
            </w:pPr>
            <w:r w:rsidRPr="002F7012">
              <w:rPr>
                <w:sz w:val="22"/>
                <w:szCs w:val="22"/>
              </w:rPr>
              <w:t>4</w:t>
            </w:r>
          </w:p>
        </w:tc>
        <w:tc>
          <w:tcPr>
            <w:tcW w:w="0" w:type="auto"/>
            <w:shd w:val="clear" w:color="auto" w:fill="auto"/>
          </w:tcPr>
          <w:p w14:paraId="381BFFAC" w14:textId="73507C7A"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Les signataires de la Convention peuvent bénéficier du financement du FEM pour ce qui est des activités habilitantes, pour autant que les États concernés </w:t>
            </w:r>
            <w:r w:rsidRPr="001A2820">
              <w:rPr>
                <w:sz w:val="22"/>
                <w:szCs w:val="22"/>
                <w:lang w:val="fr-FR"/>
              </w:rPr>
              <w:lastRenderedPageBreak/>
              <w:t xml:space="preserve">prennent de véritables mesures en vue de devenir Partie, par voie de lettre adressée par le ministre compétent au Directeur exécutif du </w:t>
            </w:r>
            <w:r>
              <w:rPr>
                <w:sz w:val="22"/>
                <w:szCs w:val="22"/>
                <w:lang w:val="fr-FR"/>
              </w:rPr>
              <w:t>PNUE</w:t>
            </w:r>
            <w:r w:rsidRPr="001A2820">
              <w:rPr>
                <w:sz w:val="22"/>
                <w:szCs w:val="22"/>
                <w:lang w:val="fr-FR"/>
              </w:rPr>
              <w:t xml:space="preserve"> et au Directeur général et Président du </w:t>
            </w:r>
            <w:r>
              <w:rPr>
                <w:sz w:val="22"/>
                <w:szCs w:val="22"/>
                <w:lang w:val="fr-FR"/>
              </w:rPr>
              <w:t>FEM</w:t>
            </w:r>
            <w:r w:rsidRPr="001A2820">
              <w:rPr>
                <w:sz w:val="22"/>
                <w:szCs w:val="22"/>
                <w:lang w:val="fr-FR"/>
              </w:rPr>
              <w:t>.</w:t>
            </w:r>
          </w:p>
        </w:tc>
        <w:tc>
          <w:tcPr>
            <w:tcW w:w="0" w:type="auto"/>
            <w:shd w:val="clear" w:color="auto" w:fill="FFFFFF" w:themeFill="background1"/>
          </w:tcPr>
          <w:p w14:paraId="5E0AF2BC" w14:textId="572ECBE9"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lastRenderedPageBreak/>
              <w:t xml:space="preserve">Jusqu’au 30 juin 2018, le FEM a, dans le cadre de </w:t>
            </w:r>
            <w:r w:rsidR="00F47184">
              <w:rPr>
                <w:sz w:val="22"/>
                <w:szCs w:val="22"/>
                <w:lang w:val="fr-FR"/>
              </w:rPr>
              <w:t>FEM-5</w:t>
            </w:r>
            <w:r w:rsidRPr="001A2820">
              <w:rPr>
                <w:sz w:val="22"/>
                <w:szCs w:val="22"/>
                <w:lang w:val="fr-FR"/>
              </w:rPr>
              <w:t xml:space="preserve"> et </w:t>
            </w:r>
            <w:r w:rsidR="00F47184">
              <w:rPr>
                <w:sz w:val="22"/>
                <w:szCs w:val="22"/>
                <w:lang w:val="fr-FR"/>
              </w:rPr>
              <w:t>FEM-6</w:t>
            </w:r>
            <w:r w:rsidRPr="001A2820">
              <w:rPr>
                <w:sz w:val="22"/>
                <w:szCs w:val="22"/>
                <w:lang w:val="fr-FR"/>
              </w:rPr>
              <w:t xml:space="preserve">, </w:t>
            </w:r>
            <w:r w:rsidR="00C03D94">
              <w:rPr>
                <w:sz w:val="22"/>
                <w:szCs w:val="22"/>
                <w:lang w:val="fr-FR"/>
              </w:rPr>
              <w:t>aidé</w:t>
            </w:r>
            <w:r w:rsidRPr="001A2820">
              <w:rPr>
                <w:sz w:val="22"/>
                <w:szCs w:val="22"/>
                <w:lang w:val="fr-FR"/>
              </w:rPr>
              <w:t xml:space="preserve"> 110 pays à </w:t>
            </w:r>
            <w:r w:rsidR="00C03D94">
              <w:rPr>
                <w:sz w:val="22"/>
                <w:szCs w:val="22"/>
                <w:lang w:val="fr-FR"/>
              </w:rPr>
              <w:t>effectuer des</w:t>
            </w:r>
            <w:r w:rsidRPr="001A2820">
              <w:rPr>
                <w:sz w:val="22"/>
                <w:szCs w:val="22"/>
                <w:lang w:val="fr-FR"/>
              </w:rPr>
              <w:t xml:space="preserve"> évaluations initiales au titre de </w:t>
            </w:r>
            <w:r w:rsidRPr="001A2820">
              <w:rPr>
                <w:sz w:val="22"/>
                <w:szCs w:val="22"/>
                <w:lang w:val="fr-FR"/>
              </w:rPr>
              <w:lastRenderedPageBreak/>
              <w:t>la Convention de Minamata et 32</w:t>
            </w:r>
            <w:r>
              <w:rPr>
                <w:sz w:val="22"/>
                <w:szCs w:val="22"/>
                <w:lang w:val="fr-FR"/>
              </w:rPr>
              <w:t> </w:t>
            </w:r>
            <w:r w:rsidRPr="001A2820">
              <w:rPr>
                <w:sz w:val="22"/>
                <w:szCs w:val="22"/>
                <w:lang w:val="fr-FR"/>
              </w:rPr>
              <w:t xml:space="preserve">pays </w:t>
            </w:r>
            <w:r w:rsidR="00C03D94">
              <w:rPr>
                <w:sz w:val="22"/>
                <w:szCs w:val="22"/>
                <w:lang w:val="fr-FR"/>
              </w:rPr>
              <w:t xml:space="preserve">à </w:t>
            </w:r>
            <w:r w:rsidRPr="001A2820">
              <w:rPr>
                <w:sz w:val="22"/>
                <w:szCs w:val="22"/>
                <w:lang w:val="fr-FR"/>
              </w:rPr>
              <w:t>établir leurs plans d’action nationaux concernant l’extraction minière artisanale et à pe</w:t>
            </w:r>
            <w:r w:rsidR="00BB7C6D">
              <w:rPr>
                <w:sz w:val="22"/>
                <w:szCs w:val="22"/>
                <w:lang w:val="fr-FR"/>
              </w:rPr>
              <w:t>tite échelle d’or. Au total, 78 </w:t>
            </w:r>
            <w:r w:rsidRPr="001A2820">
              <w:rPr>
                <w:sz w:val="22"/>
                <w:szCs w:val="22"/>
                <w:lang w:val="fr-FR"/>
              </w:rPr>
              <w:t>des 89 signataires ont bénéficié d’un financement pour ces activités habilitantes. Sur les 11 pay</w:t>
            </w:r>
            <w:r w:rsidR="00BB7C6D">
              <w:rPr>
                <w:sz w:val="22"/>
                <w:szCs w:val="22"/>
                <w:lang w:val="fr-FR"/>
              </w:rPr>
              <w:t>s restants, 6 </w:t>
            </w:r>
            <w:r w:rsidRPr="001A2820">
              <w:rPr>
                <w:sz w:val="22"/>
                <w:szCs w:val="22"/>
                <w:lang w:val="fr-FR"/>
              </w:rPr>
              <w:t xml:space="preserve">sont </w:t>
            </w:r>
            <w:r w:rsidR="00C03D94">
              <w:rPr>
                <w:sz w:val="22"/>
                <w:szCs w:val="22"/>
                <w:lang w:val="fr-FR"/>
              </w:rPr>
              <w:t xml:space="preserve">maintenant </w:t>
            </w:r>
            <w:r w:rsidRPr="001A2820">
              <w:rPr>
                <w:sz w:val="22"/>
                <w:szCs w:val="22"/>
                <w:lang w:val="fr-FR"/>
              </w:rPr>
              <w:t xml:space="preserve">devenus des Parties. Vingt-trois pays qui étaient non-signataires et non-parties ont eu accès à des ressources pour des activités habilitantes du fait de la modification des critères d’octroi </w:t>
            </w:r>
            <w:r>
              <w:rPr>
                <w:sz w:val="22"/>
                <w:szCs w:val="22"/>
                <w:lang w:val="fr-FR"/>
              </w:rPr>
              <w:t>à la suite d’</w:t>
            </w:r>
            <w:r w:rsidRPr="001A2820">
              <w:rPr>
                <w:sz w:val="22"/>
                <w:szCs w:val="22"/>
                <w:lang w:val="fr-FR"/>
              </w:rPr>
              <w:t>une décision</w:t>
            </w:r>
            <w:r>
              <w:rPr>
                <w:sz w:val="22"/>
                <w:szCs w:val="22"/>
                <w:lang w:val="fr-FR"/>
              </w:rPr>
              <w:t xml:space="preserve"> du</w:t>
            </w:r>
            <w:r w:rsidRPr="00425FEC">
              <w:rPr>
                <w:lang w:val="fr-FR"/>
              </w:rPr>
              <w:t xml:space="preserve"> </w:t>
            </w:r>
            <w:r w:rsidRPr="008D0149">
              <w:rPr>
                <w:sz w:val="22"/>
                <w:szCs w:val="22"/>
                <w:lang w:val="fr-FR"/>
              </w:rPr>
              <w:t>Conseil du FEM</w:t>
            </w:r>
            <w:r w:rsidRPr="001A2820">
              <w:rPr>
                <w:sz w:val="22"/>
                <w:szCs w:val="22"/>
                <w:lang w:val="fr-FR"/>
              </w:rPr>
              <w:t xml:space="preserve"> par courrier électronique datant du 14 janvier 2015, </w:t>
            </w:r>
            <w:r>
              <w:rPr>
                <w:sz w:val="22"/>
                <w:szCs w:val="22"/>
                <w:lang w:val="fr-FR"/>
              </w:rPr>
              <w:t xml:space="preserve">adoptée </w:t>
            </w:r>
            <w:r w:rsidRPr="001A2820">
              <w:rPr>
                <w:sz w:val="22"/>
                <w:szCs w:val="22"/>
                <w:lang w:val="fr-FR"/>
              </w:rPr>
              <w:t>à la demande de la sixième session du Comité de négociation intergouvernemental sur le mercure, tendant à permettre aux États non-signataires/non-parties d’avoir accès aux ressources du FEM pour des activités habilitantes. Cette modification des conditions d’octroi pour les États non-signataires/non-parties n’est plus applicable, étant donné que les orientations de la première réunion de la Conférence des Parties s’appliquent uniquement aux signataires et Parties pour ce qui est de l’octroi d’un financement pour des activités habilitantes</w:t>
            </w:r>
            <w:r w:rsidRPr="001A2820">
              <w:rPr>
                <w:rStyle w:val="FootnoteReference"/>
                <w:sz w:val="22"/>
                <w:szCs w:val="22"/>
                <w:lang w:val="fr-FR"/>
              </w:rPr>
              <w:footnoteReference w:id="8"/>
            </w:r>
            <w:r>
              <w:rPr>
                <w:sz w:val="22"/>
                <w:szCs w:val="22"/>
                <w:lang w:val="fr-FR"/>
              </w:rPr>
              <w:t>.</w:t>
            </w:r>
          </w:p>
        </w:tc>
      </w:tr>
      <w:tr w:rsidR="00E474B7" w:rsidRPr="00D33F35" w14:paraId="0A4E5B7B"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D6C2EDC" w14:textId="0906F11F" w:rsidR="00E474B7" w:rsidRPr="002F7012" w:rsidRDefault="00E474B7" w:rsidP="00E474B7">
            <w:pPr>
              <w:spacing w:before="60"/>
              <w:rPr>
                <w:color w:val="auto"/>
                <w:sz w:val="22"/>
                <w:szCs w:val="22"/>
              </w:rPr>
            </w:pPr>
            <w:r w:rsidRPr="002F7012">
              <w:rPr>
                <w:sz w:val="22"/>
                <w:szCs w:val="22"/>
              </w:rPr>
              <w:lastRenderedPageBreak/>
              <w:t>I</w:t>
            </w:r>
            <w:r w:rsidRPr="001A2820">
              <w:rPr>
                <w:color w:val="auto"/>
                <w:sz w:val="22"/>
                <w:szCs w:val="22"/>
                <w:lang w:val="fr-FR"/>
              </w:rPr>
              <w:t xml:space="preserve"> II. Stratégies et politiques globales</w:t>
            </w:r>
            <w:r w:rsidRPr="002F7012">
              <w:rPr>
                <w:sz w:val="22"/>
                <w:szCs w:val="22"/>
              </w:rPr>
              <w:t xml:space="preserve"> I. Overall strategies and policies</w:t>
            </w:r>
          </w:p>
        </w:tc>
      </w:tr>
      <w:tr w:rsidR="00E474B7" w:rsidRPr="00CF6A23" w14:paraId="29153F5D"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7B1841F1" w14:textId="77777777" w:rsidR="00E474B7" w:rsidRPr="002F7012" w:rsidRDefault="00E474B7" w:rsidP="00E474B7">
            <w:pPr>
              <w:spacing w:before="60"/>
              <w:jc w:val="center"/>
              <w:rPr>
                <w:b w:val="0"/>
                <w:color w:val="auto"/>
                <w:sz w:val="22"/>
                <w:szCs w:val="22"/>
              </w:rPr>
            </w:pPr>
            <w:r w:rsidRPr="002F7012">
              <w:rPr>
                <w:sz w:val="22"/>
                <w:szCs w:val="22"/>
              </w:rPr>
              <w:t>5</w:t>
            </w:r>
          </w:p>
        </w:tc>
        <w:tc>
          <w:tcPr>
            <w:tcW w:w="0" w:type="auto"/>
            <w:shd w:val="clear" w:color="auto" w:fill="FFFFFF" w:themeFill="background1"/>
          </w:tcPr>
          <w:p w14:paraId="44361127"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Conformément au paragraphe 7 de l’article 13 de la Convention, la Caisse du FEM fournit en temps voulu des ressources financières nouvelles, prévisibles et adéquates pour couvrir les coûts de l’aide à la mise en œuvre de la Convention, comme convenu par la Conférence des Parties, y compris les coûts engendrés par des activités qui : </w:t>
            </w:r>
          </w:p>
          <w:p w14:paraId="693CD5DD"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a) </w:t>
            </w:r>
            <w:r>
              <w:rPr>
                <w:sz w:val="22"/>
                <w:szCs w:val="22"/>
                <w:lang w:val="fr-FR"/>
              </w:rPr>
              <w:t>s</w:t>
            </w:r>
            <w:r w:rsidRPr="001A2820">
              <w:rPr>
                <w:sz w:val="22"/>
                <w:szCs w:val="22"/>
                <w:lang w:val="fr-FR"/>
              </w:rPr>
              <w:t xml:space="preserve">ont menées à l’initiative des pays ; </w:t>
            </w:r>
          </w:p>
          <w:p w14:paraId="5DE5712D"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b) </w:t>
            </w:r>
            <w:r>
              <w:rPr>
                <w:sz w:val="22"/>
                <w:szCs w:val="22"/>
                <w:lang w:val="fr-FR"/>
              </w:rPr>
              <w:t>s</w:t>
            </w:r>
            <w:r w:rsidRPr="001A2820">
              <w:rPr>
                <w:sz w:val="22"/>
                <w:szCs w:val="22"/>
                <w:lang w:val="fr-FR"/>
              </w:rPr>
              <w:t>ont conformes aux priorités en matière de programmes telles qu’elles ressortent des orientations pertinentes communiquées par la Conférence des Parties ;</w:t>
            </w:r>
          </w:p>
          <w:p w14:paraId="4633A8C8"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lastRenderedPageBreak/>
              <w:t xml:space="preserve">c) </w:t>
            </w:r>
            <w:r>
              <w:rPr>
                <w:sz w:val="22"/>
                <w:szCs w:val="22"/>
                <w:lang w:val="fr-FR"/>
              </w:rPr>
              <w:t>r</w:t>
            </w:r>
            <w:r w:rsidRPr="001A2820">
              <w:rPr>
                <w:sz w:val="22"/>
                <w:szCs w:val="22"/>
                <w:lang w:val="fr-FR"/>
              </w:rPr>
              <w:t xml:space="preserve">enforcent les capacités et favorisent l’utilisation des compétences locales et régionales, le cas échéant ; </w:t>
            </w:r>
          </w:p>
          <w:p w14:paraId="46DEEDE7"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d) </w:t>
            </w:r>
            <w:r>
              <w:rPr>
                <w:sz w:val="22"/>
                <w:szCs w:val="22"/>
                <w:lang w:val="fr-FR"/>
              </w:rPr>
              <w:t>e</w:t>
            </w:r>
            <w:r w:rsidRPr="001A2820">
              <w:rPr>
                <w:sz w:val="22"/>
                <w:szCs w:val="22"/>
                <w:lang w:val="fr-FR"/>
              </w:rPr>
              <w:t>ncouragent les synergies avec d’autres domaines d’intervention ;</w:t>
            </w:r>
          </w:p>
          <w:p w14:paraId="71598A4F"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e) </w:t>
            </w:r>
            <w:r>
              <w:rPr>
                <w:sz w:val="22"/>
                <w:szCs w:val="22"/>
                <w:lang w:val="fr-FR"/>
              </w:rPr>
              <w:t>c</w:t>
            </w:r>
            <w:r w:rsidRPr="001A2820">
              <w:rPr>
                <w:sz w:val="22"/>
                <w:szCs w:val="22"/>
                <w:lang w:val="fr-FR"/>
              </w:rPr>
              <w:t>ontinuent de renforcer les synergies et les retombées positives dans le domaine d’intervention des produits chimiques et des déchets ;</w:t>
            </w:r>
          </w:p>
          <w:p w14:paraId="131BFF46" w14:textId="77777777"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f) </w:t>
            </w:r>
            <w:r>
              <w:rPr>
                <w:sz w:val="22"/>
                <w:szCs w:val="22"/>
                <w:lang w:val="fr-FR"/>
              </w:rPr>
              <w:t>f</w:t>
            </w:r>
            <w:r w:rsidRPr="001A2820">
              <w:rPr>
                <w:sz w:val="22"/>
                <w:szCs w:val="22"/>
                <w:lang w:val="fr-FR"/>
              </w:rPr>
              <w:t xml:space="preserve">avorisent les méthodes, mécanismes et dispositifs financés par plusieurs sources, notamment le secteur privé, le cas échéant ; et </w:t>
            </w:r>
          </w:p>
          <w:p w14:paraId="666EBD8B" w14:textId="341CDC99"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g) </w:t>
            </w:r>
            <w:r>
              <w:rPr>
                <w:sz w:val="22"/>
                <w:szCs w:val="22"/>
                <w:lang w:val="fr-FR"/>
              </w:rPr>
              <w:t>f</w:t>
            </w:r>
            <w:r w:rsidRPr="001A2820">
              <w:rPr>
                <w:sz w:val="22"/>
                <w:szCs w:val="22"/>
                <w:lang w:val="fr-FR"/>
              </w:rPr>
              <w:t>avorisent un développement socioéconomique national durable, l’atténuation de la pauvreté et les activités compatibles avec les programmes nationaux de gestion rationnelle de l’environnement existants ayant pour objet de protéger la santé humaine et l’environnement.</w:t>
            </w:r>
          </w:p>
        </w:tc>
        <w:tc>
          <w:tcPr>
            <w:tcW w:w="0" w:type="auto"/>
            <w:shd w:val="clear" w:color="auto" w:fill="FFFFFF" w:themeFill="background1"/>
          </w:tcPr>
          <w:p w14:paraId="416A60ED" w14:textId="7C30EDE3"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lastRenderedPageBreak/>
              <w:t xml:space="preserve">Cette orientation a été utilisée pour guider la programmation dans le cadre de </w:t>
            </w:r>
            <w:r w:rsidR="00CC0A5B">
              <w:rPr>
                <w:sz w:val="22"/>
                <w:szCs w:val="22"/>
                <w:lang w:val="fr-FR"/>
              </w:rPr>
              <w:t>FEM-6</w:t>
            </w:r>
            <w:r w:rsidRPr="001A2820">
              <w:rPr>
                <w:sz w:val="22"/>
                <w:szCs w:val="22"/>
                <w:lang w:val="fr-FR"/>
              </w:rPr>
              <w:t xml:space="preserve"> et a été prise en compte dans les négociations </w:t>
            </w:r>
            <w:r w:rsidR="00C03D94">
              <w:rPr>
                <w:sz w:val="22"/>
                <w:szCs w:val="22"/>
                <w:lang w:val="fr-FR"/>
              </w:rPr>
              <w:t xml:space="preserve">relatives à </w:t>
            </w:r>
            <w:r w:rsidR="00CC0A5B">
              <w:rPr>
                <w:sz w:val="22"/>
                <w:szCs w:val="22"/>
                <w:lang w:val="fr-FR"/>
              </w:rPr>
              <w:t>FEM-7</w:t>
            </w:r>
            <w:r w:rsidRPr="001A2820">
              <w:rPr>
                <w:sz w:val="22"/>
                <w:szCs w:val="22"/>
                <w:lang w:val="fr-FR"/>
              </w:rPr>
              <w:t xml:space="preserve">, qui se sont achevées en avril 2018. La nouvelle stratégie figure dans le résumé des négociations de </w:t>
            </w:r>
            <w:r w:rsidR="00CC0A5B">
              <w:rPr>
                <w:sz w:val="22"/>
                <w:szCs w:val="22"/>
                <w:lang w:val="fr-FR"/>
              </w:rPr>
              <w:t>FEM-7</w:t>
            </w:r>
            <w:r w:rsidRPr="001A2820">
              <w:rPr>
                <w:rStyle w:val="FootnoteReference"/>
                <w:sz w:val="22"/>
                <w:szCs w:val="22"/>
                <w:lang w:val="fr-FR"/>
              </w:rPr>
              <w:footnoteReference w:id="9"/>
            </w:r>
            <w:r w:rsidRPr="001A2820">
              <w:rPr>
                <w:sz w:val="22"/>
                <w:szCs w:val="22"/>
                <w:lang w:val="fr-FR"/>
              </w:rPr>
              <w:t>.</w:t>
            </w:r>
          </w:p>
        </w:tc>
      </w:tr>
      <w:tr w:rsidR="00E474B7" w:rsidRPr="00D33F35" w14:paraId="5B863A3C"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2F2C8F67" w14:textId="60E906F4" w:rsidR="00E474B7" w:rsidRPr="002F7012" w:rsidRDefault="00E474B7" w:rsidP="00E474B7">
            <w:pPr>
              <w:spacing w:before="60"/>
              <w:rPr>
                <w:color w:val="auto"/>
                <w:sz w:val="22"/>
                <w:szCs w:val="22"/>
              </w:rPr>
            </w:pPr>
            <w:r w:rsidRPr="001A2820">
              <w:rPr>
                <w:color w:val="auto"/>
                <w:sz w:val="22"/>
                <w:szCs w:val="22"/>
                <w:lang w:val="fr-FR"/>
              </w:rPr>
              <w:t>III. Priorités programmatiques</w:t>
            </w:r>
          </w:p>
        </w:tc>
      </w:tr>
      <w:tr w:rsidR="00E474B7" w:rsidRPr="00CF6A23" w14:paraId="40F527A2"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4774E524" w14:textId="77777777" w:rsidR="00E474B7" w:rsidRPr="002F7012" w:rsidRDefault="00E474B7" w:rsidP="00E474B7">
            <w:pPr>
              <w:spacing w:before="60"/>
              <w:jc w:val="center"/>
              <w:rPr>
                <w:b w:val="0"/>
                <w:color w:val="auto"/>
                <w:sz w:val="22"/>
                <w:szCs w:val="22"/>
              </w:rPr>
            </w:pPr>
            <w:r w:rsidRPr="002F7012">
              <w:rPr>
                <w:sz w:val="22"/>
                <w:szCs w:val="22"/>
              </w:rPr>
              <w:t>6</w:t>
            </w:r>
          </w:p>
        </w:tc>
        <w:tc>
          <w:tcPr>
            <w:tcW w:w="0" w:type="auto"/>
            <w:shd w:val="clear" w:color="auto" w:fill="FFFFFF" w:themeFill="background1"/>
          </w:tcPr>
          <w:p w14:paraId="6A876BA5" w14:textId="5CE48284"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Conformément au paragraphe 7 de l’article 13 de la Convention, la Caisse du FEM fournit des ressources pour couvrir les surcoûts convenus liés aux avantages environnementaux mondiaux et l’ensemble des coûts convenus de certaines activités habilitantes.</w:t>
            </w:r>
          </w:p>
        </w:tc>
        <w:tc>
          <w:tcPr>
            <w:tcW w:w="0" w:type="auto"/>
            <w:shd w:val="clear" w:color="auto" w:fill="FFFFFF" w:themeFill="background1"/>
          </w:tcPr>
          <w:p w14:paraId="38A7D35E" w14:textId="2909AC8C" w:rsidR="00E474B7" w:rsidRPr="001A2820"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Cette orientation </w:t>
            </w:r>
            <w:r w:rsidR="00736884">
              <w:rPr>
                <w:sz w:val="22"/>
                <w:szCs w:val="22"/>
                <w:lang w:val="fr-FR"/>
              </w:rPr>
              <w:t>est prise en compte</w:t>
            </w:r>
            <w:r w:rsidRPr="001A2820">
              <w:rPr>
                <w:sz w:val="22"/>
                <w:szCs w:val="22"/>
                <w:lang w:val="fr-FR"/>
              </w:rPr>
              <w:t xml:space="preserve"> dans les stratégies du FEM.</w:t>
            </w:r>
          </w:p>
          <w:p w14:paraId="0173579F" w14:textId="60E87461"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Dans le cadre de </w:t>
            </w:r>
            <w:r w:rsidR="00CC0A5B">
              <w:rPr>
                <w:sz w:val="22"/>
                <w:szCs w:val="22"/>
                <w:lang w:val="fr-FR"/>
              </w:rPr>
              <w:t>FEM-6</w:t>
            </w:r>
            <w:r w:rsidRPr="001A2820">
              <w:rPr>
                <w:sz w:val="22"/>
                <w:szCs w:val="22"/>
                <w:lang w:val="fr-FR"/>
              </w:rPr>
              <w:t>, 141 millions de dollars ont été alloués pour la mise en œuvre d</w:t>
            </w:r>
            <w:r w:rsidR="00932E7C">
              <w:rPr>
                <w:sz w:val="22"/>
                <w:szCs w:val="22"/>
                <w:lang w:val="fr-FR"/>
              </w:rPr>
              <w:t>e la Convention de Minamata. Le </w:t>
            </w:r>
            <w:r w:rsidRPr="001A2820">
              <w:rPr>
                <w:sz w:val="22"/>
                <w:szCs w:val="22"/>
                <w:lang w:val="fr-FR"/>
              </w:rPr>
              <w:t xml:space="preserve">FEM a programmé des ressources pour couvrir l’ensemble des coûts des évaluations initiales au titre de la Convention de Minamata et des plans d’action nationaux concernant l’extraction minière artisanale et à petite échelle d’or. </w:t>
            </w:r>
            <w:r w:rsidR="00736884">
              <w:rPr>
                <w:sz w:val="22"/>
                <w:szCs w:val="22"/>
                <w:lang w:val="fr-FR"/>
              </w:rPr>
              <w:t>Il</w:t>
            </w:r>
            <w:r w:rsidRPr="001A2820">
              <w:rPr>
                <w:sz w:val="22"/>
                <w:szCs w:val="22"/>
                <w:lang w:val="fr-FR"/>
              </w:rPr>
              <w:t xml:space="preserve"> a programmé des ressources pour plusieurs projets qui visent une mise en œuvre rapide, en particulier dans le secteur de l’extraction minière artisanale et à petite échelle d’or. Dans le cadre de </w:t>
            </w:r>
            <w:r w:rsidR="00CC0A5B">
              <w:rPr>
                <w:sz w:val="22"/>
                <w:szCs w:val="22"/>
                <w:lang w:val="fr-FR"/>
              </w:rPr>
              <w:t>FEM-7</w:t>
            </w:r>
            <w:r w:rsidRPr="001A2820">
              <w:rPr>
                <w:sz w:val="22"/>
                <w:szCs w:val="22"/>
                <w:lang w:val="fr-FR"/>
              </w:rPr>
              <w:t xml:space="preserve">, 206 millions de dollars sont théoriquement alloués à la mise en œuvre de la Convention de Minamata, notamment pour couvrir l’ensemble des coûts convenus de certaines activités habilitantes. </w:t>
            </w:r>
          </w:p>
        </w:tc>
      </w:tr>
      <w:tr w:rsidR="00E474B7" w:rsidRPr="00CF6A23" w14:paraId="1FB31FED"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17FE4686" w14:textId="77777777" w:rsidR="00E474B7" w:rsidRPr="002F7012" w:rsidRDefault="00E474B7" w:rsidP="00E474B7">
            <w:pPr>
              <w:spacing w:before="60"/>
              <w:jc w:val="center"/>
              <w:rPr>
                <w:b w:val="0"/>
                <w:color w:val="auto"/>
                <w:sz w:val="22"/>
                <w:szCs w:val="22"/>
              </w:rPr>
            </w:pPr>
            <w:r w:rsidRPr="002F7012">
              <w:rPr>
                <w:sz w:val="22"/>
                <w:szCs w:val="22"/>
              </w:rPr>
              <w:t>7</w:t>
            </w:r>
          </w:p>
        </w:tc>
        <w:tc>
          <w:tcPr>
            <w:tcW w:w="0" w:type="auto"/>
            <w:shd w:val="clear" w:color="auto" w:fill="FFFFFF" w:themeFill="background1"/>
          </w:tcPr>
          <w:p w14:paraId="13061F63" w14:textId="77777777" w:rsidR="00E474B7" w:rsidRPr="001A2820"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En particulier, la Caisse du FEM devrait accorder la priorité aux activités suivantes lorsqu’elle fournit des ressources financières aux Parties qui sont des pays en développement ou des pays à économie en transition :</w:t>
            </w:r>
          </w:p>
          <w:p w14:paraId="6CEEE0F8" w14:textId="77777777" w:rsidR="00E474B7" w:rsidRPr="001A2820"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a) </w:t>
            </w:r>
            <w:r>
              <w:rPr>
                <w:sz w:val="22"/>
                <w:szCs w:val="22"/>
                <w:lang w:val="fr-FR"/>
              </w:rPr>
              <w:t>a</w:t>
            </w:r>
            <w:r w:rsidRPr="001A2820">
              <w:rPr>
                <w:sz w:val="22"/>
                <w:szCs w:val="22"/>
                <w:lang w:val="fr-FR"/>
              </w:rPr>
              <w:t>ctivités habilitantes, en particulier les activités d’évaluation initiale de la Convention de Minamata et des plans d’action nationaux relatifs à l’extraction artisanale et à petite échelle d’or ;</w:t>
            </w:r>
          </w:p>
          <w:p w14:paraId="2339794A" w14:textId="77777777" w:rsidR="00E474B7" w:rsidRPr="001A2820"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b) </w:t>
            </w:r>
            <w:r>
              <w:rPr>
                <w:sz w:val="22"/>
                <w:szCs w:val="22"/>
                <w:lang w:val="fr-FR"/>
              </w:rPr>
              <w:t>a</w:t>
            </w:r>
            <w:r w:rsidRPr="001A2820">
              <w:rPr>
                <w:sz w:val="22"/>
                <w:szCs w:val="22"/>
                <w:lang w:val="fr-FR"/>
              </w:rPr>
              <w:t xml:space="preserve">ctivités visant à mettre en œuvre les dispositions de la Convention, en accordant la priorité à celles qui : </w:t>
            </w:r>
          </w:p>
          <w:p w14:paraId="6EEED4A3" w14:textId="77777777" w:rsidR="00E474B7" w:rsidRPr="001A2820"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lastRenderedPageBreak/>
              <w:t xml:space="preserve">i) </w:t>
            </w:r>
            <w:r>
              <w:rPr>
                <w:sz w:val="22"/>
                <w:szCs w:val="22"/>
                <w:lang w:val="fr-FR"/>
              </w:rPr>
              <w:t>s</w:t>
            </w:r>
            <w:r w:rsidRPr="001A2820">
              <w:rPr>
                <w:sz w:val="22"/>
                <w:szCs w:val="22"/>
                <w:lang w:val="fr-FR"/>
              </w:rPr>
              <w:t>ont liées à des obligations juridiquement contraignantes ;</w:t>
            </w:r>
          </w:p>
          <w:p w14:paraId="5E79F87D" w14:textId="5EF1D529" w:rsidR="00E474B7" w:rsidRPr="001A2820"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Pr>
                <w:sz w:val="22"/>
                <w:szCs w:val="22"/>
                <w:lang w:val="fr-FR"/>
              </w:rPr>
              <w:t>ii) f</w:t>
            </w:r>
            <w:r w:rsidRPr="001A2820">
              <w:rPr>
                <w:sz w:val="22"/>
                <w:szCs w:val="22"/>
                <w:lang w:val="fr-FR"/>
              </w:rPr>
              <w:t xml:space="preserve">acilitent l’application rapide de la Convention dès son entrée en vigueur à l’égard d’une Partie ; </w:t>
            </w:r>
          </w:p>
          <w:p w14:paraId="18A36E90" w14:textId="083ECAC6" w:rsidR="00E474B7" w:rsidRPr="00425FEC"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iii) </w:t>
            </w:r>
            <w:r>
              <w:rPr>
                <w:sz w:val="22"/>
                <w:szCs w:val="22"/>
                <w:lang w:val="fr-FR"/>
              </w:rPr>
              <w:t>p</w:t>
            </w:r>
            <w:r w:rsidRPr="001A2820">
              <w:rPr>
                <w:sz w:val="22"/>
                <w:szCs w:val="22"/>
                <w:lang w:val="fr-FR"/>
              </w:rPr>
              <w:t>ermettent de réduire les émissions et rejets de mercure et s’attaquent aux incidences du mercure sur la santé et l’environnement.</w:t>
            </w:r>
          </w:p>
        </w:tc>
        <w:tc>
          <w:tcPr>
            <w:tcW w:w="0" w:type="auto"/>
            <w:shd w:val="clear" w:color="auto" w:fill="FFFFFF" w:themeFill="background1"/>
          </w:tcPr>
          <w:p w14:paraId="50D53DDD" w14:textId="50C596D0" w:rsidR="00E474B7" w:rsidRPr="00425FEC" w:rsidRDefault="00E474B7" w:rsidP="00E474B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lastRenderedPageBreak/>
              <w:t xml:space="preserve">Cette orientation a été </w:t>
            </w:r>
            <w:r w:rsidR="00736884">
              <w:rPr>
                <w:sz w:val="22"/>
                <w:szCs w:val="22"/>
                <w:lang w:val="fr-FR"/>
              </w:rPr>
              <w:t xml:space="preserve">prise en compte </w:t>
            </w:r>
            <w:r w:rsidRPr="001A2820">
              <w:rPr>
                <w:sz w:val="22"/>
                <w:szCs w:val="22"/>
                <w:lang w:val="fr-FR"/>
              </w:rPr>
              <w:t xml:space="preserve">dans la programmation </w:t>
            </w:r>
            <w:r w:rsidR="00736884">
              <w:rPr>
                <w:sz w:val="22"/>
                <w:szCs w:val="22"/>
                <w:lang w:val="fr-FR"/>
              </w:rPr>
              <w:t>de</w:t>
            </w:r>
            <w:r w:rsidRPr="001A2820">
              <w:rPr>
                <w:sz w:val="22"/>
                <w:szCs w:val="22"/>
                <w:lang w:val="fr-FR"/>
              </w:rPr>
              <w:t xml:space="preserve"> </w:t>
            </w:r>
            <w:r w:rsidR="00CC0A5B">
              <w:rPr>
                <w:sz w:val="22"/>
                <w:szCs w:val="22"/>
                <w:lang w:val="fr-FR"/>
              </w:rPr>
              <w:t>FEM-6</w:t>
            </w:r>
            <w:r w:rsidR="00736884">
              <w:rPr>
                <w:sz w:val="22"/>
                <w:szCs w:val="22"/>
                <w:lang w:val="fr-FR"/>
              </w:rPr>
              <w:t xml:space="preserve"> </w:t>
            </w:r>
            <w:r w:rsidRPr="001A2820">
              <w:rPr>
                <w:sz w:val="22"/>
                <w:szCs w:val="22"/>
                <w:lang w:val="fr-FR"/>
              </w:rPr>
              <w:t xml:space="preserve">et a été </w:t>
            </w:r>
            <w:r w:rsidR="00736884">
              <w:rPr>
                <w:sz w:val="22"/>
                <w:szCs w:val="22"/>
                <w:lang w:val="fr-FR"/>
              </w:rPr>
              <w:t>incluse</w:t>
            </w:r>
            <w:r w:rsidRPr="001A2820">
              <w:rPr>
                <w:sz w:val="22"/>
                <w:szCs w:val="22"/>
                <w:lang w:val="fr-FR"/>
              </w:rPr>
              <w:t xml:space="preserve"> dans les priorités programmatiques de la stratégie dans le domaine d’intervention des produits chimiques et des déchets</w:t>
            </w:r>
            <w:r w:rsidR="00736884" w:rsidRPr="00736884">
              <w:rPr>
                <w:rFonts w:eastAsia="Times New Roman"/>
                <w:sz w:val="22"/>
                <w:szCs w:val="22"/>
                <w:lang w:val="fr-FR"/>
              </w:rPr>
              <w:t xml:space="preserve"> </w:t>
            </w:r>
            <w:r w:rsidR="00736884">
              <w:rPr>
                <w:sz w:val="22"/>
                <w:szCs w:val="22"/>
                <w:lang w:val="fr-FR"/>
              </w:rPr>
              <w:t xml:space="preserve">pour </w:t>
            </w:r>
            <w:r w:rsidR="00CC0A5B">
              <w:rPr>
                <w:sz w:val="22"/>
                <w:szCs w:val="22"/>
                <w:lang w:val="fr-FR"/>
              </w:rPr>
              <w:t>FEM-7</w:t>
            </w:r>
            <w:r w:rsidRPr="001A2820">
              <w:rPr>
                <w:sz w:val="22"/>
                <w:szCs w:val="22"/>
                <w:lang w:val="fr-FR"/>
              </w:rPr>
              <w:t xml:space="preserve">. Tous les projets et programmes menés à ce jour dans le cadre de </w:t>
            </w:r>
            <w:r w:rsidR="00CC0A5B">
              <w:rPr>
                <w:sz w:val="22"/>
                <w:szCs w:val="22"/>
                <w:lang w:val="fr-FR"/>
              </w:rPr>
              <w:t>FEM-6</w:t>
            </w:r>
            <w:r w:rsidR="002B094E">
              <w:rPr>
                <w:sz w:val="22"/>
                <w:szCs w:val="22"/>
                <w:lang w:val="fr-FR"/>
              </w:rPr>
              <w:t xml:space="preserve"> </w:t>
            </w:r>
            <w:r w:rsidRPr="001A2820">
              <w:rPr>
                <w:sz w:val="22"/>
                <w:szCs w:val="22"/>
                <w:lang w:val="fr-FR"/>
              </w:rPr>
              <w:t xml:space="preserve">et </w:t>
            </w:r>
            <w:r w:rsidR="00CC0A5B">
              <w:rPr>
                <w:sz w:val="22"/>
                <w:szCs w:val="22"/>
                <w:lang w:val="fr-FR"/>
              </w:rPr>
              <w:t>FEM-7</w:t>
            </w:r>
            <w:r w:rsidR="00736884">
              <w:rPr>
                <w:sz w:val="22"/>
                <w:szCs w:val="22"/>
                <w:lang w:val="fr-FR"/>
              </w:rPr>
              <w:t xml:space="preserve"> </w:t>
            </w:r>
            <w:r w:rsidRPr="001A2820">
              <w:rPr>
                <w:sz w:val="22"/>
                <w:szCs w:val="22"/>
                <w:lang w:val="fr-FR"/>
              </w:rPr>
              <w:t>qui visent à mettre en œuvre la Convention de Minamata respectent cette orientation.</w:t>
            </w:r>
          </w:p>
        </w:tc>
      </w:tr>
      <w:tr w:rsidR="00E474B7" w:rsidRPr="00CF6A23" w14:paraId="5DD8C3EB"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5DC9C5E" w14:textId="77777777" w:rsidR="00E474B7" w:rsidRPr="002F7012" w:rsidRDefault="00E474B7" w:rsidP="00E474B7">
            <w:pPr>
              <w:spacing w:before="60"/>
              <w:jc w:val="center"/>
              <w:rPr>
                <w:b w:val="0"/>
                <w:color w:val="auto"/>
                <w:sz w:val="22"/>
                <w:szCs w:val="22"/>
              </w:rPr>
            </w:pPr>
            <w:r w:rsidRPr="002F7012">
              <w:rPr>
                <w:sz w:val="22"/>
                <w:szCs w:val="22"/>
              </w:rPr>
              <w:t>8</w:t>
            </w:r>
          </w:p>
        </w:tc>
        <w:tc>
          <w:tcPr>
            <w:tcW w:w="0" w:type="auto"/>
            <w:shd w:val="clear" w:color="auto" w:fill="FFFFFF" w:themeFill="background1"/>
          </w:tcPr>
          <w:p w14:paraId="6B6790BF" w14:textId="22796356"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Lorsqu’il fournit des r</w:t>
            </w:r>
            <w:r w:rsidR="003C1863">
              <w:rPr>
                <w:sz w:val="22"/>
                <w:szCs w:val="22"/>
                <w:lang w:val="fr-FR"/>
              </w:rPr>
              <w:t>essources pour une activité, le </w:t>
            </w:r>
            <w:r w:rsidRPr="001A2820">
              <w:rPr>
                <w:sz w:val="22"/>
                <w:szCs w:val="22"/>
                <w:lang w:val="fr-FR"/>
              </w:rPr>
              <w:t>FEM devrait tenir compte du potentiel de réduction du mercure de l’activité proposée par rapport à ses coûts, conformément au paragraphe 8 de l’article 13 de la Convention.</w:t>
            </w:r>
          </w:p>
        </w:tc>
        <w:tc>
          <w:tcPr>
            <w:tcW w:w="0" w:type="auto"/>
            <w:shd w:val="clear" w:color="auto" w:fill="FFFFFF" w:themeFill="background1"/>
          </w:tcPr>
          <w:p w14:paraId="7F28DDFA" w14:textId="637D2A53" w:rsidR="00E474B7" w:rsidRPr="00425FEC" w:rsidRDefault="00E474B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À ce jour, dans le cadre de </w:t>
            </w:r>
            <w:r w:rsidR="00CC0A5B">
              <w:rPr>
                <w:sz w:val="22"/>
                <w:szCs w:val="22"/>
                <w:lang w:val="fr-FR"/>
              </w:rPr>
              <w:t>FEM-6</w:t>
            </w:r>
            <w:r w:rsidRPr="001A2820">
              <w:rPr>
                <w:sz w:val="22"/>
                <w:szCs w:val="22"/>
                <w:lang w:val="fr-FR"/>
              </w:rPr>
              <w:t xml:space="preserve"> et </w:t>
            </w:r>
            <w:r w:rsidR="00932E7C">
              <w:rPr>
                <w:sz w:val="22"/>
                <w:szCs w:val="22"/>
                <w:lang w:val="fr-FR"/>
              </w:rPr>
              <w:br/>
            </w:r>
            <w:r w:rsidR="00CC0A5B">
              <w:rPr>
                <w:sz w:val="22"/>
                <w:szCs w:val="22"/>
                <w:lang w:val="fr-FR"/>
              </w:rPr>
              <w:t>FEM-7</w:t>
            </w:r>
            <w:r w:rsidRPr="001A2820">
              <w:rPr>
                <w:sz w:val="22"/>
                <w:szCs w:val="22"/>
                <w:lang w:val="fr-FR"/>
              </w:rPr>
              <w:t xml:space="preserve">, </w:t>
            </w:r>
            <w:r>
              <w:rPr>
                <w:sz w:val="22"/>
                <w:szCs w:val="22"/>
                <w:lang w:val="fr-FR"/>
              </w:rPr>
              <w:t>d</w:t>
            </w:r>
            <w:r w:rsidRPr="001A2820">
              <w:rPr>
                <w:sz w:val="22"/>
                <w:szCs w:val="22"/>
                <w:lang w:val="fr-FR"/>
              </w:rPr>
              <w:t>es projets présentant un potentiel de réduction importante du mercure ont été approuvés. Le FEM continue de collaborer avec les pays et les institutions pour étudier le potentiel de réduction du mercure</w:t>
            </w:r>
            <w:r>
              <w:rPr>
                <w:sz w:val="22"/>
                <w:szCs w:val="22"/>
                <w:lang w:val="fr-FR"/>
              </w:rPr>
              <w:t xml:space="preserve"> des projets</w:t>
            </w:r>
            <w:r w:rsidRPr="001A2820">
              <w:rPr>
                <w:sz w:val="22"/>
                <w:szCs w:val="22"/>
                <w:lang w:val="fr-FR"/>
              </w:rPr>
              <w:t xml:space="preserve"> par rapport à </w:t>
            </w:r>
            <w:r>
              <w:rPr>
                <w:sz w:val="22"/>
                <w:szCs w:val="22"/>
                <w:lang w:val="fr-FR"/>
              </w:rPr>
              <w:t>leurs</w:t>
            </w:r>
            <w:r w:rsidRPr="001A2820">
              <w:rPr>
                <w:sz w:val="22"/>
                <w:szCs w:val="22"/>
                <w:lang w:val="fr-FR"/>
              </w:rPr>
              <w:t xml:space="preserve"> coûts.</w:t>
            </w:r>
          </w:p>
        </w:tc>
      </w:tr>
      <w:tr w:rsidR="00E474B7" w:rsidRPr="00D33F35" w14:paraId="28266027"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1C270A2C" w14:textId="000DB189" w:rsidR="00B77A17" w:rsidRPr="001A2820" w:rsidRDefault="00B77A17" w:rsidP="00B77A17">
            <w:pPr>
              <w:spacing w:before="60"/>
              <w:rPr>
                <w:color w:val="auto"/>
                <w:sz w:val="22"/>
                <w:szCs w:val="22"/>
                <w:lang w:val="fr-FR"/>
              </w:rPr>
            </w:pPr>
            <w:r w:rsidRPr="001A2820">
              <w:rPr>
                <w:color w:val="auto"/>
                <w:sz w:val="22"/>
                <w:szCs w:val="22"/>
                <w:lang w:val="fr-FR"/>
              </w:rPr>
              <w:t>IV. Liste indicative de catégories d’activités qui pourraient bénéficier d</w:t>
            </w:r>
            <w:r>
              <w:rPr>
                <w:color w:val="auto"/>
                <w:sz w:val="22"/>
                <w:szCs w:val="22"/>
                <w:lang w:val="fr-FR"/>
              </w:rPr>
              <w:t>’un</w:t>
            </w:r>
            <w:r w:rsidRPr="001A2820">
              <w:rPr>
                <w:color w:val="auto"/>
                <w:sz w:val="22"/>
                <w:szCs w:val="22"/>
                <w:lang w:val="fr-FR"/>
              </w:rPr>
              <w:t xml:space="preserve"> soutien</w:t>
            </w:r>
          </w:p>
          <w:p w14:paraId="5FE0F133" w14:textId="32C70878" w:rsidR="00E474B7" w:rsidRPr="002F7012" w:rsidRDefault="00B77A17" w:rsidP="00B77A17">
            <w:pPr>
              <w:spacing w:before="60"/>
              <w:rPr>
                <w:color w:val="auto"/>
                <w:sz w:val="22"/>
                <w:szCs w:val="22"/>
              </w:rPr>
            </w:pPr>
            <w:r w:rsidRPr="00425FEC">
              <w:rPr>
                <w:color w:val="auto"/>
                <w:sz w:val="22"/>
                <w:szCs w:val="22"/>
              </w:rPr>
              <w:t>A. Activités habilitantes</w:t>
            </w:r>
            <w:r w:rsidRPr="002F7012">
              <w:rPr>
                <w:sz w:val="22"/>
                <w:szCs w:val="22"/>
              </w:rPr>
              <w:t xml:space="preserve"> </w:t>
            </w:r>
            <w:r w:rsidR="00E474B7" w:rsidRPr="002F7012">
              <w:rPr>
                <w:sz w:val="22"/>
                <w:szCs w:val="22"/>
              </w:rPr>
              <w:t>tive list of categories of activities that could receive support</w:t>
            </w:r>
          </w:p>
          <w:p w14:paraId="539221C5" w14:textId="77777777" w:rsidR="00E474B7" w:rsidRPr="002F7012" w:rsidRDefault="00E474B7" w:rsidP="00E474B7">
            <w:pPr>
              <w:spacing w:before="60"/>
              <w:rPr>
                <w:color w:val="auto"/>
                <w:sz w:val="22"/>
                <w:szCs w:val="22"/>
              </w:rPr>
            </w:pPr>
            <w:r w:rsidRPr="002F7012">
              <w:rPr>
                <w:sz w:val="22"/>
                <w:szCs w:val="22"/>
              </w:rPr>
              <w:t>A. Enabling activities</w:t>
            </w:r>
          </w:p>
        </w:tc>
      </w:tr>
      <w:tr w:rsidR="00E474B7" w:rsidRPr="00CF6A23" w14:paraId="2EBC1620"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3438CFC" w14:textId="77777777" w:rsidR="00E474B7" w:rsidRPr="002F7012" w:rsidRDefault="00E474B7" w:rsidP="00E474B7">
            <w:pPr>
              <w:spacing w:before="60"/>
              <w:jc w:val="center"/>
              <w:rPr>
                <w:color w:val="auto"/>
                <w:sz w:val="22"/>
                <w:szCs w:val="22"/>
              </w:rPr>
            </w:pPr>
          </w:p>
        </w:tc>
        <w:tc>
          <w:tcPr>
            <w:tcW w:w="0" w:type="auto"/>
            <w:shd w:val="clear" w:color="auto" w:fill="FFFFFF" w:themeFill="background1"/>
          </w:tcPr>
          <w:p w14:paraId="57E3C2F3" w14:textId="206A0688" w:rsidR="00B77A17" w:rsidRPr="001A2820" w:rsidRDefault="00C12DFB" w:rsidP="00B77A1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1</w:t>
            </w:r>
            <w:r w:rsidR="00B77A17" w:rsidRPr="001A2820">
              <w:rPr>
                <w:sz w:val="22"/>
                <w:szCs w:val="22"/>
                <w:lang w:val="fr-FR"/>
              </w:rPr>
              <w:t xml:space="preserve">. Évaluations initiales de la Convention de Minamata </w:t>
            </w:r>
          </w:p>
          <w:p w14:paraId="57BAD605" w14:textId="77777777" w:rsidR="00B77A17" w:rsidRPr="001A2820" w:rsidRDefault="00B77A17" w:rsidP="00B77A1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2. Élaboration de plans d’action nationaux concernant l’extraction minière artisanale et à petite échelle d’or, conformément au paragraphe 3 de l’article 7 et à l’Annexe C </w:t>
            </w:r>
          </w:p>
          <w:p w14:paraId="233DA80E" w14:textId="35B158C8" w:rsidR="00E474B7" w:rsidRPr="00425FEC" w:rsidRDefault="00B77A17" w:rsidP="00B77A1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3. Autres types d’activités habilitantes, comme convenu par la Conférence des Parties</w:t>
            </w:r>
          </w:p>
        </w:tc>
        <w:tc>
          <w:tcPr>
            <w:tcW w:w="0" w:type="auto"/>
            <w:shd w:val="clear" w:color="auto" w:fill="FFFFFF" w:themeFill="background1"/>
          </w:tcPr>
          <w:p w14:paraId="0F64F29C" w14:textId="31F5DD09" w:rsidR="00E474B7" w:rsidRPr="00425FEC" w:rsidRDefault="00B77A17" w:rsidP="00E474B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Cette orientation a été utilisée pour guider la programmation dans le cadre de </w:t>
            </w:r>
            <w:r w:rsidR="00CC0A5B">
              <w:rPr>
                <w:sz w:val="22"/>
                <w:szCs w:val="22"/>
                <w:lang w:val="fr-FR"/>
              </w:rPr>
              <w:t>FEM-6</w:t>
            </w:r>
            <w:r w:rsidRPr="001A2820">
              <w:rPr>
                <w:sz w:val="22"/>
                <w:szCs w:val="22"/>
                <w:lang w:val="fr-FR"/>
              </w:rPr>
              <w:t xml:space="preserve"> et a été prise en compte dans les priorités programmatiques de la stratégie de </w:t>
            </w:r>
            <w:r w:rsidR="00CC0A5B">
              <w:rPr>
                <w:sz w:val="22"/>
                <w:szCs w:val="22"/>
                <w:lang w:val="fr-FR"/>
              </w:rPr>
              <w:t>FEM-7</w:t>
            </w:r>
            <w:r w:rsidRPr="001A2820">
              <w:rPr>
                <w:sz w:val="22"/>
                <w:szCs w:val="22"/>
                <w:lang w:val="fr-FR"/>
              </w:rPr>
              <w:t xml:space="preserve"> dans le domaine d’intervention des produits chimiques et des déchets. À ce jour, dans le cadre de </w:t>
            </w:r>
            <w:r w:rsidR="00CC0A5B">
              <w:rPr>
                <w:sz w:val="22"/>
                <w:szCs w:val="22"/>
                <w:lang w:val="fr-FR"/>
              </w:rPr>
              <w:t>FEM-6</w:t>
            </w:r>
            <w:r w:rsidRPr="001A2820">
              <w:rPr>
                <w:sz w:val="22"/>
                <w:szCs w:val="22"/>
                <w:lang w:val="fr-FR"/>
              </w:rPr>
              <w:t xml:space="preserve"> et </w:t>
            </w:r>
            <w:r w:rsidR="00CC0A5B">
              <w:rPr>
                <w:sz w:val="22"/>
                <w:szCs w:val="22"/>
                <w:lang w:val="fr-FR"/>
              </w:rPr>
              <w:t>FEM-7</w:t>
            </w:r>
            <w:r w:rsidRPr="001A2820">
              <w:rPr>
                <w:sz w:val="22"/>
                <w:szCs w:val="22"/>
                <w:lang w:val="fr-FR"/>
              </w:rPr>
              <w:t>, toutes les activités habilitantes ouvrant droit à l’obtention de fonds qui ont été soumises au FEM ont reçu un financement.</w:t>
            </w:r>
          </w:p>
        </w:tc>
      </w:tr>
      <w:tr w:rsidR="00E474B7" w:rsidRPr="00CF6A23" w14:paraId="7F1D233A"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0A9A019" w14:textId="77777777" w:rsidR="00E474B7" w:rsidRPr="002F7012" w:rsidRDefault="00E474B7" w:rsidP="00E474B7">
            <w:pPr>
              <w:spacing w:before="60"/>
              <w:rPr>
                <w:color w:val="auto"/>
                <w:sz w:val="22"/>
                <w:szCs w:val="22"/>
              </w:rPr>
            </w:pPr>
            <w:r w:rsidRPr="002F7012">
              <w:rPr>
                <w:sz w:val="22"/>
                <w:szCs w:val="22"/>
              </w:rPr>
              <w:t>B. Activities to implement the provisions of the Convention</w:t>
            </w:r>
          </w:p>
          <w:p w14:paraId="25C2DEAF" w14:textId="6017CBEF" w:rsidR="00B77A17" w:rsidRPr="001A2820" w:rsidRDefault="00B77A17" w:rsidP="00B77A17">
            <w:pPr>
              <w:spacing w:before="60"/>
              <w:rPr>
                <w:color w:val="auto"/>
                <w:sz w:val="22"/>
                <w:szCs w:val="22"/>
                <w:lang w:val="fr-FR"/>
              </w:rPr>
            </w:pPr>
            <w:r w:rsidRPr="001A2820">
              <w:rPr>
                <w:color w:val="auto"/>
                <w:sz w:val="22"/>
                <w:szCs w:val="22"/>
                <w:lang w:val="fr-FR"/>
              </w:rPr>
              <w:t>B. Activités de mise en œuvre des dispositions de la Convention</w:t>
            </w:r>
          </w:p>
          <w:p w14:paraId="066F83BA" w14:textId="6B012970" w:rsidR="00E474B7" w:rsidRPr="00425FEC" w:rsidRDefault="00B77A17" w:rsidP="00B77A17">
            <w:pPr>
              <w:spacing w:before="60"/>
              <w:rPr>
                <w:color w:val="auto"/>
                <w:sz w:val="22"/>
                <w:szCs w:val="22"/>
                <w:lang w:val="fr-FR"/>
              </w:rPr>
            </w:pPr>
            <w:r w:rsidRPr="001A2820">
              <w:rPr>
                <w:color w:val="auto"/>
                <w:sz w:val="22"/>
                <w:szCs w:val="22"/>
                <w:lang w:val="fr-FR"/>
              </w:rPr>
              <w:t>1. Activités de mise en œuvre des dispositions de la Convention qui sont liées à des obligations juridiquement contraignantes</w:t>
            </w:r>
            <w:r w:rsidRPr="00425FEC">
              <w:rPr>
                <w:sz w:val="22"/>
                <w:szCs w:val="22"/>
                <w:lang w:val="fr-FR"/>
              </w:rPr>
              <w:t xml:space="preserve"> </w:t>
            </w:r>
            <w:r w:rsidR="00E474B7" w:rsidRPr="00425FEC">
              <w:rPr>
                <w:sz w:val="22"/>
                <w:szCs w:val="22"/>
                <w:lang w:val="fr-FR"/>
              </w:rPr>
              <w:t>ctivities to implement the provisions of the Convention that relate to legally binding obligations</w:t>
            </w:r>
          </w:p>
        </w:tc>
      </w:tr>
      <w:tr w:rsidR="00B77A17" w:rsidRPr="00CF6A23" w14:paraId="35D73E65"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1BDD574D" w14:textId="77777777" w:rsidR="00B77A17" w:rsidRPr="002F7012" w:rsidRDefault="00B77A17" w:rsidP="00B77A17">
            <w:pPr>
              <w:spacing w:before="60"/>
              <w:jc w:val="center"/>
              <w:rPr>
                <w:b w:val="0"/>
                <w:color w:val="auto"/>
                <w:sz w:val="22"/>
                <w:szCs w:val="22"/>
              </w:rPr>
            </w:pPr>
            <w:r w:rsidRPr="002F7012">
              <w:rPr>
                <w:sz w:val="22"/>
                <w:szCs w:val="22"/>
              </w:rPr>
              <w:t>9</w:t>
            </w:r>
          </w:p>
        </w:tc>
        <w:tc>
          <w:tcPr>
            <w:tcW w:w="0" w:type="auto"/>
            <w:shd w:val="clear" w:color="auto" w:fill="FFFFFF" w:themeFill="background1"/>
          </w:tcPr>
          <w:p w14:paraId="624F6E34" w14:textId="77777777" w:rsidR="00B77A17" w:rsidRPr="001A2820" w:rsidRDefault="00B77A17" w:rsidP="00B77A1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Lorsqu’il fournit des ressources financières aux Parties remplissant les conditions requises, pour des activités de mise en œuvre des dispositions de la Convention, le FEM devrait accorder la priorité aux activités liées à des obligations juridiquement contraignantes auxquelles les Parties sont soumises au titre de la Convention et devrait tenir compte du potentiel de réduction du mercure de l’activité proposée par rapport à ses coûts. Ces activités peuvent notamment avoir trait aux domaines qui sont recensés ci-après sans ordre particulier :</w:t>
            </w:r>
          </w:p>
          <w:p w14:paraId="1C43A320" w14:textId="5D2E55CB"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S</w:t>
            </w:r>
            <w:r w:rsidR="00B77A17" w:rsidRPr="001A2820">
              <w:rPr>
                <w:sz w:val="22"/>
                <w:szCs w:val="22"/>
                <w:lang w:val="fr-FR"/>
              </w:rPr>
              <w:t>ources d’approvisionnement en mercure et commerce ;</w:t>
            </w:r>
          </w:p>
          <w:p w14:paraId="69D5BB1E" w14:textId="5853502D"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P</w:t>
            </w:r>
            <w:r w:rsidR="00B77A17" w:rsidRPr="001A2820">
              <w:rPr>
                <w:sz w:val="22"/>
                <w:szCs w:val="22"/>
                <w:lang w:val="fr-FR"/>
              </w:rPr>
              <w:t xml:space="preserve">roduits contenant du mercure ajouté ; </w:t>
            </w:r>
          </w:p>
          <w:p w14:paraId="47786C74" w14:textId="2811545A"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P</w:t>
            </w:r>
            <w:r w:rsidR="00B77A17" w:rsidRPr="001A2820">
              <w:rPr>
                <w:sz w:val="22"/>
                <w:szCs w:val="22"/>
                <w:lang w:val="fr-FR"/>
              </w:rPr>
              <w:t xml:space="preserve">rocédés de fabrication utilisant du mercure ou des composés du mercure ; </w:t>
            </w:r>
          </w:p>
          <w:p w14:paraId="71E56FF6" w14:textId="2C04C040"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E</w:t>
            </w:r>
            <w:r w:rsidR="00B77A17" w:rsidRPr="001A2820">
              <w:rPr>
                <w:sz w:val="22"/>
                <w:szCs w:val="22"/>
                <w:lang w:val="fr-FR"/>
              </w:rPr>
              <w:t>xtraction minière artisanale et à petite échelle d’or ;</w:t>
            </w:r>
          </w:p>
          <w:p w14:paraId="0A0517B2" w14:textId="1D75E103"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É</w:t>
            </w:r>
            <w:r w:rsidR="00B77A17" w:rsidRPr="001A2820">
              <w:rPr>
                <w:sz w:val="22"/>
                <w:szCs w:val="22"/>
                <w:lang w:val="fr-FR"/>
              </w:rPr>
              <w:t>missions ;</w:t>
            </w:r>
          </w:p>
          <w:p w14:paraId="006ACDBA" w14:textId="287CBC25"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lastRenderedPageBreak/>
              <w:t>R</w:t>
            </w:r>
            <w:r w:rsidR="00B77A17" w:rsidRPr="001A2820">
              <w:rPr>
                <w:sz w:val="22"/>
                <w:szCs w:val="22"/>
                <w:lang w:val="fr-FR"/>
              </w:rPr>
              <w:t>ejets ;</w:t>
            </w:r>
          </w:p>
          <w:p w14:paraId="1C6305AE" w14:textId="649FE0D8" w:rsidR="00B77A17" w:rsidRPr="001A2820" w:rsidRDefault="00B14BE9"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S</w:t>
            </w:r>
            <w:r w:rsidR="00B77A17" w:rsidRPr="001A2820">
              <w:rPr>
                <w:sz w:val="22"/>
                <w:szCs w:val="22"/>
                <w:lang w:val="fr-FR"/>
              </w:rPr>
              <w:t xml:space="preserve">tockage provisoire écologiquement rationnel du mercure, à l’exclusion des déchets de mercure ; </w:t>
            </w:r>
          </w:p>
          <w:p w14:paraId="1DDDA507" w14:textId="48860F8A"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D</w:t>
            </w:r>
            <w:r w:rsidR="00B77A17" w:rsidRPr="001A2820">
              <w:rPr>
                <w:sz w:val="22"/>
                <w:szCs w:val="22"/>
                <w:lang w:val="fr-FR"/>
              </w:rPr>
              <w:t xml:space="preserve">échets de mercure ; </w:t>
            </w:r>
          </w:p>
          <w:p w14:paraId="5B10C117" w14:textId="6EF5B490" w:rsidR="00B77A17" w:rsidRPr="001A2820"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É</w:t>
            </w:r>
            <w:r w:rsidR="00B77A17" w:rsidRPr="001A2820">
              <w:rPr>
                <w:sz w:val="22"/>
                <w:szCs w:val="22"/>
                <w:lang w:val="fr-FR"/>
              </w:rPr>
              <w:t>tablissement de rapports ;</w:t>
            </w:r>
          </w:p>
          <w:p w14:paraId="4EFC30D8" w14:textId="5D821FA8" w:rsidR="00B77A17" w:rsidRPr="00425FEC" w:rsidRDefault="00C12DFB" w:rsidP="00B77A17">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lang w:val="fr-FR"/>
              </w:rPr>
            </w:pPr>
            <w:r>
              <w:rPr>
                <w:sz w:val="22"/>
                <w:szCs w:val="22"/>
                <w:lang w:val="fr-FR"/>
              </w:rPr>
              <w:t>R</w:t>
            </w:r>
            <w:r w:rsidR="00B77A17" w:rsidRPr="001A2820">
              <w:rPr>
                <w:sz w:val="22"/>
                <w:szCs w:val="22"/>
                <w:lang w:val="fr-FR"/>
              </w:rPr>
              <w:t>enforcement des capacités, assistance technique et transfert de technologies applicables aux domaines susmentionnés.</w:t>
            </w:r>
          </w:p>
        </w:tc>
        <w:tc>
          <w:tcPr>
            <w:tcW w:w="0" w:type="auto"/>
            <w:shd w:val="clear" w:color="auto" w:fill="FFFFFF" w:themeFill="background1"/>
          </w:tcPr>
          <w:p w14:paraId="3BEAB2B9" w14:textId="2CE50580" w:rsidR="00B77A17" w:rsidRPr="00425FEC" w:rsidRDefault="00B77A17" w:rsidP="00B77A17">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lastRenderedPageBreak/>
              <w:t xml:space="preserve">Ces orientations ont été intégrées dans la stratégie de </w:t>
            </w:r>
            <w:r w:rsidR="00CC0A5B">
              <w:rPr>
                <w:sz w:val="22"/>
                <w:szCs w:val="22"/>
                <w:lang w:val="fr-FR"/>
              </w:rPr>
              <w:t>FEM-7</w:t>
            </w:r>
            <w:r w:rsidRPr="001A2820">
              <w:rPr>
                <w:sz w:val="22"/>
                <w:szCs w:val="22"/>
                <w:lang w:val="fr-FR"/>
              </w:rPr>
              <w:t xml:space="preserve"> dans le domaine d’intervention des produits chimiques et des déchets.</w:t>
            </w:r>
          </w:p>
        </w:tc>
      </w:tr>
      <w:tr w:rsidR="00A53E5D" w:rsidRPr="00CF6A23" w14:paraId="0CCCC955"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1D8184B5" w14:textId="23A2C0B3" w:rsidR="00A53E5D" w:rsidRPr="00425FEC" w:rsidRDefault="00A53E5D" w:rsidP="00A53E5D">
            <w:pPr>
              <w:spacing w:before="60"/>
              <w:rPr>
                <w:color w:val="auto"/>
                <w:sz w:val="22"/>
                <w:szCs w:val="22"/>
                <w:lang w:val="fr-FR"/>
              </w:rPr>
            </w:pPr>
            <w:r w:rsidRPr="001A2820">
              <w:rPr>
                <w:color w:val="auto"/>
                <w:sz w:val="22"/>
                <w:szCs w:val="22"/>
                <w:lang w:val="fr-FR"/>
              </w:rPr>
              <w:t>2. Activités de mise en œuvre des dispositions de la Convention qui facilitent l’application rapide de la Convention dès son entrée en vigueur à l’égard d’une Partie</w:t>
            </w:r>
          </w:p>
        </w:tc>
      </w:tr>
      <w:tr w:rsidR="00A53E5D" w:rsidRPr="00CF6A23" w14:paraId="3E234133"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2754707C" w14:textId="77777777" w:rsidR="00A53E5D" w:rsidRPr="002F7012" w:rsidRDefault="00A53E5D" w:rsidP="00A53E5D">
            <w:pPr>
              <w:spacing w:before="60"/>
              <w:jc w:val="center"/>
              <w:rPr>
                <w:b w:val="0"/>
                <w:color w:val="auto"/>
                <w:sz w:val="22"/>
                <w:szCs w:val="22"/>
              </w:rPr>
            </w:pPr>
            <w:r w:rsidRPr="002F7012">
              <w:rPr>
                <w:sz w:val="22"/>
                <w:szCs w:val="22"/>
              </w:rPr>
              <w:t>10</w:t>
            </w:r>
          </w:p>
        </w:tc>
        <w:tc>
          <w:tcPr>
            <w:tcW w:w="0" w:type="auto"/>
            <w:shd w:val="clear" w:color="auto" w:fill="FFFFFF" w:themeFill="background1"/>
          </w:tcPr>
          <w:p w14:paraId="6D6C1E22" w14:textId="373B7DC5" w:rsidR="00A53E5D" w:rsidRPr="00425FEC" w:rsidRDefault="00A53E5D" w:rsidP="00A53E5D">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Lorsqu’il envisage des activités de mise en œuvre de la Convention qui facilitent l’application rapide de la Convention dès son entrée en vigueur, le FEM devrait également envisager de soutenir des activités qui, bien qu’elles ne soient pas juridiquement obligatoires au titre de la Convention, pourraient sensiblement aider un</w:t>
            </w:r>
            <w:r w:rsidR="003C1863">
              <w:rPr>
                <w:sz w:val="22"/>
                <w:szCs w:val="22"/>
                <w:lang w:val="fr-FR"/>
              </w:rPr>
              <w:t>e Partie à mettre en œuvre la </w:t>
            </w:r>
            <w:r w:rsidRPr="001A2820">
              <w:rPr>
                <w:sz w:val="22"/>
                <w:szCs w:val="22"/>
                <w:lang w:val="fr-FR"/>
              </w:rPr>
              <w:t>Convention dès l’entr</w:t>
            </w:r>
            <w:r w:rsidR="003C1863">
              <w:rPr>
                <w:sz w:val="22"/>
                <w:szCs w:val="22"/>
                <w:lang w:val="fr-FR"/>
              </w:rPr>
              <w:t>ée en vigueur de celle-ci à son </w:t>
            </w:r>
            <w:r w:rsidRPr="001A2820">
              <w:rPr>
                <w:sz w:val="22"/>
                <w:szCs w:val="22"/>
                <w:lang w:val="fr-FR"/>
              </w:rPr>
              <w:t>égard.</w:t>
            </w:r>
          </w:p>
        </w:tc>
        <w:tc>
          <w:tcPr>
            <w:tcW w:w="0" w:type="auto"/>
            <w:shd w:val="clear" w:color="auto" w:fill="FFFFFF" w:themeFill="background1"/>
          </w:tcPr>
          <w:p w14:paraId="67CCFD6E" w14:textId="42F3985E" w:rsidR="00A53E5D" w:rsidRPr="00425FEC" w:rsidRDefault="00A53E5D" w:rsidP="00A53E5D">
            <w:pPr>
              <w:spacing w:before="60"/>
              <w:cnfStyle w:val="000000000000" w:firstRow="0" w:lastRow="0" w:firstColumn="0" w:lastColumn="0" w:oddVBand="0" w:evenVBand="0" w:oddHBand="0" w:evenHBand="0" w:firstRowFirstColumn="0" w:firstRowLastColumn="0" w:lastRowFirstColumn="0" w:lastRowLastColumn="0"/>
              <w:rPr>
                <w:sz w:val="22"/>
                <w:szCs w:val="22"/>
                <w:lang w:val="fr-FR"/>
              </w:rPr>
            </w:pPr>
            <w:r w:rsidRPr="001A2820">
              <w:rPr>
                <w:sz w:val="22"/>
                <w:szCs w:val="22"/>
                <w:lang w:val="fr-FR"/>
              </w:rPr>
              <w:t xml:space="preserve">Cette orientation sera prise en compte durant la programmation dans le cadre de </w:t>
            </w:r>
            <w:r w:rsidR="00CC0A5B">
              <w:rPr>
                <w:sz w:val="22"/>
                <w:szCs w:val="22"/>
                <w:lang w:val="fr-FR"/>
              </w:rPr>
              <w:t>FEM-7</w:t>
            </w:r>
            <w:r w:rsidRPr="001A2820">
              <w:rPr>
                <w:sz w:val="22"/>
                <w:szCs w:val="22"/>
                <w:lang w:val="fr-FR"/>
              </w:rPr>
              <w:t xml:space="preserve"> et fera l’objet de rapports lors</w:t>
            </w:r>
            <w:r>
              <w:rPr>
                <w:sz w:val="22"/>
                <w:szCs w:val="22"/>
                <w:lang w:val="fr-FR"/>
              </w:rPr>
              <w:t xml:space="preserve"> de</w:t>
            </w:r>
            <w:r w:rsidRPr="001A2820">
              <w:rPr>
                <w:sz w:val="22"/>
                <w:szCs w:val="22"/>
                <w:lang w:val="fr-FR"/>
              </w:rPr>
              <w:t xml:space="preserve"> réunions ultérieures de la Conférence des Parties.</w:t>
            </w:r>
          </w:p>
        </w:tc>
      </w:tr>
      <w:tr w:rsidR="00A53E5D" w:rsidRPr="00CF6A23" w14:paraId="46D4C1E5"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9890C01" w14:textId="77777777" w:rsidR="00A53E5D" w:rsidRPr="002F7012" w:rsidRDefault="00A53E5D" w:rsidP="00A53E5D">
            <w:pPr>
              <w:spacing w:before="60"/>
              <w:jc w:val="center"/>
              <w:rPr>
                <w:b w:val="0"/>
                <w:color w:val="auto"/>
                <w:sz w:val="22"/>
                <w:szCs w:val="22"/>
              </w:rPr>
            </w:pPr>
            <w:r w:rsidRPr="002F7012">
              <w:rPr>
                <w:sz w:val="22"/>
                <w:szCs w:val="22"/>
              </w:rPr>
              <w:t>11</w:t>
            </w:r>
          </w:p>
        </w:tc>
        <w:tc>
          <w:tcPr>
            <w:tcW w:w="0" w:type="auto"/>
            <w:shd w:val="clear" w:color="auto" w:fill="FFFFFF" w:themeFill="background1"/>
          </w:tcPr>
          <w:p w14:paraId="0FD8EAC7"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Dans le cadre du mandat du FEM, ces activités pourraient notamment comprendre un soutien dans les domaines suivants :</w:t>
            </w:r>
          </w:p>
          <w:p w14:paraId="0FB39675"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a) </w:t>
            </w:r>
            <w:r>
              <w:rPr>
                <w:sz w:val="22"/>
                <w:szCs w:val="22"/>
                <w:lang w:val="fr-FR"/>
              </w:rPr>
              <w:t>c</w:t>
            </w:r>
            <w:r w:rsidRPr="001A2820">
              <w:rPr>
                <w:sz w:val="22"/>
                <w:szCs w:val="22"/>
                <w:lang w:val="fr-FR"/>
              </w:rPr>
              <w:t>oncernant les émissions, élaboration, par les Parties disposant de sources pertinentes d’émissions, d’un plan national énonçant les mesures à prendre pour contrôler les émissions ainsi que les objectifs, les buts et les résultats escomptés ;</w:t>
            </w:r>
          </w:p>
          <w:p w14:paraId="779FC8E3"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b) </w:t>
            </w:r>
            <w:r>
              <w:rPr>
                <w:sz w:val="22"/>
                <w:szCs w:val="22"/>
                <w:lang w:val="fr-FR"/>
              </w:rPr>
              <w:t>c</w:t>
            </w:r>
            <w:r w:rsidRPr="001A2820">
              <w:rPr>
                <w:sz w:val="22"/>
                <w:szCs w:val="22"/>
                <w:lang w:val="fr-FR"/>
              </w:rPr>
              <w:t>oncernant les rejets, élaboration, par les Parties disposant de sources pertinentes de rejets, d’un plan national énonçant les mesures à prendre pour contrôler les rejets ainsi que les objectifs, les buts et les résultats escomptés ;</w:t>
            </w:r>
          </w:p>
          <w:p w14:paraId="47EAAA1F"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c) </w:t>
            </w:r>
            <w:r>
              <w:rPr>
                <w:sz w:val="22"/>
                <w:szCs w:val="22"/>
                <w:lang w:val="fr-FR"/>
              </w:rPr>
              <w:t>c</w:t>
            </w:r>
            <w:r w:rsidRPr="001A2820">
              <w:rPr>
                <w:sz w:val="22"/>
                <w:szCs w:val="22"/>
                <w:lang w:val="fr-FR"/>
              </w:rPr>
              <w:t>oncernant les sites contaminés, renforcement des capacités en vue d’élaborer des stratégies appropriées pour identifier et évaluer les sites contaminés par du mercure ou des composés du mercure et, selon qu’il convient, décontamination de ces sites ;</w:t>
            </w:r>
          </w:p>
          <w:p w14:paraId="108D3245"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d) </w:t>
            </w:r>
            <w:r>
              <w:rPr>
                <w:sz w:val="22"/>
                <w:szCs w:val="22"/>
                <w:lang w:val="fr-FR"/>
              </w:rPr>
              <w:t>é</w:t>
            </w:r>
            <w:r w:rsidRPr="001A2820">
              <w:rPr>
                <w:sz w:val="22"/>
                <w:szCs w:val="22"/>
                <w:lang w:val="fr-FR"/>
              </w:rPr>
              <w:t xml:space="preserve">change d’informations ; </w:t>
            </w:r>
          </w:p>
          <w:p w14:paraId="13CE2DBA"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e) </w:t>
            </w:r>
            <w:r>
              <w:rPr>
                <w:sz w:val="22"/>
                <w:szCs w:val="22"/>
                <w:lang w:val="fr-FR"/>
              </w:rPr>
              <w:t>i</w:t>
            </w:r>
            <w:r w:rsidRPr="001A2820">
              <w:rPr>
                <w:sz w:val="22"/>
                <w:szCs w:val="22"/>
                <w:lang w:val="fr-FR"/>
              </w:rPr>
              <w:t xml:space="preserve">nformation, sensibilisation et éducation du public ; </w:t>
            </w:r>
          </w:p>
          <w:p w14:paraId="67BCF5EF" w14:textId="77777777" w:rsidR="00A53E5D" w:rsidRPr="001A2820"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f) </w:t>
            </w:r>
            <w:r>
              <w:rPr>
                <w:sz w:val="22"/>
                <w:szCs w:val="22"/>
                <w:lang w:val="fr-FR"/>
              </w:rPr>
              <w:t>c</w:t>
            </w:r>
            <w:r w:rsidRPr="001A2820">
              <w:rPr>
                <w:sz w:val="22"/>
                <w:szCs w:val="22"/>
                <w:lang w:val="fr-FR"/>
              </w:rPr>
              <w:t>oopération dans le domaine du développement et de l’amélioration de la recherche-développement et de la surveillance ;</w:t>
            </w:r>
          </w:p>
          <w:p w14:paraId="5FA6460F" w14:textId="5733C8F6" w:rsidR="00A53E5D" w:rsidRPr="00425FEC"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g) </w:t>
            </w:r>
            <w:r>
              <w:rPr>
                <w:sz w:val="22"/>
                <w:szCs w:val="22"/>
                <w:lang w:val="fr-FR"/>
              </w:rPr>
              <w:t>é</w:t>
            </w:r>
            <w:r w:rsidRPr="001A2820">
              <w:rPr>
                <w:sz w:val="22"/>
                <w:szCs w:val="22"/>
                <w:lang w:val="fr-FR"/>
              </w:rPr>
              <w:t>laboration d’un plan de mise en œuvre à l’issue des évaluations initiales.</w:t>
            </w:r>
          </w:p>
        </w:tc>
        <w:tc>
          <w:tcPr>
            <w:tcW w:w="0" w:type="auto"/>
            <w:shd w:val="clear" w:color="auto" w:fill="FFFFFF" w:themeFill="background1"/>
          </w:tcPr>
          <w:p w14:paraId="08DAA410" w14:textId="35A64993" w:rsidR="00A53E5D" w:rsidRPr="00425FEC" w:rsidRDefault="00A53E5D" w:rsidP="00A53E5D">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Cette orientation sera prise en compte durant la programmation dans le cadre de </w:t>
            </w:r>
            <w:r w:rsidR="00CC0A5B">
              <w:rPr>
                <w:sz w:val="22"/>
                <w:szCs w:val="22"/>
                <w:lang w:val="fr-FR"/>
              </w:rPr>
              <w:t>FEM-7</w:t>
            </w:r>
            <w:r w:rsidRPr="001A2820">
              <w:rPr>
                <w:sz w:val="22"/>
                <w:szCs w:val="22"/>
                <w:lang w:val="fr-FR"/>
              </w:rPr>
              <w:t xml:space="preserve"> et fera l’objet de rapports lors </w:t>
            </w:r>
            <w:r w:rsidR="00CC0A5B">
              <w:rPr>
                <w:sz w:val="22"/>
                <w:szCs w:val="22"/>
                <w:lang w:val="fr-FR"/>
              </w:rPr>
              <w:t xml:space="preserve">de </w:t>
            </w:r>
            <w:r w:rsidRPr="001A2820">
              <w:rPr>
                <w:sz w:val="22"/>
                <w:szCs w:val="22"/>
                <w:lang w:val="fr-FR"/>
              </w:rPr>
              <w:t>réunions ultérieures de la Conférence des Parties.</w:t>
            </w:r>
          </w:p>
        </w:tc>
      </w:tr>
      <w:tr w:rsidR="00A53E5D" w:rsidRPr="00CF6A23" w14:paraId="2899FDE9"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6B1F3DFD" w14:textId="0231AB0F" w:rsidR="00A53E5D" w:rsidRPr="00425FEC" w:rsidRDefault="00291DF7" w:rsidP="00ED65F3">
            <w:pPr>
              <w:keepNext/>
              <w:keepLines/>
              <w:spacing w:before="60"/>
              <w:rPr>
                <w:color w:val="auto"/>
                <w:sz w:val="22"/>
                <w:szCs w:val="22"/>
                <w:lang w:val="fr-FR"/>
              </w:rPr>
            </w:pPr>
            <w:r w:rsidRPr="001A2820">
              <w:rPr>
                <w:color w:val="auto"/>
                <w:sz w:val="22"/>
                <w:szCs w:val="22"/>
                <w:lang w:val="fr-FR"/>
              </w:rPr>
              <w:lastRenderedPageBreak/>
              <w:t xml:space="preserve">3. Activités de mise en œuvre de la Convention qui permettent de réduire les émissions et rejets de mercure et s’attaquent aux incidences du mercure tant sur la santé que sur l’environnement </w:t>
            </w:r>
            <w:r w:rsidR="00A53E5D" w:rsidRPr="00425FEC">
              <w:rPr>
                <w:sz w:val="22"/>
                <w:szCs w:val="22"/>
                <w:lang w:val="fr-FR"/>
              </w:rPr>
              <w:t>implement the provisions of the Convention that allow for the reduction os and releases and address both the health and environmental impacts of mercury</w:t>
            </w:r>
          </w:p>
        </w:tc>
      </w:tr>
      <w:tr w:rsidR="00291DF7" w:rsidRPr="00CF6A23" w14:paraId="1A207EF3"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6AE95CF" w14:textId="77777777" w:rsidR="00291DF7" w:rsidRPr="002F7012" w:rsidRDefault="00291DF7" w:rsidP="00291DF7">
            <w:pPr>
              <w:spacing w:before="60"/>
              <w:jc w:val="center"/>
              <w:rPr>
                <w:b w:val="0"/>
                <w:color w:val="auto"/>
                <w:sz w:val="22"/>
                <w:szCs w:val="22"/>
              </w:rPr>
            </w:pPr>
            <w:r w:rsidRPr="002F7012">
              <w:rPr>
                <w:sz w:val="22"/>
                <w:szCs w:val="22"/>
              </w:rPr>
              <w:t>12</w:t>
            </w:r>
          </w:p>
        </w:tc>
        <w:tc>
          <w:tcPr>
            <w:tcW w:w="0" w:type="auto"/>
            <w:shd w:val="clear" w:color="auto" w:fill="FFFFFF" w:themeFill="background1"/>
          </w:tcPr>
          <w:p w14:paraId="62B5E895" w14:textId="706C3CE2" w:rsidR="00291DF7" w:rsidRPr="00425FEC" w:rsidRDefault="00291DF7" w:rsidP="00291DF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Les activités de mise en œuvre de la Convention qui permettent de réduire les émissions et rejets de mercure et s’attaquent aux incidences du mercure, tant sur la santé que sur l’environnement, peuvent englober des activités liées à la fois aux dispositions contraignantes et non contraignantes, en accordant la priorité aux dispositions juridiquement contraignantes évoquées plus haut qui cadrent avec le mandat du FEM de servir les intérêts de l’environnement au niveau mondial et la stratégie du FEM dans le domaine d’intervention des produits chimiques et déchets.</w:t>
            </w:r>
          </w:p>
        </w:tc>
        <w:tc>
          <w:tcPr>
            <w:tcW w:w="0" w:type="auto"/>
            <w:shd w:val="clear" w:color="auto" w:fill="FFFFFF" w:themeFill="background1"/>
          </w:tcPr>
          <w:p w14:paraId="77A899C8" w14:textId="214719A3" w:rsidR="00291DF7" w:rsidRPr="00425FEC" w:rsidRDefault="00291DF7" w:rsidP="00291DF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 xml:space="preserve">Cette orientation sera prise en compte durant la programmation dans le cadre de </w:t>
            </w:r>
            <w:r w:rsidR="00CC0A5B">
              <w:rPr>
                <w:sz w:val="22"/>
                <w:szCs w:val="22"/>
                <w:lang w:val="fr-FR"/>
              </w:rPr>
              <w:t>FEM-7</w:t>
            </w:r>
            <w:r w:rsidRPr="001A2820">
              <w:rPr>
                <w:sz w:val="22"/>
                <w:szCs w:val="22"/>
                <w:lang w:val="fr-FR"/>
              </w:rPr>
              <w:t xml:space="preserve"> et fera l’objet de rapports lors </w:t>
            </w:r>
            <w:r w:rsidR="00CC0A5B">
              <w:rPr>
                <w:sz w:val="22"/>
                <w:szCs w:val="22"/>
                <w:lang w:val="fr-FR"/>
              </w:rPr>
              <w:t xml:space="preserve">de </w:t>
            </w:r>
            <w:r w:rsidRPr="001A2820">
              <w:rPr>
                <w:sz w:val="22"/>
                <w:szCs w:val="22"/>
                <w:lang w:val="fr-FR"/>
              </w:rPr>
              <w:t>réunions ultérieures de la Conférence des Parties.</w:t>
            </w:r>
          </w:p>
        </w:tc>
      </w:tr>
      <w:tr w:rsidR="00291DF7" w:rsidRPr="00D33F35" w14:paraId="4C870A5E" w14:textId="77777777" w:rsidTr="00371129">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6BB2FC54" w14:textId="5746564D" w:rsidR="00291DF7" w:rsidRPr="002F7012" w:rsidRDefault="00291DF7" w:rsidP="00291DF7">
            <w:pPr>
              <w:spacing w:before="60"/>
              <w:rPr>
                <w:color w:val="auto"/>
                <w:sz w:val="22"/>
                <w:szCs w:val="22"/>
              </w:rPr>
            </w:pPr>
            <w:r w:rsidRPr="001A2820">
              <w:rPr>
                <w:color w:val="auto"/>
                <w:sz w:val="22"/>
                <w:szCs w:val="22"/>
                <w:lang w:val="fr-FR"/>
              </w:rPr>
              <w:t>V. Examen par la Conférence des Parties</w:t>
            </w:r>
            <w:r w:rsidRPr="002F7012">
              <w:rPr>
                <w:sz w:val="22"/>
                <w:szCs w:val="22"/>
              </w:rPr>
              <w:t xml:space="preserve"> Review by the Conference of the Parties</w:t>
            </w:r>
          </w:p>
        </w:tc>
      </w:tr>
      <w:tr w:rsidR="00291DF7" w:rsidRPr="00CF6A23" w14:paraId="090CA425" w14:textId="77777777" w:rsidTr="00371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shd w:val="clear" w:color="auto" w:fill="FFFFFF" w:themeFill="background1"/>
          </w:tcPr>
          <w:p w14:paraId="73A588B2" w14:textId="77777777" w:rsidR="00291DF7" w:rsidRPr="002F7012" w:rsidRDefault="00291DF7" w:rsidP="00291DF7">
            <w:pPr>
              <w:spacing w:before="60"/>
              <w:jc w:val="center"/>
              <w:rPr>
                <w:b w:val="0"/>
                <w:color w:val="auto"/>
                <w:sz w:val="22"/>
                <w:szCs w:val="22"/>
              </w:rPr>
            </w:pPr>
            <w:r w:rsidRPr="002F7012">
              <w:rPr>
                <w:sz w:val="22"/>
                <w:szCs w:val="22"/>
              </w:rPr>
              <w:t>13</w:t>
            </w:r>
          </w:p>
        </w:tc>
        <w:tc>
          <w:tcPr>
            <w:tcW w:w="0" w:type="auto"/>
            <w:shd w:val="clear" w:color="auto" w:fill="FFFFFF" w:themeFill="background1"/>
          </w:tcPr>
          <w:p w14:paraId="3079F89F" w14:textId="097BD651" w:rsidR="00291DF7" w:rsidRPr="00425FEC" w:rsidRDefault="00291DF7" w:rsidP="00291DF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Conformément au pa</w:t>
            </w:r>
            <w:r w:rsidR="003C1863">
              <w:rPr>
                <w:sz w:val="22"/>
                <w:szCs w:val="22"/>
                <w:lang w:val="fr-FR"/>
              </w:rPr>
              <w:t>ragraphe 11 de l’article 13, la </w:t>
            </w:r>
            <w:r w:rsidRPr="001A2820">
              <w:rPr>
                <w:sz w:val="22"/>
                <w:szCs w:val="22"/>
                <w:lang w:val="fr-FR"/>
              </w:rPr>
              <w:t>Conférence des Parties examinera, au plus tard à sa troisième réunion et, par la suite, à intervalles réguliers, le niveau de financement, les orientations qu’elle fournit au FEM en tant qu’une des entités chargées d’assurer le fonctionnement du mécanisme institué en vertu de cet article, et l’efficacité de ce mécanisme ainsi que sa capacité à répondre aux besoins en évolution des Parties qui sont des pays en développement et des pays à économie en transition. Sur la base de cet examen, la Conférence des Parties prendra des mesures appropriées pour améliorer l’efficacité du mécanisme de financement, notamment en actualisant et en hiérarchisant les orientations fournies au FEM en tant que de besoin.</w:t>
            </w:r>
          </w:p>
        </w:tc>
        <w:tc>
          <w:tcPr>
            <w:tcW w:w="0" w:type="auto"/>
            <w:shd w:val="clear" w:color="auto" w:fill="FFFFFF" w:themeFill="background1"/>
          </w:tcPr>
          <w:p w14:paraId="5243AB3A" w14:textId="69E72BB9" w:rsidR="00291DF7" w:rsidRPr="00425FEC" w:rsidRDefault="00291DF7" w:rsidP="00291DF7">
            <w:pPr>
              <w:spacing w:before="60"/>
              <w:cnfStyle w:val="000000100000" w:firstRow="0" w:lastRow="0" w:firstColumn="0" w:lastColumn="0" w:oddVBand="0" w:evenVBand="0" w:oddHBand="1" w:evenHBand="0" w:firstRowFirstColumn="0" w:firstRowLastColumn="0" w:lastRowFirstColumn="0" w:lastRowLastColumn="0"/>
              <w:rPr>
                <w:sz w:val="22"/>
                <w:szCs w:val="22"/>
                <w:lang w:val="fr-FR"/>
              </w:rPr>
            </w:pPr>
            <w:r w:rsidRPr="001A2820">
              <w:rPr>
                <w:sz w:val="22"/>
                <w:szCs w:val="22"/>
                <w:lang w:val="fr-FR"/>
              </w:rPr>
              <w:t>À la demande de la Conférence des Parties, le FEM fournira des informations concernant l’examen décrit dans le paragraphe 11 de l’article 13 de la Convention de Minamata.</w:t>
            </w:r>
          </w:p>
        </w:tc>
      </w:tr>
    </w:tbl>
    <w:p w14:paraId="4501CB46" w14:textId="77777777" w:rsidR="0082332B" w:rsidRPr="00425FEC" w:rsidRDefault="0082332B" w:rsidP="0082332B">
      <w:pPr>
        <w:pStyle w:val="Heading2"/>
        <w:ind w:left="0" w:firstLine="0"/>
        <w:rPr>
          <w:lang w:val="fr-FR"/>
        </w:rPr>
      </w:pPr>
    </w:p>
    <w:p w14:paraId="70E0203B" w14:textId="77777777" w:rsidR="0082332B" w:rsidRPr="00425FEC" w:rsidRDefault="0082332B" w:rsidP="0082332B">
      <w:pPr>
        <w:tabs>
          <w:tab w:val="clear" w:pos="1247"/>
          <w:tab w:val="clear" w:pos="1814"/>
          <w:tab w:val="clear" w:pos="2381"/>
          <w:tab w:val="clear" w:pos="2948"/>
          <w:tab w:val="clear" w:pos="3515"/>
        </w:tabs>
        <w:rPr>
          <w:b/>
          <w:sz w:val="24"/>
          <w:szCs w:val="24"/>
          <w:lang w:val="fr-FR"/>
        </w:rPr>
      </w:pPr>
      <w:r w:rsidRPr="00425FEC">
        <w:rPr>
          <w:lang w:val="fr-FR"/>
        </w:rPr>
        <w:br w:type="page"/>
      </w:r>
    </w:p>
    <w:p w14:paraId="25DE2CB5" w14:textId="1DE3B57B" w:rsidR="00E953EE" w:rsidRPr="001A2820" w:rsidRDefault="00D40218" w:rsidP="00E953EE">
      <w:pPr>
        <w:pStyle w:val="Heading2"/>
        <w:ind w:firstLine="0"/>
        <w:rPr>
          <w:rFonts w:asciiTheme="minorHAnsi" w:hAnsiTheme="minorHAnsi" w:cstheme="minorHAnsi"/>
          <w:lang w:val="fr-FR"/>
        </w:rPr>
      </w:pPr>
      <w:bookmarkStart w:id="21" w:name="_Toc9941940"/>
      <w:bookmarkStart w:id="22" w:name="_Toc19781253"/>
      <w:r w:rsidRPr="006E653C">
        <w:rPr>
          <w:rFonts w:asciiTheme="minorHAnsi" w:hAnsiTheme="minorHAnsi" w:cstheme="minorHAnsi"/>
          <w:lang w:val="fr-FR"/>
        </w:rPr>
        <w:lastRenderedPageBreak/>
        <w:t>Orientations fournies lors de la sixième session du Comité de négociation intergouvernemental</w:t>
      </w:r>
      <w:r w:rsidR="00E953EE" w:rsidRPr="001A2820">
        <w:rPr>
          <w:rStyle w:val="FootnoteReference"/>
          <w:rFonts w:asciiTheme="minorHAnsi" w:hAnsiTheme="minorHAnsi" w:cstheme="minorHAnsi"/>
          <w:lang w:val="fr-FR"/>
        </w:rPr>
        <w:footnoteReference w:id="10"/>
      </w:r>
      <w:bookmarkEnd w:id="21"/>
      <w:bookmarkEnd w:id="22"/>
    </w:p>
    <w:tbl>
      <w:tblPr>
        <w:tblStyle w:val="TableGrid"/>
        <w:tblW w:w="0" w:type="auto"/>
        <w:tblLook w:val="04A0" w:firstRow="1" w:lastRow="0" w:firstColumn="1" w:lastColumn="0" w:noHBand="0" w:noVBand="1"/>
      </w:tblPr>
      <w:tblGrid>
        <w:gridCol w:w="444"/>
        <w:gridCol w:w="4828"/>
        <w:gridCol w:w="4215"/>
      </w:tblGrid>
      <w:tr w:rsidR="00193EC4" w:rsidRPr="00CF6A23" w14:paraId="5ACEE99F" w14:textId="77777777" w:rsidTr="006909EB">
        <w:tc>
          <w:tcPr>
            <w:tcW w:w="5305" w:type="dxa"/>
            <w:gridSpan w:val="2"/>
          </w:tcPr>
          <w:p w14:paraId="5765D30D" w14:textId="2F3BEA53" w:rsidR="00E953EE" w:rsidRPr="001A2820" w:rsidRDefault="0070530F" w:rsidP="006909EB">
            <w:pPr>
              <w:jc w:val="center"/>
              <w:rPr>
                <w:rFonts w:cstheme="minorHAnsi"/>
                <w:b/>
                <w:sz w:val="22"/>
                <w:szCs w:val="22"/>
                <w:lang w:val="fr-FR"/>
              </w:rPr>
            </w:pPr>
            <w:r w:rsidRPr="001A2820">
              <w:rPr>
                <w:rFonts w:cstheme="minorHAnsi"/>
                <w:b/>
                <w:sz w:val="22"/>
                <w:szCs w:val="22"/>
                <w:lang w:val="fr-FR"/>
              </w:rPr>
              <w:t>Document final du Comité de négociation intergouvernemental</w:t>
            </w:r>
          </w:p>
        </w:tc>
        <w:tc>
          <w:tcPr>
            <w:tcW w:w="4245" w:type="dxa"/>
          </w:tcPr>
          <w:p w14:paraId="785E7582" w14:textId="3E8ADDDD" w:rsidR="00E953EE" w:rsidRPr="001A2820" w:rsidRDefault="0070530F" w:rsidP="006909EB">
            <w:pPr>
              <w:jc w:val="center"/>
              <w:rPr>
                <w:rFonts w:cstheme="minorHAnsi"/>
                <w:b/>
                <w:sz w:val="22"/>
                <w:szCs w:val="22"/>
                <w:lang w:val="fr-FR"/>
              </w:rPr>
            </w:pPr>
            <w:r w:rsidRPr="001A2820">
              <w:rPr>
                <w:rFonts w:cstheme="minorHAnsi"/>
                <w:b/>
                <w:sz w:val="22"/>
                <w:szCs w:val="22"/>
                <w:lang w:val="fr-FR"/>
              </w:rPr>
              <w:t>Suite</w:t>
            </w:r>
            <w:r w:rsidR="005935CE">
              <w:rPr>
                <w:rFonts w:cstheme="minorHAnsi"/>
                <w:b/>
                <w:sz w:val="22"/>
                <w:szCs w:val="22"/>
                <w:lang w:val="fr-FR"/>
              </w:rPr>
              <w:t>s</w:t>
            </w:r>
            <w:r w:rsidRPr="001A2820">
              <w:rPr>
                <w:rFonts w:cstheme="minorHAnsi"/>
                <w:b/>
                <w:sz w:val="22"/>
                <w:szCs w:val="22"/>
                <w:lang w:val="fr-FR"/>
              </w:rPr>
              <w:t xml:space="preserve"> donnée</w:t>
            </w:r>
            <w:r w:rsidR="005935CE">
              <w:rPr>
                <w:rFonts w:cstheme="minorHAnsi"/>
                <w:b/>
                <w:sz w:val="22"/>
                <w:szCs w:val="22"/>
                <w:lang w:val="fr-FR"/>
              </w:rPr>
              <w:t>s</w:t>
            </w:r>
            <w:r w:rsidRPr="001A2820">
              <w:rPr>
                <w:rFonts w:cstheme="minorHAnsi"/>
                <w:b/>
                <w:sz w:val="22"/>
                <w:szCs w:val="22"/>
                <w:lang w:val="fr-FR"/>
              </w:rPr>
              <w:t xml:space="preserve"> par le FEM</w:t>
            </w:r>
          </w:p>
        </w:tc>
      </w:tr>
      <w:tr w:rsidR="00193EC4" w:rsidRPr="00CF6A23" w14:paraId="64DACD5A" w14:textId="77777777" w:rsidTr="006909EB">
        <w:tc>
          <w:tcPr>
            <w:tcW w:w="445" w:type="dxa"/>
          </w:tcPr>
          <w:p w14:paraId="4EE55A18" w14:textId="77777777" w:rsidR="00E953EE" w:rsidRPr="001A2820" w:rsidRDefault="00E953EE" w:rsidP="006909EB">
            <w:pPr>
              <w:rPr>
                <w:rFonts w:cstheme="minorHAnsi"/>
                <w:sz w:val="22"/>
                <w:szCs w:val="22"/>
                <w:lang w:val="fr-FR"/>
              </w:rPr>
            </w:pPr>
            <w:r w:rsidRPr="001A2820">
              <w:rPr>
                <w:rFonts w:cstheme="minorHAnsi"/>
                <w:sz w:val="22"/>
                <w:szCs w:val="22"/>
                <w:lang w:val="fr-FR"/>
              </w:rPr>
              <w:t>1</w:t>
            </w:r>
          </w:p>
        </w:tc>
        <w:tc>
          <w:tcPr>
            <w:tcW w:w="4860" w:type="dxa"/>
          </w:tcPr>
          <w:p w14:paraId="4FBE22AF" w14:textId="3C39FED2" w:rsidR="00E953EE" w:rsidRPr="001A2820" w:rsidRDefault="0070530F" w:rsidP="006909EB">
            <w:pPr>
              <w:rPr>
                <w:rFonts w:cstheme="minorHAnsi"/>
                <w:sz w:val="22"/>
                <w:szCs w:val="22"/>
                <w:lang w:val="fr-FR"/>
              </w:rPr>
            </w:pPr>
            <w:r w:rsidRPr="001A2820">
              <w:rPr>
                <w:rFonts w:cstheme="minorHAnsi"/>
                <w:sz w:val="22"/>
                <w:szCs w:val="22"/>
                <w:lang w:val="fr-FR"/>
              </w:rPr>
              <w:t xml:space="preserve">Prie le </w:t>
            </w:r>
            <w:r w:rsidR="00E1234C">
              <w:rPr>
                <w:rFonts w:cstheme="minorHAnsi"/>
                <w:sz w:val="22"/>
                <w:szCs w:val="22"/>
                <w:lang w:val="fr-FR"/>
              </w:rPr>
              <w:t>FEM</w:t>
            </w:r>
            <w:r w:rsidRPr="001A2820">
              <w:rPr>
                <w:rFonts w:cstheme="minorHAnsi"/>
                <w:sz w:val="22"/>
                <w:szCs w:val="22"/>
                <w:lang w:val="fr-FR"/>
              </w:rPr>
              <w:t xml:space="preserve"> d’appliquer les critères suivants pour l’octroi d’un appui financier aux pays en développement ou en transition au titre des activités entreprises dans le cadre de la Convention de Minamata sur le mercure </w:t>
            </w:r>
            <w:r w:rsidR="00E953EE" w:rsidRPr="001A2820">
              <w:rPr>
                <w:rFonts w:cstheme="minorHAnsi"/>
                <w:sz w:val="22"/>
                <w:szCs w:val="22"/>
                <w:lang w:val="fr-FR"/>
              </w:rPr>
              <w:t>:</w:t>
            </w:r>
          </w:p>
          <w:p w14:paraId="4C4576DB" w14:textId="7EAC2850" w:rsidR="00E953EE" w:rsidRPr="001A2820" w:rsidRDefault="0070530F" w:rsidP="006909EB">
            <w:pPr>
              <w:rPr>
                <w:rFonts w:cstheme="minorHAnsi"/>
                <w:sz w:val="22"/>
                <w:szCs w:val="22"/>
                <w:lang w:val="fr-FR"/>
              </w:rPr>
            </w:pPr>
            <w:r w:rsidRPr="001A2820">
              <w:rPr>
                <w:rFonts w:cstheme="minorHAnsi"/>
                <w:sz w:val="22"/>
                <w:szCs w:val="22"/>
                <w:lang w:val="fr-FR"/>
              </w:rPr>
              <w:t>Critères d’octroi</w:t>
            </w:r>
          </w:p>
          <w:p w14:paraId="1FED7CE3" w14:textId="4EFC2EDC" w:rsidR="00E953EE" w:rsidRPr="001A2820" w:rsidRDefault="00E953EE" w:rsidP="006E653C">
            <w:pPr>
              <w:tabs>
                <w:tab w:val="left" w:pos="574"/>
              </w:tabs>
              <w:rPr>
                <w:rFonts w:cstheme="minorHAnsi"/>
                <w:sz w:val="22"/>
                <w:szCs w:val="22"/>
                <w:lang w:val="fr-FR"/>
              </w:rPr>
            </w:pPr>
            <w:r w:rsidRPr="001A2820">
              <w:rPr>
                <w:rFonts w:cstheme="minorHAnsi"/>
                <w:sz w:val="22"/>
                <w:szCs w:val="22"/>
                <w:lang w:val="fr-FR"/>
              </w:rPr>
              <w:t>a)</w:t>
            </w:r>
            <w:r w:rsidRPr="001A2820">
              <w:rPr>
                <w:rFonts w:cstheme="minorHAnsi"/>
                <w:sz w:val="22"/>
                <w:szCs w:val="22"/>
                <w:lang w:val="fr-FR"/>
              </w:rPr>
              <w:tab/>
            </w:r>
            <w:r w:rsidR="005935CE">
              <w:rPr>
                <w:rFonts w:cstheme="minorHAnsi"/>
                <w:sz w:val="22"/>
                <w:szCs w:val="22"/>
                <w:lang w:val="fr-FR"/>
              </w:rPr>
              <w:t>P</w:t>
            </w:r>
            <w:r w:rsidR="0070530F" w:rsidRPr="001A2820">
              <w:rPr>
                <w:rFonts w:cstheme="minorHAnsi"/>
                <w:sz w:val="22"/>
                <w:szCs w:val="22"/>
                <w:lang w:val="fr-FR"/>
              </w:rPr>
              <w:t>arties à la Convention </w:t>
            </w:r>
            <w:r w:rsidRPr="001A2820">
              <w:rPr>
                <w:rFonts w:cstheme="minorHAnsi"/>
                <w:sz w:val="22"/>
                <w:szCs w:val="22"/>
                <w:lang w:val="fr-FR"/>
              </w:rPr>
              <w:t>;</w:t>
            </w:r>
          </w:p>
          <w:p w14:paraId="74DCD552" w14:textId="1E8A70F8" w:rsidR="00E953EE" w:rsidRPr="001A2820" w:rsidRDefault="00E953EE" w:rsidP="006E653C">
            <w:pPr>
              <w:tabs>
                <w:tab w:val="left" w:pos="574"/>
              </w:tabs>
              <w:rPr>
                <w:rFonts w:cstheme="minorHAnsi"/>
                <w:sz w:val="22"/>
                <w:szCs w:val="22"/>
                <w:lang w:val="fr-FR"/>
              </w:rPr>
            </w:pPr>
            <w:r w:rsidRPr="001A2820">
              <w:rPr>
                <w:rFonts w:cstheme="minorHAnsi"/>
                <w:sz w:val="22"/>
                <w:szCs w:val="22"/>
                <w:lang w:val="fr-FR"/>
              </w:rPr>
              <w:t>b)</w:t>
            </w:r>
            <w:r w:rsidRPr="001A2820">
              <w:rPr>
                <w:rFonts w:cstheme="minorHAnsi"/>
                <w:sz w:val="22"/>
                <w:szCs w:val="22"/>
                <w:lang w:val="fr-FR"/>
              </w:rPr>
              <w:tab/>
            </w:r>
            <w:r w:rsidR="00E15AB3">
              <w:rPr>
                <w:rFonts w:cstheme="minorHAnsi"/>
                <w:sz w:val="22"/>
                <w:szCs w:val="22"/>
                <w:lang w:val="fr-FR"/>
              </w:rPr>
              <w:t>S</w:t>
            </w:r>
            <w:r w:rsidR="0070530F" w:rsidRPr="001A2820">
              <w:rPr>
                <w:rFonts w:cstheme="minorHAnsi"/>
                <w:sz w:val="22"/>
                <w:szCs w:val="22"/>
                <w:lang w:val="fr-FR"/>
              </w:rPr>
              <w:t>ignataires de la Convention pour l’exécution d’activités, en particulier d’activités habilitantes, visant à faciliter l’application rapide et la ratification de la Convention </w:t>
            </w:r>
            <w:r w:rsidRPr="001A2820">
              <w:rPr>
                <w:rFonts w:cstheme="minorHAnsi"/>
                <w:sz w:val="22"/>
                <w:szCs w:val="22"/>
                <w:lang w:val="fr-FR"/>
              </w:rPr>
              <w:t>;</w:t>
            </w:r>
          </w:p>
          <w:p w14:paraId="56F0A838" w14:textId="1E297048" w:rsidR="00E953EE" w:rsidRPr="001A2820" w:rsidRDefault="00E953EE" w:rsidP="006E653C">
            <w:pPr>
              <w:tabs>
                <w:tab w:val="left" w:pos="574"/>
              </w:tabs>
              <w:rPr>
                <w:rFonts w:cstheme="minorHAnsi"/>
                <w:sz w:val="22"/>
                <w:szCs w:val="22"/>
                <w:lang w:val="fr-FR"/>
              </w:rPr>
            </w:pPr>
            <w:r w:rsidRPr="001A2820">
              <w:rPr>
                <w:rFonts w:cstheme="minorHAnsi"/>
                <w:sz w:val="22"/>
                <w:szCs w:val="22"/>
                <w:lang w:val="fr-FR"/>
              </w:rPr>
              <w:t>c)</w:t>
            </w:r>
            <w:r w:rsidRPr="001A2820">
              <w:rPr>
                <w:rFonts w:cstheme="minorHAnsi"/>
                <w:sz w:val="22"/>
                <w:szCs w:val="22"/>
                <w:lang w:val="fr-FR"/>
              </w:rPr>
              <w:tab/>
            </w:r>
            <w:r w:rsidR="00E15AB3">
              <w:rPr>
                <w:rFonts w:cstheme="minorHAnsi"/>
                <w:sz w:val="22"/>
                <w:szCs w:val="22"/>
                <w:lang w:val="fr-FR"/>
              </w:rPr>
              <w:t>N</w:t>
            </w:r>
            <w:r w:rsidR="0070530F" w:rsidRPr="001A2820">
              <w:rPr>
                <w:rFonts w:cstheme="minorHAnsi"/>
                <w:sz w:val="22"/>
                <w:szCs w:val="22"/>
                <w:lang w:val="fr-FR"/>
              </w:rPr>
              <w:t xml:space="preserve">on-signataires de la Convention, pour ce qui est des activités habilitantes, pour autant que les États concernés prennent de véritables mesures en vue de devenir Partie, par voie de lettre adressée par le ministre compétent au Directeur exécutif du </w:t>
            </w:r>
            <w:r w:rsidR="00E1234C">
              <w:rPr>
                <w:rFonts w:cstheme="minorHAnsi"/>
                <w:sz w:val="22"/>
                <w:szCs w:val="22"/>
                <w:lang w:val="fr-FR"/>
              </w:rPr>
              <w:t>PNUE</w:t>
            </w:r>
            <w:r w:rsidR="0070530F" w:rsidRPr="001A2820">
              <w:rPr>
                <w:rFonts w:cstheme="minorHAnsi"/>
                <w:sz w:val="22"/>
                <w:szCs w:val="22"/>
                <w:lang w:val="fr-FR"/>
              </w:rPr>
              <w:t xml:space="preserve"> et au Directeur général et Président du </w:t>
            </w:r>
            <w:r w:rsidR="00E1234C">
              <w:rPr>
                <w:rFonts w:cstheme="minorHAnsi"/>
                <w:sz w:val="22"/>
                <w:szCs w:val="22"/>
                <w:lang w:val="fr-FR"/>
              </w:rPr>
              <w:t>FEM</w:t>
            </w:r>
            <w:r w:rsidRPr="001A2820">
              <w:rPr>
                <w:rFonts w:cstheme="minorHAnsi"/>
                <w:sz w:val="22"/>
                <w:szCs w:val="22"/>
                <w:lang w:val="fr-FR"/>
              </w:rPr>
              <w:t>.</w:t>
            </w:r>
          </w:p>
        </w:tc>
        <w:tc>
          <w:tcPr>
            <w:tcW w:w="4245" w:type="dxa"/>
          </w:tcPr>
          <w:p w14:paraId="697248E1" w14:textId="2EBA66AC" w:rsidR="00E953EE" w:rsidRPr="001A2820" w:rsidRDefault="00C91F04" w:rsidP="006909EB">
            <w:pPr>
              <w:rPr>
                <w:rFonts w:cstheme="minorHAnsi"/>
                <w:sz w:val="22"/>
                <w:szCs w:val="22"/>
                <w:lang w:val="fr-FR"/>
              </w:rPr>
            </w:pPr>
            <w:r w:rsidRPr="001A2820">
              <w:rPr>
                <w:rFonts w:cstheme="minorHAnsi"/>
                <w:sz w:val="22"/>
                <w:szCs w:val="22"/>
                <w:lang w:val="fr-FR"/>
              </w:rPr>
              <w:t>En janvier 2015, le</w:t>
            </w:r>
            <w:r w:rsidR="00301D07" w:rsidRPr="001A2820">
              <w:rPr>
                <w:rFonts w:cstheme="minorHAnsi"/>
                <w:sz w:val="22"/>
                <w:szCs w:val="22"/>
                <w:lang w:val="fr-FR"/>
              </w:rPr>
              <w:t xml:space="preserve"> Conseil du FEM a approuvé </w:t>
            </w:r>
            <w:r w:rsidRPr="001A2820">
              <w:rPr>
                <w:rFonts w:cstheme="minorHAnsi"/>
                <w:sz w:val="22"/>
                <w:szCs w:val="22"/>
                <w:lang w:val="fr-FR"/>
              </w:rPr>
              <w:t>l</w:t>
            </w:r>
            <w:r w:rsidR="00301D07" w:rsidRPr="001A2820">
              <w:rPr>
                <w:rFonts w:cstheme="minorHAnsi"/>
                <w:sz w:val="22"/>
                <w:szCs w:val="22"/>
                <w:lang w:val="fr-FR"/>
              </w:rPr>
              <w:t>es nouveaux critères d’octroi</w:t>
            </w:r>
            <w:r w:rsidR="00E953EE" w:rsidRPr="001A2820">
              <w:rPr>
                <w:rFonts w:cstheme="minorHAnsi"/>
                <w:sz w:val="22"/>
                <w:szCs w:val="22"/>
                <w:lang w:val="fr-FR"/>
              </w:rPr>
              <w:t xml:space="preserve">. </w:t>
            </w:r>
            <w:r w:rsidR="00E15AB3">
              <w:rPr>
                <w:rFonts w:cstheme="minorHAnsi"/>
                <w:sz w:val="22"/>
                <w:szCs w:val="22"/>
                <w:lang w:val="fr-FR"/>
              </w:rPr>
              <w:t>Le </w:t>
            </w:r>
            <w:r w:rsidRPr="001A2820">
              <w:rPr>
                <w:rFonts w:cstheme="minorHAnsi"/>
                <w:sz w:val="22"/>
                <w:szCs w:val="22"/>
                <w:lang w:val="fr-FR"/>
              </w:rPr>
              <w:t>secrétariat du FEM a également diffusé cette révision des critères au sein des organismes du FEM en février </w:t>
            </w:r>
            <w:r w:rsidR="00E953EE" w:rsidRPr="001A2820">
              <w:rPr>
                <w:rFonts w:cstheme="minorHAnsi"/>
                <w:sz w:val="22"/>
                <w:szCs w:val="22"/>
                <w:lang w:val="fr-FR"/>
              </w:rPr>
              <w:t>2015.</w:t>
            </w:r>
          </w:p>
          <w:p w14:paraId="6062C617" w14:textId="13311C23" w:rsidR="00E953EE" w:rsidRPr="001A2820" w:rsidRDefault="00C91F04" w:rsidP="006909EB">
            <w:pPr>
              <w:rPr>
                <w:rFonts w:cstheme="minorHAnsi"/>
                <w:sz w:val="22"/>
                <w:szCs w:val="22"/>
                <w:lang w:val="fr-FR"/>
              </w:rPr>
            </w:pPr>
            <w:r w:rsidRPr="001A2820">
              <w:rPr>
                <w:rFonts w:cstheme="minorHAnsi"/>
                <w:sz w:val="22"/>
                <w:szCs w:val="22"/>
                <w:lang w:val="fr-FR"/>
              </w:rPr>
              <w:t>Le</w:t>
            </w:r>
            <w:r w:rsidR="00E953EE" w:rsidRPr="001A2820">
              <w:rPr>
                <w:rFonts w:cstheme="minorHAnsi"/>
                <w:sz w:val="22"/>
                <w:szCs w:val="22"/>
                <w:lang w:val="fr-FR"/>
              </w:rPr>
              <w:t xml:space="preserve"> </w:t>
            </w:r>
            <w:r w:rsidRPr="001A2820">
              <w:rPr>
                <w:rFonts w:cstheme="minorHAnsi"/>
                <w:sz w:val="22"/>
                <w:szCs w:val="22"/>
                <w:lang w:val="fr-FR"/>
              </w:rPr>
              <w:t xml:space="preserve">secrétariat provisoire de la Convention de Minamata a partagé le modèle de la lettre que les </w:t>
            </w:r>
            <w:r w:rsidRPr="001A2820">
              <w:rPr>
                <w:sz w:val="22"/>
                <w:szCs w:val="22"/>
                <w:lang w:val="fr-FR"/>
              </w:rPr>
              <w:t>É</w:t>
            </w:r>
            <w:r w:rsidRPr="001A2820">
              <w:rPr>
                <w:rFonts w:cstheme="minorHAnsi"/>
                <w:sz w:val="22"/>
                <w:szCs w:val="22"/>
                <w:lang w:val="fr-FR"/>
              </w:rPr>
              <w:t>tats non-signataires doivent soumettre concernant les véritables mesures qu’ils prennent en vue de devenir Partie</w:t>
            </w:r>
            <w:r w:rsidR="00E953EE" w:rsidRPr="001A2820">
              <w:rPr>
                <w:rFonts w:cstheme="minorHAnsi"/>
                <w:sz w:val="22"/>
                <w:szCs w:val="22"/>
                <w:lang w:val="fr-FR"/>
              </w:rPr>
              <w:t>.</w:t>
            </w:r>
          </w:p>
          <w:p w14:paraId="2FB599D2" w14:textId="789CE14F" w:rsidR="00E953EE" w:rsidRPr="001A2820" w:rsidRDefault="00C91F04" w:rsidP="00F61E2E">
            <w:pPr>
              <w:spacing w:before="240"/>
              <w:rPr>
                <w:rFonts w:cstheme="minorHAnsi"/>
                <w:sz w:val="22"/>
                <w:szCs w:val="22"/>
                <w:lang w:val="fr-FR"/>
              </w:rPr>
            </w:pPr>
            <w:r w:rsidRPr="001A2820">
              <w:rPr>
                <w:rFonts w:cstheme="minorHAnsi"/>
                <w:sz w:val="22"/>
                <w:szCs w:val="22"/>
                <w:lang w:val="fr-FR"/>
              </w:rPr>
              <w:t xml:space="preserve">Sur la base des nouveaux critères, </w:t>
            </w:r>
            <w:r w:rsidR="00E953EE" w:rsidRPr="001A2820">
              <w:rPr>
                <w:rFonts w:cstheme="minorHAnsi"/>
                <w:sz w:val="22"/>
                <w:szCs w:val="22"/>
                <w:lang w:val="fr-FR"/>
              </w:rPr>
              <w:t>24</w:t>
            </w:r>
            <w:r w:rsidRPr="001A2820">
              <w:rPr>
                <w:rFonts w:cstheme="minorHAnsi"/>
                <w:sz w:val="22"/>
                <w:szCs w:val="22"/>
                <w:lang w:val="fr-FR"/>
              </w:rPr>
              <w:t xml:space="preserve"> pays non-signataires ont bénéficié d’un appui durant la période à l’examen dans le cadre de </w:t>
            </w:r>
            <w:r w:rsidR="00CC0A5B">
              <w:rPr>
                <w:rFonts w:cstheme="minorHAnsi"/>
                <w:sz w:val="22"/>
                <w:szCs w:val="22"/>
                <w:lang w:val="fr-FR"/>
              </w:rPr>
              <w:t>FEM-6</w:t>
            </w:r>
            <w:r w:rsidR="00E953EE" w:rsidRPr="001A2820">
              <w:rPr>
                <w:rFonts w:cstheme="minorHAnsi"/>
                <w:sz w:val="22"/>
                <w:szCs w:val="22"/>
                <w:lang w:val="fr-FR"/>
              </w:rPr>
              <w:t xml:space="preserve">. </w:t>
            </w:r>
            <w:r w:rsidR="00F20A11" w:rsidRPr="001A2820">
              <w:rPr>
                <w:rFonts w:cstheme="minorHAnsi"/>
                <w:sz w:val="22"/>
                <w:szCs w:val="22"/>
                <w:lang w:val="fr-FR"/>
              </w:rPr>
              <w:t>Sur ces</w:t>
            </w:r>
            <w:r w:rsidR="00E953EE" w:rsidRPr="001A2820">
              <w:rPr>
                <w:rFonts w:cstheme="minorHAnsi"/>
                <w:sz w:val="22"/>
                <w:szCs w:val="22"/>
                <w:lang w:val="fr-FR"/>
              </w:rPr>
              <w:t xml:space="preserve"> 2</w:t>
            </w:r>
            <w:r w:rsidR="00F20A11" w:rsidRPr="001A2820">
              <w:rPr>
                <w:rFonts w:cstheme="minorHAnsi"/>
                <w:sz w:val="22"/>
                <w:szCs w:val="22"/>
                <w:lang w:val="fr-FR"/>
              </w:rPr>
              <w:t>4 pays</w:t>
            </w:r>
            <w:r w:rsidR="00E953EE" w:rsidRPr="001A2820">
              <w:rPr>
                <w:rFonts w:cstheme="minorHAnsi"/>
                <w:sz w:val="22"/>
                <w:szCs w:val="22"/>
                <w:lang w:val="fr-FR"/>
              </w:rPr>
              <w:t xml:space="preserve">, </w:t>
            </w:r>
            <w:r w:rsidR="00F20A11" w:rsidRPr="001A2820">
              <w:rPr>
                <w:rFonts w:cstheme="minorHAnsi"/>
                <w:sz w:val="22"/>
                <w:szCs w:val="22"/>
                <w:lang w:val="fr-FR"/>
              </w:rPr>
              <w:t>5 pays, à savoir le</w:t>
            </w:r>
            <w:r w:rsidR="00E953EE" w:rsidRPr="001A2820">
              <w:rPr>
                <w:rFonts w:cstheme="minorHAnsi"/>
                <w:sz w:val="22"/>
                <w:szCs w:val="22"/>
                <w:lang w:val="fr-FR"/>
              </w:rPr>
              <w:t xml:space="preserve"> Botswana, El Salvador, </w:t>
            </w:r>
            <w:r w:rsidR="00CA76F5">
              <w:rPr>
                <w:rFonts w:cstheme="minorHAnsi"/>
                <w:sz w:val="22"/>
                <w:szCs w:val="22"/>
                <w:lang w:val="fr-FR"/>
              </w:rPr>
              <w:t>l’Eswatini, le </w:t>
            </w:r>
            <w:r w:rsidR="00E953EE" w:rsidRPr="001A2820">
              <w:rPr>
                <w:rFonts w:cstheme="minorHAnsi"/>
                <w:sz w:val="22"/>
                <w:szCs w:val="22"/>
                <w:lang w:val="fr-FR"/>
              </w:rPr>
              <w:t>Lesotho</w:t>
            </w:r>
            <w:r w:rsidR="00F20A11" w:rsidRPr="001A2820">
              <w:rPr>
                <w:rFonts w:cstheme="minorHAnsi"/>
                <w:sz w:val="22"/>
                <w:szCs w:val="22"/>
                <w:lang w:val="fr-FR"/>
              </w:rPr>
              <w:t xml:space="preserve"> et</w:t>
            </w:r>
            <w:r w:rsidR="00E953EE" w:rsidRPr="001A2820">
              <w:rPr>
                <w:rFonts w:cstheme="minorHAnsi"/>
                <w:sz w:val="22"/>
                <w:szCs w:val="22"/>
                <w:lang w:val="fr-FR"/>
              </w:rPr>
              <w:t xml:space="preserve"> </w:t>
            </w:r>
            <w:r w:rsidR="00F20A11" w:rsidRPr="001A2820">
              <w:rPr>
                <w:rFonts w:cstheme="minorHAnsi"/>
                <w:sz w:val="22"/>
                <w:szCs w:val="22"/>
                <w:lang w:val="fr-FR"/>
              </w:rPr>
              <w:t>Saint-Kitts-et-Nevis</w:t>
            </w:r>
            <w:r w:rsidR="00E953EE" w:rsidRPr="001A2820">
              <w:rPr>
                <w:rFonts w:cstheme="minorHAnsi"/>
                <w:sz w:val="22"/>
                <w:szCs w:val="22"/>
                <w:lang w:val="fr-FR"/>
              </w:rPr>
              <w:t xml:space="preserve">, </w:t>
            </w:r>
            <w:r w:rsidR="00F20A11" w:rsidRPr="001A2820">
              <w:rPr>
                <w:rFonts w:cstheme="minorHAnsi"/>
                <w:sz w:val="22"/>
                <w:szCs w:val="22"/>
                <w:lang w:val="fr-FR"/>
              </w:rPr>
              <w:t>ont ratifié</w:t>
            </w:r>
            <w:r w:rsidR="00E953EE" w:rsidRPr="001A2820">
              <w:rPr>
                <w:rFonts w:cstheme="minorHAnsi"/>
                <w:sz w:val="22"/>
                <w:szCs w:val="22"/>
                <w:lang w:val="fr-FR"/>
              </w:rPr>
              <w:t xml:space="preserve"> Convention.</w:t>
            </w:r>
          </w:p>
        </w:tc>
      </w:tr>
      <w:tr w:rsidR="00193EC4" w:rsidRPr="00CF6A23" w14:paraId="5DADDB9E" w14:textId="77777777" w:rsidTr="006909EB">
        <w:tc>
          <w:tcPr>
            <w:tcW w:w="445" w:type="dxa"/>
          </w:tcPr>
          <w:p w14:paraId="3904DB26" w14:textId="77777777" w:rsidR="00E953EE" w:rsidRPr="001A2820" w:rsidRDefault="00E953EE" w:rsidP="006909EB">
            <w:pPr>
              <w:rPr>
                <w:rFonts w:cstheme="minorHAnsi"/>
                <w:sz w:val="22"/>
                <w:szCs w:val="22"/>
                <w:lang w:val="fr-FR"/>
              </w:rPr>
            </w:pPr>
            <w:r w:rsidRPr="001A2820">
              <w:rPr>
                <w:rFonts w:cstheme="minorHAnsi"/>
                <w:sz w:val="22"/>
                <w:szCs w:val="22"/>
                <w:lang w:val="fr-FR"/>
              </w:rPr>
              <w:t>2</w:t>
            </w:r>
          </w:p>
        </w:tc>
        <w:tc>
          <w:tcPr>
            <w:tcW w:w="4860" w:type="dxa"/>
          </w:tcPr>
          <w:p w14:paraId="0A581866" w14:textId="2491667E" w:rsidR="00E953EE" w:rsidRPr="001A2820" w:rsidRDefault="00F20A11" w:rsidP="006909EB">
            <w:pPr>
              <w:rPr>
                <w:rFonts w:cstheme="minorHAnsi"/>
                <w:sz w:val="22"/>
                <w:szCs w:val="22"/>
                <w:lang w:val="fr-FR"/>
              </w:rPr>
            </w:pPr>
            <w:r w:rsidRPr="001A2820">
              <w:rPr>
                <w:rFonts w:cstheme="minorHAnsi"/>
                <w:sz w:val="22"/>
                <w:szCs w:val="22"/>
                <w:lang w:val="fr-FR"/>
              </w:rPr>
              <w:t xml:space="preserve">Prie le </w:t>
            </w:r>
            <w:r w:rsidR="00E1234C">
              <w:rPr>
                <w:rFonts w:cstheme="minorHAnsi"/>
                <w:sz w:val="22"/>
                <w:szCs w:val="22"/>
                <w:lang w:val="fr-FR"/>
              </w:rPr>
              <w:t>FEM</w:t>
            </w:r>
            <w:r w:rsidRPr="001A2820">
              <w:rPr>
                <w:rFonts w:cstheme="minorHAnsi"/>
                <w:sz w:val="22"/>
                <w:szCs w:val="22"/>
                <w:lang w:val="fr-FR"/>
              </w:rPr>
              <w:t xml:space="preserve"> de tenir compte des activités suivantes lorsqu’il fournit des ressources financières aux pays en développement ou en transition </w:t>
            </w:r>
            <w:r w:rsidR="00E953EE" w:rsidRPr="001A2820">
              <w:rPr>
                <w:rFonts w:cstheme="minorHAnsi"/>
                <w:sz w:val="22"/>
                <w:szCs w:val="22"/>
                <w:lang w:val="fr-FR"/>
              </w:rPr>
              <w:t>:</w:t>
            </w:r>
          </w:p>
          <w:p w14:paraId="70ACC17E" w14:textId="3E93DC0D" w:rsidR="00E953EE" w:rsidRPr="001A2820" w:rsidRDefault="00E953EE" w:rsidP="00C43433">
            <w:pPr>
              <w:tabs>
                <w:tab w:val="left" w:pos="574"/>
              </w:tabs>
              <w:rPr>
                <w:rFonts w:cstheme="minorHAnsi"/>
                <w:sz w:val="22"/>
                <w:szCs w:val="22"/>
                <w:lang w:val="fr-FR"/>
              </w:rPr>
            </w:pPr>
            <w:r w:rsidRPr="001A2820">
              <w:rPr>
                <w:rFonts w:cstheme="minorHAnsi"/>
                <w:sz w:val="22"/>
                <w:szCs w:val="22"/>
                <w:lang w:val="fr-FR"/>
              </w:rPr>
              <w:t>a)</w:t>
            </w:r>
            <w:r w:rsidRPr="001A2820">
              <w:rPr>
                <w:rFonts w:cstheme="minorHAnsi"/>
                <w:sz w:val="22"/>
                <w:szCs w:val="22"/>
                <w:lang w:val="fr-FR"/>
              </w:rPr>
              <w:tab/>
            </w:r>
            <w:r w:rsidR="00E15AB3">
              <w:rPr>
                <w:rFonts w:cstheme="minorHAnsi"/>
                <w:sz w:val="22"/>
                <w:szCs w:val="22"/>
                <w:lang w:val="fr-FR"/>
              </w:rPr>
              <w:t>A</w:t>
            </w:r>
            <w:r w:rsidR="00AE334F" w:rsidRPr="001A2820">
              <w:rPr>
                <w:rFonts w:cstheme="minorHAnsi"/>
                <w:sz w:val="22"/>
                <w:szCs w:val="22"/>
                <w:lang w:val="fr-FR"/>
              </w:rPr>
              <w:t xml:space="preserve">ctivités habilitantes visées dans les orientations initiales concernant les activités habilitantes pour la mise en œuvre de la Convention de Minamata sur le mercure du </w:t>
            </w:r>
            <w:r w:rsidR="00E1234C">
              <w:rPr>
                <w:rFonts w:cstheme="minorHAnsi"/>
                <w:sz w:val="22"/>
                <w:szCs w:val="22"/>
                <w:lang w:val="fr-FR"/>
              </w:rPr>
              <w:t>FEM</w:t>
            </w:r>
            <w:r w:rsidR="00AE334F" w:rsidRPr="001A2820">
              <w:rPr>
                <w:rFonts w:cstheme="minorHAnsi"/>
                <w:sz w:val="22"/>
                <w:szCs w:val="22"/>
                <w:lang w:val="fr-FR"/>
              </w:rPr>
              <w:t>, en particulier les activités d’évaluation initiale de la Convention et des plans d’action nationaux relatifs à l’extraction d’or artisanale et à petite échelle, afin de favoriser la ratification de la Convention </w:t>
            </w:r>
            <w:r w:rsidRPr="001A2820">
              <w:rPr>
                <w:rFonts w:cstheme="minorHAnsi"/>
                <w:sz w:val="22"/>
                <w:szCs w:val="22"/>
                <w:lang w:val="fr-FR"/>
              </w:rPr>
              <w:t>;</w:t>
            </w:r>
          </w:p>
          <w:p w14:paraId="2E87E0B5" w14:textId="7FE21FC6" w:rsidR="00E953EE" w:rsidRPr="001A2820" w:rsidRDefault="00E953EE" w:rsidP="00C43433">
            <w:pPr>
              <w:tabs>
                <w:tab w:val="left" w:pos="574"/>
              </w:tabs>
              <w:rPr>
                <w:rFonts w:cstheme="minorHAnsi"/>
                <w:sz w:val="22"/>
                <w:szCs w:val="22"/>
                <w:lang w:val="fr-FR"/>
              </w:rPr>
            </w:pPr>
            <w:r w:rsidRPr="001A2820">
              <w:rPr>
                <w:rFonts w:cstheme="minorHAnsi"/>
                <w:sz w:val="22"/>
                <w:szCs w:val="22"/>
                <w:lang w:val="fr-FR"/>
              </w:rPr>
              <w:t>b)</w:t>
            </w:r>
            <w:r w:rsidRPr="001A2820">
              <w:rPr>
                <w:rFonts w:cstheme="minorHAnsi"/>
                <w:sz w:val="22"/>
                <w:szCs w:val="22"/>
                <w:lang w:val="fr-FR"/>
              </w:rPr>
              <w:tab/>
            </w:r>
            <w:r w:rsidR="00E15AB3">
              <w:rPr>
                <w:rFonts w:cstheme="minorHAnsi"/>
                <w:sz w:val="22"/>
                <w:szCs w:val="22"/>
                <w:lang w:val="fr-FR"/>
              </w:rPr>
              <w:t>A</w:t>
            </w:r>
            <w:r w:rsidR="00AE334F" w:rsidRPr="001A2820">
              <w:rPr>
                <w:rFonts w:cstheme="minorHAnsi"/>
                <w:sz w:val="22"/>
                <w:szCs w:val="22"/>
                <w:lang w:val="fr-FR"/>
              </w:rPr>
              <w:t>ctivités visant à mettre en œuvre les dispositions de la Convention, en accordant</w:t>
            </w:r>
            <w:r w:rsidR="006E653C">
              <w:rPr>
                <w:rFonts w:cstheme="minorHAnsi"/>
                <w:sz w:val="22"/>
                <w:szCs w:val="22"/>
                <w:lang w:val="fr-FR"/>
              </w:rPr>
              <w:t xml:space="preserve"> </w:t>
            </w:r>
            <w:r w:rsidR="00AE334F" w:rsidRPr="001A2820">
              <w:rPr>
                <w:rFonts w:cstheme="minorHAnsi"/>
                <w:sz w:val="22"/>
                <w:szCs w:val="22"/>
                <w:lang w:val="fr-FR"/>
              </w:rPr>
              <w:t>la priorité à celles qui </w:t>
            </w:r>
            <w:r w:rsidRPr="001A2820">
              <w:rPr>
                <w:rFonts w:cstheme="minorHAnsi"/>
                <w:sz w:val="22"/>
                <w:szCs w:val="22"/>
                <w:lang w:val="fr-FR"/>
              </w:rPr>
              <w:t>:</w:t>
            </w:r>
          </w:p>
          <w:p w14:paraId="2DC442D1" w14:textId="33659387" w:rsidR="00E953EE" w:rsidRPr="001A2820" w:rsidRDefault="00E953EE" w:rsidP="00C43433">
            <w:pPr>
              <w:tabs>
                <w:tab w:val="left" w:pos="574"/>
              </w:tabs>
              <w:rPr>
                <w:rFonts w:cstheme="minorHAnsi"/>
                <w:sz w:val="22"/>
                <w:szCs w:val="22"/>
                <w:lang w:val="fr-FR"/>
              </w:rPr>
            </w:pPr>
            <w:r w:rsidRPr="001A2820">
              <w:rPr>
                <w:rFonts w:cstheme="minorHAnsi"/>
                <w:sz w:val="22"/>
                <w:szCs w:val="22"/>
                <w:lang w:val="fr-FR"/>
              </w:rPr>
              <w:t>i)</w:t>
            </w:r>
            <w:r w:rsidRPr="001A2820">
              <w:rPr>
                <w:rFonts w:cstheme="minorHAnsi"/>
                <w:sz w:val="22"/>
                <w:szCs w:val="22"/>
                <w:lang w:val="fr-FR"/>
              </w:rPr>
              <w:tab/>
            </w:r>
            <w:r w:rsidR="00EC2065">
              <w:rPr>
                <w:rFonts w:cstheme="minorHAnsi"/>
                <w:sz w:val="22"/>
                <w:szCs w:val="22"/>
                <w:lang w:val="fr-FR"/>
              </w:rPr>
              <w:t>s</w:t>
            </w:r>
            <w:r w:rsidR="00AE334F" w:rsidRPr="001A2820">
              <w:rPr>
                <w:rFonts w:cstheme="minorHAnsi"/>
                <w:sz w:val="22"/>
                <w:szCs w:val="22"/>
                <w:lang w:val="fr-FR"/>
              </w:rPr>
              <w:t>ont liées à des obligations juridiquement contraignantes </w:t>
            </w:r>
            <w:r w:rsidRPr="001A2820">
              <w:rPr>
                <w:rFonts w:cstheme="minorHAnsi"/>
                <w:sz w:val="22"/>
                <w:szCs w:val="22"/>
                <w:lang w:val="fr-FR"/>
              </w:rPr>
              <w:t>;</w:t>
            </w:r>
          </w:p>
          <w:p w14:paraId="5D441534" w14:textId="6105A637" w:rsidR="00E953EE" w:rsidRPr="001A2820" w:rsidRDefault="00E953EE" w:rsidP="00C43433">
            <w:pPr>
              <w:tabs>
                <w:tab w:val="left" w:pos="574"/>
                <w:tab w:val="left" w:pos="858"/>
              </w:tabs>
              <w:rPr>
                <w:rFonts w:cstheme="minorHAnsi"/>
                <w:sz w:val="22"/>
                <w:szCs w:val="22"/>
                <w:lang w:val="fr-FR"/>
              </w:rPr>
            </w:pPr>
            <w:r w:rsidRPr="001A2820">
              <w:rPr>
                <w:rFonts w:cstheme="minorHAnsi"/>
                <w:sz w:val="22"/>
                <w:szCs w:val="22"/>
                <w:lang w:val="fr-FR"/>
              </w:rPr>
              <w:t>ii)</w:t>
            </w:r>
            <w:r w:rsidRPr="001A2820">
              <w:rPr>
                <w:rFonts w:cstheme="minorHAnsi"/>
                <w:sz w:val="22"/>
                <w:szCs w:val="22"/>
                <w:lang w:val="fr-FR"/>
              </w:rPr>
              <w:tab/>
            </w:r>
            <w:r w:rsidR="00EC2065">
              <w:rPr>
                <w:rFonts w:cstheme="minorHAnsi"/>
                <w:sz w:val="22"/>
                <w:szCs w:val="22"/>
                <w:lang w:val="fr-FR"/>
              </w:rPr>
              <w:t>f</w:t>
            </w:r>
            <w:r w:rsidR="00AE334F" w:rsidRPr="001A2820">
              <w:rPr>
                <w:rFonts w:cstheme="minorHAnsi"/>
                <w:sz w:val="22"/>
                <w:szCs w:val="22"/>
                <w:lang w:val="fr-FR"/>
              </w:rPr>
              <w:t>acilitent l’application rapide de la Convention dès son entrée en vigueur </w:t>
            </w:r>
            <w:r w:rsidRPr="001A2820">
              <w:rPr>
                <w:rFonts w:cstheme="minorHAnsi"/>
                <w:sz w:val="22"/>
                <w:szCs w:val="22"/>
                <w:lang w:val="fr-FR"/>
              </w:rPr>
              <w:t>;</w:t>
            </w:r>
          </w:p>
          <w:p w14:paraId="17EE5E75" w14:textId="1068D236" w:rsidR="00E953EE" w:rsidRPr="001A2820" w:rsidRDefault="00E953EE" w:rsidP="00C43433">
            <w:pPr>
              <w:tabs>
                <w:tab w:val="left" w:pos="574"/>
              </w:tabs>
              <w:rPr>
                <w:rFonts w:cstheme="minorHAnsi"/>
                <w:sz w:val="22"/>
                <w:szCs w:val="22"/>
                <w:lang w:val="fr-FR"/>
              </w:rPr>
            </w:pPr>
            <w:r w:rsidRPr="001A2820">
              <w:rPr>
                <w:rFonts w:cstheme="minorHAnsi"/>
                <w:sz w:val="22"/>
                <w:szCs w:val="22"/>
                <w:lang w:val="fr-FR"/>
              </w:rPr>
              <w:t xml:space="preserve">iii) </w:t>
            </w:r>
            <w:r w:rsidR="00EC2065" w:rsidRPr="00EC2065">
              <w:rPr>
                <w:rFonts w:cstheme="minorHAnsi"/>
                <w:sz w:val="22"/>
                <w:szCs w:val="22"/>
                <w:lang w:val="fr-FR"/>
              </w:rPr>
              <w:tab/>
            </w:r>
            <w:r w:rsidR="00EC2065">
              <w:rPr>
                <w:rFonts w:cstheme="minorHAnsi"/>
                <w:sz w:val="22"/>
                <w:szCs w:val="22"/>
                <w:lang w:val="fr-FR"/>
              </w:rPr>
              <w:t>p</w:t>
            </w:r>
            <w:r w:rsidR="00AE334F" w:rsidRPr="001A2820">
              <w:rPr>
                <w:rFonts w:cstheme="minorHAnsi"/>
                <w:sz w:val="22"/>
                <w:szCs w:val="22"/>
                <w:lang w:val="fr-FR"/>
              </w:rPr>
              <w:t>ermettent de réduire les émissions et rejets de mercure et s’attaquent aux incidences du mercure sur la santé et l’environnement</w:t>
            </w:r>
            <w:r w:rsidRPr="001A2820">
              <w:rPr>
                <w:rFonts w:cstheme="minorHAnsi"/>
                <w:sz w:val="22"/>
                <w:szCs w:val="22"/>
                <w:lang w:val="fr-FR"/>
              </w:rPr>
              <w:t>.</w:t>
            </w:r>
          </w:p>
        </w:tc>
        <w:tc>
          <w:tcPr>
            <w:tcW w:w="4245" w:type="dxa"/>
          </w:tcPr>
          <w:p w14:paraId="2EAA7DEE" w14:textId="0CC3DD3F" w:rsidR="00E953EE" w:rsidRPr="001A2820" w:rsidRDefault="00193EC4" w:rsidP="006909EB">
            <w:pPr>
              <w:rPr>
                <w:rFonts w:cstheme="minorHAnsi"/>
                <w:sz w:val="22"/>
                <w:szCs w:val="22"/>
                <w:lang w:val="fr-FR"/>
              </w:rPr>
            </w:pPr>
            <w:r w:rsidRPr="001A2820">
              <w:rPr>
                <w:rFonts w:cstheme="minorHAnsi"/>
                <w:sz w:val="22"/>
                <w:szCs w:val="22"/>
                <w:lang w:val="fr-FR"/>
              </w:rPr>
              <w:t xml:space="preserve">La stratégie de </w:t>
            </w:r>
            <w:r w:rsidR="00CC0A5B">
              <w:rPr>
                <w:rFonts w:cstheme="minorHAnsi"/>
                <w:sz w:val="22"/>
                <w:szCs w:val="22"/>
                <w:lang w:val="fr-FR"/>
              </w:rPr>
              <w:t>FEM-6</w:t>
            </w:r>
            <w:r w:rsidRPr="001A2820">
              <w:rPr>
                <w:rFonts w:cstheme="minorHAnsi"/>
                <w:sz w:val="22"/>
                <w:szCs w:val="22"/>
                <w:lang w:val="fr-FR"/>
              </w:rPr>
              <w:t xml:space="preserve"> dans le domaine d’intervention des produits chimiques et des déchets contient deux objectifs stratégiques visant à atteindre les buts relatifs à l’élimination des produits chimiques et des déchets nocifs</w:t>
            </w:r>
            <w:r w:rsidR="00E953EE" w:rsidRPr="001A2820">
              <w:rPr>
                <w:rFonts w:cstheme="minorHAnsi"/>
                <w:sz w:val="22"/>
                <w:szCs w:val="22"/>
                <w:lang w:val="fr-FR"/>
              </w:rPr>
              <w:t xml:space="preserve">. </w:t>
            </w:r>
            <w:r w:rsidRPr="001A2820">
              <w:rPr>
                <w:rFonts w:cstheme="minorHAnsi"/>
                <w:sz w:val="22"/>
                <w:szCs w:val="22"/>
                <w:lang w:val="fr-FR"/>
              </w:rPr>
              <w:t xml:space="preserve">Le FEM a programmé </w:t>
            </w:r>
            <w:r w:rsidR="00E953EE" w:rsidRPr="001A2820">
              <w:rPr>
                <w:rFonts w:cstheme="minorHAnsi"/>
                <w:sz w:val="22"/>
                <w:szCs w:val="22"/>
                <w:lang w:val="fr-FR"/>
              </w:rPr>
              <w:t>124</w:t>
            </w:r>
            <w:r w:rsidRPr="001A2820">
              <w:rPr>
                <w:rFonts w:cstheme="minorHAnsi"/>
                <w:sz w:val="22"/>
                <w:szCs w:val="22"/>
                <w:lang w:val="fr-FR"/>
              </w:rPr>
              <w:t> </w:t>
            </w:r>
            <w:r w:rsidR="00E953EE" w:rsidRPr="001A2820">
              <w:rPr>
                <w:rFonts w:cstheme="minorHAnsi"/>
                <w:sz w:val="22"/>
                <w:szCs w:val="22"/>
                <w:lang w:val="fr-FR"/>
              </w:rPr>
              <w:t>million</w:t>
            </w:r>
            <w:r w:rsidRPr="001A2820">
              <w:rPr>
                <w:rFonts w:cstheme="minorHAnsi"/>
                <w:sz w:val="22"/>
                <w:szCs w:val="22"/>
                <w:lang w:val="fr-FR"/>
              </w:rPr>
              <w:t>s de dollars pour des projets concernant le mercure menés dans le cadre de ces deux programmes</w:t>
            </w:r>
            <w:r w:rsidR="00E953EE" w:rsidRPr="001A2820">
              <w:rPr>
                <w:rFonts w:cstheme="minorHAnsi"/>
                <w:sz w:val="22"/>
                <w:szCs w:val="22"/>
                <w:lang w:val="fr-FR"/>
              </w:rPr>
              <w:t xml:space="preserve"> </w:t>
            </w:r>
            <w:r w:rsidRPr="001A2820">
              <w:rPr>
                <w:rFonts w:cstheme="minorHAnsi"/>
                <w:sz w:val="22"/>
                <w:szCs w:val="22"/>
                <w:lang w:val="fr-FR"/>
              </w:rPr>
              <w:t xml:space="preserve">au cours des trois premières années de la période </w:t>
            </w:r>
            <w:r w:rsidR="00CC0A5B">
              <w:rPr>
                <w:rFonts w:cstheme="minorHAnsi"/>
                <w:sz w:val="22"/>
                <w:szCs w:val="22"/>
                <w:lang w:val="fr-FR"/>
              </w:rPr>
              <w:t>FEM-6</w:t>
            </w:r>
            <w:r w:rsidR="00E953EE" w:rsidRPr="001A2820">
              <w:rPr>
                <w:rFonts w:cstheme="minorHAnsi"/>
                <w:sz w:val="22"/>
                <w:szCs w:val="22"/>
                <w:lang w:val="fr-FR"/>
              </w:rPr>
              <w:t>.</w:t>
            </w:r>
          </w:p>
        </w:tc>
      </w:tr>
    </w:tbl>
    <w:p w14:paraId="71CF132A" w14:textId="0008FE83" w:rsidR="00E953EE" w:rsidRPr="001A2820" w:rsidRDefault="00E953EE" w:rsidP="00E953EE">
      <w:pPr>
        <w:rPr>
          <w:rFonts w:cstheme="minorHAnsi"/>
          <w:sz w:val="22"/>
          <w:szCs w:val="22"/>
          <w:lang w:val="fr-FR"/>
        </w:rPr>
      </w:pPr>
    </w:p>
    <w:p w14:paraId="741897B1" w14:textId="7B62DC92" w:rsidR="007B34A8" w:rsidRPr="001A2820" w:rsidRDefault="007B34A8">
      <w:pPr>
        <w:tabs>
          <w:tab w:val="clear" w:pos="1247"/>
          <w:tab w:val="clear" w:pos="1814"/>
          <w:tab w:val="clear" w:pos="2381"/>
          <w:tab w:val="clear" w:pos="2948"/>
          <w:tab w:val="clear" w:pos="3515"/>
        </w:tabs>
        <w:rPr>
          <w:rFonts w:cstheme="minorHAnsi"/>
          <w:sz w:val="22"/>
          <w:szCs w:val="22"/>
          <w:lang w:val="fr-FR"/>
        </w:rPr>
      </w:pPr>
      <w:r w:rsidRPr="001A2820">
        <w:rPr>
          <w:rFonts w:cstheme="minorHAnsi"/>
          <w:sz w:val="22"/>
          <w:szCs w:val="22"/>
          <w:lang w:val="fr-FR"/>
        </w:rPr>
        <w:br w:type="page"/>
      </w:r>
    </w:p>
    <w:p w14:paraId="301F1923" w14:textId="103E446C" w:rsidR="00E953EE" w:rsidRPr="001A2820" w:rsidRDefault="001A042A" w:rsidP="00E953EE">
      <w:pPr>
        <w:pStyle w:val="Heading2"/>
        <w:ind w:firstLine="0"/>
        <w:rPr>
          <w:rFonts w:asciiTheme="minorHAnsi" w:hAnsiTheme="minorHAnsi" w:cstheme="minorHAnsi"/>
          <w:lang w:val="fr-FR"/>
        </w:rPr>
      </w:pPr>
      <w:bookmarkStart w:id="23" w:name="_Toc9941941"/>
      <w:bookmarkStart w:id="24" w:name="_Toc19781254"/>
      <w:r w:rsidRPr="001A2820">
        <w:rPr>
          <w:rFonts w:asciiTheme="minorHAnsi" w:hAnsiTheme="minorHAnsi" w:cstheme="minorHAnsi"/>
          <w:lang w:val="fr-FR"/>
        </w:rPr>
        <w:lastRenderedPageBreak/>
        <w:t>Résolutions adoptées par la Conférence de plénipotentiaires relative à la Convention de Minamata sur le mercure et suite</w:t>
      </w:r>
      <w:r w:rsidR="00D14D45">
        <w:rPr>
          <w:rFonts w:asciiTheme="minorHAnsi" w:hAnsiTheme="minorHAnsi" w:cstheme="minorHAnsi"/>
          <w:lang w:val="fr-FR"/>
        </w:rPr>
        <w:t>s</w:t>
      </w:r>
      <w:r w:rsidRPr="001A2820">
        <w:rPr>
          <w:rFonts w:asciiTheme="minorHAnsi" w:hAnsiTheme="minorHAnsi" w:cstheme="minorHAnsi"/>
          <w:lang w:val="fr-FR"/>
        </w:rPr>
        <w:t xml:space="preserve"> donnée</w:t>
      </w:r>
      <w:r w:rsidR="00D14D45">
        <w:rPr>
          <w:rFonts w:asciiTheme="minorHAnsi" w:hAnsiTheme="minorHAnsi" w:cstheme="minorHAnsi"/>
          <w:lang w:val="fr-FR"/>
        </w:rPr>
        <w:t>s</w:t>
      </w:r>
      <w:r w:rsidRPr="001A2820">
        <w:rPr>
          <w:rFonts w:asciiTheme="minorHAnsi" w:hAnsiTheme="minorHAnsi" w:cstheme="minorHAnsi"/>
          <w:lang w:val="fr-FR"/>
        </w:rPr>
        <w:t xml:space="preserve"> par le FEM</w:t>
      </w:r>
      <w:r w:rsidR="00E953EE" w:rsidRPr="001A2820">
        <w:rPr>
          <w:rStyle w:val="FootnoteReference"/>
          <w:rFonts w:asciiTheme="minorHAnsi" w:hAnsiTheme="minorHAnsi" w:cstheme="minorHAnsi"/>
          <w:lang w:val="fr-FR"/>
        </w:rPr>
        <w:footnoteReference w:id="11"/>
      </w:r>
      <w:bookmarkEnd w:id="23"/>
      <w:bookmarkEnd w:id="24"/>
    </w:p>
    <w:tbl>
      <w:tblPr>
        <w:tblStyle w:val="TableGrid"/>
        <w:tblW w:w="0" w:type="auto"/>
        <w:tblLook w:val="04A0" w:firstRow="1" w:lastRow="0" w:firstColumn="1" w:lastColumn="0" w:noHBand="0" w:noVBand="1"/>
      </w:tblPr>
      <w:tblGrid>
        <w:gridCol w:w="444"/>
        <w:gridCol w:w="4823"/>
        <w:gridCol w:w="4220"/>
      </w:tblGrid>
      <w:tr w:rsidR="00CD40EF" w:rsidRPr="00CF6A23" w14:paraId="53C9F084" w14:textId="77777777" w:rsidTr="006909EB">
        <w:tc>
          <w:tcPr>
            <w:tcW w:w="445" w:type="dxa"/>
          </w:tcPr>
          <w:p w14:paraId="34141654" w14:textId="77777777" w:rsidR="00E953EE" w:rsidRPr="001A2820" w:rsidRDefault="00E953EE" w:rsidP="006909EB">
            <w:pPr>
              <w:jc w:val="center"/>
              <w:rPr>
                <w:rFonts w:cstheme="minorHAnsi"/>
                <w:b/>
                <w:bCs/>
                <w:sz w:val="22"/>
                <w:szCs w:val="22"/>
                <w:lang w:val="fr-FR"/>
              </w:rPr>
            </w:pPr>
          </w:p>
        </w:tc>
        <w:tc>
          <w:tcPr>
            <w:tcW w:w="4860" w:type="dxa"/>
          </w:tcPr>
          <w:p w14:paraId="01A95A5A" w14:textId="4DCAD7D0" w:rsidR="00E953EE" w:rsidRPr="001A2820" w:rsidRDefault="00E953EE" w:rsidP="006909EB">
            <w:pPr>
              <w:jc w:val="center"/>
              <w:rPr>
                <w:rFonts w:cstheme="minorHAnsi"/>
                <w:b/>
                <w:bCs/>
                <w:sz w:val="22"/>
                <w:szCs w:val="22"/>
                <w:lang w:val="fr-FR"/>
              </w:rPr>
            </w:pPr>
            <w:r w:rsidRPr="001A2820">
              <w:rPr>
                <w:rFonts w:cstheme="minorHAnsi"/>
                <w:b/>
                <w:bCs/>
                <w:sz w:val="22"/>
                <w:szCs w:val="22"/>
                <w:lang w:val="fr-FR"/>
              </w:rPr>
              <w:t>R</w:t>
            </w:r>
            <w:r w:rsidR="001A042A" w:rsidRPr="001A2820">
              <w:rPr>
                <w:rFonts w:cstheme="minorHAnsi"/>
                <w:b/>
                <w:bCs/>
                <w:sz w:val="22"/>
                <w:szCs w:val="22"/>
                <w:lang w:val="fr-FR"/>
              </w:rPr>
              <w:t>é</w:t>
            </w:r>
            <w:r w:rsidRPr="001A2820">
              <w:rPr>
                <w:rFonts w:cstheme="minorHAnsi"/>
                <w:b/>
                <w:bCs/>
                <w:sz w:val="22"/>
                <w:szCs w:val="22"/>
                <w:lang w:val="fr-FR"/>
              </w:rPr>
              <w:t>solution</w:t>
            </w:r>
          </w:p>
        </w:tc>
        <w:tc>
          <w:tcPr>
            <w:tcW w:w="4245" w:type="dxa"/>
          </w:tcPr>
          <w:p w14:paraId="58FBED42" w14:textId="7B74F26A" w:rsidR="00E953EE" w:rsidRPr="001A2820" w:rsidRDefault="001A042A" w:rsidP="006909EB">
            <w:pPr>
              <w:jc w:val="center"/>
              <w:rPr>
                <w:rFonts w:cstheme="minorHAnsi"/>
                <w:b/>
                <w:bCs/>
                <w:sz w:val="22"/>
                <w:szCs w:val="22"/>
                <w:lang w:val="fr-FR"/>
              </w:rPr>
            </w:pPr>
            <w:r w:rsidRPr="001A2820">
              <w:rPr>
                <w:rFonts w:cstheme="minorHAnsi"/>
                <w:b/>
                <w:bCs/>
                <w:sz w:val="22"/>
                <w:szCs w:val="22"/>
                <w:lang w:val="fr-FR"/>
              </w:rPr>
              <w:t>Suite</w:t>
            </w:r>
            <w:r w:rsidR="00D14D45">
              <w:rPr>
                <w:rFonts w:cstheme="minorHAnsi"/>
                <w:b/>
                <w:bCs/>
                <w:sz w:val="22"/>
                <w:szCs w:val="22"/>
                <w:lang w:val="fr-FR"/>
              </w:rPr>
              <w:t>s</w:t>
            </w:r>
            <w:r w:rsidRPr="001A2820">
              <w:rPr>
                <w:rFonts w:cstheme="minorHAnsi"/>
                <w:b/>
                <w:bCs/>
                <w:sz w:val="22"/>
                <w:szCs w:val="22"/>
                <w:lang w:val="fr-FR"/>
              </w:rPr>
              <w:t xml:space="preserve"> donnée</w:t>
            </w:r>
            <w:r w:rsidR="00D14D45">
              <w:rPr>
                <w:rFonts w:cstheme="minorHAnsi"/>
                <w:b/>
                <w:bCs/>
                <w:sz w:val="22"/>
                <w:szCs w:val="22"/>
                <w:lang w:val="fr-FR"/>
              </w:rPr>
              <w:t>s</w:t>
            </w:r>
            <w:r w:rsidRPr="001A2820">
              <w:rPr>
                <w:rFonts w:cstheme="minorHAnsi"/>
                <w:b/>
                <w:bCs/>
                <w:sz w:val="22"/>
                <w:szCs w:val="22"/>
                <w:lang w:val="fr-FR"/>
              </w:rPr>
              <w:t xml:space="preserve"> par le FEM</w:t>
            </w:r>
          </w:p>
        </w:tc>
      </w:tr>
      <w:tr w:rsidR="00CD40EF" w:rsidRPr="00CF6A23" w14:paraId="332BACDC" w14:textId="77777777" w:rsidTr="006909EB">
        <w:tc>
          <w:tcPr>
            <w:tcW w:w="445" w:type="dxa"/>
          </w:tcPr>
          <w:p w14:paraId="051CE0B5" w14:textId="77777777" w:rsidR="00E953EE" w:rsidRPr="001A2820" w:rsidRDefault="00E953EE" w:rsidP="006909EB">
            <w:pPr>
              <w:rPr>
                <w:rFonts w:cstheme="minorHAnsi"/>
                <w:sz w:val="22"/>
                <w:szCs w:val="22"/>
                <w:lang w:val="fr-FR"/>
              </w:rPr>
            </w:pPr>
            <w:r w:rsidRPr="001A2820">
              <w:rPr>
                <w:rFonts w:cstheme="minorHAnsi"/>
                <w:sz w:val="22"/>
                <w:szCs w:val="22"/>
                <w:lang w:val="fr-FR"/>
              </w:rPr>
              <w:t>1</w:t>
            </w:r>
          </w:p>
        </w:tc>
        <w:tc>
          <w:tcPr>
            <w:tcW w:w="4860" w:type="dxa"/>
          </w:tcPr>
          <w:p w14:paraId="3FE530AF" w14:textId="28933C93" w:rsidR="00E953EE" w:rsidRPr="001A2820" w:rsidRDefault="00034C72" w:rsidP="006909EB">
            <w:pPr>
              <w:rPr>
                <w:rFonts w:cstheme="minorHAnsi"/>
                <w:sz w:val="22"/>
                <w:szCs w:val="22"/>
                <w:lang w:val="fr-FR"/>
              </w:rPr>
            </w:pPr>
            <w:r w:rsidRPr="001A2820">
              <w:rPr>
                <w:rFonts w:cstheme="minorHAnsi"/>
                <w:sz w:val="22"/>
                <w:szCs w:val="22"/>
                <w:lang w:val="fr-FR"/>
              </w:rPr>
              <w:t xml:space="preserve">Invite le Conseil du </w:t>
            </w:r>
            <w:r w:rsidR="00E1234C">
              <w:rPr>
                <w:rFonts w:cstheme="minorHAnsi"/>
                <w:sz w:val="22"/>
                <w:szCs w:val="22"/>
                <w:lang w:val="fr-FR"/>
              </w:rPr>
              <w:t>FEM</w:t>
            </w:r>
            <w:r w:rsidRPr="001A2820">
              <w:rPr>
                <w:rFonts w:cstheme="minorHAnsi"/>
                <w:sz w:val="22"/>
                <w:szCs w:val="22"/>
                <w:lang w:val="fr-FR"/>
              </w:rPr>
              <w:t xml:space="preserve"> à apporter son soutien aux pays en développement et pays à économie en transition signataires de la Convention pour qu’ils puissent entreprendre des activités, en particulier des activités habilitantes, permettant de faciliter la mise en œuvre et la ratification rapides de la Convention </w:t>
            </w:r>
            <w:r w:rsidR="00E953EE" w:rsidRPr="001A2820">
              <w:rPr>
                <w:rFonts w:cstheme="minorHAnsi"/>
                <w:sz w:val="22"/>
                <w:szCs w:val="22"/>
                <w:lang w:val="fr-FR"/>
              </w:rPr>
              <w:t>;</w:t>
            </w:r>
          </w:p>
        </w:tc>
        <w:tc>
          <w:tcPr>
            <w:tcW w:w="4245" w:type="dxa"/>
          </w:tcPr>
          <w:p w14:paraId="56897480" w14:textId="7866DFED" w:rsidR="00E953EE" w:rsidRPr="001A2820" w:rsidRDefault="00CD40EF" w:rsidP="006909EB">
            <w:pPr>
              <w:rPr>
                <w:rFonts w:cstheme="minorHAnsi"/>
                <w:sz w:val="22"/>
                <w:szCs w:val="22"/>
                <w:lang w:val="fr-FR"/>
              </w:rPr>
            </w:pPr>
            <w:r w:rsidRPr="001A2820">
              <w:rPr>
                <w:sz w:val="22"/>
                <w:szCs w:val="22"/>
                <w:lang w:val="fr-FR"/>
              </w:rPr>
              <w:t>À</w:t>
            </w:r>
            <w:r w:rsidRPr="001A2820">
              <w:rPr>
                <w:rFonts w:cstheme="minorHAnsi"/>
                <w:sz w:val="22"/>
                <w:szCs w:val="22"/>
                <w:lang w:val="fr-FR"/>
              </w:rPr>
              <w:t xml:space="preserve"> sa quarante-quatrième réunion, qui s’est tenue en juin 2013,</w:t>
            </w:r>
            <w:r w:rsidR="00E953EE" w:rsidRPr="001A2820">
              <w:rPr>
                <w:rFonts w:cstheme="minorHAnsi"/>
                <w:sz w:val="22"/>
                <w:szCs w:val="22"/>
                <w:lang w:val="fr-FR"/>
              </w:rPr>
              <w:t xml:space="preserve"> </w:t>
            </w:r>
            <w:r w:rsidRPr="001A2820">
              <w:rPr>
                <w:rFonts w:cstheme="minorHAnsi"/>
                <w:sz w:val="22"/>
                <w:szCs w:val="22"/>
                <w:lang w:val="fr-FR"/>
              </w:rPr>
              <w:t>le Conseil du FEM a alloué</w:t>
            </w:r>
            <w:r w:rsidR="00E953EE" w:rsidRPr="001A2820">
              <w:rPr>
                <w:rFonts w:cstheme="minorHAnsi"/>
                <w:sz w:val="22"/>
                <w:szCs w:val="22"/>
                <w:lang w:val="fr-FR"/>
              </w:rPr>
              <w:t xml:space="preserve"> 10</w:t>
            </w:r>
            <w:r w:rsidRPr="001A2820">
              <w:rPr>
                <w:rFonts w:cstheme="minorHAnsi"/>
                <w:sz w:val="22"/>
                <w:szCs w:val="22"/>
                <w:lang w:val="fr-FR"/>
              </w:rPr>
              <w:t> </w:t>
            </w:r>
            <w:r w:rsidR="00E953EE" w:rsidRPr="001A2820">
              <w:rPr>
                <w:rFonts w:cstheme="minorHAnsi"/>
                <w:sz w:val="22"/>
                <w:szCs w:val="22"/>
                <w:lang w:val="fr-FR"/>
              </w:rPr>
              <w:t>million</w:t>
            </w:r>
            <w:r w:rsidRPr="001A2820">
              <w:rPr>
                <w:rFonts w:cstheme="minorHAnsi"/>
                <w:sz w:val="22"/>
                <w:szCs w:val="22"/>
                <w:lang w:val="fr-FR"/>
              </w:rPr>
              <w:t>s de dollars à des activités habilitantes</w:t>
            </w:r>
            <w:r w:rsidR="00E953EE" w:rsidRPr="001A2820">
              <w:rPr>
                <w:rFonts w:cstheme="minorHAnsi"/>
                <w:sz w:val="22"/>
                <w:szCs w:val="22"/>
                <w:lang w:val="fr-FR"/>
              </w:rPr>
              <w:t xml:space="preserve"> </w:t>
            </w:r>
            <w:r w:rsidRPr="001A2820">
              <w:rPr>
                <w:rFonts w:cstheme="minorHAnsi"/>
                <w:sz w:val="22"/>
                <w:szCs w:val="22"/>
                <w:lang w:val="fr-FR"/>
              </w:rPr>
              <w:t xml:space="preserve">menées au titre de la Convention de Minamata au cours de </w:t>
            </w:r>
            <w:r w:rsidR="00F47184">
              <w:rPr>
                <w:rFonts w:cstheme="minorHAnsi"/>
                <w:sz w:val="22"/>
                <w:szCs w:val="22"/>
                <w:lang w:val="fr-FR"/>
              </w:rPr>
              <w:t>FEM-5</w:t>
            </w:r>
            <w:r w:rsidR="00E953EE" w:rsidRPr="001A2820">
              <w:rPr>
                <w:rFonts w:cstheme="minorHAnsi"/>
                <w:sz w:val="22"/>
                <w:szCs w:val="22"/>
                <w:lang w:val="fr-FR"/>
              </w:rPr>
              <w:t xml:space="preserve">, </w:t>
            </w:r>
            <w:r w:rsidR="00D56542">
              <w:rPr>
                <w:rFonts w:cstheme="minorHAnsi"/>
                <w:sz w:val="22"/>
                <w:szCs w:val="22"/>
                <w:lang w:val="fr-FR"/>
              </w:rPr>
              <w:t>en </w:t>
            </w:r>
            <w:r w:rsidRPr="001A2820">
              <w:rPr>
                <w:rFonts w:cstheme="minorHAnsi"/>
                <w:sz w:val="22"/>
                <w:szCs w:val="22"/>
                <w:lang w:val="fr-FR"/>
              </w:rPr>
              <w:t>particulier des</w:t>
            </w:r>
            <w:r w:rsidR="00E953EE" w:rsidRPr="001A2820">
              <w:rPr>
                <w:rFonts w:cstheme="minorHAnsi"/>
                <w:sz w:val="22"/>
                <w:szCs w:val="22"/>
                <w:lang w:val="fr-FR"/>
              </w:rPr>
              <w:t xml:space="preserve"> </w:t>
            </w:r>
            <w:r w:rsidRPr="001A2820">
              <w:rPr>
                <w:rFonts w:cstheme="minorHAnsi"/>
                <w:sz w:val="22"/>
                <w:szCs w:val="22"/>
                <w:lang w:val="fr-FR"/>
              </w:rPr>
              <w:t>évaluations initiales au titre de la Convention de Minamata et des plans d’action nationaux concernant l’extraction minière artisanale et à petite échelle d’or</w:t>
            </w:r>
            <w:r w:rsidR="00E953EE" w:rsidRPr="001A2820">
              <w:rPr>
                <w:rFonts w:cstheme="minorHAnsi"/>
                <w:sz w:val="22"/>
                <w:szCs w:val="22"/>
                <w:lang w:val="fr-FR"/>
              </w:rPr>
              <w:t xml:space="preserve">. </w:t>
            </w:r>
            <w:r w:rsidRPr="001A2820">
              <w:rPr>
                <w:rFonts w:cstheme="minorHAnsi"/>
                <w:sz w:val="22"/>
                <w:szCs w:val="22"/>
                <w:lang w:val="fr-FR"/>
              </w:rPr>
              <w:t>Des orientations ont été établies pour la mise en œuvre de ces projets</w:t>
            </w:r>
            <w:r w:rsidR="00E953EE" w:rsidRPr="001A2820">
              <w:rPr>
                <w:rFonts w:cstheme="minorHAnsi"/>
                <w:sz w:val="22"/>
                <w:szCs w:val="22"/>
                <w:lang w:val="fr-FR"/>
              </w:rPr>
              <w:t xml:space="preserve">. </w:t>
            </w:r>
            <w:r w:rsidRPr="001A2820">
              <w:rPr>
                <w:rFonts w:cstheme="minorHAnsi"/>
                <w:sz w:val="22"/>
                <w:szCs w:val="22"/>
                <w:lang w:val="fr-FR"/>
              </w:rPr>
              <w:t xml:space="preserve">Dans le cadre de </w:t>
            </w:r>
            <w:r w:rsidR="00CC0A5B">
              <w:rPr>
                <w:rFonts w:cstheme="minorHAnsi"/>
                <w:sz w:val="22"/>
                <w:szCs w:val="22"/>
                <w:lang w:val="fr-FR"/>
              </w:rPr>
              <w:t>FEM-6</w:t>
            </w:r>
            <w:r w:rsidR="00E953EE" w:rsidRPr="001A2820">
              <w:rPr>
                <w:rFonts w:cstheme="minorHAnsi"/>
                <w:sz w:val="22"/>
                <w:szCs w:val="22"/>
                <w:lang w:val="fr-FR"/>
              </w:rPr>
              <w:t>, 30</w:t>
            </w:r>
            <w:r w:rsidRPr="001A2820">
              <w:rPr>
                <w:rFonts w:cstheme="minorHAnsi"/>
                <w:sz w:val="22"/>
                <w:szCs w:val="22"/>
                <w:lang w:val="fr-FR"/>
              </w:rPr>
              <w:t> </w:t>
            </w:r>
            <w:r w:rsidR="00E953EE" w:rsidRPr="001A2820">
              <w:rPr>
                <w:rFonts w:cstheme="minorHAnsi"/>
                <w:sz w:val="22"/>
                <w:szCs w:val="22"/>
                <w:lang w:val="fr-FR"/>
              </w:rPr>
              <w:t>million</w:t>
            </w:r>
            <w:r w:rsidRPr="001A2820">
              <w:rPr>
                <w:rFonts w:cstheme="minorHAnsi"/>
                <w:sz w:val="22"/>
                <w:szCs w:val="22"/>
                <w:lang w:val="fr-FR"/>
              </w:rPr>
              <w:t>s de dollars de ressources additionnelles ont été alloués à ces activités habilitantes</w:t>
            </w:r>
            <w:r w:rsidR="00E953EE" w:rsidRPr="001A2820">
              <w:rPr>
                <w:rFonts w:cstheme="minorHAnsi"/>
                <w:sz w:val="22"/>
                <w:szCs w:val="22"/>
                <w:lang w:val="fr-FR"/>
              </w:rPr>
              <w:t>.</w:t>
            </w:r>
          </w:p>
          <w:p w14:paraId="724744EA" w14:textId="17AF5792" w:rsidR="00E953EE" w:rsidRPr="001A2820" w:rsidRDefault="00CD40EF" w:rsidP="006909EB">
            <w:pPr>
              <w:rPr>
                <w:rFonts w:cstheme="minorHAnsi"/>
                <w:sz w:val="22"/>
                <w:szCs w:val="22"/>
                <w:lang w:val="fr-FR"/>
              </w:rPr>
            </w:pPr>
            <w:r w:rsidRPr="001A2820">
              <w:rPr>
                <w:rFonts w:cstheme="minorHAnsi"/>
                <w:sz w:val="22"/>
                <w:szCs w:val="22"/>
                <w:lang w:val="fr-FR"/>
              </w:rPr>
              <w:t>Les orientations initiales</w:t>
            </w:r>
            <w:r w:rsidR="00E953EE" w:rsidRPr="001A2820">
              <w:rPr>
                <w:rStyle w:val="FootnoteReference"/>
                <w:rFonts w:cstheme="minorHAnsi"/>
                <w:sz w:val="22"/>
                <w:szCs w:val="22"/>
                <w:lang w:val="fr-FR"/>
              </w:rPr>
              <w:footnoteReference w:id="12"/>
            </w:r>
            <w:r w:rsidR="00E953EE" w:rsidRPr="001A2820">
              <w:rPr>
                <w:rFonts w:cstheme="minorHAnsi"/>
                <w:sz w:val="22"/>
                <w:szCs w:val="22"/>
                <w:lang w:val="fr-FR"/>
              </w:rPr>
              <w:t xml:space="preserve"> </w:t>
            </w:r>
            <w:r w:rsidRPr="001A2820">
              <w:rPr>
                <w:rFonts w:cstheme="minorHAnsi"/>
                <w:sz w:val="22"/>
                <w:szCs w:val="22"/>
                <w:lang w:val="fr-FR"/>
              </w:rPr>
              <w:t>peuvent être modifiées par le Comité de négociation intergouvernemental ou la Conférence des Parties, selon qu’il convient</w:t>
            </w:r>
            <w:r w:rsidR="00E953EE" w:rsidRPr="001A2820">
              <w:rPr>
                <w:rFonts w:cstheme="minorHAnsi"/>
                <w:sz w:val="22"/>
                <w:szCs w:val="22"/>
                <w:lang w:val="fr-FR"/>
              </w:rPr>
              <w:t>.</w:t>
            </w:r>
          </w:p>
        </w:tc>
      </w:tr>
      <w:tr w:rsidR="00CD40EF" w:rsidRPr="00CF6A23" w14:paraId="07D7BE36" w14:textId="77777777" w:rsidTr="006909EB">
        <w:tc>
          <w:tcPr>
            <w:tcW w:w="445" w:type="dxa"/>
          </w:tcPr>
          <w:p w14:paraId="2D934479" w14:textId="77777777" w:rsidR="00E953EE" w:rsidRPr="001A2820" w:rsidRDefault="00E953EE" w:rsidP="006909EB">
            <w:pPr>
              <w:rPr>
                <w:rFonts w:cstheme="minorHAnsi"/>
                <w:sz w:val="22"/>
                <w:szCs w:val="22"/>
                <w:lang w:val="fr-FR"/>
              </w:rPr>
            </w:pPr>
            <w:r w:rsidRPr="001A2820">
              <w:rPr>
                <w:rFonts w:cstheme="minorHAnsi"/>
                <w:sz w:val="22"/>
                <w:szCs w:val="22"/>
                <w:lang w:val="fr-FR"/>
              </w:rPr>
              <w:t>2</w:t>
            </w:r>
          </w:p>
        </w:tc>
        <w:tc>
          <w:tcPr>
            <w:tcW w:w="4860" w:type="dxa"/>
          </w:tcPr>
          <w:p w14:paraId="05B6938D" w14:textId="2363DD9C" w:rsidR="00E953EE" w:rsidRPr="001A2820" w:rsidRDefault="00300C9E" w:rsidP="006909EB">
            <w:pPr>
              <w:rPr>
                <w:rFonts w:cstheme="minorHAnsi"/>
                <w:sz w:val="22"/>
                <w:szCs w:val="22"/>
                <w:lang w:val="fr-FR"/>
              </w:rPr>
            </w:pPr>
            <w:r w:rsidRPr="001A2820">
              <w:rPr>
                <w:rFonts w:cstheme="minorHAnsi"/>
                <w:sz w:val="22"/>
                <w:szCs w:val="22"/>
                <w:lang w:val="fr-FR"/>
              </w:rPr>
              <w:t xml:space="preserve">Invite le Conseil du </w:t>
            </w:r>
            <w:r w:rsidR="00E1234C">
              <w:rPr>
                <w:rFonts w:cstheme="minorHAnsi"/>
                <w:sz w:val="22"/>
                <w:szCs w:val="22"/>
                <w:lang w:val="fr-FR"/>
              </w:rPr>
              <w:t>FEM</w:t>
            </w:r>
            <w:r w:rsidRPr="001A2820">
              <w:rPr>
                <w:rFonts w:cstheme="minorHAnsi"/>
                <w:sz w:val="22"/>
                <w:szCs w:val="22"/>
                <w:lang w:val="fr-FR"/>
              </w:rPr>
              <w:t xml:space="preserve"> à donner effet à l’inclusion de la Caisse du </w:t>
            </w:r>
            <w:r w:rsidR="00E1234C">
              <w:rPr>
                <w:rFonts w:cstheme="minorHAnsi"/>
                <w:sz w:val="22"/>
                <w:szCs w:val="22"/>
                <w:lang w:val="fr-FR"/>
              </w:rPr>
              <w:t>FEM</w:t>
            </w:r>
            <w:r w:rsidRPr="001A2820">
              <w:rPr>
                <w:rFonts w:cstheme="minorHAnsi"/>
                <w:sz w:val="22"/>
                <w:szCs w:val="22"/>
                <w:lang w:val="fr-FR"/>
              </w:rPr>
              <w:t xml:space="preserve"> dans le mécanisme de financement de la Convention et à recommander à l’Assemblée du </w:t>
            </w:r>
            <w:r w:rsidR="00E1234C">
              <w:rPr>
                <w:rFonts w:cstheme="minorHAnsi"/>
                <w:sz w:val="22"/>
                <w:szCs w:val="22"/>
                <w:lang w:val="fr-FR"/>
              </w:rPr>
              <w:t>FEM</w:t>
            </w:r>
            <w:r w:rsidRPr="001A2820">
              <w:rPr>
                <w:rFonts w:cstheme="minorHAnsi"/>
                <w:sz w:val="22"/>
                <w:szCs w:val="22"/>
                <w:lang w:val="fr-FR"/>
              </w:rPr>
              <w:t xml:space="preserve"> d’apporter d’urgence à l’Instrument pour la restructuration du </w:t>
            </w:r>
            <w:r w:rsidR="00E1234C">
              <w:rPr>
                <w:rFonts w:cstheme="minorHAnsi"/>
                <w:sz w:val="22"/>
                <w:szCs w:val="22"/>
                <w:lang w:val="fr-FR"/>
              </w:rPr>
              <w:t>FEM</w:t>
            </w:r>
            <w:r w:rsidRPr="001A2820">
              <w:rPr>
                <w:rFonts w:cstheme="minorHAnsi"/>
                <w:sz w:val="22"/>
                <w:szCs w:val="22"/>
                <w:lang w:val="fr-FR"/>
              </w:rPr>
              <w:t xml:space="preserve"> tous les ajustements nécessaires pour lui permettre de jouer pleinement son rôle de mécanisme de financement </w:t>
            </w:r>
            <w:r w:rsidR="00E953EE" w:rsidRPr="001A2820">
              <w:rPr>
                <w:rFonts w:cstheme="minorHAnsi"/>
                <w:sz w:val="22"/>
                <w:szCs w:val="22"/>
                <w:lang w:val="fr-FR"/>
              </w:rPr>
              <w:t>;</w:t>
            </w:r>
          </w:p>
        </w:tc>
        <w:tc>
          <w:tcPr>
            <w:tcW w:w="4245" w:type="dxa"/>
          </w:tcPr>
          <w:p w14:paraId="48474789" w14:textId="1F4BADEB" w:rsidR="00E953EE" w:rsidRPr="001A2820" w:rsidRDefault="00A028BB" w:rsidP="006909EB">
            <w:pPr>
              <w:rPr>
                <w:rFonts w:cstheme="minorHAnsi"/>
                <w:sz w:val="22"/>
                <w:szCs w:val="22"/>
                <w:lang w:val="fr-FR"/>
              </w:rPr>
            </w:pPr>
            <w:r w:rsidRPr="001A2820">
              <w:rPr>
                <w:sz w:val="22"/>
                <w:szCs w:val="22"/>
                <w:lang w:val="fr-FR"/>
              </w:rPr>
              <w:t>À</w:t>
            </w:r>
            <w:r w:rsidR="0065245D">
              <w:rPr>
                <w:rFonts w:cstheme="minorHAnsi"/>
                <w:sz w:val="22"/>
                <w:szCs w:val="22"/>
                <w:lang w:val="fr-FR"/>
              </w:rPr>
              <w:t xml:space="preserve"> la cinquième </w:t>
            </w:r>
            <w:r w:rsidRPr="001A2820">
              <w:rPr>
                <w:rFonts w:cstheme="minorHAnsi"/>
                <w:sz w:val="22"/>
                <w:szCs w:val="22"/>
                <w:lang w:val="fr-FR"/>
              </w:rPr>
              <w:t>Assemblée du FEM, qui s’est tenue en mai 2014, l’Instrument du FEM a été modifié</w:t>
            </w:r>
            <w:r w:rsidR="00E953EE" w:rsidRPr="001A2820">
              <w:rPr>
                <w:rFonts w:cstheme="minorHAnsi"/>
                <w:sz w:val="22"/>
                <w:szCs w:val="22"/>
                <w:lang w:val="fr-FR"/>
              </w:rPr>
              <w:t xml:space="preserve"> </w:t>
            </w:r>
            <w:r w:rsidR="007E357D" w:rsidRPr="001A2820">
              <w:rPr>
                <w:rFonts w:cstheme="minorHAnsi"/>
                <w:sz w:val="22"/>
                <w:szCs w:val="22"/>
                <w:lang w:val="fr-FR"/>
              </w:rPr>
              <w:t>afin de faire figurer la Convention de Minamata dans la liste des conventions dont le FEM est le mécanisme de financement</w:t>
            </w:r>
            <w:r w:rsidR="00E953EE" w:rsidRPr="001A2820">
              <w:rPr>
                <w:rStyle w:val="FootnoteReference"/>
                <w:rFonts w:cstheme="minorHAnsi"/>
                <w:sz w:val="22"/>
                <w:szCs w:val="22"/>
                <w:lang w:val="fr-FR"/>
              </w:rPr>
              <w:footnoteReference w:id="13"/>
            </w:r>
            <w:r w:rsidR="00E953EE" w:rsidRPr="001A2820">
              <w:rPr>
                <w:rFonts w:cstheme="minorHAnsi"/>
                <w:sz w:val="22"/>
                <w:szCs w:val="22"/>
                <w:lang w:val="fr-FR"/>
              </w:rPr>
              <w:t xml:space="preserve">. </w:t>
            </w:r>
            <w:r w:rsidR="007E357D" w:rsidRPr="001A2820">
              <w:rPr>
                <w:rFonts w:cstheme="minorHAnsi"/>
                <w:sz w:val="22"/>
                <w:szCs w:val="22"/>
                <w:lang w:val="fr-FR"/>
              </w:rPr>
              <w:t>L’alinéa e) du nouveau paragraphe 6</w:t>
            </w:r>
            <w:r w:rsidR="00E953EE" w:rsidRPr="001A2820">
              <w:rPr>
                <w:rFonts w:cstheme="minorHAnsi"/>
                <w:sz w:val="22"/>
                <w:szCs w:val="22"/>
                <w:lang w:val="fr-FR"/>
              </w:rPr>
              <w:t xml:space="preserve"> </w:t>
            </w:r>
            <w:r w:rsidR="007E357D" w:rsidRPr="001A2820">
              <w:rPr>
                <w:rFonts w:cstheme="minorHAnsi"/>
                <w:sz w:val="22"/>
                <w:szCs w:val="22"/>
                <w:lang w:val="fr-FR"/>
              </w:rPr>
              <w:t>de l’Instrument du FEM contient le texte ci-après </w:t>
            </w:r>
            <w:r w:rsidR="00E953EE" w:rsidRPr="001A2820">
              <w:rPr>
                <w:rFonts w:cstheme="minorHAnsi"/>
                <w:sz w:val="22"/>
                <w:szCs w:val="22"/>
                <w:lang w:val="fr-FR"/>
              </w:rPr>
              <w:t>:</w:t>
            </w:r>
          </w:p>
          <w:p w14:paraId="45D7EE24" w14:textId="71528B33" w:rsidR="00E953EE" w:rsidRPr="001A2820" w:rsidRDefault="007E357D" w:rsidP="00944478">
            <w:pPr>
              <w:rPr>
                <w:rFonts w:cstheme="minorHAnsi"/>
                <w:sz w:val="22"/>
                <w:szCs w:val="22"/>
                <w:lang w:val="fr-FR"/>
              </w:rPr>
            </w:pPr>
            <w:r w:rsidRPr="001A2820">
              <w:rPr>
                <w:rFonts w:cstheme="minorHAnsi"/>
                <w:sz w:val="22"/>
                <w:szCs w:val="22"/>
                <w:lang w:val="fr-FR"/>
              </w:rPr>
              <w:t>« </w:t>
            </w:r>
            <w:r w:rsidR="00E953EE" w:rsidRPr="001A2820">
              <w:rPr>
                <w:rFonts w:cstheme="minorHAnsi"/>
                <w:sz w:val="22"/>
                <w:szCs w:val="22"/>
                <w:lang w:val="fr-FR"/>
              </w:rPr>
              <w:t xml:space="preserve">e) </w:t>
            </w:r>
            <w:r w:rsidRPr="001A2820">
              <w:rPr>
                <w:rFonts w:cstheme="minorHAnsi"/>
                <w:sz w:val="22"/>
                <w:szCs w:val="22"/>
                <w:lang w:val="fr-FR"/>
              </w:rPr>
              <w:t>Est l’une des entités constitutives du mécanisme de financement de la Convention de Minamata sur le merc</w:t>
            </w:r>
            <w:r w:rsidR="0065245D">
              <w:rPr>
                <w:rFonts w:cstheme="minorHAnsi"/>
                <w:sz w:val="22"/>
                <w:szCs w:val="22"/>
                <w:lang w:val="fr-FR"/>
              </w:rPr>
              <w:t>ure, au sens des paragraphes 5, 6 et </w:t>
            </w:r>
            <w:r w:rsidRPr="001A2820">
              <w:rPr>
                <w:rFonts w:cstheme="minorHAnsi"/>
                <w:sz w:val="22"/>
                <w:szCs w:val="22"/>
                <w:lang w:val="fr-FR"/>
              </w:rPr>
              <w:t xml:space="preserve">8 de l’article 13 de la Convention. À ce titre, le FEM est placé sous la direction de la Conférence des Parties à laquelle il rend compte, et qui énonce des orientations sur les stratégies, politiques et priorités programmatiques globales, ainsi que sur les conditions requises pour avoir accès aux ressources financières et utiliser ces dernières. En outre, le FEM reçoit de la Conférence des Parties des orientations sur une liste indicative de catégories d’activités qui pourraient </w:t>
            </w:r>
            <w:r w:rsidR="00D56542">
              <w:rPr>
                <w:rFonts w:cstheme="minorHAnsi"/>
                <w:sz w:val="22"/>
                <w:szCs w:val="22"/>
                <w:lang w:val="fr-FR"/>
              </w:rPr>
              <w:t>bénéficier d’un soutien ; et il </w:t>
            </w:r>
            <w:r w:rsidRPr="001A2820">
              <w:rPr>
                <w:rFonts w:cstheme="minorHAnsi"/>
                <w:sz w:val="22"/>
                <w:szCs w:val="22"/>
                <w:lang w:val="fr-FR"/>
              </w:rPr>
              <w:t xml:space="preserve">fournit des ressources pour couvrir les surcoûts convenus liés aux avantages environnementaux mondiaux et l’ensemble des coûts convenus de certaines activités habilitantes, conformément aux dispositions </w:t>
            </w:r>
            <w:r w:rsidRPr="001A2820">
              <w:rPr>
                <w:rFonts w:cstheme="minorHAnsi"/>
                <w:sz w:val="22"/>
                <w:szCs w:val="22"/>
                <w:lang w:val="fr-FR"/>
              </w:rPr>
              <w:lastRenderedPageBreak/>
              <w:t>du paragraphe 7</w:t>
            </w:r>
            <w:r w:rsidR="00944478" w:rsidRPr="001A2820">
              <w:rPr>
                <w:rFonts w:cstheme="minorHAnsi"/>
                <w:sz w:val="22"/>
                <w:szCs w:val="22"/>
                <w:lang w:val="fr-FR"/>
              </w:rPr>
              <w:t xml:space="preserve"> de l’article 13</w:t>
            </w:r>
            <w:r w:rsidRPr="001A2820">
              <w:rPr>
                <w:rFonts w:cstheme="minorHAnsi"/>
                <w:sz w:val="22"/>
                <w:szCs w:val="22"/>
                <w:lang w:val="fr-FR"/>
              </w:rPr>
              <w:t xml:space="preserve"> de la Convention de Minamata sur le mercure</w:t>
            </w:r>
            <w:r w:rsidR="00944478" w:rsidRPr="001A2820">
              <w:rPr>
                <w:rFonts w:cstheme="minorHAnsi"/>
                <w:sz w:val="22"/>
                <w:szCs w:val="22"/>
                <w:lang w:val="fr-FR"/>
              </w:rPr>
              <w:t>. »</w:t>
            </w:r>
          </w:p>
        </w:tc>
      </w:tr>
      <w:tr w:rsidR="00CD40EF" w:rsidRPr="00CF6A23" w14:paraId="2B73D8DB" w14:textId="77777777" w:rsidTr="006909EB">
        <w:tc>
          <w:tcPr>
            <w:tcW w:w="445" w:type="dxa"/>
          </w:tcPr>
          <w:p w14:paraId="7AA8DD01" w14:textId="77777777" w:rsidR="00E953EE" w:rsidRPr="001A2820" w:rsidRDefault="00E953EE" w:rsidP="006909EB">
            <w:pPr>
              <w:rPr>
                <w:rFonts w:cstheme="minorHAnsi"/>
                <w:sz w:val="22"/>
                <w:szCs w:val="22"/>
                <w:lang w:val="fr-FR"/>
              </w:rPr>
            </w:pPr>
            <w:r w:rsidRPr="001A2820">
              <w:rPr>
                <w:rFonts w:cstheme="minorHAnsi"/>
                <w:sz w:val="22"/>
                <w:szCs w:val="22"/>
                <w:lang w:val="fr-FR"/>
              </w:rPr>
              <w:lastRenderedPageBreak/>
              <w:t>3</w:t>
            </w:r>
          </w:p>
        </w:tc>
        <w:tc>
          <w:tcPr>
            <w:tcW w:w="4860" w:type="dxa"/>
          </w:tcPr>
          <w:p w14:paraId="3B3362D4" w14:textId="3B8F25EA" w:rsidR="00E953EE" w:rsidRPr="001A2820" w:rsidRDefault="00F75E72" w:rsidP="006909EB">
            <w:pPr>
              <w:rPr>
                <w:rFonts w:cstheme="minorHAnsi"/>
                <w:sz w:val="22"/>
                <w:szCs w:val="22"/>
                <w:lang w:val="fr-FR"/>
              </w:rPr>
            </w:pPr>
            <w:r w:rsidRPr="001A2820">
              <w:rPr>
                <w:rFonts w:cstheme="minorHAnsi"/>
                <w:sz w:val="22"/>
                <w:szCs w:val="22"/>
                <w:lang w:val="fr-FR"/>
              </w:rPr>
              <w:t xml:space="preserve">Décide que le Comité devrait rédiger, pour que la Conférence des Parties l’examine à sa première réunion, un projet de mémorandum d’accord entre le Conseil du </w:t>
            </w:r>
            <w:r w:rsidR="00E1234C">
              <w:rPr>
                <w:rFonts w:cstheme="minorHAnsi"/>
                <w:sz w:val="22"/>
                <w:szCs w:val="22"/>
                <w:lang w:val="fr-FR"/>
              </w:rPr>
              <w:t>FEM</w:t>
            </w:r>
            <w:r w:rsidRPr="001A2820">
              <w:rPr>
                <w:rFonts w:cstheme="minorHAnsi"/>
                <w:sz w:val="22"/>
                <w:szCs w:val="22"/>
                <w:lang w:val="fr-FR"/>
              </w:rPr>
              <w:t xml:space="preserve"> et la Conférence des Parties sur les modalités d’application des dispositions pertinentes des paragraphes 5 à 8 de l’article 13 </w:t>
            </w:r>
            <w:r w:rsidR="00E953EE" w:rsidRPr="001A2820">
              <w:rPr>
                <w:rFonts w:cstheme="minorHAnsi"/>
                <w:sz w:val="22"/>
                <w:szCs w:val="22"/>
                <w:lang w:val="fr-FR"/>
              </w:rPr>
              <w:t>;</w:t>
            </w:r>
          </w:p>
        </w:tc>
        <w:tc>
          <w:tcPr>
            <w:tcW w:w="4245" w:type="dxa"/>
          </w:tcPr>
          <w:p w14:paraId="3D633569" w14:textId="4B825BB7" w:rsidR="00E953EE" w:rsidRPr="001A2820" w:rsidRDefault="00B65D9F" w:rsidP="006909EB">
            <w:pPr>
              <w:rPr>
                <w:rFonts w:cstheme="minorHAnsi"/>
                <w:sz w:val="22"/>
                <w:szCs w:val="22"/>
                <w:lang w:val="fr-FR"/>
              </w:rPr>
            </w:pPr>
            <w:r w:rsidRPr="001A2820">
              <w:rPr>
                <w:rFonts w:cstheme="minorHAnsi"/>
                <w:sz w:val="22"/>
                <w:szCs w:val="22"/>
                <w:lang w:val="fr-FR"/>
              </w:rPr>
              <w:t>Le secrétariat du FEM a transmis le mémorandum d’accord avec la Convention de Stockholm au secrétariat provisoire de la Convention de Minamata comme base pour aider à établir le mémorandum d’accord</w:t>
            </w:r>
            <w:r w:rsidR="00E953EE" w:rsidRPr="001A2820">
              <w:rPr>
                <w:rFonts w:cstheme="minorHAnsi"/>
                <w:sz w:val="22"/>
                <w:szCs w:val="22"/>
                <w:lang w:val="fr-FR"/>
              </w:rPr>
              <w:t xml:space="preserve">. </w:t>
            </w:r>
            <w:r w:rsidRPr="001A2820">
              <w:rPr>
                <w:rFonts w:cstheme="minorHAnsi"/>
                <w:sz w:val="22"/>
                <w:szCs w:val="22"/>
                <w:lang w:val="fr-FR"/>
              </w:rPr>
              <w:t xml:space="preserve">Des </w:t>
            </w:r>
            <w:r w:rsidR="00D56542">
              <w:rPr>
                <w:rFonts w:cstheme="minorHAnsi"/>
                <w:sz w:val="22"/>
                <w:szCs w:val="22"/>
                <w:lang w:val="fr-FR"/>
              </w:rPr>
              <w:t> </w:t>
            </w:r>
            <w:r w:rsidRPr="001A2820">
              <w:rPr>
                <w:rFonts w:cstheme="minorHAnsi"/>
                <w:sz w:val="22"/>
                <w:szCs w:val="22"/>
                <w:lang w:val="fr-FR"/>
              </w:rPr>
              <w:t>exemples de mémorandums d’accord</w:t>
            </w:r>
            <w:r w:rsidR="007507AF" w:rsidRPr="001A2820">
              <w:rPr>
                <w:rFonts w:cstheme="minorHAnsi"/>
                <w:sz w:val="22"/>
                <w:szCs w:val="22"/>
                <w:lang w:val="fr-FR"/>
              </w:rPr>
              <w:t xml:space="preserve"> entre le Conseil du FEM et différentes conférences des</w:t>
            </w:r>
            <w:r w:rsidR="00D56542">
              <w:rPr>
                <w:rFonts w:cstheme="minorHAnsi"/>
                <w:sz w:val="22"/>
                <w:szCs w:val="22"/>
                <w:lang w:val="fr-FR"/>
              </w:rPr>
              <w:t xml:space="preserve"> Parties ont été fournis par le </w:t>
            </w:r>
            <w:r w:rsidR="007507AF" w:rsidRPr="001A2820">
              <w:rPr>
                <w:rFonts w:cstheme="minorHAnsi"/>
                <w:sz w:val="22"/>
                <w:szCs w:val="22"/>
                <w:lang w:val="fr-FR"/>
              </w:rPr>
              <w:t xml:space="preserve">secrétariat provisoire de la Convention de Minamata dans les documents établis en prévision de la sixième </w:t>
            </w:r>
            <w:r w:rsidR="00AA33B1">
              <w:rPr>
                <w:rFonts w:cstheme="minorHAnsi"/>
                <w:sz w:val="22"/>
                <w:szCs w:val="22"/>
                <w:lang w:val="fr-FR"/>
              </w:rPr>
              <w:t>session</w:t>
            </w:r>
            <w:r w:rsidR="007507AF" w:rsidRPr="001A2820">
              <w:rPr>
                <w:rFonts w:cstheme="minorHAnsi"/>
                <w:sz w:val="22"/>
                <w:szCs w:val="22"/>
                <w:lang w:val="fr-FR"/>
              </w:rPr>
              <w:t xml:space="preserve"> du Comité de négociation intergouvernemental</w:t>
            </w:r>
            <w:r w:rsidR="009D2443" w:rsidRPr="001A2820">
              <w:rPr>
                <w:rFonts w:cstheme="minorHAnsi"/>
                <w:sz w:val="22"/>
                <w:szCs w:val="22"/>
                <w:lang w:val="fr-FR"/>
              </w:rPr>
              <w:t>.</w:t>
            </w:r>
          </w:p>
          <w:p w14:paraId="2204C12E" w14:textId="639D3503" w:rsidR="00E953EE" w:rsidRPr="001A2820" w:rsidRDefault="004361E1" w:rsidP="006909EB">
            <w:pPr>
              <w:rPr>
                <w:rFonts w:cstheme="minorHAnsi"/>
                <w:sz w:val="22"/>
                <w:szCs w:val="22"/>
                <w:lang w:val="fr-FR"/>
              </w:rPr>
            </w:pPr>
            <w:r w:rsidRPr="001A2820">
              <w:rPr>
                <w:sz w:val="22"/>
                <w:szCs w:val="22"/>
                <w:lang w:val="fr-FR"/>
              </w:rPr>
              <w:t>À</w:t>
            </w:r>
            <w:r w:rsidRPr="001A2820">
              <w:rPr>
                <w:rFonts w:cstheme="minorHAnsi"/>
                <w:sz w:val="22"/>
                <w:szCs w:val="22"/>
                <w:lang w:val="fr-FR"/>
              </w:rPr>
              <w:t xml:space="preserve"> sa </w:t>
            </w:r>
            <w:r w:rsidR="009D2443" w:rsidRPr="001A2820">
              <w:rPr>
                <w:rFonts w:cstheme="minorHAnsi"/>
                <w:sz w:val="22"/>
                <w:szCs w:val="22"/>
                <w:lang w:val="fr-FR"/>
              </w:rPr>
              <w:t xml:space="preserve">septième </w:t>
            </w:r>
            <w:r w:rsidR="00AA33B1">
              <w:rPr>
                <w:rFonts w:cstheme="minorHAnsi"/>
                <w:sz w:val="22"/>
                <w:szCs w:val="22"/>
                <w:lang w:val="fr-FR"/>
              </w:rPr>
              <w:t>session</w:t>
            </w:r>
            <w:r w:rsidRPr="001A2820">
              <w:rPr>
                <w:rFonts w:cstheme="minorHAnsi"/>
                <w:sz w:val="22"/>
                <w:szCs w:val="22"/>
                <w:lang w:val="fr-FR"/>
              </w:rPr>
              <w:t>, le</w:t>
            </w:r>
            <w:r w:rsidR="009D2443" w:rsidRPr="001A2820">
              <w:rPr>
                <w:rFonts w:cstheme="minorHAnsi"/>
                <w:sz w:val="22"/>
                <w:szCs w:val="22"/>
                <w:lang w:val="fr-FR"/>
              </w:rPr>
              <w:t xml:space="preserve"> Comité de négociation intergouvernemental a convenu d’un projet de mémorandum d’accord révisé, qui a été soumis à la cinquante-et-unième réunion du Conseil du FEM pour examen</w:t>
            </w:r>
            <w:r w:rsidR="00E953EE" w:rsidRPr="001A2820">
              <w:rPr>
                <w:rFonts w:cstheme="minorHAnsi"/>
                <w:sz w:val="22"/>
                <w:szCs w:val="22"/>
                <w:lang w:val="fr-FR"/>
              </w:rPr>
              <w:t xml:space="preserve">. </w:t>
            </w:r>
            <w:r w:rsidR="009D2443" w:rsidRPr="001A2820">
              <w:rPr>
                <w:rFonts w:cstheme="minorHAnsi"/>
                <w:sz w:val="22"/>
                <w:szCs w:val="22"/>
                <w:lang w:val="fr-FR"/>
              </w:rPr>
              <w:t>Au début de l’année</w:t>
            </w:r>
            <w:r w:rsidR="00E953EE" w:rsidRPr="001A2820">
              <w:rPr>
                <w:rFonts w:cstheme="minorHAnsi"/>
                <w:sz w:val="22"/>
                <w:szCs w:val="22"/>
                <w:lang w:val="fr-FR"/>
              </w:rPr>
              <w:t xml:space="preserve"> 2017, </w:t>
            </w:r>
            <w:r w:rsidR="009D2443" w:rsidRPr="001A2820">
              <w:rPr>
                <w:rFonts w:cstheme="minorHAnsi"/>
                <w:sz w:val="22"/>
                <w:szCs w:val="22"/>
                <w:lang w:val="fr-FR"/>
              </w:rPr>
              <w:t>le secrétariat du FEM a transmis des observations du Conseil du FEM au secrétariat provisoire afin de les inclure dans le document établi en prévision de la première Conférence des Parties, devant être présenté à cette dernière pour examen</w:t>
            </w:r>
            <w:r w:rsidR="00E953EE" w:rsidRPr="001A2820">
              <w:rPr>
                <w:rFonts w:cstheme="minorHAnsi"/>
                <w:sz w:val="22"/>
                <w:szCs w:val="22"/>
                <w:lang w:val="fr-FR"/>
              </w:rPr>
              <w:t>.</w:t>
            </w:r>
          </w:p>
        </w:tc>
      </w:tr>
      <w:tr w:rsidR="00CD40EF" w:rsidRPr="00CF6A23" w14:paraId="29DC0375" w14:textId="77777777" w:rsidTr="006909EB">
        <w:tc>
          <w:tcPr>
            <w:tcW w:w="445" w:type="dxa"/>
          </w:tcPr>
          <w:p w14:paraId="1653068E" w14:textId="77777777" w:rsidR="00E953EE" w:rsidRPr="001A2820" w:rsidRDefault="00E953EE" w:rsidP="006909EB">
            <w:pPr>
              <w:rPr>
                <w:rFonts w:cstheme="minorHAnsi"/>
                <w:sz w:val="22"/>
                <w:szCs w:val="22"/>
                <w:lang w:val="fr-FR"/>
              </w:rPr>
            </w:pPr>
            <w:r w:rsidRPr="001A2820">
              <w:rPr>
                <w:rFonts w:cstheme="minorHAnsi"/>
                <w:sz w:val="22"/>
                <w:szCs w:val="22"/>
                <w:lang w:val="fr-FR"/>
              </w:rPr>
              <w:t>4</w:t>
            </w:r>
          </w:p>
        </w:tc>
        <w:tc>
          <w:tcPr>
            <w:tcW w:w="4860" w:type="dxa"/>
          </w:tcPr>
          <w:p w14:paraId="0A2F2385" w14:textId="27285E45" w:rsidR="00E953EE" w:rsidRPr="001A2820" w:rsidRDefault="00564FEF" w:rsidP="006909EB">
            <w:pPr>
              <w:rPr>
                <w:rFonts w:cstheme="minorHAnsi"/>
                <w:sz w:val="22"/>
                <w:szCs w:val="22"/>
                <w:lang w:val="fr-FR"/>
              </w:rPr>
            </w:pPr>
            <w:r w:rsidRPr="001A2820">
              <w:rPr>
                <w:rFonts w:cstheme="minorHAnsi"/>
                <w:sz w:val="22"/>
                <w:szCs w:val="22"/>
                <w:lang w:val="fr-FR"/>
              </w:rPr>
              <w:t xml:space="preserve">Décide également que le Comité devrait élaborer, et adopter provisoirement en attendant leur adoption formelle par la Conférence des Parties à sa première réunion, des orientations à l’intention du Conseil du </w:t>
            </w:r>
            <w:r w:rsidR="00E1234C">
              <w:rPr>
                <w:rFonts w:cstheme="minorHAnsi"/>
                <w:sz w:val="22"/>
                <w:szCs w:val="22"/>
                <w:lang w:val="fr-FR"/>
              </w:rPr>
              <w:t>FEM</w:t>
            </w:r>
            <w:r w:rsidRPr="001A2820">
              <w:rPr>
                <w:rFonts w:cstheme="minorHAnsi"/>
                <w:sz w:val="22"/>
                <w:szCs w:val="22"/>
                <w:lang w:val="fr-FR"/>
              </w:rPr>
              <w:t xml:space="preserve"> sur les stratégies, politiques, priorités programmatiques et conditions requises pour avoir accès aux ressources financières et utiliser ces ressources, ainsi qu’une liste indicative des activités pouvant bénéficier du soutien de la Caisse du </w:t>
            </w:r>
            <w:r w:rsidR="00E1234C">
              <w:rPr>
                <w:rFonts w:cstheme="minorHAnsi"/>
                <w:sz w:val="22"/>
                <w:szCs w:val="22"/>
                <w:lang w:val="fr-FR"/>
              </w:rPr>
              <w:t>FEM</w:t>
            </w:r>
            <w:r w:rsidRPr="001A2820">
              <w:rPr>
                <w:rFonts w:cstheme="minorHAnsi"/>
                <w:sz w:val="22"/>
                <w:szCs w:val="22"/>
                <w:lang w:val="fr-FR"/>
              </w:rPr>
              <w:t> </w:t>
            </w:r>
            <w:r w:rsidR="00E953EE" w:rsidRPr="001A2820">
              <w:rPr>
                <w:rFonts w:cstheme="minorHAnsi"/>
                <w:sz w:val="22"/>
                <w:szCs w:val="22"/>
                <w:lang w:val="fr-FR"/>
              </w:rPr>
              <w:t>;</w:t>
            </w:r>
          </w:p>
        </w:tc>
        <w:tc>
          <w:tcPr>
            <w:tcW w:w="4245" w:type="dxa"/>
          </w:tcPr>
          <w:p w14:paraId="4D72660E" w14:textId="5B1C22EE" w:rsidR="00E953EE" w:rsidRPr="001A2820" w:rsidRDefault="004361E1" w:rsidP="006909EB">
            <w:pPr>
              <w:rPr>
                <w:rFonts w:cstheme="minorHAnsi"/>
                <w:sz w:val="22"/>
                <w:szCs w:val="22"/>
                <w:lang w:val="fr-FR"/>
              </w:rPr>
            </w:pPr>
            <w:r w:rsidRPr="001A2820">
              <w:rPr>
                <w:sz w:val="22"/>
                <w:szCs w:val="22"/>
                <w:lang w:val="fr-FR"/>
              </w:rPr>
              <w:t>À</w:t>
            </w:r>
            <w:r w:rsidRPr="001A2820">
              <w:rPr>
                <w:rFonts w:cstheme="minorHAnsi"/>
                <w:sz w:val="22"/>
                <w:szCs w:val="22"/>
                <w:lang w:val="fr-FR"/>
              </w:rPr>
              <w:t xml:space="preserve"> sa septième </w:t>
            </w:r>
            <w:r w:rsidR="00446D05">
              <w:rPr>
                <w:rFonts w:cstheme="minorHAnsi"/>
                <w:sz w:val="22"/>
                <w:szCs w:val="22"/>
                <w:lang w:val="fr-FR"/>
              </w:rPr>
              <w:t>session</w:t>
            </w:r>
            <w:r w:rsidRPr="001A2820">
              <w:rPr>
                <w:rFonts w:cstheme="minorHAnsi"/>
                <w:sz w:val="22"/>
                <w:szCs w:val="22"/>
                <w:lang w:val="fr-FR"/>
              </w:rPr>
              <w:t>, le Comité de négociation intergouvernemental a adopté</w:t>
            </w:r>
            <w:r w:rsidR="00E953EE" w:rsidRPr="001A2820">
              <w:rPr>
                <w:rFonts w:cstheme="minorHAnsi"/>
                <w:sz w:val="22"/>
                <w:szCs w:val="22"/>
                <w:lang w:val="fr-FR"/>
              </w:rPr>
              <w:t>,</w:t>
            </w:r>
            <w:r w:rsidR="00D56542">
              <w:rPr>
                <w:rFonts w:cstheme="minorHAnsi"/>
                <w:sz w:val="22"/>
                <w:szCs w:val="22"/>
                <w:lang w:val="fr-FR"/>
              </w:rPr>
              <w:t xml:space="preserve"> à </w:t>
            </w:r>
            <w:r w:rsidRPr="001A2820">
              <w:rPr>
                <w:rFonts w:cstheme="minorHAnsi"/>
                <w:sz w:val="22"/>
                <w:szCs w:val="22"/>
                <w:lang w:val="fr-FR"/>
              </w:rPr>
              <w:t xml:space="preserve">titre provisoire, en attendant leur adoption formelle par la Conférence des Parties à sa première réunion, des projets d’orientations révisés à l’intention du FEM sur les stratégies, politiques, priorités programmatiques et conditions requises pour avoir accès aux ressources financières et utiliser ces ressources, ainsi que sur une liste indicative des activités pouvant bénéficier du soutien de la Caisse du </w:t>
            </w:r>
            <w:r w:rsidR="00E1234C">
              <w:rPr>
                <w:rFonts w:cstheme="minorHAnsi"/>
                <w:sz w:val="22"/>
                <w:szCs w:val="22"/>
                <w:lang w:val="fr-FR"/>
              </w:rPr>
              <w:t>FEM</w:t>
            </w:r>
            <w:r w:rsidR="00E953EE" w:rsidRPr="001A2820">
              <w:rPr>
                <w:rFonts w:cstheme="minorHAnsi"/>
                <w:sz w:val="22"/>
                <w:szCs w:val="22"/>
                <w:lang w:val="fr-FR"/>
              </w:rPr>
              <w:t>.</w:t>
            </w:r>
          </w:p>
          <w:p w14:paraId="38C1FE87" w14:textId="01F44B67" w:rsidR="00E953EE" w:rsidRPr="001A2820" w:rsidRDefault="007F53F7" w:rsidP="006909EB">
            <w:pPr>
              <w:rPr>
                <w:rFonts w:cstheme="minorHAnsi"/>
                <w:sz w:val="22"/>
                <w:szCs w:val="22"/>
                <w:lang w:val="fr-FR"/>
              </w:rPr>
            </w:pPr>
            <w:r w:rsidRPr="001A2820">
              <w:rPr>
                <w:rFonts w:cstheme="minorHAnsi"/>
                <w:sz w:val="22"/>
                <w:szCs w:val="22"/>
                <w:lang w:val="fr-FR"/>
              </w:rPr>
              <w:t>Le FEM a accompli des progrès dans divers aspects des projets d’orientations initiales, comme résumé dans le tableau 1 du présent rapport</w:t>
            </w:r>
            <w:r w:rsidR="00E953EE" w:rsidRPr="001A2820">
              <w:rPr>
                <w:rFonts w:cstheme="minorHAnsi"/>
                <w:sz w:val="22"/>
                <w:szCs w:val="22"/>
                <w:lang w:val="fr-FR"/>
              </w:rPr>
              <w:t>.</w:t>
            </w:r>
            <w:r w:rsidRPr="001A2820">
              <w:rPr>
                <w:rFonts w:cstheme="minorHAnsi"/>
                <w:sz w:val="22"/>
                <w:szCs w:val="22"/>
                <w:lang w:val="fr-FR"/>
              </w:rPr>
              <w:t xml:space="preserve"> Par exemple, </w:t>
            </w:r>
            <w:r w:rsidR="008D0149">
              <w:rPr>
                <w:rFonts w:cstheme="minorHAnsi"/>
                <w:sz w:val="22"/>
                <w:szCs w:val="22"/>
                <w:lang w:val="fr-FR"/>
              </w:rPr>
              <w:t>ces orientations</w:t>
            </w:r>
            <w:r w:rsidRPr="001A2820">
              <w:rPr>
                <w:rFonts w:cstheme="minorHAnsi"/>
                <w:sz w:val="22"/>
                <w:szCs w:val="22"/>
                <w:lang w:val="fr-FR"/>
              </w:rPr>
              <w:t xml:space="preserve"> sont utilisées pour guider la programmation dans le cadre de </w:t>
            </w:r>
            <w:r w:rsidR="00CC0A5B">
              <w:rPr>
                <w:rFonts w:cstheme="minorHAnsi"/>
                <w:sz w:val="22"/>
                <w:szCs w:val="22"/>
                <w:lang w:val="fr-FR"/>
              </w:rPr>
              <w:t>FEM-6</w:t>
            </w:r>
            <w:r w:rsidRPr="001A2820">
              <w:rPr>
                <w:rFonts w:cstheme="minorHAnsi"/>
                <w:sz w:val="22"/>
                <w:szCs w:val="22"/>
                <w:lang w:val="fr-FR"/>
              </w:rPr>
              <w:t xml:space="preserve"> et </w:t>
            </w:r>
            <w:r w:rsidR="00566C4F" w:rsidRPr="001A2820">
              <w:rPr>
                <w:rFonts w:cstheme="minorHAnsi"/>
                <w:sz w:val="22"/>
                <w:szCs w:val="22"/>
                <w:lang w:val="fr-FR"/>
              </w:rPr>
              <w:t>mentionnées dans</w:t>
            </w:r>
            <w:r w:rsidR="00E953EE" w:rsidRPr="001A2820">
              <w:rPr>
                <w:rFonts w:cstheme="minorHAnsi"/>
                <w:sz w:val="22"/>
                <w:szCs w:val="22"/>
                <w:lang w:val="fr-FR"/>
              </w:rPr>
              <w:t xml:space="preserve"> </w:t>
            </w:r>
            <w:r w:rsidR="00566C4F" w:rsidRPr="001A2820">
              <w:rPr>
                <w:rFonts w:cstheme="minorHAnsi"/>
                <w:sz w:val="22"/>
                <w:szCs w:val="22"/>
                <w:lang w:val="fr-FR"/>
              </w:rPr>
              <w:t>le projet de document d’orientation programmatique pour les négociations</w:t>
            </w:r>
            <w:r w:rsidR="00E953EE" w:rsidRPr="001A2820">
              <w:rPr>
                <w:rFonts w:cstheme="minorHAnsi"/>
                <w:sz w:val="22"/>
                <w:szCs w:val="22"/>
                <w:lang w:val="fr-FR"/>
              </w:rPr>
              <w:t xml:space="preserve"> </w:t>
            </w:r>
            <w:r w:rsidR="00E95868">
              <w:rPr>
                <w:rFonts w:cstheme="minorHAnsi"/>
                <w:sz w:val="22"/>
                <w:szCs w:val="22"/>
                <w:lang w:val="fr-FR"/>
              </w:rPr>
              <w:t>de</w:t>
            </w:r>
            <w:r w:rsidR="00566C4F" w:rsidRPr="001A2820">
              <w:rPr>
                <w:rFonts w:cstheme="minorHAnsi"/>
                <w:sz w:val="22"/>
                <w:szCs w:val="22"/>
                <w:lang w:val="fr-FR"/>
              </w:rPr>
              <w:t xml:space="preserve"> </w:t>
            </w:r>
            <w:r w:rsidR="00CC0A5B">
              <w:rPr>
                <w:rFonts w:cstheme="minorHAnsi"/>
                <w:sz w:val="22"/>
                <w:szCs w:val="22"/>
                <w:lang w:val="fr-FR"/>
              </w:rPr>
              <w:t>FEM-7</w:t>
            </w:r>
            <w:r w:rsidR="00E953EE" w:rsidRPr="001A2820">
              <w:rPr>
                <w:rFonts w:cstheme="minorHAnsi"/>
                <w:sz w:val="22"/>
                <w:szCs w:val="22"/>
                <w:lang w:val="fr-FR"/>
              </w:rPr>
              <w:t>.</w:t>
            </w:r>
          </w:p>
          <w:p w14:paraId="054E59E9" w14:textId="6F8034B9" w:rsidR="00E953EE" w:rsidRPr="001A2820" w:rsidRDefault="00566C4F" w:rsidP="006909EB">
            <w:pPr>
              <w:rPr>
                <w:rFonts w:cstheme="minorHAnsi"/>
                <w:sz w:val="22"/>
                <w:szCs w:val="22"/>
                <w:lang w:val="fr-FR"/>
              </w:rPr>
            </w:pPr>
            <w:r w:rsidRPr="001A2820">
              <w:rPr>
                <w:rFonts w:cstheme="minorHAnsi"/>
                <w:sz w:val="22"/>
                <w:szCs w:val="22"/>
                <w:lang w:val="fr-FR"/>
              </w:rPr>
              <w:t xml:space="preserve">La programmation de </w:t>
            </w:r>
            <w:r w:rsidR="00CC0A5B">
              <w:rPr>
                <w:rFonts w:cstheme="minorHAnsi"/>
                <w:sz w:val="22"/>
                <w:szCs w:val="22"/>
                <w:lang w:val="fr-FR"/>
              </w:rPr>
              <w:t>FEM-6</w:t>
            </w:r>
            <w:r w:rsidRPr="001A2820">
              <w:rPr>
                <w:rFonts w:cstheme="minorHAnsi"/>
                <w:sz w:val="22"/>
                <w:szCs w:val="22"/>
                <w:lang w:val="fr-FR"/>
              </w:rPr>
              <w:t xml:space="preserve"> a été axée sur les activités habilitantes et les mesures visant à faciliter l’application rapide de la Convention</w:t>
            </w:r>
            <w:r w:rsidR="00E953EE" w:rsidRPr="001A2820">
              <w:rPr>
                <w:rFonts w:cstheme="minorHAnsi"/>
                <w:sz w:val="22"/>
                <w:szCs w:val="22"/>
                <w:lang w:val="fr-FR"/>
              </w:rPr>
              <w:t xml:space="preserve">. </w:t>
            </w:r>
            <w:r w:rsidRPr="001A2820">
              <w:rPr>
                <w:rFonts w:cstheme="minorHAnsi"/>
                <w:sz w:val="22"/>
                <w:szCs w:val="22"/>
                <w:lang w:val="fr-FR"/>
              </w:rPr>
              <w:t>En juin </w:t>
            </w:r>
            <w:r w:rsidR="00E953EE" w:rsidRPr="001A2820">
              <w:rPr>
                <w:rFonts w:cstheme="minorHAnsi"/>
                <w:sz w:val="22"/>
                <w:szCs w:val="22"/>
                <w:lang w:val="fr-FR"/>
              </w:rPr>
              <w:t xml:space="preserve">2017, </w:t>
            </w:r>
            <w:r w:rsidRPr="001A2820">
              <w:rPr>
                <w:rFonts w:cstheme="minorHAnsi"/>
                <w:sz w:val="22"/>
                <w:szCs w:val="22"/>
                <w:lang w:val="fr-FR"/>
              </w:rPr>
              <w:t xml:space="preserve">le FEM avait financé </w:t>
            </w:r>
            <w:r w:rsidR="00E953EE" w:rsidRPr="001A2820">
              <w:rPr>
                <w:rFonts w:cstheme="minorHAnsi"/>
                <w:sz w:val="22"/>
                <w:szCs w:val="22"/>
                <w:lang w:val="fr-FR"/>
              </w:rPr>
              <w:t>100</w:t>
            </w:r>
            <w:r w:rsidRPr="001A2820">
              <w:rPr>
                <w:rFonts w:cstheme="minorHAnsi"/>
                <w:sz w:val="22"/>
                <w:szCs w:val="22"/>
                <w:lang w:val="fr-FR"/>
              </w:rPr>
              <w:t> évaluations initiales au titre de la Convention de Minamata, 30 plans d’action nationaux et des projet</w:t>
            </w:r>
            <w:r w:rsidR="003312F0" w:rsidRPr="001A2820">
              <w:rPr>
                <w:rFonts w:cstheme="minorHAnsi"/>
                <w:sz w:val="22"/>
                <w:szCs w:val="22"/>
                <w:lang w:val="fr-FR"/>
              </w:rPr>
              <w:t>s</w:t>
            </w:r>
            <w:r w:rsidRPr="001A2820">
              <w:rPr>
                <w:rFonts w:cstheme="minorHAnsi"/>
                <w:sz w:val="22"/>
                <w:szCs w:val="22"/>
                <w:lang w:val="fr-FR"/>
              </w:rPr>
              <w:t xml:space="preserve"> visant à éliminer plus de</w:t>
            </w:r>
            <w:r w:rsidR="00E953EE" w:rsidRPr="001A2820">
              <w:rPr>
                <w:rFonts w:cstheme="minorHAnsi"/>
                <w:sz w:val="22"/>
                <w:szCs w:val="22"/>
                <w:lang w:val="fr-FR"/>
              </w:rPr>
              <w:t xml:space="preserve"> 800</w:t>
            </w:r>
            <w:r w:rsidRPr="001A2820">
              <w:rPr>
                <w:rFonts w:cstheme="minorHAnsi"/>
                <w:sz w:val="22"/>
                <w:szCs w:val="22"/>
                <w:lang w:val="fr-FR"/>
              </w:rPr>
              <w:t> tonnes de mercure</w:t>
            </w:r>
            <w:r w:rsidR="00E953EE" w:rsidRPr="001A2820">
              <w:rPr>
                <w:rFonts w:cstheme="minorHAnsi"/>
                <w:sz w:val="22"/>
                <w:szCs w:val="22"/>
                <w:lang w:val="fr-FR"/>
              </w:rPr>
              <w:t>.</w:t>
            </w:r>
          </w:p>
        </w:tc>
      </w:tr>
      <w:tr w:rsidR="00CD40EF" w:rsidRPr="00CF6A23" w14:paraId="4C118A65" w14:textId="77777777" w:rsidTr="006909EB">
        <w:tc>
          <w:tcPr>
            <w:tcW w:w="445" w:type="dxa"/>
          </w:tcPr>
          <w:p w14:paraId="787D61BD" w14:textId="77777777" w:rsidR="00E953EE" w:rsidRPr="001A2820" w:rsidRDefault="00E953EE" w:rsidP="006909EB">
            <w:pPr>
              <w:rPr>
                <w:rFonts w:cstheme="minorHAnsi"/>
                <w:sz w:val="22"/>
                <w:szCs w:val="22"/>
                <w:lang w:val="fr-FR"/>
              </w:rPr>
            </w:pPr>
            <w:r w:rsidRPr="001A2820">
              <w:rPr>
                <w:rFonts w:cstheme="minorHAnsi"/>
                <w:sz w:val="22"/>
                <w:szCs w:val="22"/>
                <w:lang w:val="fr-FR"/>
              </w:rPr>
              <w:lastRenderedPageBreak/>
              <w:t>5</w:t>
            </w:r>
          </w:p>
        </w:tc>
        <w:tc>
          <w:tcPr>
            <w:tcW w:w="4860" w:type="dxa"/>
          </w:tcPr>
          <w:p w14:paraId="7D1B7F60" w14:textId="28F365B5" w:rsidR="00E953EE" w:rsidRPr="001A2820" w:rsidRDefault="00CA41DE" w:rsidP="0065245D">
            <w:pPr>
              <w:keepNext/>
              <w:keepLines/>
              <w:rPr>
                <w:rFonts w:cstheme="minorHAnsi"/>
                <w:sz w:val="22"/>
                <w:szCs w:val="22"/>
                <w:lang w:val="fr-FR"/>
              </w:rPr>
            </w:pPr>
            <w:r w:rsidRPr="001A2820">
              <w:rPr>
                <w:rFonts w:cstheme="minorHAnsi"/>
                <w:sz w:val="22"/>
                <w:szCs w:val="22"/>
                <w:lang w:val="fr-FR"/>
              </w:rPr>
              <w:t xml:space="preserve">Invite les donateurs à la Caisse du </w:t>
            </w:r>
            <w:r w:rsidR="00E1234C">
              <w:rPr>
                <w:rFonts w:cstheme="minorHAnsi"/>
                <w:sz w:val="22"/>
                <w:szCs w:val="22"/>
                <w:lang w:val="fr-FR"/>
              </w:rPr>
              <w:t>FEM</w:t>
            </w:r>
            <w:r w:rsidRPr="001A2820">
              <w:rPr>
                <w:rFonts w:cstheme="minorHAnsi"/>
                <w:sz w:val="22"/>
                <w:szCs w:val="22"/>
                <w:lang w:val="fr-FR"/>
              </w:rPr>
              <w:t xml:space="preserve"> à verser, dans le cadre de la sixième reconstitution de la Caisse du </w:t>
            </w:r>
            <w:r w:rsidR="00E1234C">
              <w:rPr>
                <w:rFonts w:cstheme="minorHAnsi"/>
                <w:sz w:val="22"/>
                <w:szCs w:val="22"/>
                <w:lang w:val="fr-FR"/>
              </w:rPr>
              <w:t>FEM</w:t>
            </w:r>
            <w:r w:rsidRPr="001A2820">
              <w:rPr>
                <w:rFonts w:cstheme="minorHAnsi"/>
                <w:sz w:val="22"/>
                <w:szCs w:val="22"/>
                <w:lang w:val="fr-FR"/>
              </w:rPr>
              <w:t xml:space="preserve"> et de ses reconstitutions ultérieures, des ressources financières additionnelles suffisantes pour permettre au </w:t>
            </w:r>
            <w:r w:rsidR="00E1234C">
              <w:rPr>
                <w:rFonts w:cstheme="minorHAnsi"/>
                <w:sz w:val="22"/>
                <w:szCs w:val="22"/>
                <w:lang w:val="fr-FR"/>
              </w:rPr>
              <w:t>FEM</w:t>
            </w:r>
            <w:r w:rsidRPr="001A2820">
              <w:rPr>
                <w:rFonts w:cstheme="minorHAnsi"/>
                <w:sz w:val="22"/>
                <w:szCs w:val="22"/>
                <w:lang w:val="fr-FR"/>
              </w:rPr>
              <w:t xml:space="preserve"> d’appuyer des activités visant à faciliter l’entrée en vigueur rapide et l’application effective de la Convention </w:t>
            </w:r>
            <w:r w:rsidR="00E953EE" w:rsidRPr="001A2820">
              <w:rPr>
                <w:rFonts w:cstheme="minorHAnsi"/>
                <w:sz w:val="22"/>
                <w:szCs w:val="22"/>
                <w:lang w:val="fr-FR"/>
              </w:rPr>
              <w:t>;</w:t>
            </w:r>
          </w:p>
        </w:tc>
        <w:tc>
          <w:tcPr>
            <w:tcW w:w="4245" w:type="dxa"/>
          </w:tcPr>
          <w:p w14:paraId="22F27F7C" w14:textId="56D018C2" w:rsidR="00E953EE" w:rsidRPr="001A2820" w:rsidRDefault="0065245D" w:rsidP="0065245D">
            <w:pPr>
              <w:keepNext/>
              <w:keepLines/>
              <w:rPr>
                <w:rFonts w:cstheme="minorHAnsi"/>
                <w:sz w:val="22"/>
                <w:szCs w:val="22"/>
                <w:lang w:val="fr-FR"/>
              </w:rPr>
            </w:pPr>
            <w:r>
              <w:rPr>
                <w:rFonts w:cstheme="minorHAnsi"/>
                <w:sz w:val="22"/>
                <w:szCs w:val="22"/>
                <w:lang w:val="fr-FR"/>
              </w:rPr>
              <w:t>La sixième </w:t>
            </w:r>
            <w:r w:rsidR="00EE50BB" w:rsidRPr="001A2820">
              <w:rPr>
                <w:rFonts w:cstheme="minorHAnsi"/>
                <w:sz w:val="22"/>
                <w:szCs w:val="22"/>
                <w:lang w:val="fr-FR"/>
              </w:rPr>
              <w:t xml:space="preserve">reconstitution de la Caisse du FEM comprend une allocation de </w:t>
            </w:r>
            <w:r w:rsidR="00E953EE" w:rsidRPr="001A2820">
              <w:rPr>
                <w:rFonts w:cstheme="minorHAnsi"/>
                <w:sz w:val="22"/>
                <w:szCs w:val="22"/>
                <w:lang w:val="fr-FR"/>
              </w:rPr>
              <w:t>141</w:t>
            </w:r>
            <w:r w:rsidR="00EE50BB" w:rsidRPr="001A2820">
              <w:rPr>
                <w:rFonts w:cstheme="minorHAnsi"/>
                <w:sz w:val="22"/>
                <w:szCs w:val="22"/>
                <w:lang w:val="fr-FR"/>
              </w:rPr>
              <w:t> </w:t>
            </w:r>
            <w:r w:rsidR="00E953EE" w:rsidRPr="001A2820">
              <w:rPr>
                <w:rFonts w:cstheme="minorHAnsi"/>
                <w:sz w:val="22"/>
                <w:szCs w:val="22"/>
                <w:lang w:val="fr-FR"/>
              </w:rPr>
              <w:t>million</w:t>
            </w:r>
            <w:r w:rsidR="00EE50BB" w:rsidRPr="001A2820">
              <w:rPr>
                <w:rFonts w:cstheme="minorHAnsi"/>
                <w:sz w:val="22"/>
                <w:szCs w:val="22"/>
                <w:lang w:val="fr-FR"/>
              </w:rPr>
              <w:t>s de dollars pour appuyer des activités visant à favoriser l’entrée en vigueur rapide et l’application effective de la Convention de Minamata</w:t>
            </w:r>
            <w:r w:rsidR="00E953EE" w:rsidRPr="001A2820">
              <w:rPr>
                <w:rFonts w:cstheme="minorHAnsi"/>
                <w:sz w:val="22"/>
                <w:szCs w:val="22"/>
                <w:lang w:val="fr-FR"/>
              </w:rPr>
              <w:t>.</w:t>
            </w:r>
            <w:r w:rsidR="00EE50BB" w:rsidRPr="001A2820">
              <w:rPr>
                <w:rFonts w:cstheme="minorHAnsi"/>
                <w:sz w:val="22"/>
                <w:szCs w:val="22"/>
                <w:lang w:val="fr-FR"/>
              </w:rPr>
              <w:t xml:space="preserve"> Au total, </w:t>
            </w:r>
            <w:r w:rsidR="00E953EE" w:rsidRPr="001A2820">
              <w:rPr>
                <w:rFonts w:cstheme="minorHAnsi"/>
                <w:sz w:val="22"/>
                <w:szCs w:val="22"/>
                <w:lang w:val="fr-FR"/>
              </w:rPr>
              <w:t>30</w:t>
            </w:r>
            <w:r w:rsidR="00EE50BB" w:rsidRPr="001A2820">
              <w:rPr>
                <w:rFonts w:cstheme="minorHAnsi"/>
                <w:sz w:val="22"/>
                <w:szCs w:val="22"/>
                <w:lang w:val="fr-FR"/>
              </w:rPr>
              <w:t> </w:t>
            </w:r>
            <w:r w:rsidR="00E953EE" w:rsidRPr="001A2820">
              <w:rPr>
                <w:rFonts w:cstheme="minorHAnsi"/>
                <w:sz w:val="22"/>
                <w:szCs w:val="22"/>
                <w:lang w:val="fr-FR"/>
              </w:rPr>
              <w:t>million</w:t>
            </w:r>
            <w:r w:rsidR="00EE50BB" w:rsidRPr="001A2820">
              <w:rPr>
                <w:rFonts w:cstheme="minorHAnsi"/>
                <w:sz w:val="22"/>
                <w:szCs w:val="22"/>
                <w:lang w:val="fr-FR"/>
              </w:rPr>
              <w:t xml:space="preserve">s de dollars ont été alloués à des activités habilitantes et </w:t>
            </w:r>
            <w:r w:rsidR="00E953EE" w:rsidRPr="001A2820">
              <w:rPr>
                <w:rFonts w:cstheme="minorHAnsi"/>
                <w:sz w:val="22"/>
                <w:szCs w:val="22"/>
                <w:lang w:val="fr-FR"/>
              </w:rPr>
              <w:t>111</w:t>
            </w:r>
            <w:r w:rsidR="00EE50BB" w:rsidRPr="001A2820">
              <w:rPr>
                <w:rFonts w:cstheme="minorHAnsi"/>
                <w:sz w:val="22"/>
                <w:szCs w:val="22"/>
                <w:lang w:val="fr-FR"/>
              </w:rPr>
              <w:t> </w:t>
            </w:r>
            <w:r w:rsidR="00E953EE" w:rsidRPr="001A2820">
              <w:rPr>
                <w:rFonts w:cstheme="minorHAnsi"/>
                <w:sz w:val="22"/>
                <w:szCs w:val="22"/>
                <w:lang w:val="fr-FR"/>
              </w:rPr>
              <w:t>million</w:t>
            </w:r>
            <w:r w:rsidR="00EE50BB" w:rsidRPr="001A2820">
              <w:rPr>
                <w:rFonts w:cstheme="minorHAnsi"/>
                <w:sz w:val="22"/>
                <w:szCs w:val="22"/>
                <w:lang w:val="fr-FR"/>
              </w:rPr>
              <w:t>s de dollars à l’appui de mesures rapides.</w:t>
            </w:r>
          </w:p>
        </w:tc>
      </w:tr>
    </w:tbl>
    <w:p w14:paraId="6CD46CB3" w14:textId="77777777" w:rsidR="00260668" w:rsidRPr="001A2820" w:rsidRDefault="00260668" w:rsidP="00E953EE">
      <w:pPr>
        <w:pStyle w:val="Heading1"/>
        <w:ind w:firstLine="0"/>
        <w:rPr>
          <w:rFonts w:cstheme="minorHAnsi"/>
          <w:b w:val="0"/>
          <w:sz w:val="22"/>
          <w:szCs w:val="22"/>
          <w:lang w:val="fr-FR"/>
        </w:rPr>
      </w:pPr>
      <w:bookmarkStart w:id="25" w:name="_Toc9941942"/>
    </w:p>
    <w:p w14:paraId="3B3929A2" w14:textId="77777777" w:rsidR="00260668" w:rsidRPr="001A2820" w:rsidRDefault="00260668">
      <w:pPr>
        <w:tabs>
          <w:tab w:val="clear" w:pos="1247"/>
          <w:tab w:val="clear" w:pos="1814"/>
          <w:tab w:val="clear" w:pos="2381"/>
          <w:tab w:val="clear" w:pos="2948"/>
          <w:tab w:val="clear" w:pos="3515"/>
        </w:tabs>
        <w:rPr>
          <w:rFonts w:cstheme="minorHAnsi"/>
          <w:sz w:val="22"/>
          <w:szCs w:val="22"/>
          <w:lang w:val="fr-FR"/>
        </w:rPr>
      </w:pPr>
      <w:r w:rsidRPr="001A2820">
        <w:rPr>
          <w:rFonts w:cstheme="minorHAnsi"/>
          <w:b/>
          <w:sz w:val="22"/>
          <w:szCs w:val="22"/>
          <w:lang w:val="fr-FR"/>
        </w:rPr>
        <w:br w:type="page"/>
      </w:r>
    </w:p>
    <w:p w14:paraId="5A1EAF55" w14:textId="77777777" w:rsidR="00260668" w:rsidRPr="001A2820" w:rsidRDefault="00260668" w:rsidP="00E953EE">
      <w:pPr>
        <w:pStyle w:val="Heading1"/>
        <w:ind w:firstLine="0"/>
        <w:rPr>
          <w:rFonts w:asciiTheme="minorHAnsi" w:hAnsiTheme="minorHAnsi" w:cstheme="minorHAnsi"/>
          <w:sz w:val="24"/>
          <w:szCs w:val="24"/>
          <w:lang w:val="fr-FR"/>
        </w:rPr>
        <w:sectPr w:rsidR="00260668" w:rsidRPr="001A2820" w:rsidSect="00C75B4C">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continuous"/>
          <w:pgSz w:w="11907" w:h="16840" w:code="9"/>
          <w:pgMar w:top="907" w:right="992" w:bottom="1418" w:left="1418" w:header="539" w:footer="975" w:gutter="0"/>
          <w:cols w:space="539"/>
          <w:titlePg/>
          <w:docGrid w:linePitch="360"/>
        </w:sectPr>
      </w:pPr>
    </w:p>
    <w:p w14:paraId="3C30520A" w14:textId="4464F1BC" w:rsidR="00E953EE" w:rsidRPr="001A2820" w:rsidRDefault="00E953EE" w:rsidP="00E953EE">
      <w:pPr>
        <w:pStyle w:val="Heading1"/>
        <w:ind w:firstLine="0"/>
        <w:rPr>
          <w:rFonts w:asciiTheme="minorHAnsi" w:hAnsiTheme="minorHAnsi" w:cstheme="minorHAnsi"/>
          <w:b w:val="0"/>
          <w:sz w:val="24"/>
          <w:szCs w:val="24"/>
          <w:lang w:val="fr-FR"/>
        </w:rPr>
      </w:pPr>
      <w:bookmarkStart w:id="26" w:name="_Toc19781255"/>
      <w:r w:rsidRPr="001A2820">
        <w:rPr>
          <w:rFonts w:asciiTheme="minorHAnsi" w:hAnsiTheme="minorHAnsi" w:cstheme="minorHAnsi"/>
          <w:sz w:val="24"/>
          <w:szCs w:val="24"/>
          <w:lang w:val="fr-FR"/>
        </w:rPr>
        <w:lastRenderedPageBreak/>
        <w:t>Re</w:t>
      </w:r>
      <w:r w:rsidR="009C5EC6" w:rsidRPr="001A2820">
        <w:rPr>
          <w:rFonts w:asciiTheme="minorHAnsi" w:hAnsiTheme="minorHAnsi" w:cstheme="minorHAnsi"/>
          <w:sz w:val="24"/>
          <w:szCs w:val="24"/>
          <w:lang w:val="fr-FR"/>
        </w:rPr>
        <w:t>s</w:t>
      </w:r>
      <w:r w:rsidRPr="001A2820">
        <w:rPr>
          <w:rFonts w:asciiTheme="minorHAnsi" w:hAnsiTheme="minorHAnsi" w:cstheme="minorHAnsi"/>
          <w:sz w:val="24"/>
          <w:szCs w:val="24"/>
          <w:lang w:val="fr-FR"/>
        </w:rPr>
        <w:t>sources</w:t>
      </w:r>
      <w:r w:rsidR="009C5EC6" w:rsidRPr="001A2820">
        <w:rPr>
          <w:rFonts w:asciiTheme="minorHAnsi" w:hAnsiTheme="minorHAnsi" w:cstheme="minorHAnsi"/>
          <w:sz w:val="24"/>
          <w:szCs w:val="24"/>
          <w:lang w:val="fr-FR"/>
        </w:rPr>
        <w:t xml:space="preserve"> programmées pour la Convention de </w:t>
      </w:r>
      <w:r w:rsidRPr="001A2820">
        <w:rPr>
          <w:rFonts w:asciiTheme="minorHAnsi" w:hAnsiTheme="minorHAnsi" w:cstheme="minorHAnsi"/>
          <w:sz w:val="24"/>
          <w:szCs w:val="24"/>
          <w:lang w:val="fr-FR"/>
        </w:rPr>
        <w:t xml:space="preserve">Minamata </w:t>
      </w:r>
      <w:r w:rsidR="009C5EC6" w:rsidRPr="001A2820">
        <w:rPr>
          <w:rFonts w:asciiTheme="minorHAnsi" w:hAnsiTheme="minorHAnsi" w:cstheme="minorHAnsi"/>
          <w:sz w:val="24"/>
          <w:szCs w:val="24"/>
          <w:lang w:val="fr-FR"/>
        </w:rPr>
        <w:t>(juillet </w:t>
      </w:r>
      <w:r w:rsidRPr="001A2820">
        <w:rPr>
          <w:rFonts w:asciiTheme="minorHAnsi" w:hAnsiTheme="minorHAnsi" w:cstheme="minorHAnsi"/>
          <w:sz w:val="24"/>
          <w:szCs w:val="24"/>
          <w:lang w:val="fr-FR"/>
        </w:rPr>
        <w:t xml:space="preserve">2010 – </w:t>
      </w:r>
      <w:r w:rsidR="009C5EC6" w:rsidRPr="001A2820">
        <w:rPr>
          <w:rFonts w:asciiTheme="minorHAnsi" w:hAnsiTheme="minorHAnsi" w:cstheme="minorHAnsi"/>
          <w:sz w:val="24"/>
          <w:szCs w:val="24"/>
          <w:lang w:val="fr-FR"/>
        </w:rPr>
        <w:t>mai </w:t>
      </w:r>
      <w:r w:rsidRPr="001A2820">
        <w:rPr>
          <w:rFonts w:asciiTheme="minorHAnsi" w:hAnsiTheme="minorHAnsi" w:cstheme="minorHAnsi"/>
          <w:sz w:val="24"/>
          <w:szCs w:val="24"/>
          <w:lang w:val="fr-FR"/>
        </w:rPr>
        <w:t>2019</w:t>
      </w:r>
      <w:bookmarkEnd w:id="25"/>
      <w:r w:rsidR="009C5EC6" w:rsidRPr="001A2820">
        <w:rPr>
          <w:rFonts w:asciiTheme="minorHAnsi" w:hAnsiTheme="minorHAnsi" w:cstheme="minorHAnsi"/>
          <w:sz w:val="24"/>
          <w:szCs w:val="24"/>
          <w:lang w:val="fr-FR"/>
        </w:rPr>
        <w:t>)</w:t>
      </w:r>
      <w:bookmarkEnd w:id="26"/>
    </w:p>
    <w:tbl>
      <w:tblPr>
        <w:tblStyle w:val="TableGrid"/>
        <w:tblW w:w="0" w:type="auto"/>
        <w:tblLook w:val="04A0" w:firstRow="1" w:lastRow="0" w:firstColumn="1" w:lastColumn="0" w:noHBand="0" w:noVBand="1"/>
      </w:tblPr>
      <w:tblGrid>
        <w:gridCol w:w="1627"/>
        <w:gridCol w:w="1671"/>
        <w:gridCol w:w="1463"/>
        <w:gridCol w:w="3751"/>
        <w:gridCol w:w="857"/>
        <w:gridCol w:w="889"/>
        <w:gridCol w:w="1157"/>
        <w:gridCol w:w="1498"/>
        <w:gridCol w:w="1592"/>
      </w:tblGrid>
      <w:tr w:rsidR="00037F62" w:rsidRPr="001A2820" w14:paraId="066556B9" w14:textId="77777777" w:rsidTr="00A5411B">
        <w:trPr>
          <w:trHeight w:val="600"/>
        </w:trPr>
        <w:tc>
          <w:tcPr>
            <w:tcW w:w="1627" w:type="dxa"/>
            <w:hideMark/>
          </w:tcPr>
          <w:p w14:paraId="24C818C2" w14:textId="70A51A91" w:rsidR="00E953EE" w:rsidRPr="001A2820" w:rsidRDefault="009C5EC6" w:rsidP="006909EB">
            <w:pPr>
              <w:rPr>
                <w:rFonts w:cstheme="minorHAnsi"/>
                <w:sz w:val="22"/>
                <w:szCs w:val="22"/>
                <w:lang w:val="fr-FR"/>
              </w:rPr>
            </w:pPr>
            <w:r w:rsidRPr="001A2820">
              <w:rPr>
                <w:rFonts w:cstheme="minorHAnsi"/>
                <w:sz w:val="22"/>
                <w:szCs w:val="22"/>
                <w:lang w:val="fr-FR"/>
              </w:rPr>
              <w:t>Pays</w:t>
            </w:r>
          </w:p>
        </w:tc>
        <w:tc>
          <w:tcPr>
            <w:tcW w:w="1671" w:type="dxa"/>
            <w:hideMark/>
          </w:tcPr>
          <w:p w14:paraId="2B6A9D20" w14:textId="2B9D8481" w:rsidR="00E953EE" w:rsidRPr="001A2820" w:rsidRDefault="009C5EC6" w:rsidP="006909EB">
            <w:pPr>
              <w:rPr>
                <w:rFonts w:cstheme="minorHAnsi"/>
                <w:sz w:val="22"/>
                <w:szCs w:val="22"/>
                <w:lang w:val="fr-FR"/>
              </w:rPr>
            </w:pPr>
            <w:r w:rsidRPr="001A2820">
              <w:rPr>
                <w:rFonts w:cstheme="minorHAnsi"/>
                <w:sz w:val="22"/>
                <w:szCs w:val="22"/>
                <w:lang w:val="fr-FR"/>
              </w:rPr>
              <w:t>Liste de pays</w:t>
            </w:r>
          </w:p>
        </w:tc>
        <w:tc>
          <w:tcPr>
            <w:tcW w:w="1463" w:type="dxa"/>
            <w:hideMark/>
          </w:tcPr>
          <w:p w14:paraId="341A9584" w14:textId="5D3C0535" w:rsidR="00E953EE" w:rsidRPr="001A2820" w:rsidRDefault="009C5EC6" w:rsidP="006909EB">
            <w:pPr>
              <w:rPr>
                <w:rFonts w:cstheme="minorHAnsi"/>
                <w:sz w:val="22"/>
                <w:szCs w:val="22"/>
                <w:lang w:val="fr-FR"/>
              </w:rPr>
            </w:pPr>
            <w:r w:rsidRPr="001A2820">
              <w:rPr>
                <w:rFonts w:cstheme="minorHAnsi"/>
                <w:sz w:val="22"/>
                <w:szCs w:val="22"/>
                <w:lang w:val="fr-FR"/>
              </w:rPr>
              <w:t>Domaine d’intervention</w:t>
            </w:r>
          </w:p>
        </w:tc>
        <w:tc>
          <w:tcPr>
            <w:tcW w:w="3751" w:type="dxa"/>
            <w:hideMark/>
          </w:tcPr>
          <w:p w14:paraId="7AE6A7F7" w14:textId="274699EA" w:rsidR="00E953EE" w:rsidRPr="001A2820" w:rsidRDefault="00E953EE" w:rsidP="006909EB">
            <w:pPr>
              <w:rPr>
                <w:rFonts w:cstheme="minorHAnsi"/>
                <w:sz w:val="22"/>
                <w:szCs w:val="22"/>
                <w:lang w:val="fr-FR"/>
              </w:rPr>
            </w:pPr>
            <w:r w:rsidRPr="001A2820">
              <w:rPr>
                <w:rFonts w:cstheme="minorHAnsi"/>
                <w:sz w:val="22"/>
                <w:szCs w:val="22"/>
                <w:lang w:val="fr-FR"/>
              </w:rPr>
              <w:t>Tit</w:t>
            </w:r>
            <w:r w:rsidR="009C5EC6" w:rsidRPr="001A2820">
              <w:rPr>
                <w:rFonts w:cstheme="minorHAnsi"/>
                <w:sz w:val="22"/>
                <w:szCs w:val="22"/>
                <w:lang w:val="fr-FR"/>
              </w:rPr>
              <w:t>re</w:t>
            </w:r>
          </w:p>
        </w:tc>
        <w:tc>
          <w:tcPr>
            <w:tcW w:w="857" w:type="dxa"/>
            <w:hideMark/>
          </w:tcPr>
          <w:p w14:paraId="7DC6A5B7" w14:textId="0E431B8C" w:rsidR="00E953EE" w:rsidRPr="001A2820" w:rsidRDefault="002B094E" w:rsidP="006909EB">
            <w:pPr>
              <w:rPr>
                <w:rFonts w:cstheme="minorHAnsi"/>
                <w:sz w:val="22"/>
                <w:szCs w:val="22"/>
                <w:lang w:val="fr-FR"/>
              </w:rPr>
            </w:pPr>
            <w:r w:rsidRPr="001A2820">
              <w:rPr>
                <w:rFonts w:cstheme="minorHAnsi"/>
                <w:sz w:val="22"/>
                <w:szCs w:val="22"/>
                <w:lang w:val="fr-FR"/>
              </w:rPr>
              <w:t>Phase FEM</w:t>
            </w:r>
          </w:p>
        </w:tc>
        <w:tc>
          <w:tcPr>
            <w:tcW w:w="889" w:type="dxa"/>
            <w:hideMark/>
          </w:tcPr>
          <w:p w14:paraId="48D04867" w14:textId="77777777" w:rsidR="00E953EE" w:rsidRPr="001A2820" w:rsidRDefault="00E953EE" w:rsidP="006909EB">
            <w:pPr>
              <w:rPr>
                <w:rFonts w:cstheme="minorHAnsi"/>
                <w:sz w:val="22"/>
                <w:szCs w:val="22"/>
                <w:lang w:val="fr-FR"/>
              </w:rPr>
            </w:pPr>
            <w:r w:rsidRPr="001A2820">
              <w:rPr>
                <w:rFonts w:cstheme="minorHAnsi"/>
                <w:sz w:val="22"/>
                <w:szCs w:val="22"/>
                <w:lang w:val="fr-FR"/>
              </w:rPr>
              <w:t>Type</w:t>
            </w:r>
            <w:r w:rsidRPr="001A2820">
              <w:rPr>
                <w:rStyle w:val="FootnoteReference"/>
                <w:rFonts w:cstheme="minorHAnsi"/>
                <w:sz w:val="22"/>
                <w:szCs w:val="22"/>
                <w:lang w:val="fr-FR"/>
              </w:rPr>
              <w:footnoteReference w:id="14"/>
            </w:r>
          </w:p>
        </w:tc>
        <w:tc>
          <w:tcPr>
            <w:tcW w:w="1157" w:type="dxa"/>
            <w:hideMark/>
          </w:tcPr>
          <w:p w14:paraId="7976790C" w14:textId="4F2BED9D" w:rsidR="00E953EE" w:rsidRPr="001A2820" w:rsidRDefault="009C5EC6" w:rsidP="006909EB">
            <w:pPr>
              <w:rPr>
                <w:rFonts w:cstheme="minorHAnsi"/>
                <w:sz w:val="22"/>
                <w:szCs w:val="22"/>
                <w:lang w:val="fr-FR"/>
              </w:rPr>
            </w:pPr>
            <w:r w:rsidRPr="001A2820">
              <w:rPr>
                <w:rFonts w:cstheme="minorHAnsi"/>
                <w:sz w:val="22"/>
                <w:szCs w:val="22"/>
                <w:lang w:val="fr-FR"/>
              </w:rPr>
              <w:t>Institution</w:t>
            </w:r>
          </w:p>
        </w:tc>
        <w:tc>
          <w:tcPr>
            <w:tcW w:w="1498" w:type="dxa"/>
            <w:hideMark/>
          </w:tcPr>
          <w:p w14:paraId="510EB533" w14:textId="5D958387" w:rsidR="00E953EE" w:rsidRPr="001A2820" w:rsidRDefault="009C5EC6" w:rsidP="006909EB">
            <w:pPr>
              <w:rPr>
                <w:rFonts w:cstheme="minorHAnsi"/>
                <w:sz w:val="22"/>
                <w:szCs w:val="22"/>
                <w:lang w:val="fr-FR"/>
              </w:rPr>
            </w:pPr>
            <w:r w:rsidRPr="001A2820">
              <w:rPr>
                <w:rFonts w:cstheme="minorHAnsi"/>
                <w:sz w:val="22"/>
                <w:szCs w:val="22"/>
                <w:lang w:val="fr-FR"/>
              </w:rPr>
              <w:t>Montant</w:t>
            </w:r>
            <w:r w:rsidR="00E953EE" w:rsidRPr="001A2820">
              <w:rPr>
                <w:rFonts w:cstheme="minorHAnsi"/>
                <w:sz w:val="22"/>
                <w:szCs w:val="22"/>
                <w:lang w:val="fr-FR"/>
              </w:rPr>
              <w:t xml:space="preserve"> (</w:t>
            </w:r>
            <w:r w:rsidR="0065245D">
              <w:rPr>
                <w:rFonts w:cstheme="minorHAnsi"/>
                <w:sz w:val="22"/>
                <w:szCs w:val="22"/>
                <w:lang w:val="fr-FR"/>
              </w:rPr>
              <w:t>en </w:t>
            </w:r>
            <w:r w:rsidRPr="001A2820">
              <w:rPr>
                <w:rFonts w:cstheme="minorHAnsi"/>
                <w:sz w:val="22"/>
                <w:szCs w:val="22"/>
                <w:lang w:val="fr-FR"/>
              </w:rPr>
              <w:t>dollars</w:t>
            </w:r>
            <w:r w:rsidR="00E953EE" w:rsidRPr="001A2820">
              <w:rPr>
                <w:rFonts w:cstheme="minorHAnsi"/>
                <w:sz w:val="22"/>
                <w:szCs w:val="22"/>
                <w:lang w:val="fr-FR"/>
              </w:rPr>
              <w:t>)</w:t>
            </w:r>
            <w:r w:rsidR="00E953EE" w:rsidRPr="001A2820">
              <w:rPr>
                <w:rStyle w:val="FootnoteReference"/>
                <w:rFonts w:cstheme="minorHAnsi"/>
                <w:sz w:val="22"/>
                <w:szCs w:val="22"/>
                <w:lang w:val="fr-FR"/>
              </w:rPr>
              <w:footnoteReference w:id="15"/>
            </w:r>
          </w:p>
        </w:tc>
        <w:tc>
          <w:tcPr>
            <w:tcW w:w="1592" w:type="dxa"/>
            <w:hideMark/>
          </w:tcPr>
          <w:p w14:paraId="3C4A3879" w14:textId="196A8038" w:rsidR="00E953EE" w:rsidRPr="001A2820" w:rsidRDefault="00E953EE" w:rsidP="006909EB">
            <w:pPr>
              <w:rPr>
                <w:rFonts w:cstheme="minorHAnsi"/>
                <w:sz w:val="22"/>
                <w:szCs w:val="22"/>
                <w:lang w:val="fr-FR"/>
              </w:rPr>
            </w:pPr>
            <w:r w:rsidRPr="001A2820">
              <w:rPr>
                <w:rFonts w:cstheme="minorHAnsi"/>
                <w:sz w:val="22"/>
                <w:szCs w:val="22"/>
                <w:lang w:val="fr-FR"/>
              </w:rPr>
              <w:t>Cofinanc</w:t>
            </w:r>
            <w:r w:rsidR="009C5EC6" w:rsidRPr="001A2820">
              <w:rPr>
                <w:rFonts w:cstheme="minorHAnsi"/>
                <w:sz w:val="22"/>
                <w:szCs w:val="22"/>
                <w:lang w:val="fr-FR"/>
              </w:rPr>
              <w:t>ement</w:t>
            </w:r>
            <w:r w:rsidRPr="001A2820">
              <w:rPr>
                <w:rFonts w:cstheme="minorHAnsi"/>
                <w:sz w:val="22"/>
                <w:szCs w:val="22"/>
                <w:lang w:val="fr-FR"/>
              </w:rPr>
              <w:t xml:space="preserve"> (</w:t>
            </w:r>
            <w:r w:rsidR="009C5EC6" w:rsidRPr="001A2820">
              <w:rPr>
                <w:rFonts w:cstheme="minorHAnsi"/>
                <w:sz w:val="22"/>
                <w:szCs w:val="22"/>
                <w:lang w:val="fr-FR"/>
              </w:rPr>
              <w:t>en dollars</w:t>
            </w:r>
            <w:r w:rsidRPr="001A2820">
              <w:rPr>
                <w:rFonts w:cstheme="minorHAnsi"/>
                <w:sz w:val="22"/>
                <w:szCs w:val="22"/>
                <w:lang w:val="fr-FR"/>
              </w:rPr>
              <w:t>)</w:t>
            </w:r>
          </w:p>
        </w:tc>
      </w:tr>
      <w:tr w:rsidR="00037F62" w:rsidRPr="001A2820" w14:paraId="3710ED1B" w14:textId="77777777" w:rsidTr="00A5411B">
        <w:trPr>
          <w:trHeight w:val="300"/>
        </w:trPr>
        <w:tc>
          <w:tcPr>
            <w:tcW w:w="1627" w:type="dxa"/>
            <w:hideMark/>
          </w:tcPr>
          <w:p w14:paraId="78BCA5BC" w14:textId="774B2ABD" w:rsidR="00E953EE" w:rsidRPr="001A2820" w:rsidRDefault="00E953EE" w:rsidP="006909EB">
            <w:pPr>
              <w:rPr>
                <w:rFonts w:cstheme="minorHAnsi"/>
                <w:sz w:val="22"/>
                <w:szCs w:val="22"/>
                <w:lang w:val="fr-FR"/>
              </w:rPr>
            </w:pPr>
            <w:r w:rsidRPr="001A2820">
              <w:rPr>
                <w:rFonts w:cstheme="minorHAnsi"/>
                <w:sz w:val="22"/>
                <w:szCs w:val="22"/>
                <w:lang w:val="fr-FR"/>
              </w:rPr>
              <w:t>Albani</w:t>
            </w:r>
            <w:r w:rsidR="00DC0FF9" w:rsidRPr="001A2820">
              <w:rPr>
                <w:rFonts w:cstheme="minorHAnsi"/>
                <w:sz w:val="22"/>
                <w:szCs w:val="22"/>
                <w:lang w:val="fr-FR"/>
              </w:rPr>
              <w:t>e</w:t>
            </w:r>
          </w:p>
        </w:tc>
        <w:tc>
          <w:tcPr>
            <w:tcW w:w="1671" w:type="dxa"/>
            <w:hideMark/>
          </w:tcPr>
          <w:p w14:paraId="782F15C7"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4163767E" w14:textId="23BA45B3" w:rsidR="00E953EE" w:rsidRPr="001A2820" w:rsidRDefault="00DA319D" w:rsidP="006909EB">
            <w:pPr>
              <w:rPr>
                <w:rFonts w:cstheme="minorHAnsi"/>
                <w:sz w:val="22"/>
                <w:szCs w:val="22"/>
                <w:lang w:val="fr-FR"/>
              </w:rPr>
            </w:pPr>
            <w:r w:rsidRPr="001A2820">
              <w:rPr>
                <w:rFonts w:cstheme="minorHAnsi"/>
                <w:sz w:val="22"/>
                <w:szCs w:val="22"/>
                <w:lang w:val="fr-FR"/>
              </w:rPr>
              <w:t>D</w:t>
            </w:r>
            <w:r w:rsidR="00E953EE" w:rsidRPr="001A2820">
              <w:rPr>
                <w:rStyle w:val="FootnoteReference"/>
                <w:rFonts w:cstheme="minorHAnsi"/>
                <w:sz w:val="22"/>
                <w:szCs w:val="22"/>
                <w:lang w:val="fr-FR"/>
              </w:rPr>
              <w:footnoteReference w:id="16"/>
            </w:r>
          </w:p>
        </w:tc>
        <w:tc>
          <w:tcPr>
            <w:tcW w:w="3751" w:type="dxa"/>
            <w:hideMark/>
          </w:tcPr>
          <w:p w14:paraId="1FC59BB6" w14:textId="112E0EB9" w:rsidR="00E953EE" w:rsidRPr="001A2820" w:rsidRDefault="003312F0" w:rsidP="006909EB">
            <w:pPr>
              <w:rPr>
                <w:rFonts w:cstheme="minorHAnsi"/>
                <w:sz w:val="22"/>
                <w:szCs w:val="22"/>
                <w:lang w:val="fr-FR"/>
              </w:rPr>
            </w:pPr>
            <w:r w:rsidRPr="001A2820">
              <w:rPr>
                <w:sz w:val="22"/>
                <w:szCs w:val="22"/>
                <w:lang w:val="fr-FR"/>
              </w:rPr>
              <w:t>É</w:t>
            </w:r>
            <w:r w:rsidRPr="001A2820">
              <w:rPr>
                <w:rFonts w:cstheme="minorHAnsi"/>
                <w:sz w:val="22"/>
                <w:szCs w:val="22"/>
                <w:lang w:val="fr-FR"/>
              </w:rPr>
              <w:t xml:space="preserve">valuation initiale de la Convention de </w:t>
            </w:r>
            <w:r w:rsidR="00E953EE" w:rsidRPr="001A2820">
              <w:rPr>
                <w:rFonts w:cstheme="minorHAnsi"/>
                <w:sz w:val="22"/>
                <w:szCs w:val="22"/>
                <w:lang w:val="fr-FR"/>
              </w:rPr>
              <w:t xml:space="preserve">Minamata </w:t>
            </w:r>
            <w:r w:rsidRPr="001A2820">
              <w:rPr>
                <w:rFonts w:cstheme="minorHAnsi"/>
                <w:sz w:val="22"/>
                <w:szCs w:val="22"/>
                <w:lang w:val="fr-FR"/>
              </w:rPr>
              <w:t>pour l’Albanie</w:t>
            </w:r>
          </w:p>
        </w:tc>
        <w:tc>
          <w:tcPr>
            <w:tcW w:w="857" w:type="dxa"/>
            <w:hideMark/>
          </w:tcPr>
          <w:p w14:paraId="7AF36A15" w14:textId="1F026292" w:rsidR="00E953EE" w:rsidRPr="001A2820" w:rsidRDefault="00F47184" w:rsidP="006909EB">
            <w:pPr>
              <w:rPr>
                <w:rFonts w:cstheme="minorHAnsi"/>
                <w:sz w:val="22"/>
                <w:szCs w:val="22"/>
                <w:lang w:val="fr-FR"/>
              </w:rPr>
            </w:pPr>
            <w:r>
              <w:rPr>
                <w:rFonts w:cstheme="minorHAnsi"/>
                <w:sz w:val="22"/>
                <w:szCs w:val="22"/>
                <w:lang w:val="fr-FR"/>
              </w:rPr>
              <w:t>FEM-6</w:t>
            </w:r>
          </w:p>
        </w:tc>
        <w:tc>
          <w:tcPr>
            <w:tcW w:w="889" w:type="dxa"/>
            <w:hideMark/>
          </w:tcPr>
          <w:p w14:paraId="6739A714" w14:textId="2E3DAA3E" w:rsidR="00E953EE" w:rsidRPr="001A2820" w:rsidRDefault="003312F0" w:rsidP="006909EB">
            <w:pPr>
              <w:rPr>
                <w:rFonts w:cstheme="minorHAnsi"/>
                <w:sz w:val="22"/>
                <w:szCs w:val="22"/>
                <w:lang w:val="fr-FR"/>
              </w:rPr>
            </w:pPr>
            <w:r w:rsidRPr="001A2820">
              <w:rPr>
                <w:rFonts w:cstheme="minorHAnsi"/>
                <w:sz w:val="22"/>
                <w:szCs w:val="22"/>
                <w:lang w:val="fr-FR"/>
              </w:rPr>
              <w:t>AH</w:t>
            </w:r>
          </w:p>
        </w:tc>
        <w:tc>
          <w:tcPr>
            <w:tcW w:w="1157" w:type="dxa"/>
            <w:hideMark/>
          </w:tcPr>
          <w:p w14:paraId="29CBA96C" w14:textId="21898EDE" w:rsidR="00E953EE" w:rsidRPr="001A2820" w:rsidRDefault="000D5013" w:rsidP="006909EB">
            <w:pPr>
              <w:rPr>
                <w:rFonts w:cstheme="minorHAnsi"/>
                <w:sz w:val="22"/>
                <w:szCs w:val="22"/>
                <w:lang w:val="fr-FR"/>
              </w:rPr>
            </w:pPr>
            <w:r w:rsidRPr="001A2820">
              <w:rPr>
                <w:rFonts w:cstheme="minorHAnsi"/>
                <w:sz w:val="22"/>
                <w:szCs w:val="22"/>
                <w:lang w:val="fr-FR"/>
              </w:rPr>
              <w:t>PNUD</w:t>
            </w:r>
          </w:p>
        </w:tc>
        <w:tc>
          <w:tcPr>
            <w:tcW w:w="1498" w:type="dxa"/>
            <w:hideMark/>
          </w:tcPr>
          <w:p w14:paraId="052F5114" w14:textId="62870F5B" w:rsidR="00E953EE" w:rsidRPr="001A2820" w:rsidRDefault="00E953EE" w:rsidP="006909EB">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34632A1" w14:textId="77777777" w:rsidR="00E953EE" w:rsidRPr="001A2820" w:rsidRDefault="00E953EE" w:rsidP="006909EB">
            <w:pPr>
              <w:jc w:val="right"/>
              <w:rPr>
                <w:rFonts w:cstheme="minorHAnsi"/>
                <w:sz w:val="22"/>
                <w:szCs w:val="22"/>
                <w:lang w:val="fr-FR"/>
              </w:rPr>
            </w:pPr>
            <w:r w:rsidRPr="001A2820">
              <w:rPr>
                <w:rFonts w:cstheme="minorHAnsi"/>
                <w:sz w:val="22"/>
                <w:szCs w:val="22"/>
                <w:lang w:val="fr-FR"/>
              </w:rPr>
              <w:t> 0</w:t>
            </w:r>
          </w:p>
        </w:tc>
      </w:tr>
      <w:tr w:rsidR="00037F62" w:rsidRPr="001A2820" w14:paraId="2E9B24DF" w14:textId="77777777" w:rsidTr="00A5411B">
        <w:trPr>
          <w:trHeight w:val="600"/>
        </w:trPr>
        <w:tc>
          <w:tcPr>
            <w:tcW w:w="1627" w:type="dxa"/>
            <w:hideMark/>
          </w:tcPr>
          <w:p w14:paraId="1F64FB81" w14:textId="77777777" w:rsidR="00E953EE" w:rsidRPr="001A2820" w:rsidRDefault="00E953EE" w:rsidP="006909EB">
            <w:pPr>
              <w:rPr>
                <w:rFonts w:cstheme="minorHAnsi"/>
                <w:sz w:val="22"/>
                <w:szCs w:val="22"/>
                <w:lang w:val="fr-FR"/>
              </w:rPr>
            </w:pPr>
            <w:r w:rsidRPr="001A2820">
              <w:rPr>
                <w:rFonts w:cstheme="minorHAnsi"/>
                <w:sz w:val="22"/>
                <w:szCs w:val="22"/>
                <w:lang w:val="fr-FR"/>
              </w:rPr>
              <w:t>Angola</w:t>
            </w:r>
          </w:p>
        </w:tc>
        <w:tc>
          <w:tcPr>
            <w:tcW w:w="1671" w:type="dxa"/>
            <w:hideMark/>
          </w:tcPr>
          <w:p w14:paraId="0011546A"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33E0241A" w14:textId="678D739F" w:rsidR="00E953EE" w:rsidRPr="001A2820" w:rsidRDefault="00DA319D" w:rsidP="006909EB">
            <w:pPr>
              <w:rPr>
                <w:rFonts w:cstheme="minorHAnsi"/>
                <w:sz w:val="22"/>
                <w:szCs w:val="22"/>
                <w:lang w:val="fr-FR"/>
              </w:rPr>
            </w:pPr>
            <w:r w:rsidRPr="001A2820">
              <w:rPr>
                <w:rFonts w:cstheme="minorHAnsi"/>
                <w:sz w:val="22"/>
                <w:szCs w:val="22"/>
                <w:lang w:val="fr-FR"/>
              </w:rPr>
              <w:t>D</w:t>
            </w:r>
          </w:p>
        </w:tc>
        <w:tc>
          <w:tcPr>
            <w:tcW w:w="3751" w:type="dxa"/>
            <w:hideMark/>
          </w:tcPr>
          <w:p w14:paraId="38D5B8C3" w14:textId="240537E0" w:rsidR="00E953EE" w:rsidRPr="001A2820" w:rsidRDefault="000D5013" w:rsidP="006909EB">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en</w:t>
            </w:r>
            <w:r w:rsidR="00E953EE" w:rsidRPr="001A2820">
              <w:rPr>
                <w:rFonts w:cstheme="minorHAnsi"/>
                <w:sz w:val="22"/>
                <w:szCs w:val="22"/>
                <w:lang w:val="fr-FR"/>
              </w:rPr>
              <w:t xml:space="preserve"> Angola </w:t>
            </w:r>
          </w:p>
        </w:tc>
        <w:tc>
          <w:tcPr>
            <w:tcW w:w="857" w:type="dxa"/>
            <w:hideMark/>
          </w:tcPr>
          <w:p w14:paraId="7A1DE49B" w14:textId="5B6F91A7" w:rsidR="00E953EE" w:rsidRPr="001A2820" w:rsidRDefault="00F47184" w:rsidP="006909EB">
            <w:pPr>
              <w:rPr>
                <w:rFonts w:cstheme="minorHAnsi"/>
                <w:sz w:val="22"/>
                <w:szCs w:val="22"/>
                <w:lang w:val="fr-FR"/>
              </w:rPr>
            </w:pPr>
            <w:r>
              <w:rPr>
                <w:rFonts w:cstheme="minorHAnsi"/>
                <w:sz w:val="22"/>
                <w:szCs w:val="22"/>
                <w:lang w:val="fr-FR"/>
              </w:rPr>
              <w:t>FEM-6</w:t>
            </w:r>
          </w:p>
        </w:tc>
        <w:tc>
          <w:tcPr>
            <w:tcW w:w="889" w:type="dxa"/>
            <w:hideMark/>
          </w:tcPr>
          <w:p w14:paraId="67D8115B" w14:textId="63EF0C09" w:rsidR="00E953EE" w:rsidRPr="001A2820" w:rsidRDefault="003312F0" w:rsidP="006909EB">
            <w:pPr>
              <w:rPr>
                <w:rFonts w:cstheme="minorHAnsi"/>
                <w:sz w:val="22"/>
                <w:szCs w:val="22"/>
                <w:lang w:val="fr-FR"/>
              </w:rPr>
            </w:pPr>
            <w:r w:rsidRPr="001A2820">
              <w:rPr>
                <w:rFonts w:cstheme="minorHAnsi"/>
                <w:sz w:val="22"/>
                <w:szCs w:val="22"/>
                <w:lang w:val="fr-FR"/>
              </w:rPr>
              <w:t>AH</w:t>
            </w:r>
          </w:p>
        </w:tc>
        <w:tc>
          <w:tcPr>
            <w:tcW w:w="1157" w:type="dxa"/>
            <w:hideMark/>
          </w:tcPr>
          <w:p w14:paraId="671EC46C" w14:textId="5AB332FE" w:rsidR="00E953EE" w:rsidRPr="001A2820" w:rsidRDefault="000D5013" w:rsidP="006909EB">
            <w:pPr>
              <w:rPr>
                <w:rFonts w:cstheme="minorHAnsi"/>
                <w:sz w:val="22"/>
                <w:szCs w:val="22"/>
                <w:lang w:val="fr-FR"/>
              </w:rPr>
            </w:pPr>
            <w:r w:rsidRPr="001A2820">
              <w:rPr>
                <w:rFonts w:cstheme="minorHAnsi"/>
                <w:sz w:val="22"/>
                <w:szCs w:val="22"/>
                <w:lang w:val="fr-FR"/>
              </w:rPr>
              <w:t>ONUDI</w:t>
            </w:r>
          </w:p>
        </w:tc>
        <w:tc>
          <w:tcPr>
            <w:tcW w:w="1498" w:type="dxa"/>
            <w:hideMark/>
          </w:tcPr>
          <w:p w14:paraId="22624073" w14:textId="21C2F57A" w:rsidR="00E953EE" w:rsidRPr="001A2820" w:rsidRDefault="00E953EE" w:rsidP="006909EB">
            <w:pPr>
              <w:jc w:val="right"/>
              <w:rPr>
                <w:rFonts w:cstheme="minorHAnsi"/>
                <w:sz w:val="22"/>
                <w:szCs w:val="22"/>
                <w:lang w:val="fr-FR"/>
              </w:rPr>
            </w:pP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2E4F2DC2" w14:textId="3E8DC86B" w:rsidR="00E953EE" w:rsidRPr="001A2820" w:rsidRDefault="00E953EE" w:rsidP="006909EB">
            <w:pPr>
              <w:jc w:val="right"/>
              <w:rPr>
                <w:rFonts w:cstheme="minorHAnsi"/>
                <w:sz w:val="22"/>
                <w:szCs w:val="22"/>
                <w:lang w:val="fr-FR"/>
              </w:rPr>
            </w:pPr>
            <w:r w:rsidRPr="001A2820">
              <w:rPr>
                <w:rFonts w:cstheme="minorHAnsi"/>
                <w:sz w:val="22"/>
                <w:szCs w:val="22"/>
                <w:lang w:val="fr-FR"/>
              </w:rPr>
              <w:t>58</w:t>
            </w:r>
            <w:r w:rsidR="00810CBB">
              <w:rPr>
                <w:rFonts w:cstheme="minorHAnsi"/>
                <w:sz w:val="22"/>
                <w:szCs w:val="22"/>
                <w:lang w:val="fr-FR"/>
              </w:rPr>
              <w:t> </w:t>
            </w:r>
            <w:r w:rsidRPr="001A2820">
              <w:rPr>
                <w:rFonts w:cstheme="minorHAnsi"/>
                <w:sz w:val="22"/>
                <w:szCs w:val="22"/>
                <w:lang w:val="fr-FR"/>
              </w:rPr>
              <w:t>500</w:t>
            </w:r>
          </w:p>
        </w:tc>
      </w:tr>
      <w:tr w:rsidR="00037F62" w:rsidRPr="001A2820" w14:paraId="1E5D107A" w14:textId="77777777" w:rsidTr="00A5411B">
        <w:trPr>
          <w:trHeight w:val="600"/>
        </w:trPr>
        <w:tc>
          <w:tcPr>
            <w:tcW w:w="1627" w:type="dxa"/>
            <w:hideMark/>
          </w:tcPr>
          <w:p w14:paraId="10E25E19" w14:textId="60515763" w:rsidR="00E953EE" w:rsidRPr="001A2820" w:rsidRDefault="00E953EE" w:rsidP="006909EB">
            <w:pPr>
              <w:rPr>
                <w:rFonts w:cstheme="minorHAnsi"/>
                <w:sz w:val="22"/>
                <w:szCs w:val="22"/>
                <w:lang w:val="fr-FR"/>
              </w:rPr>
            </w:pPr>
            <w:r w:rsidRPr="001A2820">
              <w:rPr>
                <w:rFonts w:cstheme="minorHAnsi"/>
                <w:sz w:val="22"/>
                <w:szCs w:val="22"/>
                <w:lang w:val="fr-FR"/>
              </w:rPr>
              <w:t>Argentin</w:t>
            </w:r>
            <w:r w:rsidR="000D5013" w:rsidRPr="001A2820">
              <w:rPr>
                <w:rFonts w:cstheme="minorHAnsi"/>
                <w:sz w:val="22"/>
                <w:szCs w:val="22"/>
                <w:lang w:val="fr-FR"/>
              </w:rPr>
              <w:t>e</w:t>
            </w:r>
          </w:p>
        </w:tc>
        <w:tc>
          <w:tcPr>
            <w:tcW w:w="1671" w:type="dxa"/>
            <w:hideMark/>
          </w:tcPr>
          <w:p w14:paraId="5740ABD0"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670C3662" w14:textId="77033119" w:rsidR="00E953EE" w:rsidRPr="001A2820" w:rsidRDefault="00DA319D" w:rsidP="006909EB">
            <w:pPr>
              <w:rPr>
                <w:rFonts w:cstheme="minorHAnsi"/>
                <w:sz w:val="22"/>
                <w:szCs w:val="22"/>
                <w:lang w:val="fr-FR"/>
              </w:rPr>
            </w:pPr>
            <w:r w:rsidRPr="001A2820">
              <w:rPr>
                <w:rFonts w:cstheme="minorHAnsi"/>
                <w:sz w:val="22"/>
                <w:szCs w:val="22"/>
                <w:lang w:val="fr-FR"/>
              </w:rPr>
              <w:t>D</w:t>
            </w:r>
          </w:p>
        </w:tc>
        <w:tc>
          <w:tcPr>
            <w:tcW w:w="3751" w:type="dxa"/>
            <w:hideMark/>
          </w:tcPr>
          <w:p w14:paraId="5A8F360D" w14:textId="42DC289C" w:rsidR="00E953EE" w:rsidRPr="001A2820" w:rsidRDefault="00B03BE7" w:rsidP="006909EB">
            <w:pPr>
              <w:rPr>
                <w:rFonts w:cstheme="minorHAnsi"/>
                <w:sz w:val="22"/>
                <w:szCs w:val="22"/>
                <w:lang w:val="fr-FR"/>
              </w:rPr>
            </w:pPr>
            <w:r w:rsidRPr="001A2820">
              <w:rPr>
                <w:rFonts w:cstheme="minorHAnsi"/>
                <w:sz w:val="22"/>
                <w:szCs w:val="22"/>
                <w:lang w:val="fr-FR"/>
              </w:rPr>
              <w:t xml:space="preserve">Gestion écologiquement rationnelle des </w:t>
            </w:r>
            <w:r w:rsidR="007249E8" w:rsidRPr="001A2820">
              <w:rPr>
                <w:rFonts w:cstheme="minorHAnsi"/>
                <w:sz w:val="22"/>
                <w:szCs w:val="22"/>
                <w:lang w:val="fr-FR"/>
              </w:rPr>
              <w:t>polluant organiques persistants</w:t>
            </w:r>
            <w:r w:rsidRPr="001A2820">
              <w:rPr>
                <w:rFonts w:cstheme="minorHAnsi"/>
                <w:sz w:val="22"/>
                <w:szCs w:val="22"/>
                <w:lang w:val="fr-FR"/>
              </w:rPr>
              <w:t xml:space="preserve">, du mercure et d’autres produits chimiques dangereux en Argentine </w:t>
            </w:r>
          </w:p>
        </w:tc>
        <w:tc>
          <w:tcPr>
            <w:tcW w:w="857" w:type="dxa"/>
            <w:hideMark/>
          </w:tcPr>
          <w:p w14:paraId="43197281" w14:textId="6F949CB7" w:rsidR="00E953EE" w:rsidRPr="001A2820" w:rsidRDefault="00F47184" w:rsidP="006909EB">
            <w:pPr>
              <w:rPr>
                <w:rFonts w:cstheme="minorHAnsi"/>
                <w:sz w:val="22"/>
                <w:szCs w:val="22"/>
                <w:lang w:val="fr-FR"/>
              </w:rPr>
            </w:pPr>
            <w:r>
              <w:rPr>
                <w:rFonts w:cstheme="minorHAnsi"/>
                <w:sz w:val="22"/>
                <w:szCs w:val="22"/>
                <w:lang w:val="fr-FR"/>
              </w:rPr>
              <w:t>FEM-6</w:t>
            </w:r>
          </w:p>
        </w:tc>
        <w:tc>
          <w:tcPr>
            <w:tcW w:w="889" w:type="dxa"/>
            <w:hideMark/>
          </w:tcPr>
          <w:p w14:paraId="424A9A47" w14:textId="3D091E1C" w:rsidR="00E953EE" w:rsidRPr="001A2820" w:rsidRDefault="00B03BE7" w:rsidP="006909EB">
            <w:pPr>
              <w:rPr>
                <w:rFonts w:cstheme="minorHAnsi"/>
                <w:sz w:val="22"/>
                <w:szCs w:val="22"/>
                <w:lang w:val="fr-FR"/>
              </w:rPr>
            </w:pPr>
            <w:r w:rsidRPr="001A2820">
              <w:rPr>
                <w:rFonts w:cstheme="minorHAnsi"/>
                <w:sz w:val="22"/>
                <w:szCs w:val="22"/>
                <w:lang w:val="fr-FR"/>
              </w:rPr>
              <w:t>PGE</w:t>
            </w:r>
          </w:p>
        </w:tc>
        <w:tc>
          <w:tcPr>
            <w:tcW w:w="1157" w:type="dxa"/>
            <w:hideMark/>
          </w:tcPr>
          <w:p w14:paraId="430D6059" w14:textId="234E4915" w:rsidR="00E953EE" w:rsidRPr="001A2820" w:rsidRDefault="000D5013" w:rsidP="006909EB">
            <w:pPr>
              <w:rPr>
                <w:rFonts w:cstheme="minorHAnsi"/>
                <w:sz w:val="22"/>
                <w:szCs w:val="22"/>
                <w:lang w:val="fr-FR"/>
              </w:rPr>
            </w:pPr>
            <w:r w:rsidRPr="001A2820">
              <w:rPr>
                <w:rFonts w:cstheme="minorHAnsi"/>
                <w:sz w:val="22"/>
                <w:szCs w:val="22"/>
                <w:lang w:val="fr-FR"/>
              </w:rPr>
              <w:t>PNUD</w:t>
            </w:r>
          </w:p>
        </w:tc>
        <w:tc>
          <w:tcPr>
            <w:tcW w:w="1498" w:type="dxa"/>
            <w:hideMark/>
          </w:tcPr>
          <w:p w14:paraId="733605E7" w14:textId="25739272" w:rsidR="00E953EE" w:rsidRPr="001A2820" w:rsidRDefault="00E953EE" w:rsidP="006909EB">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846</w:t>
            </w:r>
            <w:r w:rsidR="00810CBB">
              <w:rPr>
                <w:rFonts w:cstheme="minorHAnsi"/>
                <w:sz w:val="22"/>
                <w:szCs w:val="22"/>
                <w:lang w:val="fr-FR"/>
              </w:rPr>
              <w:t> </w:t>
            </w:r>
            <w:r w:rsidRPr="001A2820">
              <w:rPr>
                <w:rFonts w:cstheme="minorHAnsi"/>
                <w:sz w:val="22"/>
                <w:szCs w:val="22"/>
                <w:lang w:val="fr-FR"/>
              </w:rPr>
              <w:t>100</w:t>
            </w:r>
          </w:p>
        </w:tc>
        <w:tc>
          <w:tcPr>
            <w:tcW w:w="1592" w:type="dxa"/>
            <w:hideMark/>
          </w:tcPr>
          <w:p w14:paraId="7A8D6B5F" w14:textId="3DF0B94A" w:rsidR="00E953EE" w:rsidRPr="001A2820" w:rsidRDefault="00E953EE" w:rsidP="006909EB">
            <w:pPr>
              <w:jc w:val="right"/>
              <w:rPr>
                <w:rFonts w:cstheme="minorHAnsi"/>
                <w:sz w:val="22"/>
                <w:szCs w:val="22"/>
                <w:lang w:val="fr-FR"/>
              </w:rPr>
            </w:pPr>
            <w:r w:rsidRPr="001A2820">
              <w:rPr>
                <w:rFonts w:cstheme="minorHAnsi"/>
                <w:sz w:val="22"/>
                <w:szCs w:val="22"/>
                <w:lang w:val="fr-FR"/>
              </w:rPr>
              <w:t>34</w:t>
            </w:r>
            <w:r w:rsidR="00810CBB">
              <w:rPr>
                <w:rFonts w:cstheme="minorHAnsi"/>
                <w:sz w:val="22"/>
                <w:szCs w:val="22"/>
                <w:lang w:val="fr-FR"/>
              </w:rPr>
              <w:t> </w:t>
            </w: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r>
      <w:tr w:rsidR="00037F62" w:rsidRPr="001A2820" w14:paraId="2A30DAD2" w14:textId="77777777" w:rsidTr="00A5411B">
        <w:trPr>
          <w:trHeight w:val="300"/>
        </w:trPr>
        <w:tc>
          <w:tcPr>
            <w:tcW w:w="1627" w:type="dxa"/>
            <w:hideMark/>
          </w:tcPr>
          <w:p w14:paraId="734DE0A0" w14:textId="2ACA5EC7" w:rsidR="00E953EE" w:rsidRPr="001A2820" w:rsidRDefault="00E953EE" w:rsidP="006909EB">
            <w:pPr>
              <w:rPr>
                <w:rFonts w:cstheme="minorHAnsi"/>
                <w:sz w:val="22"/>
                <w:szCs w:val="22"/>
                <w:lang w:val="fr-FR"/>
              </w:rPr>
            </w:pPr>
            <w:r w:rsidRPr="001A2820">
              <w:rPr>
                <w:rFonts w:cstheme="minorHAnsi"/>
                <w:sz w:val="22"/>
                <w:szCs w:val="22"/>
                <w:lang w:val="fr-FR"/>
              </w:rPr>
              <w:t>Argentin</w:t>
            </w:r>
            <w:r w:rsidR="000D5013" w:rsidRPr="001A2820">
              <w:rPr>
                <w:rFonts w:cstheme="minorHAnsi"/>
                <w:sz w:val="22"/>
                <w:szCs w:val="22"/>
                <w:lang w:val="fr-FR"/>
              </w:rPr>
              <w:t>e</w:t>
            </w:r>
          </w:p>
        </w:tc>
        <w:tc>
          <w:tcPr>
            <w:tcW w:w="1671" w:type="dxa"/>
            <w:hideMark/>
          </w:tcPr>
          <w:p w14:paraId="0DAF3ED5"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170A29A7" w14:textId="4877BB5E" w:rsidR="00E953EE" w:rsidRPr="001A2820" w:rsidRDefault="00DA319D" w:rsidP="006909EB">
            <w:pPr>
              <w:rPr>
                <w:rFonts w:cstheme="minorHAnsi"/>
                <w:sz w:val="22"/>
                <w:szCs w:val="22"/>
                <w:lang w:val="fr-FR"/>
              </w:rPr>
            </w:pPr>
            <w:r w:rsidRPr="001A2820">
              <w:rPr>
                <w:rFonts w:cstheme="minorHAnsi"/>
                <w:sz w:val="22"/>
                <w:szCs w:val="22"/>
                <w:lang w:val="fr-FR"/>
              </w:rPr>
              <w:t>D</w:t>
            </w:r>
          </w:p>
        </w:tc>
        <w:tc>
          <w:tcPr>
            <w:tcW w:w="3751" w:type="dxa"/>
            <w:hideMark/>
          </w:tcPr>
          <w:p w14:paraId="7BECAEF3" w14:textId="7172E647" w:rsidR="00E953EE" w:rsidRPr="001A2820" w:rsidRDefault="00B03BE7" w:rsidP="006909EB">
            <w:pPr>
              <w:rPr>
                <w:rFonts w:cstheme="minorHAnsi"/>
                <w:sz w:val="22"/>
                <w:szCs w:val="22"/>
                <w:lang w:val="fr-FR"/>
              </w:rPr>
            </w:pPr>
            <w:r w:rsidRPr="001A2820">
              <w:rPr>
                <w:rFonts w:cstheme="minorHAnsi"/>
                <w:sz w:val="22"/>
                <w:szCs w:val="22"/>
                <w:lang w:val="fr-FR"/>
              </w:rPr>
              <w:t>Évaluation initiale de la Convention de Minamata pour l’</w:t>
            </w:r>
            <w:r w:rsidR="00E953EE" w:rsidRPr="001A2820">
              <w:rPr>
                <w:rFonts w:cstheme="minorHAnsi"/>
                <w:sz w:val="22"/>
                <w:szCs w:val="22"/>
                <w:lang w:val="fr-FR"/>
              </w:rPr>
              <w:t>Argentin</w:t>
            </w:r>
            <w:r w:rsidRPr="001A2820">
              <w:rPr>
                <w:rFonts w:cstheme="minorHAnsi"/>
                <w:sz w:val="22"/>
                <w:szCs w:val="22"/>
                <w:lang w:val="fr-FR"/>
              </w:rPr>
              <w:t>e</w:t>
            </w:r>
          </w:p>
        </w:tc>
        <w:tc>
          <w:tcPr>
            <w:tcW w:w="857" w:type="dxa"/>
            <w:hideMark/>
          </w:tcPr>
          <w:p w14:paraId="4200A4D3" w14:textId="566A9B60" w:rsidR="00E953EE" w:rsidRPr="001A2820" w:rsidRDefault="00F47184" w:rsidP="006909EB">
            <w:pPr>
              <w:rPr>
                <w:rFonts w:cstheme="minorHAnsi"/>
                <w:sz w:val="22"/>
                <w:szCs w:val="22"/>
                <w:lang w:val="fr-FR"/>
              </w:rPr>
            </w:pPr>
            <w:r>
              <w:rPr>
                <w:rFonts w:cstheme="minorHAnsi"/>
                <w:sz w:val="22"/>
                <w:szCs w:val="22"/>
                <w:lang w:val="fr-FR"/>
              </w:rPr>
              <w:t>FEM-6</w:t>
            </w:r>
          </w:p>
        </w:tc>
        <w:tc>
          <w:tcPr>
            <w:tcW w:w="889" w:type="dxa"/>
            <w:hideMark/>
          </w:tcPr>
          <w:p w14:paraId="2DC018EE" w14:textId="7588269A" w:rsidR="00E953EE" w:rsidRPr="001A2820" w:rsidRDefault="003312F0" w:rsidP="006909EB">
            <w:pPr>
              <w:rPr>
                <w:rFonts w:cstheme="minorHAnsi"/>
                <w:sz w:val="22"/>
                <w:szCs w:val="22"/>
                <w:lang w:val="fr-FR"/>
              </w:rPr>
            </w:pPr>
            <w:r w:rsidRPr="001A2820">
              <w:rPr>
                <w:rFonts w:cstheme="minorHAnsi"/>
                <w:sz w:val="22"/>
                <w:szCs w:val="22"/>
                <w:lang w:val="fr-FR"/>
              </w:rPr>
              <w:t>AH</w:t>
            </w:r>
          </w:p>
        </w:tc>
        <w:tc>
          <w:tcPr>
            <w:tcW w:w="1157" w:type="dxa"/>
            <w:hideMark/>
          </w:tcPr>
          <w:p w14:paraId="3D8939FA" w14:textId="4847C23E" w:rsidR="00E953EE" w:rsidRPr="001A2820" w:rsidRDefault="000D5013" w:rsidP="006909EB">
            <w:pPr>
              <w:rPr>
                <w:rFonts w:cstheme="minorHAnsi"/>
                <w:sz w:val="22"/>
                <w:szCs w:val="22"/>
                <w:lang w:val="fr-FR"/>
              </w:rPr>
            </w:pPr>
            <w:r w:rsidRPr="001A2820">
              <w:rPr>
                <w:rFonts w:cstheme="minorHAnsi"/>
                <w:sz w:val="22"/>
                <w:szCs w:val="22"/>
                <w:lang w:val="fr-FR"/>
              </w:rPr>
              <w:t>PNUD</w:t>
            </w:r>
          </w:p>
        </w:tc>
        <w:tc>
          <w:tcPr>
            <w:tcW w:w="1498" w:type="dxa"/>
            <w:hideMark/>
          </w:tcPr>
          <w:p w14:paraId="54820BA7" w14:textId="5D172FA3" w:rsidR="00E953EE" w:rsidRPr="001A2820" w:rsidRDefault="00E953EE" w:rsidP="006909EB">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1C05EBB9" w14:textId="77777777" w:rsidR="00E953EE" w:rsidRPr="001A2820" w:rsidRDefault="00E953EE" w:rsidP="006909EB">
            <w:pPr>
              <w:jc w:val="right"/>
              <w:rPr>
                <w:rFonts w:cstheme="minorHAnsi"/>
                <w:sz w:val="22"/>
                <w:szCs w:val="22"/>
                <w:lang w:val="fr-FR"/>
              </w:rPr>
            </w:pPr>
            <w:r w:rsidRPr="001A2820">
              <w:rPr>
                <w:rFonts w:cstheme="minorHAnsi"/>
                <w:sz w:val="22"/>
                <w:szCs w:val="22"/>
                <w:lang w:val="fr-FR"/>
              </w:rPr>
              <w:t> 0</w:t>
            </w:r>
          </w:p>
        </w:tc>
      </w:tr>
      <w:tr w:rsidR="00037F62" w:rsidRPr="001A2820" w14:paraId="3BD070C3" w14:textId="77777777" w:rsidTr="00A5411B">
        <w:trPr>
          <w:trHeight w:val="1200"/>
        </w:trPr>
        <w:tc>
          <w:tcPr>
            <w:tcW w:w="1627" w:type="dxa"/>
            <w:hideMark/>
          </w:tcPr>
          <w:p w14:paraId="2F477020" w14:textId="7180F2BA" w:rsidR="00E953EE" w:rsidRPr="001A2820" w:rsidRDefault="00E953EE" w:rsidP="006909EB">
            <w:pPr>
              <w:rPr>
                <w:rFonts w:cstheme="minorHAnsi"/>
                <w:sz w:val="22"/>
                <w:szCs w:val="22"/>
                <w:lang w:val="fr-FR"/>
              </w:rPr>
            </w:pPr>
            <w:r w:rsidRPr="001A2820">
              <w:rPr>
                <w:rFonts w:cstheme="minorHAnsi"/>
                <w:sz w:val="22"/>
                <w:szCs w:val="22"/>
                <w:lang w:val="fr-FR"/>
              </w:rPr>
              <w:t>Argentin</w:t>
            </w:r>
            <w:r w:rsidR="000D5013" w:rsidRPr="001A2820">
              <w:rPr>
                <w:rFonts w:cstheme="minorHAnsi"/>
                <w:sz w:val="22"/>
                <w:szCs w:val="22"/>
                <w:lang w:val="fr-FR"/>
              </w:rPr>
              <w:t>e</w:t>
            </w:r>
          </w:p>
        </w:tc>
        <w:tc>
          <w:tcPr>
            <w:tcW w:w="1671" w:type="dxa"/>
            <w:hideMark/>
          </w:tcPr>
          <w:p w14:paraId="62A53A30"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77B636F9" w14:textId="77777777" w:rsidR="00E953EE" w:rsidRPr="001A2820" w:rsidRDefault="00E953EE" w:rsidP="006909EB">
            <w:pPr>
              <w:rPr>
                <w:rFonts w:cstheme="minorHAnsi"/>
                <w:sz w:val="22"/>
                <w:szCs w:val="22"/>
                <w:lang w:val="fr-FR"/>
              </w:rPr>
            </w:pPr>
            <w:r w:rsidRPr="001A2820">
              <w:rPr>
                <w:rFonts w:cstheme="minorHAnsi"/>
                <w:sz w:val="22"/>
                <w:szCs w:val="22"/>
                <w:lang w:val="fr-FR"/>
              </w:rPr>
              <w:t>P</w:t>
            </w:r>
            <w:r w:rsidRPr="001A2820">
              <w:rPr>
                <w:rStyle w:val="FootnoteReference"/>
                <w:rFonts w:cstheme="minorHAnsi"/>
                <w:sz w:val="22"/>
                <w:szCs w:val="22"/>
                <w:lang w:val="fr-FR"/>
              </w:rPr>
              <w:footnoteReference w:id="17"/>
            </w:r>
          </w:p>
        </w:tc>
        <w:tc>
          <w:tcPr>
            <w:tcW w:w="3751" w:type="dxa"/>
            <w:hideMark/>
          </w:tcPr>
          <w:p w14:paraId="2467F21C" w14:textId="4E805765" w:rsidR="00E953EE" w:rsidRPr="001A2820" w:rsidRDefault="00B03BE7" w:rsidP="006909EB">
            <w:pPr>
              <w:rPr>
                <w:rFonts w:cstheme="minorHAnsi"/>
                <w:sz w:val="22"/>
                <w:szCs w:val="22"/>
                <w:lang w:val="fr-FR"/>
              </w:rPr>
            </w:pPr>
            <w:r w:rsidRPr="001A2820">
              <w:rPr>
                <w:rFonts w:cstheme="minorHAnsi"/>
                <w:sz w:val="22"/>
                <w:szCs w:val="22"/>
                <w:lang w:val="fr-FR"/>
              </w:rPr>
              <w:t>Projet préparatoire visant à faciliter la mise en œuvre de l’instrument juridiquement contraignant sur le mercure</w:t>
            </w:r>
            <w:r w:rsidR="00E953EE" w:rsidRPr="001A2820">
              <w:rPr>
                <w:rFonts w:cstheme="minorHAnsi"/>
                <w:sz w:val="22"/>
                <w:szCs w:val="22"/>
                <w:lang w:val="fr-FR"/>
              </w:rPr>
              <w:t xml:space="preserve"> (</w:t>
            </w:r>
            <w:r w:rsidRPr="001A2820">
              <w:rPr>
                <w:rFonts w:cstheme="minorHAnsi"/>
                <w:sz w:val="22"/>
                <w:szCs w:val="22"/>
                <w:lang w:val="fr-FR"/>
              </w:rPr>
              <w:t xml:space="preserve">Convention de </w:t>
            </w:r>
            <w:r w:rsidR="00E953EE" w:rsidRPr="001A2820">
              <w:rPr>
                <w:rFonts w:cstheme="minorHAnsi"/>
                <w:sz w:val="22"/>
                <w:szCs w:val="22"/>
                <w:lang w:val="fr-FR"/>
              </w:rPr>
              <w:t xml:space="preserve">Minamata) </w:t>
            </w:r>
            <w:r w:rsidRPr="001A2820">
              <w:rPr>
                <w:rFonts w:cstheme="minorHAnsi"/>
                <w:sz w:val="22"/>
                <w:szCs w:val="22"/>
                <w:lang w:val="fr-FR"/>
              </w:rPr>
              <w:t>e</w:t>
            </w:r>
            <w:r w:rsidR="00E953EE" w:rsidRPr="001A2820">
              <w:rPr>
                <w:rFonts w:cstheme="minorHAnsi"/>
                <w:sz w:val="22"/>
                <w:szCs w:val="22"/>
                <w:lang w:val="fr-FR"/>
              </w:rPr>
              <w:t>n Argentin</w:t>
            </w:r>
            <w:r w:rsidR="00E95868">
              <w:rPr>
                <w:rFonts w:cstheme="minorHAnsi"/>
                <w:sz w:val="22"/>
                <w:szCs w:val="22"/>
                <w:lang w:val="fr-FR"/>
              </w:rPr>
              <w:t>e</w:t>
            </w:r>
            <w:r w:rsidR="00E953EE" w:rsidRPr="001A2820">
              <w:rPr>
                <w:rFonts w:cstheme="minorHAnsi"/>
                <w:sz w:val="22"/>
                <w:szCs w:val="22"/>
                <w:lang w:val="fr-FR"/>
              </w:rPr>
              <w:t xml:space="preserve"> </w:t>
            </w:r>
            <w:r w:rsidRPr="001A2820">
              <w:rPr>
                <w:rFonts w:cstheme="minorHAnsi"/>
                <w:sz w:val="22"/>
                <w:szCs w:val="22"/>
                <w:lang w:val="fr-FR"/>
              </w:rPr>
              <w:t>afin de protéger la santé et l’environnement</w:t>
            </w:r>
          </w:p>
        </w:tc>
        <w:tc>
          <w:tcPr>
            <w:tcW w:w="857" w:type="dxa"/>
            <w:hideMark/>
          </w:tcPr>
          <w:p w14:paraId="42BFD531" w14:textId="33DBF04A" w:rsidR="00E953EE" w:rsidRPr="001A2820" w:rsidRDefault="00F47184" w:rsidP="006909EB">
            <w:pPr>
              <w:rPr>
                <w:rFonts w:cstheme="minorHAnsi"/>
                <w:sz w:val="22"/>
                <w:szCs w:val="22"/>
                <w:lang w:val="fr-FR"/>
              </w:rPr>
            </w:pPr>
            <w:r>
              <w:rPr>
                <w:rFonts w:cstheme="minorHAnsi"/>
                <w:sz w:val="22"/>
                <w:szCs w:val="22"/>
                <w:lang w:val="fr-FR"/>
              </w:rPr>
              <w:t>FEM-5</w:t>
            </w:r>
          </w:p>
        </w:tc>
        <w:tc>
          <w:tcPr>
            <w:tcW w:w="889" w:type="dxa"/>
            <w:hideMark/>
          </w:tcPr>
          <w:p w14:paraId="54629B68" w14:textId="5DB16712" w:rsidR="00E953EE" w:rsidRPr="001A2820" w:rsidRDefault="008C469C" w:rsidP="006909EB">
            <w:pPr>
              <w:rPr>
                <w:rFonts w:cstheme="minorHAnsi"/>
                <w:sz w:val="22"/>
                <w:szCs w:val="22"/>
                <w:lang w:val="fr-FR"/>
              </w:rPr>
            </w:pPr>
            <w:r w:rsidRPr="001A2820">
              <w:rPr>
                <w:rFonts w:cstheme="minorHAnsi"/>
                <w:sz w:val="22"/>
                <w:szCs w:val="22"/>
                <w:lang w:val="fr-FR"/>
              </w:rPr>
              <w:t>PME</w:t>
            </w:r>
          </w:p>
        </w:tc>
        <w:tc>
          <w:tcPr>
            <w:tcW w:w="1157" w:type="dxa"/>
            <w:hideMark/>
          </w:tcPr>
          <w:p w14:paraId="65F0C01E" w14:textId="5DBFD8FF" w:rsidR="00E953EE" w:rsidRPr="001A2820" w:rsidRDefault="000D5013" w:rsidP="006909EB">
            <w:pPr>
              <w:rPr>
                <w:rFonts w:cstheme="minorHAnsi"/>
                <w:sz w:val="22"/>
                <w:szCs w:val="22"/>
                <w:lang w:val="fr-FR"/>
              </w:rPr>
            </w:pPr>
            <w:r w:rsidRPr="001A2820">
              <w:rPr>
                <w:rFonts w:cstheme="minorHAnsi"/>
                <w:sz w:val="22"/>
                <w:szCs w:val="22"/>
                <w:lang w:val="fr-FR"/>
              </w:rPr>
              <w:t>ONUDI</w:t>
            </w:r>
          </w:p>
        </w:tc>
        <w:tc>
          <w:tcPr>
            <w:tcW w:w="1498" w:type="dxa"/>
            <w:hideMark/>
          </w:tcPr>
          <w:p w14:paraId="600728D8" w14:textId="574F8856" w:rsidR="00E953EE" w:rsidRPr="001A2820" w:rsidRDefault="00E953EE" w:rsidP="006909EB">
            <w:pPr>
              <w:jc w:val="right"/>
              <w:rPr>
                <w:rFonts w:cstheme="minorHAnsi"/>
                <w:sz w:val="22"/>
                <w:szCs w:val="22"/>
                <w:lang w:val="fr-FR"/>
              </w:rPr>
            </w:pPr>
            <w:r w:rsidRPr="001A2820">
              <w:rPr>
                <w:rFonts w:cstheme="minorHAnsi"/>
                <w:sz w:val="22"/>
                <w:szCs w:val="22"/>
                <w:lang w:val="fr-FR"/>
              </w:rPr>
              <w:t>350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DB6E088" w14:textId="37D0BBE8" w:rsidR="00E953EE" w:rsidRPr="001A2820" w:rsidRDefault="00E953EE" w:rsidP="006909EB">
            <w:pPr>
              <w:jc w:val="right"/>
              <w:rPr>
                <w:rFonts w:cstheme="minorHAnsi"/>
                <w:sz w:val="22"/>
                <w:szCs w:val="22"/>
                <w:lang w:val="fr-FR"/>
              </w:rPr>
            </w:pPr>
            <w:r w:rsidRPr="001A2820">
              <w:rPr>
                <w:rFonts w:cstheme="minorHAnsi"/>
                <w:sz w:val="22"/>
                <w:szCs w:val="22"/>
                <w:lang w:val="fr-FR"/>
              </w:rPr>
              <w:t>530</w:t>
            </w:r>
            <w:r w:rsidR="00810CBB">
              <w:rPr>
                <w:rFonts w:cstheme="minorHAnsi"/>
                <w:sz w:val="22"/>
                <w:szCs w:val="22"/>
                <w:lang w:val="fr-FR"/>
              </w:rPr>
              <w:t> </w:t>
            </w:r>
            <w:r w:rsidRPr="001A2820">
              <w:rPr>
                <w:rFonts w:cstheme="minorHAnsi"/>
                <w:sz w:val="22"/>
                <w:szCs w:val="22"/>
                <w:lang w:val="fr-FR"/>
              </w:rPr>
              <w:t>000</w:t>
            </w:r>
          </w:p>
        </w:tc>
      </w:tr>
      <w:tr w:rsidR="00037F62" w:rsidRPr="001A2820" w14:paraId="4C3DA232" w14:textId="77777777" w:rsidTr="00A5411B">
        <w:trPr>
          <w:trHeight w:val="600"/>
        </w:trPr>
        <w:tc>
          <w:tcPr>
            <w:tcW w:w="1627" w:type="dxa"/>
            <w:hideMark/>
          </w:tcPr>
          <w:p w14:paraId="4682BAE3" w14:textId="2DCD5D4F" w:rsidR="00E953EE" w:rsidRPr="001A2820" w:rsidRDefault="00E953EE" w:rsidP="006909EB">
            <w:pPr>
              <w:rPr>
                <w:rFonts w:cstheme="minorHAnsi"/>
                <w:sz w:val="22"/>
                <w:szCs w:val="22"/>
                <w:lang w:val="fr-FR"/>
              </w:rPr>
            </w:pPr>
            <w:r w:rsidRPr="001A2820">
              <w:rPr>
                <w:rFonts w:cstheme="minorHAnsi"/>
                <w:sz w:val="22"/>
                <w:szCs w:val="22"/>
                <w:lang w:val="fr-FR"/>
              </w:rPr>
              <w:t>Arm</w:t>
            </w:r>
            <w:r w:rsidR="000D5013" w:rsidRPr="001A2820">
              <w:rPr>
                <w:rFonts w:cstheme="minorHAnsi"/>
                <w:sz w:val="22"/>
                <w:szCs w:val="22"/>
                <w:lang w:val="fr-FR"/>
              </w:rPr>
              <w:t>é</w:t>
            </w:r>
            <w:r w:rsidRPr="001A2820">
              <w:rPr>
                <w:rFonts w:cstheme="minorHAnsi"/>
                <w:sz w:val="22"/>
                <w:szCs w:val="22"/>
                <w:lang w:val="fr-FR"/>
              </w:rPr>
              <w:t>ni</w:t>
            </w:r>
            <w:r w:rsidR="000D5013" w:rsidRPr="001A2820">
              <w:rPr>
                <w:rFonts w:cstheme="minorHAnsi"/>
                <w:sz w:val="22"/>
                <w:szCs w:val="22"/>
                <w:lang w:val="fr-FR"/>
              </w:rPr>
              <w:t>e</w:t>
            </w:r>
          </w:p>
        </w:tc>
        <w:tc>
          <w:tcPr>
            <w:tcW w:w="1671" w:type="dxa"/>
            <w:hideMark/>
          </w:tcPr>
          <w:p w14:paraId="20486C56" w14:textId="77777777" w:rsidR="00E953EE" w:rsidRPr="001A2820" w:rsidRDefault="00E953EE" w:rsidP="006909EB">
            <w:pPr>
              <w:rPr>
                <w:rFonts w:cstheme="minorHAnsi"/>
                <w:sz w:val="22"/>
                <w:szCs w:val="22"/>
                <w:lang w:val="fr-FR"/>
              </w:rPr>
            </w:pPr>
            <w:r w:rsidRPr="001A2820">
              <w:rPr>
                <w:rFonts w:cstheme="minorHAnsi"/>
                <w:sz w:val="22"/>
                <w:szCs w:val="22"/>
                <w:lang w:val="fr-FR"/>
              </w:rPr>
              <w:t> </w:t>
            </w:r>
          </w:p>
        </w:tc>
        <w:tc>
          <w:tcPr>
            <w:tcW w:w="1463" w:type="dxa"/>
            <w:hideMark/>
          </w:tcPr>
          <w:p w14:paraId="1570D8DD" w14:textId="77777777" w:rsidR="00E953EE" w:rsidRPr="001A2820" w:rsidRDefault="00E953EE" w:rsidP="006909EB">
            <w:pPr>
              <w:rPr>
                <w:rFonts w:cstheme="minorHAnsi"/>
                <w:sz w:val="22"/>
                <w:szCs w:val="22"/>
                <w:lang w:val="fr-FR"/>
              </w:rPr>
            </w:pPr>
            <w:r w:rsidRPr="001A2820">
              <w:rPr>
                <w:rFonts w:cstheme="minorHAnsi"/>
                <w:sz w:val="22"/>
                <w:szCs w:val="22"/>
                <w:lang w:val="fr-FR"/>
              </w:rPr>
              <w:t>P</w:t>
            </w:r>
          </w:p>
        </w:tc>
        <w:tc>
          <w:tcPr>
            <w:tcW w:w="3751" w:type="dxa"/>
            <w:hideMark/>
          </w:tcPr>
          <w:p w14:paraId="253C63EA" w14:textId="6A5F92D4" w:rsidR="00E953EE" w:rsidRPr="001A2820" w:rsidRDefault="00B03BE7" w:rsidP="006909EB">
            <w:pPr>
              <w:rPr>
                <w:rFonts w:cstheme="minorHAnsi"/>
                <w:sz w:val="22"/>
                <w:szCs w:val="22"/>
                <w:lang w:val="fr-FR"/>
              </w:rPr>
            </w:pPr>
            <w:r w:rsidRPr="001A2820">
              <w:rPr>
                <w:rFonts w:cstheme="minorHAnsi"/>
                <w:sz w:val="22"/>
                <w:szCs w:val="22"/>
                <w:lang w:val="fr-FR"/>
              </w:rPr>
              <w:t>Évaluation initiale de la Convention de Minamata en</w:t>
            </w:r>
            <w:r w:rsidR="00E953EE" w:rsidRPr="001A2820">
              <w:rPr>
                <w:rFonts w:cstheme="minorHAnsi"/>
                <w:sz w:val="22"/>
                <w:szCs w:val="22"/>
                <w:lang w:val="fr-FR"/>
              </w:rPr>
              <w:t xml:space="preserve"> </w:t>
            </w:r>
            <w:r w:rsidRPr="001A2820">
              <w:rPr>
                <w:rFonts w:cstheme="minorHAnsi"/>
                <w:sz w:val="22"/>
                <w:szCs w:val="22"/>
                <w:lang w:val="fr-FR"/>
              </w:rPr>
              <w:t>République d’Arménie</w:t>
            </w:r>
          </w:p>
        </w:tc>
        <w:tc>
          <w:tcPr>
            <w:tcW w:w="857" w:type="dxa"/>
            <w:hideMark/>
          </w:tcPr>
          <w:p w14:paraId="18D1C261" w14:textId="25D367FB" w:rsidR="00E953EE" w:rsidRPr="001A2820" w:rsidRDefault="00F47184" w:rsidP="006909EB">
            <w:pPr>
              <w:rPr>
                <w:rFonts w:cstheme="minorHAnsi"/>
                <w:sz w:val="22"/>
                <w:szCs w:val="22"/>
                <w:lang w:val="fr-FR"/>
              </w:rPr>
            </w:pPr>
            <w:r>
              <w:rPr>
                <w:rFonts w:cstheme="minorHAnsi"/>
                <w:sz w:val="22"/>
                <w:szCs w:val="22"/>
                <w:lang w:val="fr-FR"/>
              </w:rPr>
              <w:t>FEM-5</w:t>
            </w:r>
          </w:p>
        </w:tc>
        <w:tc>
          <w:tcPr>
            <w:tcW w:w="889" w:type="dxa"/>
            <w:hideMark/>
          </w:tcPr>
          <w:p w14:paraId="421AC9D2" w14:textId="77A3C2ED" w:rsidR="00E953EE" w:rsidRPr="001A2820" w:rsidRDefault="003312F0" w:rsidP="006909EB">
            <w:pPr>
              <w:rPr>
                <w:rFonts w:cstheme="minorHAnsi"/>
                <w:sz w:val="22"/>
                <w:szCs w:val="22"/>
                <w:lang w:val="fr-FR"/>
              </w:rPr>
            </w:pPr>
            <w:r w:rsidRPr="001A2820">
              <w:rPr>
                <w:rFonts w:cstheme="minorHAnsi"/>
                <w:sz w:val="22"/>
                <w:szCs w:val="22"/>
                <w:lang w:val="fr-FR"/>
              </w:rPr>
              <w:t>AH</w:t>
            </w:r>
          </w:p>
        </w:tc>
        <w:tc>
          <w:tcPr>
            <w:tcW w:w="1157" w:type="dxa"/>
            <w:hideMark/>
          </w:tcPr>
          <w:p w14:paraId="18BD5B2D" w14:textId="7946A96B" w:rsidR="00E953EE" w:rsidRPr="001A2820" w:rsidRDefault="000D5013" w:rsidP="006909EB">
            <w:pPr>
              <w:rPr>
                <w:rFonts w:cstheme="minorHAnsi"/>
                <w:sz w:val="22"/>
                <w:szCs w:val="22"/>
                <w:lang w:val="fr-FR"/>
              </w:rPr>
            </w:pPr>
            <w:r w:rsidRPr="001A2820">
              <w:rPr>
                <w:rFonts w:cstheme="minorHAnsi"/>
                <w:sz w:val="22"/>
                <w:szCs w:val="22"/>
                <w:lang w:val="fr-FR"/>
              </w:rPr>
              <w:t>ONUDI</w:t>
            </w:r>
          </w:p>
        </w:tc>
        <w:tc>
          <w:tcPr>
            <w:tcW w:w="1498" w:type="dxa"/>
            <w:hideMark/>
          </w:tcPr>
          <w:p w14:paraId="335F97AD" w14:textId="0E20AC44" w:rsidR="00E953EE" w:rsidRPr="001A2820" w:rsidRDefault="00E953EE" w:rsidP="006909EB">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754AA8E0" w14:textId="2F49B016" w:rsidR="00E953EE" w:rsidRPr="001A2820" w:rsidRDefault="00E953EE" w:rsidP="006909EB">
            <w:pPr>
              <w:jc w:val="right"/>
              <w:rPr>
                <w:rFonts w:cstheme="minorHAnsi"/>
                <w:sz w:val="22"/>
                <w:szCs w:val="22"/>
                <w:lang w:val="fr-FR"/>
              </w:rPr>
            </w:pPr>
            <w:r w:rsidRPr="001A2820">
              <w:rPr>
                <w:rFonts w:cstheme="minorHAnsi"/>
                <w:sz w:val="22"/>
                <w:szCs w:val="22"/>
                <w:lang w:val="fr-FR"/>
              </w:rPr>
              <w:t>22</w:t>
            </w:r>
            <w:r w:rsidR="00810CBB">
              <w:rPr>
                <w:rFonts w:cstheme="minorHAnsi"/>
                <w:sz w:val="22"/>
                <w:szCs w:val="22"/>
                <w:lang w:val="fr-FR"/>
              </w:rPr>
              <w:t> </w:t>
            </w:r>
            <w:r w:rsidRPr="001A2820">
              <w:rPr>
                <w:rFonts w:cstheme="minorHAnsi"/>
                <w:sz w:val="22"/>
                <w:szCs w:val="22"/>
                <w:lang w:val="fr-FR"/>
              </w:rPr>
              <w:t>000</w:t>
            </w:r>
          </w:p>
        </w:tc>
      </w:tr>
      <w:tr w:rsidR="0027787C" w:rsidRPr="001A2820" w14:paraId="46DBD21D" w14:textId="77777777" w:rsidTr="00A5411B">
        <w:trPr>
          <w:trHeight w:val="900"/>
        </w:trPr>
        <w:tc>
          <w:tcPr>
            <w:tcW w:w="1627" w:type="dxa"/>
          </w:tcPr>
          <w:p w14:paraId="268AF8D9" w14:textId="534189AF" w:rsidR="0027787C" w:rsidRPr="001A2820" w:rsidRDefault="0027787C" w:rsidP="0027787C">
            <w:pPr>
              <w:rPr>
                <w:rFonts w:cstheme="minorHAnsi"/>
                <w:sz w:val="22"/>
                <w:szCs w:val="22"/>
                <w:lang w:val="fr-FR"/>
              </w:rPr>
            </w:pPr>
            <w:r w:rsidRPr="001A2820">
              <w:rPr>
                <w:rFonts w:cstheme="minorHAnsi"/>
                <w:sz w:val="22"/>
                <w:szCs w:val="22"/>
                <w:lang w:val="fr-FR"/>
              </w:rPr>
              <w:lastRenderedPageBreak/>
              <w:t>Afrique du Sud</w:t>
            </w:r>
          </w:p>
        </w:tc>
        <w:tc>
          <w:tcPr>
            <w:tcW w:w="1671" w:type="dxa"/>
          </w:tcPr>
          <w:p w14:paraId="3C7956FA" w14:textId="144BDEA3"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160A8CDD" w14:textId="3DA8C17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2DCABE2C" w14:textId="0E120F07"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en Afrique du Sud</w:t>
            </w:r>
          </w:p>
        </w:tc>
        <w:tc>
          <w:tcPr>
            <w:tcW w:w="857" w:type="dxa"/>
          </w:tcPr>
          <w:p w14:paraId="55EE6730" w14:textId="357BD61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35F98809" w14:textId="0EB876DE"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40E494D1" w14:textId="55B4D85F"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tcPr>
          <w:p w14:paraId="1C2DDDB6" w14:textId="6B19373F" w:rsidR="0027787C" w:rsidRPr="001A2820" w:rsidRDefault="0027787C" w:rsidP="0027787C">
            <w:pPr>
              <w:jc w:val="right"/>
              <w:rPr>
                <w:rFonts w:cstheme="minorHAnsi"/>
                <w:sz w:val="22"/>
                <w:szCs w:val="22"/>
                <w:lang w:val="fr-FR"/>
              </w:rPr>
            </w:pPr>
            <w:r w:rsidRPr="001A2820">
              <w:rPr>
                <w:rFonts w:cstheme="minorHAnsi"/>
                <w:sz w:val="22"/>
                <w:szCs w:val="22"/>
                <w:lang w:val="fr-FR"/>
              </w:rPr>
              <w:t>1000</w:t>
            </w:r>
            <w:r w:rsidR="00810CBB">
              <w:rPr>
                <w:rFonts w:cstheme="minorHAnsi"/>
                <w:sz w:val="22"/>
                <w:szCs w:val="22"/>
                <w:lang w:val="fr-FR"/>
              </w:rPr>
              <w:t> </w:t>
            </w:r>
            <w:r w:rsidRPr="001A2820">
              <w:rPr>
                <w:rFonts w:cstheme="minorHAnsi"/>
                <w:sz w:val="22"/>
                <w:szCs w:val="22"/>
                <w:lang w:val="fr-FR"/>
              </w:rPr>
              <w:t>000</w:t>
            </w:r>
          </w:p>
        </w:tc>
        <w:tc>
          <w:tcPr>
            <w:tcW w:w="1592" w:type="dxa"/>
          </w:tcPr>
          <w:p w14:paraId="269F430B" w14:textId="7106B4B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1076B30C" w14:textId="77777777" w:rsidTr="00A5411B">
        <w:trPr>
          <w:trHeight w:val="900"/>
        </w:trPr>
        <w:tc>
          <w:tcPr>
            <w:tcW w:w="1627" w:type="dxa"/>
            <w:hideMark/>
          </w:tcPr>
          <w:p w14:paraId="738425B6" w14:textId="13E97D98" w:rsidR="0027787C" w:rsidRPr="001A2820" w:rsidRDefault="0027787C" w:rsidP="0027787C">
            <w:pPr>
              <w:rPr>
                <w:rFonts w:cstheme="minorHAnsi"/>
                <w:sz w:val="22"/>
                <w:szCs w:val="22"/>
                <w:lang w:val="fr-FR"/>
              </w:rPr>
            </w:pPr>
            <w:r w:rsidRPr="001A2820">
              <w:rPr>
                <w:rFonts w:cstheme="minorHAnsi"/>
                <w:sz w:val="22"/>
                <w:szCs w:val="22"/>
                <w:lang w:val="fr-FR"/>
              </w:rPr>
              <w:t>Azerbaïdjan</w:t>
            </w:r>
          </w:p>
        </w:tc>
        <w:tc>
          <w:tcPr>
            <w:tcW w:w="1671" w:type="dxa"/>
            <w:hideMark/>
          </w:tcPr>
          <w:p w14:paraId="2FA7B73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02DB6BD" w14:textId="42D70979"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4C85C1C" w14:textId="48BFC770" w:rsidR="0027787C" w:rsidRPr="001A2820" w:rsidRDefault="0027787C" w:rsidP="0027787C">
            <w:pPr>
              <w:rPr>
                <w:rFonts w:cstheme="minorHAnsi"/>
                <w:sz w:val="22"/>
                <w:szCs w:val="22"/>
                <w:lang w:val="fr-FR"/>
              </w:rPr>
            </w:pPr>
            <w:r w:rsidRPr="001A2820">
              <w:rPr>
                <w:rFonts w:cstheme="minorHAnsi"/>
                <w:sz w:val="22"/>
                <w:szCs w:val="22"/>
                <w:lang w:val="fr-FR"/>
              </w:rPr>
              <w:t xml:space="preserve">Renforcement des processus décisionnels nationaux en vue de la ratification de la Convention de Minamata et des capacités en vue de la mise en œuvre de dispositions futures </w:t>
            </w:r>
          </w:p>
        </w:tc>
        <w:tc>
          <w:tcPr>
            <w:tcW w:w="857" w:type="dxa"/>
            <w:hideMark/>
          </w:tcPr>
          <w:p w14:paraId="158263C8" w14:textId="79658B6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63ABFAE" w14:textId="41B668E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6D84FC0" w14:textId="363FAE3D"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437854E9" w14:textId="663C7C2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7A5E5884"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39643B3E" w14:textId="77777777" w:rsidTr="00A5411B">
        <w:trPr>
          <w:trHeight w:val="300"/>
        </w:trPr>
        <w:tc>
          <w:tcPr>
            <w:tcW w:w="1627" w:type="dxa"/>
            <w:hideMark/>
          </w:tcPr>
          <w:p w14:paraId="34BF86D6" w14:textId="066A8643" w:rsidR="0027787C" w:rsidRPr="001A2820" w:rsidRDefault="0027787C" w:rsidP="0027787C">
            <w:pPr>
              <w:rPr>
                <w:rFonts w:cstheme="minorHAnsi"/>
                <w:sz w:val="22"/>
                <w:szCs w:val="22"/>
                <w:lang w:val="fr-FR"/>
              </w:rPr>
            </w:pPr>
            <w:r w:rsidRPr="001A2820">
              <w:rPr>
                <w:rFonts w:cstheme="minorHAnsi"/>
                <w:sz w:val="22"/>
                <w:szCs w:val="22"/>
                <w:lang w:val="fr-FR"/>
              </w:rPr>
              <w:t>Bélarus</w:t>
            </w:r>
          </w:p>
        </w:tc>
        <w:tc>
          <w:tcPr>
            <w:tcW w:w="1671" w:type="dxa"/>
            <w:hideMark/>
          </w:tcPr>
          <w:p w14:paraId="32A4916A"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E6B68E5" w14:textId="7F86222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9A40DC8" w14:textId="00DBE3F8" w:rsidR="0027787C" w:rsidRPr="001A2820" w:rsidRDefault="0027787C" w:rsidP="0027787C">
            <w:pPr>
              <w:rPr>
                <w:rFonts w:cstheme="minorHAnsi"/>
                <w:sz w:val="22"/>
                <w:szCs w:val="22"/>
                <w:lang w:val="fr-FR"/>
              </w:rPr>
            </w:pPr>
            <w:r w:rsidRPr="001A2820">
              <w:rPr>
                <w:sz w:val="22"/>
                <w:szCs w:val="22"/>
                <w:lang w:val="fr-FR"/>
              </w:rPr>
              <w:t>É</w:t>
            </w:r>
            <w:r w:rsidRPr="001A2820">
              <w:rPr>
                <w:rFonts w:cstheme="minorHAnsi"/>
                <w:sz w:val="22"/>
                <w:szCs w:val="22"/>
                <w:lang w:val="fr-FR"/>
              </w:rPr>
              <w:t xml:space="preserve">laboration d’une évaluation initiale de la Convention de Minamata </w:t>
            </w:r>
          </w:p>
        </w:tc>
        <w:tc>
          <w:tcPr>
            <w:tcW w:w="857" w:type="dxa"/>
            <w:hideMark/>
          </w:tcPr>
          <w:p w14:paraId="15B17D69" w14:textId="2F8D5EFC"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524F11F" w14:textId="4D26981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5431326" w14:textId="5D68969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794246F5" w14:textId="6E46D10A"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7EA92102"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766CF21" w14:textId="77777777" w:rsidTr="00A5411B">
        <w:trPr>
          <w:trHeight w:val="600"/>
        </w:trPr>
        <w:tc>
          <w:tcPr>
            <w:tcW w:w="1627" w:type="dxa"/>
            <w:hideMark/>
          </w:tcPr>
          <w:p w14:paraId="55419A8E" w14:textId="77777777" w:rsidR="0027787C" w:rsidRPr="001A2820" w:rsidRDefault="0027787C" w:rsidP="0027787C">
            <w:pPr>
              <w:rPr>
                <w:rFonts w:cstheme="minorHAnsi"/>
                <w:sz w:val="22"/>
                <w:szCs w:val="22"/>
                <w:lang w:val="fr-FR"/>
              </w:rPr>
            </w:pPr>
            <w:r w:rsidRPr="001A2820">
              <w:rPr>
                <w:rFonts w:cstheme="minorHAnsi"/>
                <w:sz w:val="22"/>
                <w:szCs w:val="22"/>
                <w:lang w:val="fr-FR"/>
              </w:rPr>
              <w:t>Belize</w:t>
            </w:r>
          </w:p>
        </w:tc>
        <w:tc>
          <w:tcPr>
            <w:tcW w:w="1671" w:type="dxa"/>
            <w:hideMark/>
          </w:tcPr>
          <w:p w14:paraId="50D31C0A"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DE79F66" w14:textId="5AC34015"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9DAD7E2" w14:textId="0930D212" w:rsidR="0027787C" w:rsidRPr="001A2820" w:rsidRDefault="0027787C" w:rsidP="0027787C">
            <w:pPr>
              <w:rPr>
                <w:rFonts w:cstheme="minorHAnsi"/>
                <w:sz w:val="22"/>
                <w:szCs w:val="22"/>
                <w:lang w:val="fr-FR"/>
              </w:rPr>
            </w:pPr>
            <w:r w:rsidRPr="001A2820">
              <w:rPr>
                <w:rFonts w:cstheme="minorHAnsi"/>
                <w:sz w:val="22"/>
                <w:szCs w:val="22"/>
                <w:lang w:val="fr-FR"/>
              </w:rPr>
              <w:t>Élaboration d’évaluations initiales de la Convention de Minamata dans les Caraïbes (Belize)</w:t>
            </w:r>
          </w:p>
        </w:tc>
        <w:tc>
          <w:tcPr>
            <w:tcW w:w="857" w:type="dxa"/>
            <w:hideMark/>
          </w:tcPr>
          <w:p w14:paraId="6B98CC0B" w14:textId="5599257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FD8C51E" w14:textId="49F760A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A0F0B4F" w14:textId="58162B4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E318F65" w14:textId="3E980FF4" w:rsidR="0027787C" w:rsidRPr="001A2820" w:rsidRDefault="0027787C" w:rsidP="0027787C">
            <w:pPr>
              <w:jc w:val="right"/>
              <w:rPr>
                <w:rFonts w:cstheme="minorHAnsi"/>
                <w:sz w:val="22"/>
                <w:szCs w:val="22"/>
                <w:lang w:val="fr-FR"/>
              </w:rPr>
            </w:pPr>
            <w:r w:rsidRPr="001A2820">
              <w:rPr>
                <w:rFonts w:cstheme="minorHAnsi"/>
                <w:sz w:val="22"/>
                <w:szCs w:val="22"/>
                <w:lang w:val="fr-FR"/>
              </w:rPr>
              <w:t>150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5E56EA49"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27787C" w:rsidRPr="001A2820" w14:paraId="79E90DF3" w14:textId="77777777" w:rsidTr="00A5411B">
        <w:trPr>
          <w:trHeight w:val="300"/>
        </w:trPr>
        <w:tc>
          <w:tcPr>
            <w:tcW w:w="1627" w:type="dxa"/>
            <w:hideMark/>
          </w:tcPr>
          <w:p w14:paraId="4E25124F" w14:textId="2908BC8D" w:rsidR="0027787C" w:rsidRPr="001A2820" w:rsidRDefault="0027787C" w:rsidP="0027787C">
            <w:pPr>
              <w:rPr>
                <w:rFonts w:cstheme="minorHAnsi"/>
                <w:sz w:val="22"/>
                <w:szCs w:val="22"/>
                <w:lang w:val="fr-FR"/>
              </w:rPr>
            </w:pPr>
            <w:r w:rsidRPr="001A2820">
              <w:rPr>
                <w:rFonts w:cstheme="minorHAnsi"/>
                <w:sz w:val="22"/>
                <w:szCs w:val="22"/>
                <w:lang w:val="fr-FR"/>
              </w:rPr>
              <w:t>Bolivie</w:t>
            </w:r>
          </w:p>
        </w:tc>
        <w:tc>
          <w:tcPr>
            <w:tcW w:w="1671" w:type="dxa"/>
            <w:hideMark/>
          </w:tcPr>
          <w:p w14:paraId="7F3C3B0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4B2B0E6"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6394A8A" w14:textId="0587BEA2" w:rsidR="0027787C" w:rsidRPr="001A2820" w:rsidRDefault="0027787C" w:rsidP="0027787C">
            <w:pPr>
              <w:rPr>
                <w:rFonts w:cstheme="minorHAnsi"/>
                <w:sz w:val="22"/>
                <w:szCs w:val="22"/>
                <w:lang w:val="fr-FR"/>
              </w:rPr>
            </w:pPr>
            <w:r w:rsidRPr="001A2820">
              <w:rPr>
                <w:rFonts w:cstheme="minorHAnsi"/>
                <w:sz w:val="22"/>
                <w:szCs w:val="22"/>
                <w:lang w:val="fr-FR"/>
              </w:rPr>
              <w:t>Mise en œuvre de la transition vers des systèmes d’éclairage à haut rendement énergétique</w:t>
            </w:r>
          </w:p>
        </w:tc>
        <w:tc>
          <w:tcPr>
            <w:tcW w:w="857" w:type="dxa"/>
            <w:hideMark/>
          </w:tcPr>
          <w:p w14:paraId="2EED4196" w14:textId="143CE998"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5EF9ECD5" w14:textId="02C7FE15"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34FFA350" w14:textId="2F7EA49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E28F82C" w14:textId="59A041D9" w:rsidR="0027787C" w:rsidRPr="001A2820" w:rsidRDefault="0027787C" w:rsidP="0027787C">
            <w:pPr>
              <w:jc w:val="right"/>
              <w:rPr>
                <w:rFonts w:cstheme="minorHAnsi"/>
                <w:sz w:val="22"/>
                <w:szCs w:val="22"/>
                <w:lang w:val="fr-FR"/>
              </w:rPr>
            </w:pPr>
            <w:r w:rsidRPr="001A2820">
              <w:rPr>
                <w:rFonts w:cstheme="minorHAnsi"/>
                <w:sz w:val="22"/>
                <w:szCs w:val="22"/>
                <w:lang w:val="fr-FR"/>
              </w:rPr>
              <w:t>45</w:t>
            </w:r>
            <w:r w:rsidR="00810CBB">
              <w:rPr>
                <w:rFonts w:cstheme="minorHAnsi"/>
                <w:sz w:val="22"/>
                <w:szCs w:val="22"/>
                <w:lang w:val="fr-FR"/>
              </w:rPr>
              <w:t> </w:t>
            </w:r>
            <w:r w:rsidRPr="001A2820">
              <w:rPr>
                <w:rFonts w:cstheme="minorHAnsi"/>
                <w:sz w:val="22"/>
                <w:szCs w:val="22"/>
                <w:lang w:val="fr-FR"/>
              </w:rPr>
              <w:t>662</w:t>
            </w:r>
          </w:p>
        </w:tc>
        <w:tc>
          <w:tcPr>
            <w:tcW w:w="1592" w:type="dxa"/>
            <w:hideMark/>
          </w:tcPr>
          <w:p w14:paraId="14C58E19"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w:t>
            </w:r>
          </w:p>
        </w:tc>
      </w:tr>
      <w:tr w:rsidR="0027787C" w:rsidRPr="001A2820" w14:paraId="5F8D1228" w14:textId="77777777" w:rsidTr="00A5411B">
        <w:trPr>
          <w:trHeight w:val="1200"/>
        </w:trPr>
        <w:tc>
          <w:tcPr>
            <w:tcW w:w="1627" w:type="dxa"/>
            <w:hideMark/>
          </w:tcPr>
          <w:p w14:paraId="7CC91E4E" w14:textId="151F00AB" w:rsidR="0027787C" w:rsidRPr="001A2820" w:rsidRDefault="0027787C" w:rsidP="0027787C">
            <w:pPr>
              <w:rPr>
                <w:rFonts w:cstheme="minorHAnsi"/>
                <w:sz w:val="22"/>
                <w:szCs w:val="22"/>
                <w:lang w:val="fr-FR"/>
              </w:rPr>
            </w:pPr>
            <w:r w:rsidRPr="001A2820">
              <w:rPr>
                <w:rFonts w:cstheme="minorHAnsi"/>
                <w:sz w:val="22"/>
                <w:szCs w:val="22"/>
                <w:lang w:val="fr-FR"/>
              </w:rPr>
              <w:t>Bosnie-Herzégovine</w:t>
            </w:r>
          </w:p>
        </w:tc>
        <w:tc>
          <w:tcPr>
            <w:tcW w:w="1671" w:type="dxa"/>
            <w:hideMark/>
          </w:tcPr>
          <w:p w14:paraId="4A9CA06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5C36CCE" w14:textId="7C9A2AA1"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5321AA9" w14:textId="493F9B48" w:rsidR="0027787C" w:rsidRPr="001A2820" w:rsidRDefault="0027787C" w:rsidP="0027787C">
            <w:pPr>
              <w:rPr>
                <w:rFonts w:cstheme="minorHAnsi"/>
                <w:sz w:val="22"/>
                <w:szCs w:val="22"/>
                <w:lang w:val="fr-FR"/>
              </w:rPr>
            </w:pPr>
            <w:r w:rsidRPr="001A2820">
              <w:rPr>
                <w:rFonts w:cstheme="minorHAnsi"/>
                <w:sz w:val="22"/>
                <w:szCs w:val="22"/>
                <w:lang w:val="fr-FR"/>
              </w:rPr>
              <w:t xml:space="preserve">Renforcement des processus décisionnels de la Bosnie-Herzégovine en vue de devenir Partie à la Convention de Minamata et des capacités en vue de la mise en œuvre de dispositions futures </w:t>
            </w:r>
          </w:p>
        </w:tc>
        <w:tc>
          <w:tcPr>
            <w:tcW w:w="857" w:type="dxa"/>
            <w:hideMark/>
          </w:tcPr>
          <w:p w14:paraId="4E35C11A" w14:textId="0A27C9CA"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F3DD803" w14:textId="533B8CE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294D591" w14:textId="237012F5"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22D1D380" w14:textId="060F7DDB"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66AB9557"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1016F3B9" w14:textId="77777777" w:rsidTr="00A5411B">
        <w:trPr>
          <w:trHeight w:val="600"/>
        </w:trPr>
        <w:tc>
          <w:tcPr>
            <w:tcW w:w="1627" w:type="dxa"/>
            <w:hideMark/>
          </w:tcPr>
          <w:p w14:paraId="41FE636B" w14:textId="51EAFCF5" w:rsidR="0027787C" w:rsidRPr="001A2820" w:rsidRDefault="0027787C" w:rsidP="0027787C">
            <w:pPr>
              <w:rPr>
                <w:rFonts w:cstheme="minorHAnsi"/>
                <w:sz w:val="22"/>
                <w:szCs w:val="22"/>
                <w:lang w:val="fr-FR"/>
              </w:rPr>
            </w:pPr>
            <w:r w:rsidRPr="001A2820">
              <w:rPr>
                <w:rFonts w:cstheme="minorHAnsi"/>
                <w:sz w:val="22"/>
                <w:szCs w:val="22"/>
                <w:lang w:val="fr-FR"/>
              </w:rPr>
              <w:t>Brésil</w:t>
            </w:r>
          </w:p>
        </w:tc>
        <w:tc>
          <w:tcPr>
            <w:tcW w:w="1671" w:type="dxa"/>
            <w:hideMark/>
          </w:tcPr>
          <w:p w14:paraId="5738E65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CEAB6EF"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378C24C" w14:textId="5ED0E40D" w:rsidR="0027787C" w:rsidRPr="001A2820" w:rsidRDefault="0027787C" w:rsidP="0027787C">
            <w:pPr>
              <w:rPr>
                <w:rFonts w:cstheme="minorHAnsi"/>
                <w:sz w:val="22"/>
                <w:szCs w:val="22"/>
                <w:lang w:val="fr-FR"/>
              </w:rPr>
            </w:pPr>
            <w:r w:rsidRPr="001A2820">
              <w:rPr>
                <w:rFonts w:cstheme="minorHAnsi"/>
                <w:sz w:val="22"/>
                <w:szCs w:val="22"/>
                <w:lang w:val="fr-FR"/>
              </w:rPr>
              <w:t>Élaboration d’</w:t>
            </w:r>
            <w:r w:rsidR="00B10194">
              <w:rPr>
                <w:rFonts w:cstheme="minorHAnsi"/>
                <w:sz w:val="22"/>
                <w:szCs w:val="22"/>
                <w:lang w:val="fr-FR"/>
              </w:rPr>
              <w:t xml:space="preserve">une </w:t>
            </w:r>
            <w:r w:rsidRPr="001A2820">
              <w:rPr>
                <w:rFonts w:cstheme="minorHAnsi"/>
                <w:sz w:val="22"/>
                <w:szCs w:val="22"/>
                <w:lang w:val="fr-FR"/>
              </w:rPr>
              <w:t xml:space="preserve">évaluation initiale de la Convention de Minamata sur le mercure au Brésil </w:t>
            </w:r>
          </w:p>
        </w:tc>
        <w:tc>
          <w:tcPr>
            <w:tcW w:w="857" w:type="dxa"/>
            <w:hideMark/>
          </w:tcPr>
          <w:p w14:paraId="1AC29E6D" w14:textId="6FA54E53"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374473A5" w14:textId="522DDA9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81555AF" w14:textId="0064E6D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585051F" w14:textId="387ABD49" w:rsidR="0027787C" w:rsidRPr="001A2820" w:rsidRDefault="0027787C" w:rsidP="0027787C">
            <w:pPr>
              <w:jc w:val="right"/>
              <w:rPr>
                <w:rFonts w:cstheme="minorHAnsi"/>
                <w:sz w:val="22"/>
                <w:szCs w:val="22"/>
                <w:lang w:val="fr-FR"/>
              </w:rPr>
            </w:pPr>
            <w:r w:rsidRPr="001A2820">
              <w:rPr>
                <w:rFonts w:cstheme="minorHAnsi"/>
                <w:sz w:val="22"/>
                <w:szCs w:val="22"/>
                <w:lang w:val="fr-FR"/>
              </w:rPr>
              <w:t>821</w:t>
            </w:r>
            <w:r w:rsidR="00810CBB">
              <w:rPr>
                <w:rFonts w:cstheme="minorHAnsi"/>
                <w:sz w:val="22"/>
                <w:szCs w:val="22"/>
                <w:lang w:val="fr-FR"/>
              </w:rPr>
              <w:t> </w:t>
            </w:r>
            <w:r w:rsidRPr="001A2820">
              <w:rPr>
                <w:rFonts w:cstheme="minorHAnsi"/>
                <w:sz w:val="22"/>
                <w:szCs w:val="22"/>
                <w:lang w:val="fr-FR"/>
              </w:rPr>
              <w:t>918</w:t>
            </w:r>
          </w:p>
        </w:tc>
        <w:tc>
          <w:tcPr>
            <w:tcW w:w="1592" w:type="dxa"/>
            <w:hideMark/>
          </w:tcPr>
          <w:p w14:paraId="1B225B58" w14:textId="36CBE393"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690</w:t>
            </w:r>
            <w:r w:rsidR="00810CBB">
              <w:rPr>
                <w:rFonts w:cstheme="minorHAnsi"/>
                <w:sz w:val="22"/>
                <w:szCs w:val="22"/>
                <w:lang w:val="fr-FR"/>
              </w:rPr>
              <w:t> </w:t>
            </w:r>
            <w:r w:rsidRPr="001A2820">
              <w:rPr>
                <w:rFonts w:cstheme="minorHAnsi"/>
                <w:sz w:val="22"/>
                <w:szCs w:val="22"/>
                <w:lang w:val="fr-FR"/>
              </w:rPr>
              <w:t>000</w:t>
            </w:r>
          </w:p>
        </w:tc>
      </w:tr>
      <w:tr w:rsidR="0027787C" w:rsidRPr="001A2820" w14:paraId="4A47DAB3" w14:textId="77777777" w:rsidTr="00A5411B">
        <w:trPr>
          <w:trHeight w:val="600"/>
        </w:trPr>
        <w:tc>
          <w:tcPr>
            <w:tcW w:w="1627" w:type="dxa"/>
            <w:hideMark/>
          </w:tcPr>
          <w:p w14:paraId="5B90AEE3" w14:textId="65C07995" w:rsidR="0027787C" w:rsidRPr="001A2820" w:rsidRDefault="0027787C" w:rsidP="0027787C">
            <w:pPr>
              <w:rPr>
                <w:rFonts w:cstheme="minorHAnsi"/>
                <w:sz w:val="22"/>
                <w:szCs w:val="22"/>
                <w:lang w:val="fr-FR"/>
              </w:rPr>
            </w:pPr>
            <w:r w:rsidRPr="001A2820">
              <w:rPr>
                <w:rFonts w:cstheme="minorHAnsi"/>
                <w:sz w:val="22"/>
                <w:szCs w:val="22"/>
                <w:lang w:val="fr-FR"/>
              </w:rPr>
              <w:t>Burkina Faso</w:t>
            </w:r>
          </w:p>
        </w:tc>
        <w:tc>
          <w:tcPr>
            <w:tcW w:w="1671" w:type="dxa"/>
            <w:hideMark/>
          </w:tcPr>
          <w:p w14:paraId="58921A8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8105B45" w14:textId="74E163F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68A690B" w14:textId="7AAC3D29" w:rsidR="0027787C" w:rsidRPr="001A2820" w:rsidRDefault="0027787C" w:rsidP="0027787C">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au Burkina Faso</w:t>
            </w:r>
          </w:p>
        </w:tc>
        <w:tc>
          <w:tcPr>
            <w:tcW w:w="857" w:type="dxa"/>
            <w:hideMark/>
          </w:tcPr>
          <w:p w14:paraId="26EC91F4" w14:textId="2D1B917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CA81801" w14:textId="30389CB7"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7ADBA73" w14:textId="3BC4BC96"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1ED6B0AF" w14:textId="07C8241A"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2D44FA6C" w14:textId="07F40B06" w:rsidR="0027787C" w:rsidRPr="001A2820" w:rsidRDefault="0027787C" w:rsidP="0027787C">
            <w:pPr>
              <w:jc w:val="right"/>
              <w:rPr>
                <w:rFonts w:cstheme="minorHAnsi"/>
                <w:sz w:val="22"/>
                <w:szCs w:val="22"/>
                <w:lang w:val="fr-FR"/>
              </w:rPr>
            </w:pPr>
            <w:r w:rsidRPr="001A2820">
              <w:rPr>
                <w:rFonts w:cstheme="minorHAnsi"/>
                <w:sz w:val="22"/>
                <w:szCs w:val="22"/>
                <w:lang w:val="fr-FR"/>
              </w:rPr>
              <w:t>216</w:t>
            </w:r>
            <w:r w:rsidR="00810CBB">
              <w:rPr>
                <w:rFonts w:cstheme="minorHAnsi"/>
                <w:sz w:val="22"/>
                <w:szCs w:val="22"/>
                <w:lang w:val="fr-FR"/>
              </w:rPr>
              <w:t> </w:t>
            </w:r>
            <w:r w:rsidRPr="001A2820">
              <w:rPr>
                <w:rFonts w:cstheme="minorHAnsi"/>
                <w:sz w:val="22"/>
                <w:szCs w:val="22"/>
                <w:lang w:val="fr-FR"/>
              </w:rPr>
              <w:t>000</w:t>
            </w:r>
          </w:p>
        </w:tc>
      </w:tr>
      <w:tr w:rsidR="0027787C" w:rsidRPr="001A2820" w14:paraId="6D567199" w14:textId="77777777" w:rsidTr="00A5411B">
        <w:trPr>
          <w:trHeight w:val="600"/>
        </w:trPr>
        <w:tc>
          <w:tcPr>
            <w:tcW w:w="1627" w:type="dxa"/>
            <w:hideMark/>
          </w:tcPr>
          <w:p w14:paraId="419DDA39" w14:textId="41F692CD" w:rsidR="0027787C" w:rsidRPr="001A2820" w:rsidRDefault="0027787C" w:rsidP="0027787C">
            <w:pPr>
              <w:rPr>
                <w:rFonts w:cstheme="minorHAnsi"/>
                <w:sz w:val="22"/>
                <w:szCs w:val="22"/>
                <w:lang w:val="fr-FR"/>
              </w:rPr>
            </w:pPr>
            <w:r w:rsidRPr="001A2820">
              <w:rPr>
                <w:rFonts w:cstheme="minorHAnsi"/>
                <w:sz w:val="22"/>
                <w:szCs w:val="22"/>
                <w:lang w:val="fr-FR"/>
              </w:rPr>
              <w:t>Cameroun</w:t>
            </w:r>
          </w:p>
        </w:tc>
        <w:tc>
          <w:tcPr>
            <w:tcW w:w="1671" w:type="dxa"/>
            <w:hideMark/>
          </w:tcPr>
          <w:p w14:paraId="5FC9845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0E6C9F5" w14:textId="53A6E50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0DE995D" w14:textId="70AAD498" w:rsidR="0027787C" w:rsidRPr="001A2820" w:rsidRDefault="0027787C" w:rsidP="0027787C">
            <w:pPr>
              <w:rPr>
                <w:rFonts w:cstheme="minorHAnsi"/>
                <w:sz w:val="22"/>
                <w:szCs w:val="22"/>
                <w:lang w:val="fr-FR"/>
              </w:rPr>
            </w:pPr>
            <w:r w:rsidRPr="001A2820">
              <w:rPr>
                <w:rFonts w:cstheme="minorHAnsi"/>
                <w:sz w:val="22"/>
                <w:szCs w:val="22"/>
                <w:lang w:val="fr-FR"/>
              </w:rPr>
              <w:t>Élaboration d’</w:t>
            </w:r>
            <w:r w:rsidR="00B10194">
              <w:rPr>
                <w:rFonts w:cstheme="minorHAnsi"/>
                <w:sz w:val="22"/>
                <w:szCs w:val="22"/>
                <w:lang w:val="fr-FR"/>
              </w:rPr>
              <w:t xml:space="preserve">une </w:t>
            </w:r>
            <w:r w:rsidRPr="001A2820">
              <w:rPr>
                <w:rFonts w:cstheme="minorHAnsi"/>
                <w:sz w:val="22"/>
                <w:szCs w:val="22"/>
                <w:lang w:val="fr-FR"/>
              </w:rPr>
              <w:t>évaluation initiale de la Convention de Minamata au Cameroun</w:t>
            </w:r>
          </w:p>
        </w:tc>
        <w:tc>
          <w:tcPr>
            <w:tcW w:w="857" w:type="dxa"/>
            <w:hideMark/>
          </w:tcPr>
          <w:p w14:paraId="36AE6B10" w14:textId="166E44CF"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C4E1C54" w14:textId="7B89CA5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BA1A259" w14:textId="313CF219"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2DE1662" w14:textId="12D4B909"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5D0D9693"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9BDD860" w14:textId="77777777" w:rsidTr="00A5411B">
        <w:trPr>
          <w:trHeight w:val="300"/>
        </w:trPr>
        <w:tc>
          <w:tcPr>
            <w:tcW w:w="1627" w:type="dxa"/>
            <w:hideMark/>
          </w:tcPr>
          <w:p w14:paraId="41183085" w14:textId="70339B4D" w:rsidR="0027787C" w:rsidRPr="001A2820" w:rsidRDefault="0027787C" w:rsidP="0027787C">
            <w:pPr>
              <w:rPr>
                <w:rFonts w:cstheme="minorHAnsi"/>
                <w:sz w:val="22"/>
                <w:szCs w:val="22"/>
                <w:lang w:val="fr-FR"/>
              </w:rPr>
            </w:pPr>
            <w:r w:rsidRPr="001A2820">
              <w:rPr>
                <w:rFonts w:cstheme="minorHAnsi"/>
                <w:sz w:val="22"/>
                <w:szCs w:val="22"/>
                <w:lang w:val="fr-FR"/>
              </w:rPr>
              <w:t>Chili</w:t>
            </w:r>
          </w:p>
        </w:tc>
        <w:tc>
          <w:tcPr>
            <w:tcW w:w="1671" w:type="dxa"/>
            <w:hideMark/>
          </w:tcPr>
          <w:p w14:paraId="580A26EC"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88405F3"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BE5096E" w14:textId="6B128D75" w:rsidR="0027787C" w:rsidRPr="001A2820" w:rsidRDefault="0027787C" w:rsidP="0027787C">
            <w:pPr>
              <w:rPr>
                <w:rFonts w:cstheme="minorHAnsi"/>
                <w:sz w:val="22"/>
                <w:szCs w:val="22"/>
                <w:lang w:val="fr-FR"/>
              </w:rPr>
            </w:pPr>
            <w:r w:rsidRPr="001A2820">
              <w:rPr>
                <w:rFonts w:cstheme="minorHAnsi"/>
                <w:sz w:val="22"/>
                <w:szCs w:val="22"/>
                <w:lang w:val="fr-FR"/>
              </w:rPr>
              <w:t xml:space="preserve">Mise en œuvre de la transition vers des systèmes d’éclairage à haut rendement énergétique </w:t>
            </w:r>
          </w:p>
        </w:tc>
        <w:tc>
          <w:tcPr>
            <w:tcW w:w="857" w:type="dxa"/>
            <w:hideMark/>
          </w:tcPr>
          <w:p w14:paraId="3CA785BF" w14:textId="1ABDD7D5"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01C2C07D" w14:textId="2255B7D2"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275F358E" w14:textId="19EFC491"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0A9660A2" w14:textId="0DF9FC3E" w:rsidR="0027787C" w:rsidRPr="001A2820" w:rsidRDefault="0027787C" w:rsidP="0027787C">
            <w:pPr>
              <w:jc w:val="right"/>
              <w:rPr>
                <w:rFonts w:cstheme="minorHAnsi"/>
                <w:sz w:val="22"/>
                <w:szCs w:val="22"/>
                <w:lang w:val="fr-FR"/>
              </w:rPr>
            </w:pPr>
            <w:r w:rsidRPr="001A2820">
              <w:rPr>
                <w:rFonts w:cstheme="minorHAnsi"/>
                <w:sz w:val="22"/>
                <w:szCs w:val="22"/>
                <w:lang w:val="fr-FR"/>
              </w:rPr>
              <w:t>45</w:t>
            </w:r>
            <w:r w:rsidR="00810CBB">
              <w:rPr>
                <w:rFonts w:cstheme="minorHAnsi"/>
                <w:sz w:val="22"/>
                <w:szCs w:val="22"/>
                <w:lang w:val="fr-FR"/>
              </w:rPr>
              <w:t> </w:t>
            </w:r>
            <w:r w:rsidRPr="001A2820">
              <w:rPr>
                <w:rFonts w:cstheme="minorHAnsi"/>
                <w:sz w:val="22"/>
                <w:szCs w:val="22"/>
                <w:lang w:val="fr-FR"/>
              </w:rPr>
              <w:t>662</w:t>
            </w:r>
          </w:p>
        </w:tc>
        <w:tc>
          <w:tcPr>
            <w:tcW w:w="1592" w:type="dxa"/>
            <w:hideMark/>
          </w:tcPr>
          <w:p w14:paraId="4605DB60"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w:t>
            </w:r>
          </w:p>
        </w:tc>
      </w:tr>
      <w:tr w:rsidR="0027787C" w:rsidRPr="001A2820" w14:paraId="0A684FF0" w14:textId="77777777" w:rsidTr="00A5411B">
        <w:trPr>
          <w:trHeight w:val="600"/>
        </w:trPr>
        <w:tc>
          <w:tcPr>
            <w:tcW w:w="1627" w:type="dxa"/>
            <w:hideMark/>
          </w:tcPr>
          <w:p w14:paraId="3322C74C" w14:textId="6A31B5EC" w:rsidR="0027787C" w:rsidRPr="001A2820" w:rsidRDefault="0027787C" w:rsidP="0027787C">
            <w:pPr>
              <w:rPr>
                <w:rFonts w:cstheme="minorHAnsi"/>
                <w:sz w:val="22"/>
                <w:szCs w:val="22"/>
                <w:lang w:val="fr-FR"/>
              </w:rPr>
            </w:pPr>
            <w:r w:rsidRPr="001A2820">
              <w:rPr>
                <w:rFonts w:cstheme="minorHAnsi"/>
                <w:sz w:val="22"/>
                <w:szCs w:val="22"/>
                <w:lang w:val="fr-FR"/>
              </w:rPr>
              <w:lastRenderedPageBreak/>
              <w:t>Chine</w:t>
            </w:r>
          </w:p>
        </w:tc>
        <w:tc>
          <w:tcPr>
            <w:tcW w:w="1671" w:type="dxa"/>
            <w:hideMark/>
          </w:tcPr>
          <w:p w14:paraId="58448214"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73F2071" w14:textId="10B5AF5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BCC6D76" w14:textId="358F0097" w:rsidR="0027787C" w:rsidRPr="001A2820" w:rsidRDefault="0027787C" w:rsidP="0027787C">
            <w:pPr>
              <w:rPr>
                <w:rFonts w:cstheme="minorHAnsi"/>
                <w:sz w:val="22"/>
                <w:szCs w:val="22"/>
                <w:lang w:val="fr-FR"/>
              </w:rPr>
            </w:pPr>
            <w:r w:rsidRPr="001A2820">
              <w:rPr>
                <w:rFonts w:cstheme="minorHAnsi"/>
                <w:sz w:val="22"/>
                <w:szCs w:val="22"/>
                <w:lang w:val="fr-FR"/>
              </w:rPr>
              <w:t>Démonstration de la réduction et de la limitation du mercure dans la production de chlorure de vinyle monomère</w:t>
            </w:r>
          </w:p>
        </w:tc>
        <w:tc>
          <w:tcPr>
            <w:tcW w:w="857" w:type="dxa"/>
            <w:hideMark/>
          </w:tcPr>
          <w:p w14:paraId="5C901C9C" w14:textId="38E371BA"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FA67739" w14:textId="513E6502"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5038846C" w14:textId="4660342C"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233CFE59" w14:textId="52261CF1" w:rsidR="0027787C" w:rsidRPr="001A2820" w:rsidRDefault="0027787C" w:rsidP="0027787C">
            <w:pPr>
              <w:jc w:val="right"/>
              <w:rPr>
                <w:rFonts w:cstheme="minorHAnsi"/>
                <w:sz w:val="22"/>
                <w:szCs w:val="22"/>
                <w:lang w:val="fr-FR"/>
              </w:rPr>
            </w:pPr>
            <w:r w:rsidRPr="001A2820">
              <w:rPr>
                <w:rFonts w:cstheme="minorHAnsi"/>
                <w:sz w:val="22"/>
                <w:szCs w:val="22"/>
                <w:lang w:val="fr-FR"/>
              </w:rPr>
              <w:t>16</w:t>
            </w:r>
            <w:r w:rsidR="00810CBB">
              <w:rPr>
                <w:rFonts w:cstheme="minorHAnsi"/>
                <w:sz w:val="22"/>
                <w:szCs w:val="22"/>
                <w:lang w:val="fr-FR"/>
              </w:rPr>
              <w:t> </w:t>
            </w: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75F6715F" w14:textId="33B5A5A7" w:rsidR="0027787C" w:rsidRPr="001A2820" w:rsidRDefault="0027787C" w:rsidP="0027787C">
            <w:pPr>
              <w:jc w:val="right"/>
              <w:rPr>
                <w:rFonts w:cstheme="minorHAnsi"/>
                <w:sz w:val="22"/>
                <w:szCs w:val="22"/>
                <w:lang w:val="fr-FR"/>
              </w:rPr>
            </w:pPr>
            <w:r w:rsidRPr="001A2820">
              <w:rPr>
                <w:rFonts w:cstheme="minorHAnsi"/>
                <w:sz w:val="22"/>
                <w:szCs w:val="22"/>
                <w:lang w:val="fr-FR"/>
              </w:rPr>
              <w:t>99</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r>
      <w:tr w:rsidR="0027787C" w:rsidRPr="001A2820" w14:paraId="390887BA" w14:textId="77777777" w:rsidTr="00A5411B">
        <w:trPr>
          <w:trHeight w:val="600"/>
        </w:trPr>
        <w:tc>
          <w:tcPr>
            <w:tcW w:w="1627" w:type="dxa"/>
            <w:hideMark/>
          </w:tcPr>
          <w:p w14:paraId="5ECF5891" w14:textId="04C4876E" w:rsidR="0027787C" w:rsidRPr="001A2820" w:rsidRDefault="0027787C" w:rsidP="0027787C">
            <w:pPr>
              <w:rPr>
                <w:rFonts w:cstheme="minorHAnsi"/>
                <w:sz w:val="22"/>
                <w:szCs w:val="22"/>
                <w:lang w:val="fr-FR"/>
              </w:rPr>
            </w:pPr>
            <w:r w:rsidRPr="001A2820">
              <w:rPr>
                <w:rFonts w:cstheme="minorHAnsi"/>
                <w:sz w:val="22"/>
                <w:szCs w:val="22"/>
                <w:lang w:val="fr-FR"/>
              </w:rPr>
              <w:t>Chine</w:t>
            </w:r>
          </w:p>
        </w:tc>
        <w:tc>
          <w:tcPr>
            <w:tcW w:w="1671" w:type="dxa"/>
            <w:hideMark/>
          </w:tcPr>
          <w:p w14:paraId="53859D39"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7ED78C9" w14:textId="2EEE2E55"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C3F9221" w14:textId="25FC76DF" w:rsidR="0027787C" w:rsidRPr="001A2820" w:rsidRDefault="0027787C" w:rsidP="0027787C">
            <w:pPr>
              <w:rPr>
                <w:rFonts w:cstheme="minorHAnsi"/>
                <w:sz w:val="22"/>
                <w:szCs w:val="22"/>
                <w:lang w:val="fr-FR"/>
              </w:rPr>
            </w:pPr>
            <w:r w:rsidRPr="001A2820">
              <w:rPr>
                <w:rFonts w:cstheme="minorHAnsi"/>
                <w:sz w:val="22"/>
                <w:szCs w:val="22"/>
                <w:lang w:val="fr-FR"/>
              </w:rPr>
              <w:t>Renforcement des capacités en vue de la mise en œuvre de la Convention de Minamata sur le mercure</w:t>
            </w:r>
          </w:p>
        </w:tc>
        <w:tc>
          <w:tcPr>
            <w:tcW w:w="857" w:type="dxa"/>
            <w:hideMark/>
          </w:tcPr>
          <w:p w14:paraId="2DD5F766" w14:textId="668CD0C4"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480BDD4" w14:textId="1B0145FC"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59FF2337" w14:textId="2D6A9DCA" w:rsidR="0027787C" w:rsidRPr="001A2820" w:rsidRDefault="0027787C" w:rsidP="0027787C">
            <w:pPr>
              <w:rPr>
                <w:rFonts w:cstheme="minorHAnsi"/>
                <w:sz w:val="22"/>
                <w:szCs w:val="22"/>
                <w:lang w:val="fr-FR"/>
              </w:rPr>
            </w:pPr>
            <w:r w:rsidRPr="001A2820">
              <w:rPr>
                <w:rFonts w:cstheme="minorHAnsi"/>
                <w:sz w:val="22"/>
                <w:szCs w:val="22"/>
                <w:lang w:val="fr-FR"/>
              </w:rPr>
              <w:t>Banque mondiale</w:t>
            </w:r>
          </w:p>
        </w:tc>
        <w:tc>
          <w:tcPr>
            <w:tcW w:w="1498" w:type="dxa"/>
            <w:hideMark/>
          </w:tcPr>
          <w:p w14:paraId="2BF6CD79" w14:textId="66D88D0C" w:rsidR="0027787C" w:rsidRPr="001A2820" w:rsidRDefault="0027787C" w:rsidP="0027787C">
            <w:pPr>
              <w:jc w:val="right"/>
              <w:rPr>
                <w:rFonts w:cstheme="minorHAnsi"/>
                <w:sz w:val="22"/>
                <w:szCs w:val="22"/>
                <w:lang w:val="fr-FR"/>
              </w:rPr>
            </w:pPr>
            <w:r w:rsidRPr="001A2820">
              <w:rPr>
                <w:rFonts w:cstheme="minorHAnsi"/>
                <w:sz w:val="22"/>
                <w:szCs w:val="22"/>
                <w:lang w:val="fr-FR"/>
              </w:rPr>
              <w:t>8</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635624A" w14:textId="78D03887" w:rsidR="0027787C" w:rsidRPr="001A2820" w:rsidRDefault="0027787C" w:rsidP="0027787C">
            <w:pPr>
              <w:jc w:val="right"/>
              <w:rPr>
                <w:rFonts w:cstheme="minorHAnsi"/>
                <w:sz w:val="22"/>
                <w:szCs w:val="22"/>
                <w:lang w:val="fr-FR"/>
              </w:rPr>
            </w:pPr>
            <w:r w:rsidRPr="001A2820">
              <w:rPr>
                <w:rFonts w:cstheme="minorHAnsi"/>
                <w:sz w:val="22"/>
                <w:szCs w:val="22"/>
                <w:lang w:val="fr-FR"/>
              </w:rPr>
              <w:t>8</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r>
      <w:tr w:rsidR="0027787C" w:rsidRPr="001A2820" w14:paraId="59A6C357" w14:textId="77777777" w:rsidTr="00A5411B">
        <w:trPr>
          <w:trHeight w:val="600"/>
        </w:trPr>
        <w:tc>
          <w:tcPr>
            <w:tcW w:w="1627" w:type="dxa"/>
            <w:hideMark/>
          </w:tcPr>
          <w:p w14:paraId="174BB20E" w14:textId="566EA618" w:rsidR="0027787C" w:rsidRPr="001A2820" w:rsidRDefault="0027787C" w:rsidP="0027787C">
            <w:pPr>
              <w:rPr>
                <w:rFonts w:cstheme="minorHAnsi"/>
                <w:sz w:val="22"/>
                <w:szCs w:val="22"/>
                <w:lang w:val="fr-FR"/>
              </w:rPr>
            </w:pPr>
            <w:r w:rsidRPr="001A2820">
              <w:rPr>
                <w:rFonts w:cstheme="minorHAnsi"/>
                <w:sz w:val="22"/>
                <w:szCs w:val="22"/>
                <w:lang w:val="fr-FR"/>
              </w:rPr>
              <w:t>Chine</w:t>
            </w:r>
          </w:p>
        </w:tc>
        <w:tc>
          <w:tcPr>
            <w:tcW w:w="1671" w:type="dxa"/>
            <w:hideMark/>
          </w:tcPr>
          <w:p w14:paraId="4DFA8180"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E46F11B"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229C57FA" w14:textId="4C1EF1A9"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en République populaire de Chine</w:t>
            </w:r>
          </w:p>
        </w:tc>
        <w:tc>
          <w:tcPr>
            <w:tcW w:w="857" w:type="dxa"/>
            <w:hideMark/>
          </w:tcPr>
          <w:p w14:paraId="62E7CA04" w14:textId="2AD92A23"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713DDE22" w14:textId="5976E67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D7FA0A8" w14:textId="6881EABA"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544332DC" w14:textId="41D6C31A"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102F611" w14:textId="30E9F412" w:rsidR="0027787C" w:rsidRPr="001A2820" w:rsidRDefault="0027787C" w:rsidP="0027787C">
            <w:pPr>
              <w:jc w:val="right"/>
              <w:rPr>
                <w:rFonts w:cstheme="minorHAnsi"/>
                <w:sz w:val="22"/>
                <w:szCs w:val="22"/>
                <w:lang w:val="fr-FR"/>
              </w:rPr>
            </w:pPr>
            <w:r w:rsidRPr="001A2820">
              <w:rPr>
                <w:rFonts w:cstheme="minorHAnsi"/>
                <w:sz w:val="22"/>
                <w:szCs w:val="22"/>
                <w:lang w:val="fr-FR"/>
              </w:rPr>
              <w:t>975</w:t>
            </w:r>
            <w:r w:rsidR="00810CBB">
              <w:rPr>
                <w:rFonts w:cstheme="minorHAnsi"/>
                <w:sz w:val="22"/>
                <w:szCs w:val="22"/>
                <w:lang w:val="fr-FR"/>
              </w:rPr>
              <w:t> </w:t>
            </w:r>
            <w:r w:rsidRPr="001A2820">
              <w:rPr>
                <w:rFonts w:cstheme="minorHAnsi"/>
                <w:sz w:val="22"/>
                <w:szCs w:val="22"/>
                <w:lang w:val="fr-FR"/>
              </w:rPr>
              <w:t>000</w:t>
            </w:r>
          </w:p>
        </w:tc>
      </w:tr>
      <w:tr w:rsidR="0027787C" w:rsidRPr="001A2820" w14:paraId="451C7E9A" w14:textId="77777777" w:rsidTr="00A5411B">
        <w:trPr>
          <w:trHeight w:val="600"/>
        </w:trPr>
        <w:tc>
          <w:tcPr>
            <w:tcW w:w="1627" w:type="dxa"/>
            <w:hideMark/>
          </w:tcPr>
          <w:p w14:paraId="6DA0C049" w14:textId="4A8F9E71" w:rsidR="0027787C" w:rsidRPr="001A2820" w:rsidRDefault="0027787C" w:rsidP="0027787C">
            <w:pPr>
              <w:rPr>
                <w:rFonts w:cstheme="minorHAnsi"/>
                <w:sz w:val="22"/>
                <w:szCs w:val="22"/>
                <w:lang w:val="fr-FR"/>
              </w:rPr>
            </w:pPr>
            <w:r w:rsidRPr="001A2820">
              <w:rPr>
                <w:rFonts w:cstheme="minorHAnsi"/>
                <w:sz w:val="22"/>
                <w:szCs w:val="22"/>
                <w:lang w:val="fr-FR"/>
              </w:rPr>
              <w:t>Chine</w:t>
            </w:r>
          </w:p>
        </w:tc>
        <w:tc>
          <w:tcPr>
            <w:tcW w:w="1671" w:type="dxa"/>
            <w:hideMark/>
          </w:tcPr>
          <w:p w14:paraId="4AFDAF00"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012F5DDC"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1305FA5" w14:textId="3CD4BADC" w:rsidR="0027787C" w:rsidRPr="001A2820" w:rsidRDefault="0027787C" w:rsidP="0027787C">
            <w:pPr>
              <w:rPr>
                <w:rFonts w:cstheme="minorHAnsi"/>
                <w:sz w:val="22"/>
                <w:szCs w:val="22"/>
                <w:lang w:val="fr-FR"/>
              </w:rPr>
            </w:pPr>
            <w:r w:rsidRPr="001A2820">
              <w:rPr>
                <w:rFonts w:cstheme="minorHAnsi"/>
                <w:sz w:val="22"/>
                <w:szCs w:val="22"/>
                <w:lang w:val="fr-FR"/>
              </w:rPr>
              <w:t xml:space="preserve">Projet pilote sur l’établissement d’un inventaire du mercure en Chine </w:t>
            </w:r>
          </w:p>
        </w:tc>
        <w:tc>
          <w:tcPr>
            <w:tcW w:w="857" w:type="dxa"/>
            <w:hideMark/>
          </w:tcPr>
          <w:p w14:paraId="07D2028E" w14:textId="6AA4289D"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EB8B6C0" w14:textId="245C0DB1"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2F47A593" w14:textId="33025FA1"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AA7D4F9" w14:textId="7CD7A4B0"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43A2517A" w14:textId="01E2F106" w:rsidR="0027787C" w:rsidRPr="001A2820" w:rsidRDefault="0027787C" w:rsidP="0027787C">
            <w:pPr>
              <w:jc w:val="right"/>
              <w:rPr>
                <w:rFonts w:cstheme="minorHAnsi"/>
                <w:sz w:val="22"/>
                <w:szCs w:val="22"/>
                <w:lang w:val="fr-FR"/>
              </w:rPr>
            </w:pPr>
            <w:r w:rsidRPr="001A2820">
              <w:rPr>
                <w:rFonts w:cstheme="minorHAnsi"/>
                <w:sz w:val="22"/>
                <w:szCs w:val="22"/>
                <w:lang w:val="fr-FR"/>
              </w:rPr>
              <w:t>3</w:t>
            </w:r>
            <w:r w:rsidR="00810CBB">
              <w:rPr>
                <w:rFonts w:cstheme="minorHAnsi"/>
                <w:sz w:val="22"/>
                <w:szCs w:val="22"/>
                <w:lang w:val="fr-FR"/>
              </w:rPr>
              <w:t> </w:t>
            </w:r>
            <w:r w:rsidRPr="001A2820">
              <w:rPr>
                <w:rFonts w:cstheme="minorHAnsi"/>
                <w:sz w:val="22"/>
                <w:szCs w:val="22"/>
                <w:lang w:val="fr-FR"/>
              </w:rPr>
              <w:t>146</w:t>
            </w:r>
            <w:r w:rsidR="00810CBB">
              <w:rPr>
                <w:rFonts w:cstheme="minorHAnsi"/>
                <w:sz w:val="22"/>
                <w:szCs w:val="22"/>
                <w:lang w:val="fr-FR"/>
              </w:rPr>
              <w:t> </w:t>
            </w:r>
            <w:r w:rsidRPr="001A2820">
              <w:rPr>
                <w:rFonts w:cstheme="minorHAnsi"/>
                <w:sz w:val="22"/>
                <w:szCs w:val="22"/>
                <w:lang w:val="fr-FR"/>
              </w:rPr>
              <w:t>265</w:t>
            </w:r>
          </w:p>
        </w:tc>
      </w:tr>
      <w:tr w:rsidR="0027787C" w:rsidRPr="001A2820" w14:paraId="37888130" w14:textId="77777777" w:rsidTr="00A5411B">
        <w:trPr>
          <w:trHeight w:val="900"/>
        </w:trPr>
        <w:tc>
          <w:tcPr>
            <w:tcW w:w="1627" w:type="dxa"/>
            <w:hideMark/>
          </w:tcPr>
          <w:p w14:paraId="7131A625" w14:textId="532B48BE" w:rsidR="0027787C" w:rsidRPr="001A2820" w:rsidRDefault="0027787C" w:rsidP="0027787C">
            <w:pPr>
              <w:rPr>
                <w:rFonts w:cstheme="minorHAnsi"/>
                <w:sz w:val="22"/>
                <w:szCs w:val="22"/>
                <w:lang w:val="fr-FR"/>
              </w:rPr>
            </w:pPr>
            <w:r w:rsidRPr="001A2820">
              <w:rPr>
                <w:rFonts w:cstheme="minorHAnsi"/>
                <w:sz w:val="22"/>
                <w:szCs w:val="22"/>
                <w:lang w:val="fr-FR"/>
              </w:rPr>
              <w:t>Chine</w:t>
            </w:r>
          </w:p>
        </w:tc>
        <w:tc>
          <w:tcPr>
            <w:tcW w:w="1671" w:type="dxa"/>
            <w:hideMark/>
          </w:tcPr>
          <w:p w14:paraId="18BFCF3B"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17DD298"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2304C1A0" w14:textId="7D854AD5" w:rsidR="0027787C" w:rsidRPr="001A2820" w:rsidRDefault="0027787C" w:rsidP="0027787C">
            <w:pPr>
              <w:rPr>
                <w:rFonts w:cstheme="minorHAnsi"/>
                <w:sz w:val="22"/>
                <w:szCs w:val="22"/>
                <w:lang w:val="fr-FR"/>
              </w:rPr>
            </w:pPr>
            <w:r w:rsidRPr="001A2820">
              <w:rPr>
                <w:rFonts w:cstheme="minorHAnsi"/>
                <w:sz w:val="22"/>
                <w:szCs w:val="22"/>
                <w:lang w:val="fr-FR"/>
              </w:rPr>
              <w:t>Réduction des émissions de mercure et promotion d’une gestion rationnelle des produits chimique</w:t>
            </w:r>
            <w:r w:rsidR="00E95868">
              <w:rPr>
                <w:rFonts w:cstheme="minorHAnsi"/>
                <w:sz w:val="22"/>
                <w:szCs w:val="22"/>
                <w:lang w:val="fr-FR"/>
              </w:rPr>
              <w:t>s</w:t>
            </w:r>
            <w:r w:rsidRPr="001A2820">
              <w:rPr>
                <w:rFonts w:cstheme="minorHAnsi"/>
                <w:sz w:val="22"/>
                <w:szCs w:val="22"/>
                <w:lang w:val="fr-FR"/>
              </w:rPr>
              <w:t xml:space="preserve"> dans les activités de raffinage du zinc</w:t>
            </w:r>
          </w:p>
        </w:tc>
        <w:tc>
          <w:tcPr>
            <w:tcW w:w="857" w:type="dxa"/>
            <w:hideMark/>
          </w:tcPr>
          <w:p w14:paraId="0884D7A4" w14:textId="26019DA8"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6B51711D" w14:textId="0318276E"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2E6D4AC4" w14:textId="15119AF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31DA03F7" w14:textId="361FAA12" w:rsidR="0027787C" w:rsidRPr="001A2820" w:rsidRDefault="0027787C" w:rsidP="0027787C">
            <w:pPr>
              <w:jc w:val="right"/>
              <w:rPr>
                <w:rFonts w:cstheme="minorHAnsi"/>
                <w:sz w:val="22"/>
                <w:szCs w:val="22"/>
                <w:lang w:val="fr-FR"/>
              </w:rPr>
            </w:pPr>
            <w:r w:rsidRPr="001A2820">
              <w:rPr>
                <w:rFonts w:cstheme="minorHAnsi"/>
                <w:sz w:val="22"/>
                <w:szCs w:val="22"/>
                <w:lang w:val="fr-FR"/>
              </w:rPr>
              <w:t>990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13D6EE81" w14:textId="42EE79C4" w:rsidR="0027787C" w:rsidRPr="001A2820" w:rsidRDefault="0027787C" w:rsidP="0027787C">
            <w:pPr>
              <w:jc w:val="right"/>
              <w:rPr>
                <w:rFonts w:cstheme="minorHAnsi"/>
                <w:sz w:val="22"/>
                <w:szCs w:val="22"/>
                <w:lang w:val="fr-FR"/>
              </w:rPr>
            </w:pPr>
            <w:r w:rsidRPr="001A2820">
              <w:rPr>
                <w:rFonts w:cstheme="minorHAnsi"/>
                <w:sz w:val="22"/>
                <w:szCs w:val="22"/>
                <w:lang w:val="fr-FR"/>
              </w:rPr>
              <w:t>4</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r>
      <w:tr w:rsidR="0027787C" w:rsidRPr="001A2820" w14:paraId="39D2E7C1" w14:textId="77777777" w:rsidTr="00A5411B">
        <w:trPr>
          <w:trHeight w:val="600"/>
        </w:trPr>
        <w:tc>
          <w:tcPr>
            <w:tcW w:w="1627" w:type="dxa"/>
            <w:hideMark/>
          </w:tcPr>
          <w:p w14:paraId="0AD0DC5E" w14:textId="398C319E" w:rsidR="0027787C" w:rsidRPr="001A2820" w:rsidRDefault="0027787C" w:rsidP="0027787C">
            <w:pPr>
              <w:rPr>
                <w:rFonts w:cstheme="minorHAnsi"/>
                <w:sz w:val="22"/>
                <w:szCs w:val="22"/>
                <w:lang w:val="fr-FR"/>
              </w:rPr>
            </w:pPr>
            <w:r w:rsidRPr="001A2820">
              <w:rPr>
                <w:rFonts w:cstheme="minorHAnsi"/>
                <w:sz w:val="22"/>
                <w:szCs w:val="22"/>
                <w:lang w:val="fr-FR"/>
              </w:rPr>
              <w:t>Colombie</w:t>
            </w:r>
          </w:p>
        </w:tc>
        <w:tc>
          <w:tcPr>
            <w:tcW w:w="1671" w:type="dxa"/>
            <w:hideMark/>
          </w:tcPr>
          <w:p w14:paraId="09A2B208"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1949301" w14:textId="41CA0AD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BD86CBE" w14:textId="578CE4F2"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en République de Colombie</w:t>
            </w:r>
          </w:p>
        </w:tc>
        <w:tc>
          <w:tcPr>
            <w:tcW w:w="857" w:type="dxa"/>
            <w:hideMark/>
          </w:tcPr>
          <w:p w14:paraId="38D0BDFE" w14:textId="6A3962C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B15949D" w14:textId="130434B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5F30E9F" w14:textId="23AE01C7"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1884BD76" w14:textId="495A336D"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7650739" w14:textId="21920D02" w:rsidR="0027787C" w:rsidRPr="001A2820" w:rsidRDefault="0027787C" w:rsidP="0027787C">
            <w:pPr>
              <w:jc w:val="right"/>
              <w:rPr>
                <w:rFonts w:cstheme="minorHAnsi"/>
                <w:sz w:val="22"/>
                <w:szCs w:val="22"/>
                <w:lang w:val="fr-FR"/>
              </w:rPr>
            </w:pPr>
            <w:r w:rsidRPr="001A2820">
              <w:rPr>
                <w:rFonts w:cstheme="minorHAnsi"/>
                <w:sz w:val="22"/>
                <w:szCs w:val="22"/>
                <w:lang w:val="fr-FR"/>
              </w:rPr>
              <w:t>8</w:t>
            </w:r>
            <w:r w:rsidR="00810CBB">
              <w:rPr>
                <w:rFonts w:cstheme="minorHAnsi"/>
                <w:sz w:val="22"/>
                <w:szCs w:val="22"/>
                <w:lang w:val="fr-FR"/>
              </w:rPr>
              <w:t> </w:t>
            </w:r>
            <w:r w:rsidRPr="001A2820">
              <w:rPr>
                <w:rFonts w:cstheme="minorHAnsi"/>
                <w:sz w:val="22"/>
                <w:szCs w:val="22"/>
                <w:lang w:val="fr-FR"/>
              </w:rPr>
              <w:t>000</w:t>
            </w:r>
          </w:p>
        </w:tc>
      </w:tr>
      <w:tr w:rsidR="0027787C" w:rsidRPr="001A2820" w14:paraId="7ADCF38A" w14:textId="77777777" w:rsidTr="00A5411B">
        <w:trPr>
          <w:trHeight w:val="900"/>
        </w:trPr>
        <w:tc>
          <w:tcPr>
            <w:tcW w:w="1627" w:type="dxa"/>
            <w:hideMark/>
          </w:tcPr>
          <w:p w14:paraId="6B11ACFB" w14:textId="231D08E4" w:rsidR="0027787C" w:rsidRPr="001A2820" w:rsidRDefault="0027787C" w:rsidP="0027787C">
            <w:pPr>
              <w:rPr>
                <w:rFonts w:cstheme="minorHAnsi"/>
                <w:sz w:val="22"/>
                <w:szCs w:val="22"/>
                <w:lang w:val="fr-FR"/>
              </w:rPr>
            </w:pPr>
            <w:r w:rsidRPr="001A2820">
              <w:rPr>
                <w:rFonts w:cstheme="minorHAnsi"/>
                <w:sz w:val="22"/>
                <w:szCs w:val="22"/>
                <w:lang w:val="fr-FR"/>
              </w:rPr>
              <w:t>Colombie</w:t>
            </w:r>
          </w:p>
        </w:tc>
        <w:tc>
          <w:tcPr>
            <w:tcW w:w="1671" w:type="dxa"/>
            <w:hideMark/>
          </w:tcPr>
          <w:p w14:paraId="2025F92B"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BD4B452" w14:textId="123181F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A16957D" w14:textId="538AD617" w:rsidR="0027787C" w:rsidRPr="001A2820" w:rsidRDefault="0027787C" w:rsidP="0027787C">
            <w:pPr>
              <w:rPr>
                <w:rFonts w:cstheme="minorHAnsi"/>
                <w:sz w:val="22"/>
                <w:szCs w:val="22"/>
                <w:lang w:val="fr-FR"/>
              </w:rPr>
            </w:pPr>
            <w:r w:rsidRPr="001A2820">
              <w:rPr>
                <w:rFonts w:cstheme="minorHAnsi"/>
                <w:sz w:val="22"/>
                <w:szCs w:val="22"/>
                <w:lang w:val="fr-FR"/>
              </w:rPr>
              <w:t>Réduction des polluants organiques persistants produits non intentionnellement et des rejets de mercure dans la gestion des déchets médicaux, le traitement des déchets d’équipements électriques et électroniques, le traitement de la ferraille et la combustion de la biomasse</w:t>
            </w:r>
          </w:p>
        </w:tc>
        <w:tc>
          <w:tcPr>
            <w:tcW w:w="857" w:type="dxa"/>
            <w:hideMark/>
          </w:tcPr>
          <w:p w14:paraId="2F71C53C" w14:textId="56E6695E"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AA86D0F" w14:textId="1A8F8DC0"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6A6C9F41" w14:textId="544CD3DB"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64267367" w14:textId="706798E0" w:rsidR="0027787C" w:rsidRPr="001A2820" w:rsidRDefault="0027787C" w:rsidP="0027787C">
            <w:pPr>
              <w:jc w:val="right"/>
              <w:rPr>
                <w:rFonts w:cstheme="minorHAnsi"/>
                <w:sz w:val="22"/>
                <w:szCs w:val="22"/>
                <w:lang w:val="fr-FR"/>
              </w:rPr>
            </w:pPr>
            <w:r w:rsidRPr="001A2820">
              <w:rPr>
                <w:rFonts w:cstheme="minorHAnsi"/>
                <w:sz w:val="22"/>
                <w:szCs w:val="22"/>
                <w:lang w:val="fr-FR"/>
              </w:rPr>
              <w:t>686</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2261AC0" w14:textId="57EB37CE"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r>
      <w:tr w:rsidR="0027787C" w:rsidRPr="001A2820" w14:paraId="2C985142" w14:textId="77777777" w:rsidTr="00A5411B">
        <w:trPr>
          <w:trHeight w:val="600"/>
        </w:trPr>
        <w:tc>
          <w:tcPr>
            <w:tcW w:w="1627" w:type="dxa"/>
            <w:hideMark/>
          </w:tcPr>
          <w:p w14:paraId="0977F364" w14:textId="62378ACC" w:rsidR="0027787C" w:rsidRPr="001A2820" w:rsidRDefault="0027787C" w:rsidP="0027787C">
            <w:pPr>
              <w:rPr>
                <w:rFonts w:cstheme="minorHAnsi"/>
                <w:sz w:val="22"/>
                <w:szCs w:val="22"/>
                <w:lang w:val="fr-FR"/>
              </w:rPr>
            </w:pPr>
            <w:r w:rsidRPr="001A2820">
              <w:rPr>
                <w:rFonts w:cstheme="minorHAnsi"/>
                <w:sz w:val="22"/>
                <w:szCs w:val="22"/>
                <w:lang w:val="fr-FR"/>
              </w:rPr>
              <w:t>Comores</w:t>
            </w:r>
          </w:p>
        </w:tc>
        <w:tc>
          <w:tcPr>
            <w:tcW w:w="1671" w:type="dxa"/>
            <w:hideMark/>
          </w:tcPr>
          <w:p w14:paraId="59C0F95A"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B2ACA1C"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3987AE7" w14:textId="168FFC9C"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dans les Comores</w:t>
            </w:r>
          </w:p>
        </w:tc>
        <w:tc>
          <w:tcPr>
            <w:tcW w:w="857" w:type="dxa"/>
            <w:hideMark/>
          </w:tcPr>
          <w:p w14:paraId="5BAFA484" w14:textId="43F0BF25"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7C47496C" w14:textId="47A43F67"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5D89C89" w14:textId="060F0AB4"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71FA079D" w14:textId="7172D7E4"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2002F5B1" w14:textId="4684501F" w:rsidR="0027787C" w:rsidRPr="001A2820" w:rsidRDefault="0027787C" w:rsidP="0027787C">
            <w:pPr>
              <w:jc w:val="right"/>
              <w:rPr>
                <w:rFonts w:cstheme="minorHAnsi"/>
                <w:sz w:val="22"/>
                <w:szCs w:val="22"/>
                <w:lang w:val="fr-FR"/>
              </w:rPr>
            </w:pPr>
            <w:r w:rsidRPr="001A2820">
              <w:rPr>
                <w:rFonts w:cstheme="minorHAnsi"/>
                <w:sz w:val="22"/>
                <w:szCs w:val="22"/>
                <w:lang w:val="fr-FR"/>
              </w:rPr>
              <w:t>67</w:t>
            </w:r>
            <w:r w:rsidR="00810CBB">
              <w:rPr>
                <w:rFonts w:cstheme="minorHAnsi"/>
                <w:sz w:val="22"/>
                <w:szCs w:val="22"/>
                <w:lang w:val="fr-FR"/>
              </w:rPr>
              <w:t> </w:t>
            </w:r>
            <w:r w:rsidRPr="001A2820">
              <w:rPr>
                <w:rFonts w:cstheme="minorHAnsi"/>
                <w:sz w:val="22"/>
                <w:szCs w:val="22"/>
                <w:lang w:val="fr-FR"/>
              </w:rPr>
              <w:t>000</w:t>
            </w:r>
          </w:p>
        </w:tc>
      </w:tr>
      <w:tr w:rsidR="0027787C" w:rsidRPr="001A2820" w14:paraId="4B74480A" w14:textId="77777777" w:rsidTr="00A5411B">
        <w:trPr>
          <w:trHeight w:val="900"/>
        </w:trPr>
        <w:tc>
          <w:tcPr>
            <w:tcW w:w="1627" w:type="dxa"/>
            <w:hideMark/>
          </w:tcPr>
          <w:p w14:paraId="6A720F2A" w14:textId="330D3A74" w:rsidR="0027787C" w:rsidRPr="001A2820" w:rsidRDefault="0027787C" w:rsidP="0027787C">
            <w:pPr>
              <w:rPr>
                <w:rFonts w:cstheme="minorHAnsi"/>
                <w:sz w:val="22"/>
                <w:szCs w:val="22"/>
                <w:lang w:val="fr-FR"/>
              </w:rPr>
            </w:pPr>
            <w:r w:rsidRPr="001A2820">
              <w:rPr>
                <w:rFonts w:cstheme="minorHAnsi"/>
                <w:sz w:val="22"/>
                <w:szCs w:val="22"/>
                <w:lang w:val="fr-FR"/>
              </w:rPr>
              <w:t>Congo (République démocratique du)</w:t>
            </w:r>
          </w:p>
        </w:tc>
        <w:tc>
          <w:tcPr>
            <w:tcW w:w="1671" w:type="dxa"/>
            <w:hideMark/>
          </w:tcPr>
          <w:p w14:paraId="34BCB55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684D651" w14:textId="06ED0F24"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11EBEDC" w14:textId="0D449E95"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et d’un plan d’action national concernant l’extraction minière artisanale et à </w:t>
            </w:r>
            <w:r w:rsidRPr="001A2820">
              <w:rPr>
                <w:rFonts w:cstheme="minorHAnsi"/>
                <w:sz w:val="22"/>
                <w:szCs w:val="22"/>
                <w:lang w:val="fr-FR"/>
              </w:rPr>
              <w:lastRenderedPageBreak/>
              <w:t>petite échelle d’or en République démocratique du Congo</w:t>
            </w:r>
          </w:p>
        </w:tc>
        <w:tc>
          <w:tcPr>
            <w:tcW w:w="857" w:type="dxa"/>
            <w:hideMark/>
          </w:tcPr>
          <w:p w14:paraId="438CEB2B" w14:textId="22756D7A" w:rsidR="0027787C" w:rsidRPr="001A2820" w:rsidRDefault="00F47184" w:rsidP="0027787C">
            <w:pPr>
              <w:rPr>
                <w:rFonts w:cstheme="minorHAnsi"/>
                <w:sz w:val="22"/>
                <w:szCs w:val="22"/>
                <w:lang w:val="fr-FR"/>
              </w:rPr>
            </w:pPr>
            <w:r>
              <w:rPr>
                <w:rFonts w:cstheme="minorHAnsi"/>
                <w:sz w:val="22"/>
                <w:szCs w:val="22"/>
                <w:lang w:val="fr-FR"/>
              </w:rPr>
              <w:lastRenderedPageBreak/>
              <w:t>FEM-6</w:t>
            </w:r>
          </w:p>
        </w:tc>
        <w:tc>
          <w:tcPr>
            <w:tcW w:w="889" w:type="dxa"/>
            <w:hideMark/>
          </w:tcPr>
          <w:p w14:paraId="1026A42B" w14:textId="285E6C29"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574CD67" w14:textId="221F9723"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CF8C2B5" w14:textId="5B7FE526"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000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4E526EDF"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5DE98D54" w14:textId="77777777" w:rsidTr="00A5411B">
        <w:trPr>
          <w:trHeight w:val="300"/>
        </w:trPr>
        <w:tc>
          <w:tcPr>
            <w:tcW w:w="1627" w:type="dxa"/>
            <w:hideMark/>
          </w:tcPr>
          <w:p w14:paraId="46FC781B" w14:textId="496DB06B" w:rsidR="0027787C" w:rsidRPr="001A2820" w:rsidRDefault="0027787C" w:rsidP="0027787C">
            <w:pPr>
              <w:rPr>
                <w:rFonts w:cstheme="minorHAnsi"/>
                <w:sz w:val="22"/>
                <w:szCs w:val="22"/>
                <w:lang w:val="fr-FR"/>
              </w:rPr>
            </w:pPr>
            <w:r w:rsidRPr="001A2820">
              <w:rPr>
                <w:rFonts w:cstheme="minorHAnsi"/>
                <w:sz w:val="22"/>
                <w:szCs w:val="22"/>
                <w:lang w:val="fr-FR"/>
              </w:rPr>
              <w:t>Costa Rica</w:t>
            </w:r>
          </w:p>
        </w:tc>
        <w:tc>
          <w:tcPr>
            <w:tcW w:w="1671" w:type="dxa"/>
            <w:hideMark/>
          </w:tcPr>
          <w:p w14:paraId="5E9880CB"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B91D58C"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4BA219E" w14:textId="2DE5BCF3"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pour le Costa Rica</w:t>
            </w:r>
          </w:p>
        </w:tc>
        <w:tc>
          <w:tcPr>
            <w:tcW w:w="857" w:type="dxa"/>
            <w:hideMark/>
          </w:tcPr>
          <w:p w14:paraId="33A8885C" w14:textId="442BC88A"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638402B8" w14:textId="3EB0865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A6929C1" w14:textId="1B3B960B"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0F73B3F2" w14:textId="0C989DC6"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64CB14C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w:t>
            </w:r>
          </w:p>
        </w:tc>
      </w:tr>
      <w:tr w:rsidR="0027787C" w:rsidRPr="001A2820" w14:paraId="221D7DAB" w14:textId="77777777" w:rsidTr="00A5411B">
        <w:trPr>
          <w:trHeight w:val="600"/>
        </w:trPr>
        <w:tc>
          <w:tcPr>
            <w:tcW w:w="1627" w:type="dxa"/>
            <w:hideMark/>
          </w:tcPr>
          <w:p w14:paraId="63DFCAB2" w14:textId="77777777" w:rsidR="0027787C" w:rsidRPr="001A2820" w:rsidRDefault="0027787C" w:rsidP="0027787C">
            <w:pPr>
              <w:rPr>
                <w:rFonts w:cstheme="minorHAnsi"/>
                <w:sz w:val="22"/>
                <w:szCs w:val="22"/>
                <w:lang w:val="fr-FR"/>
              </w:rPr>
            </w:pPr>
            <w:r w:rsidRPr="001A2820">
              <w:rPr>
                <w:rFonts w:cstheme="minorHAnsi"/>
                <w:sz w:val="22"/>
                <w:szCs w:val="22"/>
                <w:lang w:val="fr-FR"/>
              </w:rPr>
              <w:t>Djibouti</w:t>
            </w:r>
          </w:p>
        </w:tc>
        <w:tc>
          <w:tcPr>
            <w:tcW w:w="1671" w:type="dxa"/>
            <w:hideMark/>
          </w:tcPr>
          <w:p w14:paraId="1B70002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2C3C5AB" w14:textId="466FCD23"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B830C9C" w14:textId="7AF7A490"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à Djibouti</w:t>
            </w:r>
          </w:p>
        </w:tc>
        <w:tc>
          <w:tcPr>
            <w:tcW w:w="857" w:type="dxa"/>
            <w:hideMark/>
          </w:tcPr>
          <w:p w14:paraId="0D878E32" w14:textId="26CF28EE"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466DF9E" w14:textId="3AFBCEB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99D86DE" w14:textId="6625E4E9"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B4BBDA7" w14:textId="6DFA6BDB"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3B782B1"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51583B7F" w14:textId="77777777" w:rsidTr="00A5411B">
        <w:trPr>
          <w:trHeight w:val="600"/>
        </w:trPr>
        <w:tc>
          <w:tcPr>
            <w:tcW w:w="1627" w:type="dxa"/>
          </w:tcPr>
          <w:p w14:paraId="5100C2B4" w14:textId="1B37926D" w:rsidR="0027787C" w:rsidRPr="001A2820" w:rsidRDefault="0027787C" w:rsidP="0027787C">
            <w:pPr>
              <w:rPr>
                <w:rFonts w:cstheme="minorHAnsi"/>
                <w:sz w:val="22"/>
                <w:szCs w:val="22"/>
                <w:lang w:val="fr-FR"/>
              </w:rPr>
            </w:pPr>
            <w:r w:rsidRPr="001A2820">
              <w:rPr>
                <w:rFonts w:cstheme="minorHAnsi"/>
                <w:sz w:val="22"/>
                <w:szCs w:val="22"/>
                <w:lang w:val="fr-FR"/>
              </w:rPr>
              <w:t>Égypte</w:t>
            </w:r>
          </w:p>
        </w:tc>
        <w:tc>
          <w:tcPr>
            <w:tcW w:w="1671" w:type="dxa"/>
          </w:tcPr>
          <w:p w14:paraId="253A631C" w14:textId="3DF92E6C"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4BF8FC58" w14:textId="1B76C25F"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tcPr>
          <w:p w14:paraId="29F58746" w14:textId="360B87E3" w:rsidR="0027787C" w:rsidRPr="001A2820" w:rsidRDefault="0027787C" w:rsidP="0027787C">
            <w:pPr>
              <w:rPr>
                <w:rFonts w:cstheme="minorHAnsi"/>
                <w:sz w:val="22"/>
                <w:szCs w:val="22"/>
                <w:lang w:val="fr-FR"/>
              </w:rPr>
            </w:pPr>
            <w:r w:rsidRPr="001A2820">
              <w:rPr>
                <w:rFonts w:cstheme="minorHAnsi"/>
                <w:sz w:val="22"/>
                <w:szCs w:val="22"/>
                <w:lang w:val="fr-FR"/>
              </w:rPr>
              <w:t xml:space="preserve">Protéger la santé humaine et l’environnement des rejets non intentionnels de polluants organiques persistants provenant de l’incinération et du brûlage à l’air libre de déchets médicaux et électroniques </w:t>
            </w:r>
          </w:p>
        </w:tc>
        <w:tc>
          <w:tcPr>
            <w:tcW w:w="857" w:type="dxa"/>
          </w:tcPr>
          <w:p w14:paraId="4B5350F6" w14:textId="034C7FCB"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tcPr>
          <w:p w14:paraId="5655C09D" w14:textId="168C97E5"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tcPr>
          <w:p w14:paraId="32CB194F" w14:textId="2AABF672"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tcPr>
          <w:p w14:paraId="3496B01C" w14:textId="0FD9D51D" w:rsidR="0027787C" w:rsidRPr="001A2820" w:rsidRDefault="0027787C" w:rsidP="0027787C">
            <w:pPr>
              <w:jc w:val="right"/>
              <w:rPr>
                <w:rFonts w:cstheme="minorHAnsi"/>
                <w:sz w:val="22"/>
                <w:szCs w:val="22"/>
                <w:lang w:val="fr-FR"/>
              </w:rPr>
            </w:pPr>
            <w:r w:rsidRPr="001A2820">
              <w:rPr>
                <w:rFonts w:cstheme="minorHAnsi"/>
                <w:sz w:val="22"/>
                <w:szCs w:val="22"/>
                <w:lang w:val="fr-FR"/>
              </w:rPr>
              <w:t>550</w:t>
            </w:r>
            <w:r w:rsidR="00810CBB">
              <w:rPr>
                <w:rFonts w:cstheme="minorHAnsi"/>
                <w:sz w:val="22"/>
                <w:szCs w:val="22"/>
                <w:lang w:val="fr-FR"/>
              </w:rPr>
              <w:t> </w:t>
            </w:r>
            <w:r w:rsidRPr="001A2820">
              <w:rPr>
                <w:rFonts w:cstheme="minorHAnsi"/>
                <w:sz w:val="22"/>
                <w:szCs w:val="22"/>
                <w:lang w:val="fr-FR"/>
              </w:rPr>
              <w:t>000</w:t>
            </w:r>
          </w:p>
        </w:tc>
        <w:tc>
          <w:tcPr>
            <w:tcW w:w="1592" w:type="dxa"/>
          </w:tcPr>
          <w:p w14:paraId="13EEF5CB" w14:textId="5F5D409F"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810CBB">
              <w:rPr>
                <w:rFonts w:cstheme="minorHAnsi"/>
                <w:sz w:val="22"/>
                <w:szCs w:val="22"/>
                <w:lang w:val="fr-FR"/>
              </w:rPr>
              <w:t> </w:t>
            </w:r>
            <w:r w:rsidRPr="001A2820">
              <w:rPr>
                <w:rFonts w:cstheme="minorHAnsi"/>
                <w:sz w:val="22"/>
                <w:szCs w:val="22"/>
                <w:lang w:val="fr-FR"/>
              </w:rPr>
              <w:t>600</w:t>
            </w:r>
            <w:r w:rsidR="00810CBB">
              <w:rPr>
                <w:rFonts w:cstheme="minorHAnsi"/>
                <w:sz w:val="22"/>
                <w:szCs w:val="22"/>
                <w:lang w:val="fr-FR"/>
              </w:rPr>
              <w:t> </w:t>
            </w:r>
            <w:r w:rsidRPr="001A2820">
              <w:rPr>
                <w:rFonts w:cstheme="minorHAnsi"/>
                <w:sz w:val="22"/>
                <w:szCs w:val="22"/>
                <w:lang w:val="fr-FR"/>
              </w:rPr>
              <w:t>000</w:t>
            </w:r>
          </w:p>
        </w:tc>
      </w:tr>
      <w:tr w:rsidR="0027787C" w:rsidRPr="001A2820" w14:paraId="47F524A5" w14:textId="77777777" w:rsidTr="00A5411B">
        <w:trPr>
          <w:trHeight w:val="600"/>
        </w:trPr>
        <w:tc>
          <w:tcPr>
            <w:tcW w:w="1627" w:type="dxa"/>
          </w:tcPr>
          <w:p w14:paraId="13B73BFB" w14:textId="25970171" w:rsidR="0027787C" w:rsidRPr="001A2820" w:rsidRDefault="0027787C" w:rsidP="0027787C">
            <w:pPr>
              <w:rPr>
                <w:rFonts w:cstheme="minorHAnsi"/>
                <w:sz w:val="22"/>
                <w:szCs w:val="22"/>
                <w:lang w:val="fr-FR"/>
              </w:rPr>
            </w:pPr>
            <w:r w:rsidRPr="001A2820">
              <w:rPr>
                <w:rFonts w:cstheme="minorHAnsi"/>
                <w:sz w:val="22"/>
                <w:szCs w:val="22"/>
                <w:lang w:val="fr-FR"/>
              </w:rPr>
              <w:t>El Salvador</w:t>
            </w:r>
          </w:p>
        </w:tc>
        <w:tc>
          <w:tcPr>
            <w:tcW w:w="1671" w:type="dxa"/>
          </w:tcPr>
          <w:p w14:paraId="7784B970" w14:textId="2D1F2272"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39CAF2CD" w14:textId="1E793374"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39D178B7" w14:textId="2AB799EC"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en El Salvador</w:t>
            </w:r>
          </w:p>
        </w:tc>
        <w:tc>
          <w:tcPr>
            <w:tcW w:w="857" w:type="dxa"/>
          </w:tcPr>
          <w:p w14:paraId="3410E0F1" w14:textId="6F3CC62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06925CF0" w14:textId="5C9A46D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38041F6E" w14:textId="259D7363"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tcPr>
          <w:p w14:paraId="11369A4D" w14:textId="6BE55ACF"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tcPr>
          <w:p w14:paraId="76CA3F8E" w14:textId="235E92A6"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DA5D42D" w14:textId="77777777" w:rsidTr="00A5411B">
        <w:trPr>
          <w:trHeight w:val="600"/>
        </w:trPr>
        <w:tc>
          <w:tcPr>
            <w:tcW w:w="1627" w:type="dxa"/>
            <w:hideMark/>
          </w:tcPr>
          <w:p w14:paraId="606AD9E4" w14:textId="0A125C34" w:rsidR="0027787C" w:rsidRPr="001A2820" w:rsidRDefault="0027787C" w:rsidP="0027787C">
            <w:pPr>
              <w:rPr>
                <w:rFonts w:cstheme="minorHAnsi"/>
                <w:sz w:val="22"/>
                <w:szCs w:val="22"/>
                <w:lang w:val="fr-FR"/>
              </w:rPr>
            </w:pPr>
            <w:r w:rsidRPr="001A2820">
              <w:rPr>
                <w:rFonts w:cstheme="minorHAnsi"/>
                <w:sz w:val="22"/>
                <w:szCs w:val="22"/>
                <w:lang w:val="fr-FR"/>
              </w:rPr>
              <w:t>Équateur</w:t>
            </w:r>
          </w:p>
        </w:tc>
        <w:tc>
          <w:tcPr>
            <w:tcW w:w="1671" w:type="dxa"/>
            <w:hideMark/>
          </w:tcPr>
          <w:p w14:paraId="7E35F8A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7925140" w14:textId="69F5D6C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343F1DF" w14:textId="2F58AF1F" w:rsidR="0027787C" w:rsidRPr="001A2820" w:rsidRDefault="0027787C" w:rsidP="0027787C">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en Équateur</w:t>
            </w:r>
          </w:p>
        </w:tc>
        <w:tc>
          <w:tcPr>
            <w:tcW w:w="857" w:type="dxa"/>
            <w:hideMark/>
          </w:tcPr>
          <w:p w14:paraId="20A2C7F6" w14:textId="03CD4A37"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FDDFAF1" w14:textId="62A5F9D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1F0A979" w14:textId="2E2DEDE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28A24A18" w14:textId="7EB8BBB7"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75014AF7" w14:textId="4AEC8276" w:rsidR="0027787C" w:rsidRPr="001A2820" w:rsidRDefault="0027787C" w:rsidP="0027787C">
            <w:pPr>
              <w:jc w:val="right"/>
              <w:rPr>
                <w:rFonts w:cstheme="minorHAnsi"/>
                <w:sz w:val="22"/>
                <w:szCs w:val="22"/>
                <w:lang w:val="fr-FR"/>
              </w:rPr>
            </w:pPr>
            <w:r w:rsidRPr="001A2820">
              <w:rPr>
                <w:rFonts w:cstheme="minorHAnsi"/>
                <w:sz w:val="22"/>
                <w:szCs w:val="22"/>
                <w:lang w:val="fr-FR"/>
              </w:rPr>
              <w:t>81</w:t>
            </w:r>
            <w:r w:rsidR="00810CBB">
              <w:rPr>
                <w:rFonts w:cstheme="minorHAnsi"/>
                <w:sz w:val="22"/>
                <w:szCs w:val="22"/>
                <w:lang w:val="fr-FR"/>
              </w:rPr>
              <w:t> </w:t>
            </w:r>
            <w:r w:rsidRPr="001A2820">
              <w:rPr>
                <w:rFonts w:cstheme="minorHAnsi"/>
                <w:sz w:val="22"/>
                <w:szCs w:val="22"/>
                <w:lang w:val="fr-FR"/>
              </w:rPr>
              <w:t>000</w:t>
            </w:r>
          </w:p>
        </w:tc>
      </w:tr>
      <w:tr w:rsidR="0027787C" w:rsidRPr="001A2820" w14:paraId="388B296D" w14:textId="77777777" w:rsidTr="00A5411B">
        <w:trPr>
          <w:trHeight w:val="900"/>
        </w:trPr>
        <w:tc>
          <w:tcPr>
            <w:tcW w:w="1627" w:type="dxa"/>
            <w:hideMark/>
          </w:tcPr>
          <w:p w14:paraId="6DC9924B" w14:textId="075BC2C9" w:rsidR="0027787C" w:rsidRPr="001A2820" w:rsidRDefault="0027787C" w:rsidP="0027787C">
            <w:pPr>
              <w:rPr>
                <w:rFonts w:cstheme="minorHAnsi"/>
                <w:sz w:val="22"/>
                <w:szCs w:val="22"/>
                <w:lang w:val="fr-FR"/>
              </w:rPr>
            </w:pPr>
            <w:r w:rsidRPr="001A2820">
              <w:rPr>
                <w:rFonts w:cstheme="minorHAnsi"/>
                <w:sz w:val="22"/>
                <w:szCs w:val="22"/>
                <w:lang w:val="fr-FR"/>
              </w:rPr>
              <w:t>Équateur</w:t>
            </w:r>
          </w:p>
        </w:tc>
        <w:tc>
          <w:tcPr>
            <w:tcW w:w="1671" w:type="dxa"/>
            <w:hideMark/>
          </w:tcPr>
          <w:p w14:paraId="68FE402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CF10524" w14:textId="5C59E96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55F2D84" w14:textId="125C99F5" w:rsidR="0027787C" w:rsidRPr="001A2820" w:rsidRDefault="0027787C" w:rsidP="0027787C">
            <w:pPr>
              <w:rPr>
                <w:rFonts w:cstheme="minorHAnsi"/>
                <w:sz w:val="22"/>
                <w:szCs w:val="22"/>
                <w:lang w:val="fr-FR"/>
              </w:rPr>
            </w:pPr>
            <w:r w:rsidRPr="001A2820">
              <w:rPr>
                <w:rFonts w:cstheme="minorHAnsi"/>
                <w:sz w:val="22"/>
                <w:szCs w:val="22"/>
                <w:lang w:val="fr-FR"/>
              </w:rPr>
              <w:t>Programme national pour la gestion écologiquement rationnelle et la gestion du cycle de vie des substances chimiques</w:t>
            </w:r>
          </w:p>
        </w:tc>
        <w:tc>
          <w:tcPr>
            <w:tcW w:w="857" w:type="dxa"/>
            <w:hideMark/>
          </w:tcPr>
          <w:p w14:paraId="6F61E91B" w14:textId="4EA1A91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A38ADF1" w14:textId="29A0701B"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0B75B738" w14:textId="5B45A0CA"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3E028974" w14:textId="642D1546" w:rsidR="0027787C" w:rsidRPr="001A2820" w:rsidRDefault="0027787C" w:rsidP="0027787C">
            <w:pPr>
              <w:jc w:val="right"/>
              <w:rPr>
                <w:rFonts w:cstheme="minorHAnsi"/>
                <w:sz w:val="22"/>
                <w:szCs w:val="22"/>
                <w:lang w:val="fr-FR"/>
              </w:rPr>
            </w:pPr>
            <w:r w:rsidRPr="001A2820">
              <w:rPr>
                <w:rFonts w:cstheme="minorHAnsi"/>
                <w:sz w:val="22"/>
                <w:szCs w:val="22"/>
                <w:lang w:val="fr-FR"/>
              </w:rPr>
              <w:t>3</w:t>
            </w:r>
            <w:r w:rsidR="00810CBB">
              <w:rPr>
                <w:rFonts w:cstheme="minorHAnsi"/>
                <w:sz w:val="22"/>
                <w:szCs w:val="22"/>
                <w:lang w:val="fr-FR"/>
              </w:rPr>
              <w:t> </w:t>
            </w:r>
            <w:r w:rsidRPr="001A2820">
              <w:rPr>
                <w:rFonts w:cstheme="minorHAnsi"/>
                <w:sz w:val="22"/>
                <w:szCs w:val="22"/>
                <w:lang w:val="fr-FR"/>
              </w:rPr>
              <w:t>795</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2600421" w14:textId="76EAD35F" w:rsidR="0027787C" w:rsidRPr="001A2820" w:rsidRDefault="0027787C" w:rsidP="0027787C">
            <w:pPr>
              <w:jc w:val="right"/>
              <w:rPr>
                <w:rFonts w:cstheme="minorHAnsi"/>
                <w:sz w:val="22"/>
                <w:szCs w:val="22"/>
                <w:lang w:val="fr-FR"/>
              </w:rPr>
            </w:pPr>
            <w:r w:rsidRPr="001A2820">
              <w:rPr>
                <w:rFonts w:cstheme="minorHAnsi"/>
                <w:sz w:val="22"/>
                <w:szCs w:val="22"/>
                <w:lang w:val="fr-FR"/>
              </w:rPr>
              <w:t>15</w:t>
            </w:r>
            <w:r w:rsidR="00810CBB">
              <w:rPr>
                <w:rFonts w:cstheme="minorHAnsi"/>
                <w:sz w:val="22"/>
                <w:szCs w:val="22"/>
                <w:lang w:val="fr-FR"/>
              </w:rPr>
              <w:t> </w:t>
            </w:r>
            <w:r w:rsidRPr="001A2820">
              <w:rPr>
                <w:rFonts w:cstheme="minorHAnsi"/>
                <w:sz w:val="22"/>
                <w:szCs w:val="22"/>
                <w:lang w:val="fr-FR"/>
              </w:rPr>
              <w:t>131</w:t>
            </w:r>
            <w:r w:rsidR="00810CBB">
              <w:rPr>
                <w:rFonts w:cstheme="minorHAnsi"/>
                <w:sz w:val="22"/>
                <w:szCs w:val="22"/>
                <w:lang w:val="fr-FR"/>
              </w:rPr>
              <w:t> </w:t>
            </w:r>
            <w:r w:rsidRPr="001A2820">
              <w:rPr>
                <w:rFonts w:cstheme="minorHAnsi"/>
                <w:sz w:val="22"/>
                <w:szCs w:val="22"/>
                <w:lang w:val="fr-FR"/>
              </w:rPr>
              <w:t>702</w:t>
            </w:r>
          </w:p>
        </w:tc>
      </w:tr>
      <w:tr w:rsidR="0027787C" w:rsidRPr="001A2820" w14:paraId="4AA58B00" w14:textId="77777777" w:rsidTr="00A5411B">
        <w:trPr>
          <w:trHeight w:val="900"/>
        </w:trPr>
        <w:tc>
          <w:tcPr>
            <w:tcW w:w="1627" w:type="dxa"/>
            <w:hideMark/>
          </w:tcPr>
          <w:p w14:paraId="02A28618" w14:textId="462D0FA7" w:rsidR="0027787C" w:rsidRPr="001A2820" w:rsidRDefault="0027787C" w:rsidP="0027787C">
            <w:pPr>
              <w:rPr>
                <w:rFonts w:cstheme="minorHAnsi"/>
                <w:sz w:val="22"/>
                <w:szCs w:val="22"/>
                <w:lang w:val="fr-FR"/>
              </w:rPr>
            </w:pPr>
            <w:r w:rsidRPr="001A2820">
              <w:rPr>
                <w:rFonts w:cstheme="minorHAnsi"/>
                <w:sz w:val="22"/>
                <w:szCs w:val="22"/>
                <w:lang w:val="fr-FR"/>
              </w:rPr>
              <w:t>Érythrée</w:t>
            </w:r>
          </w:p>
        </w:tc>
        <w:tc>
          <w:tcPr>
            <w:tcW w:w="1671" w:type="dxa"/>
            <w:hideMark/>
          </w:tcPr>
          <w:p w14:paraId="2FFEFD45"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446FC89" w14:textId="0B71885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252F4A8" w14:textId="6546287D"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et d’un plan d’action national concernant l’extraction minière artisanale et à petite échelle d’or en Érythrée</w:t>
            </w:r>
          </w:p>
        </w:tc>
        <w:tc>
          <w:tcPr>
            <w:tcW w:w="857" w:type="dxa"/>
            <w:hideMark/>
          </w:tcPr>
          <w:p w14:paraId="13807F31" w14:textId="63DB8863"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39C2A15" w14:textId="14CDD2D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90732B5" w14:textId="3A0D4ED6"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043123BF" w14:textId="6ED1F429"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6C350FA1"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F4680F" w:rsidRPr="001A2820" w14:paraId="6504CE2F" w14:textId="77777777" w:rsidTr="00A5411B">
        <w:trPr>
          <w:trHeight w:val="900"/>
        </w:trPr>
        <w:tc>
          <w:tcPr>
            <w:tcW w:w="1627" w:type="dxa"/>
          </w:tcPr>
          <w:p w14:paraId="383330C9" w14:textId="2F962989" w:rsidR="00F4680F" w:rsidRPr="001A2820" w:rsidRDefault="00F4680F" w:rsidP="0027787C">
            <w:pPr>
              <w:rPr>
                <w:rFonts w:cstheme="minorHAnsi"/>
                <w:sz w:val="22"/>
                <w:szCs w:val="22"/>
                <w:lang w:val="fr-FR"/>
              </w:rPr>
            </w:pPr>
            <w:r>
              <w:rPr>
                <w:rFonts w:cstheme="minorHAnsi"/>
                <w:sz w:val="22"/>
                <w:szCs w:val="22"/>
                <w:lang w:val="fr-FR"/>
              </w:rPr>
              <w:t>Fédération de Russie</w:t>
            </w:r>
          </w:p>
        </w:tc>
        <w:tc>
          <w:tcPr>
            <w:tcW w:w="1671" w:type="dxa"/>
          </w:tcPr>
          <w:p w14:paraId="1EE35741" w14:textId="77777777" w:rsidR="00F4680F" w:rsidRPr="001A2820" w:rsidRDefault="00F4680F" w:rsidP="0027787C">
            <w:pPr>
              <w:rPr>
                <w:rFonts w:cstheme="minorHAnsi"/>
                <w:sz w:val="22"/>
                <w:szCs w:val="22"/>
                <w:lang w:val="fr-FR"/>
              </w:rPr>
            </w:pPr>
          </w:p>
        </w:tc>
        <w:tc>
          <w:tcPr>
            <w:tcW w:w="1463" w:type="dxa"/>
          </w:tcPr>
          <w:p w14:paraId="12970FFD" w14:textId="2EC430E1" w:rsidR="00F4680F" w:rsidRPr="001A2820" w:rsidRDefault="00F4680F" w:rsidP="0027787C">
            <w:pPr>
              <w:rPr>
                <w:rFonts w:cstheme="minorHAnsi"/>
                <w:sz w:val="22"/>
                <w:szCs w:val="22"/>
                <w:lang w:val="fr-FR"/>
              </w:rPr>
            </w:pPr>
            <w:r>
              <w:rPr>
                <w:rFonts w:cstheme="minorHAnsi"/>
                <w:sz w:val="22"/>
                <w:szCs w:val="22"/>
                <w:lang w:val="fr-FR"/>
              </w:rPr>
              <w:t>P</w:t>
            </w:r>
          </w:p>
        </w:tc>
        <w:tc>
          <w:tcPr>
            <w:tcW w:w="3751" w:type="dxa"/>
          </w:tcPr>
          <w:p w14:paraId="484D194D" w14:textId="7E1D48AD" w:rsidR="00F4680F" w:rsidRPr="001A2820" w:rsidRDefault="00F4680F" w:rsidP="0027787C">
            <w:pPr>
              <w:rPr>
                <w:rFonts w:cstheme="minorHAnsi"/>
                <w:sz w:val="22"/>
                <w:szCs w:val="22"/>
                <w:lang w:val="fr-FR"/>
              </w:rPr>
            </w:pPr>
            <w:r>
              <w:rPr>
                <w:rFonts w:cstheme="minorHAnsi"/>
                <w:sz w:val="22"/>
                <w:szCs w:val="22"/>
                <w:lang w:val="fr-FR"/>
              </w:rPr>
              <w:t>Projet pilote sur l’établissement d’un inventaire du mercure dans la Fédération de Russie</w:t>
            </w:r>
          </w:p>
        </w:tc>
        <w:tc>
          <w:tcPr>
            <w:tcW w:w="857" w:type="dxa"/>
          </w:tcPr>
          <w:p w14:paraId="50D0883F" w14:textId="33B064EC" w:rsidR="00F4680F" w:rsidRPr="001A2820" w:rsidRDefault="00F47184" w:rsidP="0027787C">
            <w:pPr>
              <w:rPr>
                <w:rFonts w:cstheme="minorHAnsi"/>
                <w:sz w:val="22"/>
                <w:szCs w:val="22"/>
                <w:lang w:val="fr-FR"/>
              </w:rPr>
            </w:pPr>
            <w:r>
              <w:rPr>
                <w:rFonts w:cstheme="minorHAnsi"/>
                <w:sz w:val="22"/>
                <w:szCs w:val="22"/>
                <w:lang w:val="fr-FR"/>
              </w:rPr>
              <w:t>FEM-5</w:t>
            </w:r>
          </w:p>
        </w:tc>
        <w:tc>
          <w:tcPr>
            <w:tcW w:w="889" w:type="dxa"/>
          </w:tcPr>
          <w:p w14:paraId="6B07BA97" w14:textId="5DE2BA9F" w:rsidR="00F4680F" w:rsidRPr="001A2820" w:rsidRDefault="00F4680F" w:rsidP="0027787C">
            <w:pPr>
              <w:rPr>
                <w:rFonts w:cstheme="minorHAnsi"/>
                <w:sz w:val="22"/>
                <w:szCs w:val="22"/>
                <w:lang w:val="fr-FR"/>
              </w:rPr>
            </w:pPr>
            <w:r>
              <w:rPr>
                <w:rFonts w:cstheme="minorHAnsi"/>
                <w:sz w:val="22"/>
                <w:szCs w:val="22"/>
                <w:lang w:val="fr-FR"/>
              </w:rPr>
              <w:t>PME</w:t>
            </w:r>
          </w:p>
        </w:tc>
        <w:tc>
          <w:tcPr>
            <w:tcW w:w="1157" w:type="dxa"/>
          </w:tcPr>
          <w:p w14:paraId="228E2DAA" w14:textId="46170E7E" w:rsidR="00F4680F" w:rsidRPr="001A2820" w:rsidRDefault="00F4680F" w:rsidP="0027787C">
            <w:pPr>
              <w:rPr>
                <w:rFonts w:cstheme="minorHAnsi"/>
                <w:sz w:val="22"/>
                <w:szCs w:val="22"/>
                <w:lang w:val="fr-FR"/>
              </w:rPr>
            </w:pPr>
            <w:r>
              <w:rPr>
                <w:rFonts w:cstheme="minorHAnsi"/>
                <w:sz w:val="22"/>
                <w:szCs w:val="22"/>
                <w:lang w:val="fr-FR"/>
              </w:rPr>
              <w:t>PNUE</w:t>
            </w:r>
          </w:p>
        </w:tc>
        <w:tc>
          <w:tcPr>
            <w:tcW w:w="1498" w:type="dxa"/>
          </w:tcPr>
          <w:p w14:paraId="437AA182" w14:textId="1B71D546" w:rsidR="00F4680F" w:rsidRPr="001A2820" w:rsidRDefault="00F4680F" w:rsidP="0027787C">
            <w:pPr>
              <w:jc w:val="right"/>
              <w:rPr>
                <w:rFonts w:cstheme="minorHAnsi"/>
                <w:sz w:val="22"/>
                <w:szCs w:val="22"/>
                <w:lang w:val="fr-FR"/>
              </w:rPr>
            </w:pPr>
            <w:r>
              <w:rPr>
                <w:rFonts w:cstheme="minorHAnsi"/>
                <w:sz w:val="22"/>
                <w:szCs w:val="22"/>
                <w:lang w:val="fr-FR"/>
              </w:rPr>
              <w:t>1</w:t>
            </w:r>
            <w:r w:rsidR="00810CBB">
              <w:rPr>
                <w:rFonts w:cstheme="minorHAnsi"/>
                <w:sz w:val="22"/>
                <w:szCs w:val="22"/>
                <w:lang w:val="fr-FR"/>
              </w:rPr>
              <w:t> </w:t>
            </w:r>
            <w:r>
              <w:rPr>
                <w:rFonts w:cstheme="minorHAnsi"/>
                <w:sz w:val="22"/>
                <w:szCs w:val="22"/>
                <w:lang w:val="fr-FR"/>
              </w:rPr>
              <w:t>000</w:t>
            </w:r>
            <w:r w:rsidR="00810CBB">
              <w:rPr>
                <w:rFonts w:cstheme="minorHAnsi"/>
                <w:sz w:val="22"/>
                <w:szCs w:val="22"/>
                <w:lang w:val="fr-FR"/>
              </w:rPr>
              <w:t> </w:t>
            </w:r>
            <w:r>
              <w:rPr>
                <w:rFonts w:cstheme="minorHAnsi"/>
                <w:sz w:val="22"/>
                <w:szCs w:val="22"/>
                <w:lang w:val="fr-FR"/>
              </w:rPr>
              <w:t>000</w:t>
            </w:r>
          </w:p>
        </w:tc>
        <w:tc>
          <w:tcPr>
            <w:tcW w:w="1592" w:type="dxa"/>
          </w:tcPr>
          <w:p w14:paraId="5292CE65" w14:textId="31C14064" w:rsidR="00F4680F" w:rsidRPr="001A2820" w:rsidRDefault="00F4680F" w:rsidP="0027787C">
            <w:pPr>
              <w:jc w:val="right"/>
              <w:rPr>
                <w:rFonts w:cstheme="minorHAnsi"/>
                <w:sz w:val="22"/>
                <w:szCs w:val="22"/>
                <w:lang w:val="fr-FR"/>
              </w:rPr>
            </w:pPr>
            <w:r>
              <w:rPr>
                <w:rFonts w:cstheme="minorHAnsi"/>
                <w:sz w:val="22"/>
                <w:szCs w:val="22"/>
                <w:lang w:val="fr-FR"/>
              </w:rPr>
              <w:t>3</w:t>
            </w:r>
            <w:r w:rsidR="00810CBB">
              <w:rPr>
                <w:rFonts w:cstheme="minorHAnsi"/>
                <w:sz w:val="22"/>
                <w:szCs w:val="22"/>
                <w:lang w:val="fr-FR"/>
              </w:rPr>
              <w:t> </w:t>
            </w:r>
            <w:r>
              <w:rPr>
                <w:rFonts w:cstheme="minorHAnsi"/>
                <w:sz w:val="22"/>
                <w:szCs w:val="22"/>
                <w:lang w:val="fr-FR"/>
              </w:rPr>
              <w:t>418</w:t>
            </w:r>
            <w:r w:rsidR="00810CBB">
              <w:rPr>
                <w:rFonts w:cstheme="minorHAnsi"/>
                <w:sz w:val="22"/>
                <w:szCs w:val="22"/>
                <w:lang w:val="fr-FR"/>
              </w:rPr>
              <w:t> </w:t>
            </w:r>
            <w:r>
              <w:rPr>
                <w:rFonts w:cstheme="minorHAnsi"/>
                <w:sz w:val="22"/>
                <w:szCs w:val="22"/>
                <w:lang w:val="fr-FR"/>
              </w:rPr>
              <w:t>969</w:t>
            </w:r>
          </w:p>
        </w:tc>
      </w:tr>
      <w:tr w:rsidR="0027787C" w:rsidRPr="001A2820" w14:paraId="3E6D5933" w14:textId="77777777" w:rsidTr="00A5411B">
        <w:trPr>
          <w:trHeight w:val="600"/>
        </w:trPr>
        <w:tc>
          <w:tcPr>
            <w:tcW w:w="1627" w:type="dxa"/>
            <w:hideMark/>
          </w:tcPr>
          <w:p w14:paraId="4BD24E0D" w14:textId="77777777" w:rsidR="0027787C" w:rsidRPr="001A2820" w:rsidRDefault="0027787C" w:rsidP="0027787C">
            <w:pPr>
              <w:rPr>
                <w:rFonts w:cstheme="minorHAnsi"/>
                <w:sz w:val="22"/>
                <w:szCs w:val="22"/>
                <w:lang w:val="fr-FR"/>
              </w:rPr>
            </w:pPr>
            <w:r w:rsidRPr="001A2820">
              <w:rPr>
                <w:rFonts w:cstheme="minorHAnsi"/>
                <w:sz w:val="22"/>
                <w:szCs w:val="22"/>
                <w:lang w:val="fr-FR"/>
              </w:rPr>
              <w:lastRenderedPageBreak/>
              <w:t>Gabon</w:t>
            </w:r>
          </w:p>
        </w:tc>
        <w:tc>
          <w:tcPr>
            <w:tcW w:w="1671" w:type="dxa"/>
            <w:hideMark/>
          </w:tcPr>
          <w:p w14:paraId="5E09146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D60786E" w14:textId="67AB3C7A"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8F8D29B" w14:textId="78405242" w:rsidR="0027787C" w:rsidRPr="001A2820" w:rsidRDefault="0027787C" w:rsidP="0027787C">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au Gabon</w:t>
            </w:r>
          </w:p>
        </w:tc>
        <w:tc>
          <w:tcPr>
            <w:tcW w:w="857" w:type="dxa"/>
            <w:hideMark/>
          </w:tcPr>
          <w:p w14:paraId="1CB43218" w14:textId="03B2033C"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7F27585" w14:textId="21345AB2"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B934F00" w14:textId="57B4738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1D4A8B1E" w14:textId="5C669D32"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4FC7C8C0" w14:textId="0141888E" w:rsidR="0027787C" w:rsidRPr="001A2820" w:rsidRDefault="0027787C" w:rsidP="0027787C">
            <w:pPr>
              <w:jc w:val="right"/>
              <w:rPr>
                <w:rFonts w:cstheme="minorHAnsi"/>
                <w:sz w:val="22"/>
                <w:szCs w:val="22"/>
                <w:lang w:val="fr-FR"/>
              </w:rPr>
            </w:pPr>
            <w:r w:rsidRPr="001A2820">
              <w:rPr>
                <w:rFonts w:cstheme="minorHAnsi"/>
                <w:sz w:val="22"/>
                <w:szCs w:val="22"/>
                <w:lang w:val="fr-FR"/>
              </w:rPr>
              <w:t>161</w:t>
            </w:r>
            <w:r w:rsidR="00810CBB">
              <w:rPr>
                <w:rFonts w:cstheme="minorHAnsi"/>
                <w:sz w:val="22"/>
                <w:szCs w:val="22"/>
                <w:lang w:val="fr-FR"/>
              </w:rPr>
              <w:t> </w:t>
            </w:r>
            <w:r w:rsidRPr="001A2820">
              <w:rPr>
                <w:rFonts w:cstheme="minorHAnsi"/>
                <w:sz w:val="22"/>
                <w:szCs w:val="22"/>
                <w:lang w:val="fr-FR"/>
              </w:rPr>
              <w:t>000</w:t>
            </w:r>
          </w:p>
        </w:tc>
      </w:tr>
      <w:tr w:rsidR="0027787C" w:rsidRPr="001A2820" w14:paraId="2134B14A" w14:textId="77777777" w:rsidTr="00A5411B">
        <w:trPr>
          <w:trHeight w:val="900"/>
        </w:trPr>
        <w:tc>
          <w:tcPr>
            <w:tcW w:w="1627" w:type="dxa"/>
            <w:hideMark/>
          </w:tcPr>
          <w:p w14:paraId="0403BF24" w14:textId="1E0AD9C3" w:rsidR="0027787C" w:rsidRPr="001A2820" w:rsidRDefault="0027787C" w:rsidP="0027787C">
            <w:pPr>
              <w:rPr>
                <w:rFonts w:cstheme="minorHAnsi"/>
                <w:sz w:val="22"/>
                <w:szCs w:val="22"/>
                <w:lang w:val="fr-FR"/>
              </w:rPr>
            </w:pPr>
            <w:r w:rsidRPr="001A2820">
              <w:rPr>
                <w:rFonts w:cstheme="minorHAnsi"/>
                <w:sz w:val="22"/>
                <w:szCs w:val="22"/>
                <w:lang w:val="fr-FR"/>
              </w:rPr>
              <w:t>Géorgie</w:t>
            </w:r>
          </w:p>
        </w:tc>
        <w:tc>
          <w:tcPr>
            <w:tcW w:w="1671" w:type="dxa"/>
            <w:hideMark/>
          </w:tcPr>
          <w:p w14:paraId="1EC871B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0AC03934"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0B5F35B1" w14:textId="43E0DA73" w:rsidR="0027787C" w:rsidRPr="001A2820" w:rsidRDefault="0027787C" w:rsidP="0027787C">
            <w:pPr>
              <w:rPr>
                <w:rFonts w:cstheme="minorHAnsi"/>
                <w:sz w:val="22"/>
                <w:szCs w:val="22"/>
                <w:lang w:val="fr-FR"/>
              </w:rPr>
            </w:pPr>
            <w:r w:rsidRPr="001A2820">
              <w:rPr>
                <w:rFonts w:cstheme="minorHAnsi"/>
                <w:sz w:val="22"/>
                <w:szCs w:val="22"/>
                <w:lang w:val="fr-FR"/>
              </w:rPr>
              <w:t>Renforcement des processus décisionnels nationaux en vue de la ratification de la Convention de Minamata et des capacités en vue de la mise en œuvre de dispositions futures</w:t>
            </w:r>
          </w:p>
        </w:tc>
        <w:tc>
          <w:tcPr>
            <w:tcW w:w="857" w:type="dxa"/>
            <w:hideMark/>
          </w:tcPr>
          <w:p w14:paraId="5E9B8ACF" w14:textId="0FA1D263"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0291A4B" w14:textId="2FBF5A2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3E262BA" w14:textId="40074303"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6EF224E0" w14:textId="72207AA8"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5A7DA520"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w:t>
            </w:r>
          </w:p>
        </w:tc>
      </w:tr>
      <w:tr w:rsidR="0027787C" w:rsidRPr="001A2820" w14:paraId="6A8E1BC4" w14:textId="77777777" w:rsidTr="00A5411B">
        <w:trPr>
          <w:trHeight w:val="600"/>
        </w:trPr>
        <w:tc>
          <w:tcPr>
            <w:tcW w:w="1627" w:type="dxa"/>
            <w:hideMark/>
          </w:tcPr>
          <w:p w14:paraId="7D82369A" w14:textId="77777777" w:rsidR="0027787C" w:rsidRPr="001A2820" w:rsidRDefault="0027787C" w:rsidP="0027787C">
            <w:pPr>
              <w:rPr>
                <w:rFonts w:cstheme="minorHAnsi"/>
                <w:sz w:val="22"/>
                <w:szCs w:val="22"/>
                <w:lang w:val="fr-FR"/>
              </w:rPr>
            </w:pPr>
            <w:r w:rsidRPr="001A2820">
              <w:rPr>
                <w:rFonts w:cstheme="minorHAnsi"/>
                <w:sz w:val="22"/>
                <w:szCs w:val="22"/>
                <w:lang w:val="fr-FR"/>
              </w:rPr>
              <w:t>Ghana</w:t>
            </w:r>
          </w:p>
        </w:tc>
        <w:tc>
          <w:tcPr>
            <w:tcW w:w="1671" w:type="dxa"/>
            <w:hideMark/>
          </w:tcPr>
          <w:p w14:paraId="0775A02B"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68E4C97" w14:textId="2E201389"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C1D14D2" w14:textId="670C7513"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pour le Ghana </w:t>
            </w:r>
          </w:p>
        </w:tc>
        <w:tc>
          <w:tcPr>
            <w:tcW w:w="857" w:type="dxa"/>
            <w:hideMark/>
          </w:tcPr>
          <w:p w14:paraId="62B49F91" w14:textId="3AE66F5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65A715D" w14:textId="22E4908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6BBE803" w14:textId="09D357FA"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41C06BCB" w14:textId="2819EB59"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DF42723"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w:t>
            </w:r>
          </w:p>
        </w:tc>
      </w:tr>
      <w:tr w:rsidR="0027787C" w:rsidRPr="001A2820" w14:paraId="64FFEBF8" w14:textId="77777777" w:rsidTr="00A5411B">
        <w:trPr>
          <w:trHeight w:val="600"/>
        </w:trPr>
        <w:tc>
          <w:tcPr>
            <w:tcW w:w="1627" w:type="dxa"/>
            <w:hideMark/>
          </w:tcPr>
          <w:p w14:paraId="68CC14ED" w14:textId="77777777" w:rsidR="0027787C" w:rsidRPr="001A2820" w:rsidRDefault="0027787C" w:rsidP="0027787C">
            <w:pPr>
              <w:rPr>
                <w:rFonts w:cstheme="minorHAnsi"/>
                <w:sz w:val="22"/>
                <w:szCs w:val="22"/>
                <w:lang w:val="fr-FR"/>
              </w:rPr>
            </w:pPr>
            <w:r w:rsidRPr="001A2820">
              <w:rPr>
                <w:rFonts w:cstheme="minorHAnsi"/>
                <w:sz w:val="22"/>
                <w:szCs w:val="22"/>
                <w:lang w:val="fr-FR"/>
              </w:rPr>
              <w:t>Ghana</w:t>
            </w:r>
          </w:p>
        </w:tc>
        <w:tc>
          <w:tcPr>
            <w:tcW w:w="1671" w:type="dxa"/>
            <w:hideMark/>
          </w:tcPr>
          <w:p w14:paraId="784BC96C"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0E7B21B5" w14:textId="7AAA13D1"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4C8DEC5" w14:textId="2734DD2D" w:rsidR="0027787C" w:rsidRPr="001A2820" w:rsidRDefault="0027787C" w:rsidP="0027787C">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au Ghana</w:t>
            </w:r>
          </w:p>
        </w:tc>
        <w:tc>
          <w:tcPr>
            <w:tcW w:w="857" w:type="dxa"/>
            <w:hideMark/>
          </w:tcPr>
          <w:p w14:paraId="4916E004" w14:textId="7E36A121"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D9CD8FD" w14:textId="60CAD4C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53D2C17" w14:textId="1DBADDA7"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26D14174" w14:textId="3BB2EE8B"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44C8C37A" w14:textId="12028CC9" w:rsidR="0027787C" w:rsidRPr="001A2820" w:rsidRDefault="0027787C" w:rsidP="0027787C">
            <w:pPr>
              <w:jc w:val="right"/>
              <w:rPr>
                <w:rFonts w:cstheme="minorHAnsi"/>
                <w:sz w:val="22"/>
                <w:szCs w:val="22"/>
                <w:lang w:val="fr-FR"/>
              </w:rPr>
            </w:pPr>
            <w:r w:rsidRPr="001A2820">
              <w:rPr>
                <w:rFonts w:cstheme="minorHAnsi"/>
                <w:sz w:val="22"/>
                <w:szCs w:val="22"/>
                <w:lang w:val="fr-FR"/>
              </w:rPr>
              <w:t>55</w:t>
            </w:r>
            <w:r w:rsidR="00810CBB">
              <w:rPr>
                <w:rFonts w:cstheme="minorHAnsi"/>
                <w:sz w:val="22"/>
                <w:szCs w:val="22"/>
                <w:lang w:val="fr-FR"/>
              </w:rPr>
              <w:t> </w:t>
            </w:r>
            <w:r w:rsidRPr="001A2820">
              <w:rPr>
                <w:rFonts w:cstheme="minorHAnsi"/>
                <w:sz w:val="22"/>
                <w:szCs w:val="22"/>
                <w:lang w:val="fr-FR"/>
              </w:rPr>
              <w:t>250</w:t>
            </w:r>
          </w:p>
        </w:tc>
      </w:tr>
      <w:tr w:rsidR="0027787C" w:rsidRPr="001A2820" w14:paraId="1DBF0914" w14:textId="77777777" w:rsidTr="00A5411B">
        <w:trPr>
          <w:trHeight w:val="600"/>
        </w:trPr>
        <w:tc>
          <w:tcPr>
            <w:tcW w:w="1627" w:type="dxa"/>
            <w:hideMark/>
          </w:tcPr>
          <w:p w14:paraId="132ADC9D" w14:textId="77777777" w:rsidR="0027787C" w:rsidRPr="001A2820" w:rsidRDefault="0027787C" w:rsidP="0027787C">
            <w:pPr>
              <w:rPr>
                <w:rFonts w:cstheme="minorHAnsi"/>
                <w:sz w:val="22"/>
                <w:szCs w:val="22"/>
                <w:lang w:val="fr-FR"/>
              </w:rPr>
            </w:pPr>
            <w:r w:rsidRPr="001A2820">
              <w:rPr>
                <w:rFonts w:cstheme="minorHAnsi"/>
                <w:sz w:val="22"/>
                <w:szCs w:val="22"/>
                <w:lang w:val="fr-FR"/>
              </w:rPr>
              <w:t>Guatemala</w:t>
            </w:r>
          </w:p>
        </w:tc>
        <w:tc>
          <w:tcPr>
            <w:tcW w:w="1671" w:type="dxa"/>
            <w:hideMark/>
          </w:tcPr>
          <w:p w14:paraId="6E5E3784"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F84C3E8" w14:textId="14F0345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35C65FD" w14:textId="36293BBF" w:rsidR="0027787C" w:rsidRPr="001A2820" w:rsidRDefault="0027787C" w:rsidP="0027787C">
            <w:pPr>
              <w:rPr>
                <w:rFonts w:cstheme="minorHAnsi"/>
                <w:sz w:val="22"/>
                <w:szCs w:val="22"/>
                <w:lang w:val="fr-FR"/>
              </w:rPr>
            </w:pPr>
            <w:r w:rsidRPr="001A2820">
              <w:rPr>
                <w:rFonts w:cstheme="minorHAnsi"/>
                <w:sz w:val="22"/>
                <w:szCs w:val="22"/>
                <w:lang w:val="fr-FR"/>
              </w:rPr>
              <w:t xml:space="preserve">Convention de Minamata : évaluation initiale au Guatemala   </w:t>
            </w:r>
          </w:p>
        </w:tc>
        <w:tc>
          <w:tcPr>
            <w:tcW w:w="857" w:type="dxa"/>
            <w:hideMark/>
          </w:tcPr>
          <w:p w14:paraId="5AC1520E" w14:textId="27FE744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575D74D" w14:textId="41B9F96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4D1743F" w14:textId="0587116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02657579" w14:textId="0A012CC6"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9585B9B" w14:textId="6E630F39" w:rsidR="0027787C" w:rsidRPr="001A2820" w:rsidRDefault="0027787C" w:rsidP="0027787C">
            <w:pPr>
              <w:jc w:val="right"/>
              <w:rPr>
                <w:rFonts w:cstheme="minorHAnsi"/>
                <w:sz w:val="22"/>
                <w:szCs w:val="22"/>
                <w:lang w:val="fr-FR"/>
              </w:rPr>
            </w:pPr>
            <w:r w:rsidRPr="001A2820">
              <w:rPr>
                <w:rFonts w:cstheme="minorHAnsi"/>
                <w:sz w:val="22"/>
                <w:szCs w:val="22"/>
                <w:lang w:val="fr-FR"/>
              </w:rPr>
              <w:t>78</w:t>
            </w:r>
            <w:r w:rsidR="00E33292">
              <w:rPr>
                <w:rFonts w:cstheme="minorHAnsi"/>
                <w:sz w:val="22"/>
                <w:szCs w:val="22"/>
                <w:lang w:val="fr-FR"/>
              </w:rPr>
              <w:t> </w:t>
            </w:r>
            <w:r w:rsidRPr="001A2820">
              <w:rPr>
                <w:rFonts w:cstheme="minorHAnsi"/>
                <w:sz w:val="22"/>
                <w:szCs w:val="22"/>
                <w:lang w:val="fr-FR"/>
              </w:rPr>
              <w:t>600</w:t>
            </w:r>
          </w:p>
        </w:tc>
      </w:tr>
      <w:tr w:rsidR="0027787C" w:rsidRPr="001A2820" w14:paraId="55234911" w14:textId="77777777" w:rsidTr="00A5411B">
        <w:trPr>
          <w:trHeight w:val="300"/>
        </w:trPr>
        <w:tc>
          <w:tcPr>
            <w:tcW w:w="1627" w:type="dxa"/>
            <w:hideMark/>
          </w:tcPr>
          <w:p w14:paraId="44CBFE7A" w14:textId="77777777" w:rsidR="0027787C" w:rsidRPr="001A2820" w:rsidRDefault="0027787C" w:rsidP="0027787C">
            <w:pPr>
              <w:rPr>
                <w:rFonts w:cstheme="minorHAnsi"/>
                <w:sz w:val="22"/>
                <w:szCs w:val="22"/>
                <w:lang w:val="fr-FR"/>
              </w:rPr>
            </w:pPr>
            <w:r w:rsidRPr="001A2820">
              <w:rPr>
                <w:rFonts w:cstheme="minorHAnsi"/>
                <w:sz w:val="22"/>
                <w:szCs w:val="22"/>
                <w:lang w:val="fr-FR"/>
              </w:rPr>
              <w:t>Guyana</w:t>
            </w:r>
          </w:p>
        </w:tc>
        <w:tc>
          <w:tcPr>
            <w:tcW w:w="1671" w:type="dxa"/>
            <w:hideMark/>
          </w:tcPr>
          <w:p w14:paraId="60EE5E14"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39C2000" w14:textId="6F22EF0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78467B6" w14:textId="2955D2E5" w:rsidR="0027787C" w:rsidRPr="001A2820" w:rsidRDefault="0027787C" w:rsidP="0027787C">
            <w:pPr>
              <w:rPr>
                <w:rFonts w:cstheme="minorHAnsi"/>
                <w:sz w:val="22"/>
                <w:szCs w:val="22"/>
                <w:lang w:val="fr-FR"/>
              </w:rPr>
            </w:pPr>
            <w:r w:rsidRPr="001A2820">
              <w:rPr>
                <w:sz w:val="22"/>
                <w:szCs w:val="22"/>
                <w:lang w:val="fr-FR"/>
              </w:rPr>
              <w:t>É</w:t>
            </w:r>
            <w:r w:rsidRPr="001A2820">
              <w:rPr>
                <w:rFonts w:cstheme="minorHAnsi"/>
                <w:sz w:val="22"/>
                <w:szCs w:val="22"/>
                <w:lang w:val="fr-FR"/>
              </w:rPr>
              <w:t>valuation initiale de la Convention de Minamata pour le Guyana</w:t>
            </w:r>
          </w:p>
        </w:tc>
        <w:tc>
          <w:tcPr>
            <w:tcW w:w="857" w:type="dxa"/>
            <w:hideMark/>
          </w:tcPr>
          <w:p w14:paraId="7D8B5E12" w14:textId="33DB266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6A4D824" w14:textId="7463B536"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D04C3CE" w14:textId="04B9EBC9"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1AD890CD" w14:textId="1558BF9B"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0137CF95"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EFAE6A9" w14:textId="77777777" w:rsidTr="00A5411B">
        <w:trPr>
          <w:trHeight w:val="900"/>
        </w:trPr>
        <w:tc>
          <w:tcPr>
            <w:tcW w:w="1627" w:type="dxa"/>
            <w:hideMark/>
          </w:tcPr>
          <w:p w14:paraId="45B6E506" w14:textId="77777777" w:rsidR="0027787C" w:rsidRPr="001A2820" w:rsidRDefault="0027787C" w:rsidP="0027787C">
            <w:pPr>
              <w:rPr>
                <w:rFonts w:cstheme="minorHAnsi"/>
                <w:sz w:val="22"/>
                <w:szCs w:val="22"/>
                <w:lang w:val="fr-FR"/>
              </w:rPr>
            </w:pPr>
            <w:r w:rsidRPr="001A2820">
              <w:rPr>
                <w:rFonts w:cstheme="minorHAnsi"/>
                <w:sz w:val="22"/>
                <w:szCs w:val="22"/>
                <w:lang w:val="fr-FR"/>
              </w:rPr>
              <w:t>Guyana</w:t>
            </w:r>
          </w:p>
        </w:tc>
        <w:tc>
          <w:tcPr>
            <w:tcW w:w="1671" w:type="dxa"/>
            <w:hideMark/>
          </w:tcPr>
          <w:p w14:paraId="147CDFF0"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5A7BBFA" w14:textId="64FAF05D" w:rsidR="0027787C" w:rsidRPr="001A2820" w:rsidRDefault="00F4680F" w:rsidP="0027787C">
            <w:pPr>
              <w:rPr>
                <w:rFonts w:cstheme="minorHAnsi"/>
                <w:sz w:val="22"/>
                <w:szCs w:val="22"/>
                <w:lang w:val="fr-FR"/>
              </w:rPr>
            </w:pPr>
            <w:r>
              <w:rPr>
                <w:rFonts w:cstheme="minorHAnsi"/>
                <w:sz w:val="22"/>
                <w:szCs w:val="22"/>
                <w:lang w:val="fr-FR"/>
              </w:rPr>
              <w:t>DIM</w:t>
            </w:r>
            <w:r w:rsidR="0027787C" w:rsidRPr="001A2820">
              <w:rPr>
                <w:rStyle w:val="FootnoteReference"/>
                <w:rFonts w:cstheme="minorHAnsi"/>
                <w:sz w:val="22"/>
                <w:szCs w:val="22"/>
                <w:lang w:val="fr-FR"/>
              </w:rPr>
              <w:footnoteReference w:id="18"/>
            </w:r>
          </w:p>
        </w:tc>
        <w:tc>
          <w:tcPr>
            <w:tcW w:w="3751" w:type="dxa"/>
            <w:hideMark/>
          </w:tcPr>
          <w:p w14:paraId="5EE32BBA" w14:textId="7DF84879" w:rsidR="0027787C" w:rsidRPr="001A2820" w:rsidRDefault="0027787C" w:rsidP="0027787C">
            <w:pPr>
              <w:rPr>
                <w:rFonts w:cstheme="minorHAnsi"/>
                <w:sz w:val="22"/>
                <w:szCs w:val="22"/>
                <w:lang w:val="fr-FR"/>
              </w:rPr>
            </w:pPr>
            <w:r w:rsidRPr="001A2820">
              <w:rPr>
                <w:rFonts w:cstheme="minorHAnsi"/>
                <w:sz w:val="22"/>
                <w:szCs w:val="22"/>
                <w:lang w:val="fr-FR"/>
              </w:rPr>
              <w:t xml:space="preserve">Renforcement du cadre habilitant pour la prise en compte systématique de la diversité biologique et la réduction du mercure dans les activités d’extraction minière </w:t>
            </w:r>
            <w:r w:rsidR="00346B22" w:rsidRPr="00346B22">
              <w:rPr>
                <w:rFonts w:cstheme="minorHAnsi"/>
                <w:sz w:val="22"/>
                <w:szCs w:val="22"/>
                <w:lang w:val="fr-FR"/>
              </w:rPr>
              <w:t xml:space="preserve">d’or </w:t>
            </w:r>
            <w:r w:rsidRPr="001A2820">
              <w:rPr>
                <w:rFonts w:cstheme="minorHAnsi"/>
                <w:sz w:val="22"/>
                <w:szCs w:val="22"/>
                <w:lang w:val="fr-FR"/>
              </w:rPr>
              <w:t xml:space="preserve">à petite et moyenne échelle </w:t>
            </w:r>
          </w:p>
        </w:tc>
        <w:tc>
          <w:tcPr>
            <w:tcW w:w="857" w:type="dxa"/>
            <w:hideMark/>
          </w:tcPr>
          <w:p w14:paraId="4C116A77" w14:textId="247A72C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32E46A6" w14:textId="3865C122"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31592BF7" w14:textId="21E56BBA"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44F87E85" w14:textId="19AB0786" w:rsidR="0027787C" w:rsidRPr="001A2820" w:rsidRDefault="0027787C" w:rsidP="0027787C">
            <w:pPr>
              <w:jc w:val="right"/>
              <w:rPr>
                <w:rFonts w:cstheme="minorHAnsi"/>
                <w:sz w:val="22"/>
                <w:szCs w:val="22"/>
                <w:lang w:val="fr-FR"/>
              </w:rPr>
            </w:pPr>
            <w:r w:rsidRPr="001A2820">
              <w:rPr>
                <w:rFonts w:cstheme="minorHAnsi"/>
                <w:sz w:val="22"/>
                <w:szCs w:val="22"/>
                <w:lang w:val="fr-FR"/>
              </w:rPr>
              <w:t>892</w:t>
            </w:r>
            <w:r w:rsidR="00E33292">
              <w:rPr>
                <w:rFonts w:cstheme="minorHAnsi"/>
                <w:sz w:val="22"/>
                <w:szCs w:val="22"/>
                <w:lang w:val="fr-FR"/>
              </w:rPr>
              <w:t> </w:t>
            </w:r>
            <w:r w:rsidRPr="001A2820">
              <w:rPr>
                <w:rFonts w:cstheme="minorHAnsi"/>
                <w:sz w:val="22"/>
                <w:szCs w:val="22"/>
                <w:lang w:val="fr-FR"/>
              </w:rPr>
              <w:t>759</w:t>
            </w:r>
          </w:p>
        </w:tc>
        <w:tc>
          <w:tcPr>
            <w:tcW w:w="1592" w:type="dxa"/>
            <w:hideMark/>
          </w:tcPr>
          <w:p w14:paraId="0C1A7B5A" w14:textId="6410344C" w:rsidR="0027787C" w:rsidRPr="001A2820" w:rsidRDefault="0027787C" w:rsidP="0027787C">
            <w:pPr>
              <w:jc w:val="right"/>
              <w:rPr>
                <w:rFonts w:cstheme="minorHAnsi"/>
                <w:sz w:val="22"/>
                <w:szCs w:val="22"/>
                <w:lang w:val="fr-FR"/>
              </w:rPr>
            </w:pPr>
            <w:r w:rsidRPr="001A2820">
              <w:rPr>
                <w:rFonts w:cstheme="minorHAnsi"/>
                <w:sz w:val="22"/>
                <w:szCs w:val="22"/>
                <w:lang w:val="fr-FR"/>
              </w:rPr>
              <w:t>29</w:t>
            </w:r>
            <w:r w:rsidR="00E33292">
              <w:rPr>
                <w:rFonts w:cstheme="minorHAnsi"/>
                <w:sz w:val="22"/>
                <w:szCs w:val="22"/>
                <w:lang w:val="fr-FR"/>
              </w:rPr>
              <w:t> </w:t>
            </w:r>
            <w:r w:rsidRPr="001A2820">
              <w:rPr>
                <w:rFonts w:cstheme="minorHAnsi"/>
                <w:sz w:val="22"/>
                <w:szCs w:val="22"/>
                <w:lang w:val="fr-FR"/>
              </w:rPr>
              <w:t>662</w:t>
            </w:r>
            <w:r w:rsidR="00E33292">
              <w:rPr>
                <w:rFonts w:cstheme="minorHAnsi"/>
                <w:sz w:val="22"/>
                <w:szCs w:val="22"/>
                <w:lang w:val="fr-FR"/>
              </w:rPr>
              <w:t> </w:t>
            </w:r>
            <w:r w:rsidRPr="001A2820">
              <w:rPr>
                <w:rFonts w:cstheme="minorHAnsi"/>
                <w:sz w:val="22"/>
                <w:szCs w:val="22"/>
                <w:lang w:val="fr-FR"/>
              </w:rPr>
              <w:t>745</w:t>
            </w:r>
          </w:p>
        </w:tc>
      </w:tr>
      <w:tr w:rsidR="0027787C" w:rsidRPr="001A2820" w14:paraId="26FF8E6B" w14:textId="77777777" w:rsidTr="00A5411B">
        <w:trPr>
          <w:trHeight w:val="900"/>
        </w:trPr>
        <w:tc>
          <w:tcPr>
            <w:tcW w:w="1627" w:type="dxa"/>
            <w:hideMark/>
          </w:tcPr>
          <w:p w14:paraId="2A6FDFBA" w14:textId="77777777" w:rsidR="0027787C" w:rsidRPr="001A2820" w:rsidRDefault="0027787C" w:rsidP="0027787C">
            <w:pPr>
              <w:rPr>
                <w:rFonts w:cstheme="minorHAnsi"/>
                <w:sz w:val="22"/>
                <w:szCs w:val="22"/>
                <w:lang w:val="fr-FR"/>
              </w:rPr>
            </w:pPr>
            <w:r w:rsidRPr="001A2820">
              <w:rPr>
                <w:rFonts w:cstheme="minorHAnsi"/>
                <w:sz w:val="22"/>
                <w:szCs w:val="22"/>
                <w:lang w:val="fr-FR"/>
              </w:rPr>
              <w:t>Honduras</w:t>
            </w:r>
          </w:p>
        </w:tc>
        <w:tc>
          <w:tcPr>
            <w:tcW w:w="1671" w:type="dxa"/>
            <w:hideMark/>
          </w:tcPr>
          <w:p w14:paraId="20E69FA4"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A870B7A" w14:textId="10E4A2A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9D02A4D" w14:textId="0648B4CD"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et d’un plan d’action national concernant l’extraction minière artisanale et à petite échelle d’or au Honduras</w:t>
            </w:r>
          </w:p>
        </w:tc>
        <w:tc>
          <w:tcPr>
            <w:tcW w:w="857" w:type="dxa"/>
            <w:hideMark/>
          </w:tcPr>
          <w:p w14:paraId="01F3A3CB" w14:textId="3DDC468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ADF51B9" w14:textId="1A47035A"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44F2224" w14:textId="52754174"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ADD9A44" w14:textId="7C945C87"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810CBB">
              <w:rPr>
                <w:rFonts w:cstheme="minorHAnsi"/>
                <w:sz w:val="22"/>
                <w:szCs w:val="22"/>
                <w:lang w:val="fr-FR"/>
              </w:rPr>
              <w:t> </w:t>
            </w:r>
            <w:r w:rsidRPr="001A2820">
              <w:rPr>
                <w:rFonts w:cstheme="minorHAnsi"/>
                <w:sz w:val="22"/>
                <w:szCs w:val="22"/>
                <w:lang w:val="fr-FR"/>
              </w:rPr>
              <w:t>000</w:t>
            </w:r>
          </w:p>
        </w:tc>
        <w:tc>
          <w:tcPr>
            <w:tcW w:w="1592" w:type="dxa"/>
            <w:hideMark/>
          </w:tcPr>
          <w:p w14:paraId="3273FEB7"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25F36ACB" w14:textId="77777777" w:rsidTr="00A5411B">
        <w:trPr>
          <w:trHeight w:val="900"/>
        </w:trPr>
        <w:tc>
          <w:tcPr>
            <w:tcW w:w="1627" w:type="dxa"/>
            <w:hideMark/>
          </w:tcPr>
          <w:p w14:paraId="350773D7" w14:textId="77777777" w:rsidR="0027787C" w:rsidRPr="001A2820" w:rsidRDefault="0027787C" w:rsidP="0027787C">
            <w:pPr>
              <w:rPr>
                <w:rFonts w:cstheme="minorHAnsi"/>
                <w:sz w:val="22"/>
                <w:szCs w:val="22"/>
                <w:lang w:val="fr-FR"/>
              </w:rPr>
            </w:pPr>
            <w:r w:rsidRPr="001A2820">
              <w:rPr>
                <w:rFonts w:cstheme="minorHAnsi"/>
                <w:sz w:val="22"/>
                <w:szCs w:val="22"/>
                <w:lang w:val="fr-FR"/>
              </w:rPr>
              <w:lastRenderedPageBreak/>
              <w:t>Honduras</w:t>
            </w:r>
          </w:p>
        </w:tc>
        <w:tc>
          <w:tcPr>
            <w:tcW w:w="1671" w:type="dxa"/>
            <w:hideMark/>
          </w:tcPr>
          <w:p w14:paraId="79F3D831"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AB9CEE2"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654269F9" w14:textId="78A642CB" w:rsidR="0027787C" w:rsidRPr="001A2820" w:rsidRDefault="0027787C" w:rsidP="0027787C">
            <w:pPr>
              <w:rPr>
                <w:rFonts w:cstheme="minorHAnsi"/>
                <w:sz w:val="22"/>
                <w:szCs w:val="22"/>
                <w:lang w:val="fr-FR"/>
              </w:rPr>
            </w:pPr>
            <w:r w:rsidRPr="001A2820">
              <w:rPr>
                <w:rFonts w:cstheme="minorHAnsi"/>
                <w:sz w:val="22"/>
                <w:szCs w:val="22"/>
                <w:lang w:val="fr-FR"/>
              </w:rPr>
              <w:t xml:space="preserve">Gestion écologiquement rationnelle du mercure et des produits contenant du mercure et de leurs déchets dans les secteurs de l’extraction minière artisanale et à petite échelle d’or et des soins de santé </w:t>
            </w:r>
          </w:p>
        </w:tc>
        <w:tc>
          <w:tcPr>
            <w:tcW w:w="857" w:type="dxa"/>
            <w:hideMark/>
          </w:tcPr>
          <w:p w14:paraId="3FE8664D" w14:textId="780D9664"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51A96094" w14:textId="7E6635A6"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69EAE7FA" w14:textId="51258360"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73D25655" w14:textId="4B52F600"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E33292">
              <w:rPr>
                <w:rFonts w:cstheme="minorHAnsi"/>
                <w:sz w:val="22"/>
                <w:szCs w:val="22"/>
                <w:lang w:val="fr-FR"/>
              </w:rPr>
              <w:t> </w:t>
            </w:r>
            <w:r w:rsidRPr="001A2820">
              <w:rPr>
                <w:rFonts w:cstheme="minorHAnsi"/>
                <w:sz w:val="22"/>
                <w:szCs w:val="22"/>
                <w:lang w:val="fr-FR"/>
              </w:rPr>
              <w:t>300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6746E606" w14:textId="7590E31D" w:rsidR="0027787C" w:rsidRPr="001A2820" w:rsidRDefault="0027787C" w:rsidP="0027787C">
            <w:pPr>
              <w:jc w:val="right"/>
              <w:rPr>
                <w:rFonts w:cstheme="minorHAnsi"/>
                <w:sz w:val="22"/>
                <w:szCs w:val="22"/>
                <w:lang w:val="fr-FR"/>
              </w:rPr>
            </w:pPr>
            <w:r w:rsidRPr="001A2820">
              <w:rPr>
                <w:rFonts w:cstheme="minorHAnsi"/>
                <w:sz w:val="22"/>
                <w:szCs w:val="22"/>
                <w:lang w:val="fr-FR"/>
              </w:rPr>
              <w:t>3</w:t>
            </w:r>
            <w:r w:rsidR="00E33292">
              <w:rPr>
                <w:rFonts w:cstheme="minorHAnsi"/>
                <w:sz w:val="22"/>
                <w:szCs w:val="22"/>
                <w:lang w:val="fr-FR"/>
              </w:rPr>
              <w:t> </w:t>
            </w:r>
            <w:r w:rsidRPr="001A2820">
              <w:rPr>
                <w:rFonts w:cstheme="minorHAnsi"/>
                <w:sz w:val="22"/>
                <w:szCs w:val="22"/>
                <w:lang w:val="fr-FR"/>
              </w:rPr>
              <w:t>960</w:t>
            </w:r>
            <w:r w:rsidR="00E33292">
              <w:rPr>
                <w:rFonts w:cstheme="minorHAnsi"/>
                <w:sz w:val="22"/>
                <w:szCs w:val="22"/>
                <w:lang w:val="fr-FR"/>
              </w:rPr>
              <w:t> </w:t>
            </w:r>
            <w:r w:rsidRPr="001A2820">
              <w:rPr>
                <w:rFonts w:cstheme="minorHAnsi"/>
                <w:sz w:val="22"/>
                <w:szCs w:val="22"/>
                <w:lang w:val="fr-FR"/>
              </w:rPr>
              <w:t>000</w:t>
            </w:r>
          </w:p>
        </w:tc>
      </w:tr>
      <w:tr w:rsidR="0027787C" w:rsidRPr="001A2820" w14:paraId="58B3C8AF" w14:textId="77777777" w:rsidTr="00A5411B">
        <w:trPr>
          <w:trHeight w:val="900"/>
        </w:trPr>
        <w:tc>
          <w:tcPr>
            <w:tcW w:w="1627" w:type="dxa"/>
          </w:tcPr>
          <w:p w14:paraId="5071487F" w14:textId="088AB26D" w:rsidR="0027787C" w:rsidRPr="001A2820" w:rsidRDefault="0027787C" w:rsidP="0027787C">
            <w:pPr>
              <w:rPr>
                <w:rFonts w:cstheme="minorHAnsi"/>
                <w:sz w:val="22"/>
                <w:szCs w:val="22"/>
                <w:lang w:val="fr-FR"/>
              </w:rPr>
            </w:pPr>
            <w:r w:rsidRPr="001A2820">
              <w:rPr>
                <w:rFonts w:cstheme="minorHAnsi"/>
                <w:sz w:val="22"/>
                <w:szCs w:val="22"/>
                <w:lang w:val="fr-FR"/>
              </w:rPr>
              <w:t>Îles Marshall</w:t>
            </w:r>
          </w:p>
        </w:tc>
        <w:tc>
          <w:tcPr>
            <w:tcW w:w="1671" w:type="dxa"/>
          </w:tcPr>
          <w:p w14:paraId="24F71691" w14:textId="4BEBB8EB"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362977C4" w14:textId="2D21E77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6FE471CB" w14:textId="08BA7144"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dans les Îles Marshall</w:t>
            </w:r>
          </w:p>
        </w:tc>
        <w:tc>
          <w:tcPr>
            <w:tcW w:w="857" w:type="dxa"/>
          </w:tcPr>
          <w:p w14:paraId="29EE5F8D" w14:textId="4D610C07"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38D45FCB" w14:textId="29AFC4FE"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466BB1BB" w14:textId="5725145F"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tcPr>
          <w:p w14:paraId="2C8E3B9C" w14:textId="28D20795" w:rsidR="0027787C" w:rsidRPr="001A2820" w:rsidRDefault="0027787C" w:rsidP="0027787C">
            <w:pPr>
              <w:jc w:val="right"/>
              <w:rPr>
                <w:rFonts w:cstheme="minorHAnsi"/>
                <w:sz w:val="22"/>
                <w:szCs w:val="22"/>
                <w:lang w:val="fr-FR"/>
              </w:rPr>
            </w:pPr>
            <w:r w:rsidRPr="001A2820">
              <w:rPr>
                <w:rFonts w:cstheme="minorHAnsi"/>
                <w:sz w:val="22"/>
                <w:szCs w:val="22"/>
                <w:lang w:val="fr-FR"/>
              </w:rPr>
              <w:t>125</w:t>
            </w:r>
            <w:r w:rsidR="00E33292">
              <w:rPr>
                <w:rFonts w:cstheme="minorHAnsi"/>
                <w:sz w:val="22"/>
                <w:szCs w:val="22"/>
                <w:lang w:val="fr-FR"/>
              </w:rPr>
              <w:t> </w:t>
            </w:r>
            <w:r w:rsidRPr="001A2820">
              <w:rPr>
                <w:rFonts w:cstheme="minorHAnsi"/>
                <w:sz w:val="22"/>
                <w:szCs w:val="22"/>
                <w:lang w:val="fr-FR"/>
              </w:rPr>
              <w:t>000</w:t>
            </w:r>
          </w:p>
        </w:tc>
        <w:tc>
          <w:tcPr>
            <w:tcW w:w="1592" w:type="dxa"/>
          </w:tcPr>
          <w:p w14:paraId="67919FFE" w14:textId="3215D4DC"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137D6C1F" w14:textId="77777777" w:rsidTr="00A5411B">
        <w:trPr>
          <w:trHeight w:val="300"/>
        </w:trPr>
        <w:tc>
          <w:tcPr>
            <w:tcW w:w="1627" w:type="dxa"/>
            <w:hideMark/>
          </w:tcPr>
          <w:p w14:paraId="0654B5D5" w14:textId="2262C1EE" w:rsidR="0027787C" w:rsidRPr="001A2820" w:rsidRDefault="0027787C" w:rsidP="0027787C">
            <w:pPr>
              <w:rPr>
                <w:rFonts w:cstheme="minorHAnsi"/>
                <w:sz w:val="22"/>
                <w:szCs w:val="22"/>
                <w:lang w:val="fr-FR"/>
              </w:rPr>
            </w:pPr>
            <w:r w:rsidRPr="001A2820">
              <w:rPr>
                <w:rFonts w:cstheme="minorHAnsi"/>
                <w:sz w:val="22"/>
                <w:szCs w:val="22"/>
                <w:lang w:val="fr-FR"/>
              </w:rPr>
              <w:t>Inde</w:t>
            </w:r>
          </w:p>
        </w:tc>
        <w:tc>
          <w:tcPr>
            <w:tcW w:w="1671" w:type="dxa"/>
            <w:hideMark/>
          </w:tcPr>
          <w:p w14:paraId="7AD055D0"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578F790" w14:textId="2334DA59"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CBE117A" w14:textId="60FF7260" w:rsidR="0027787C" w:rsidRPr="001A2820" w:rsidRDefault="0027787C" w:rsidP="0027787C">
            <w:pPr>
              <w:rPr>
                <w:rFonts w:cstheme="minorHAnsi"/>
                <w:sz w:val="22"/>
                <w:szCs w:val="22"/>
                <w:lang w:val="fr-FR"/>
              </w:rPr>
            </w:pPr>
            <w:r w:rsidRPr="001A2820">
              <w:rPr>
                <w:rFonts w:cstheme="minorHAnsi"/>
                <w:sz w:val="22"/>
                <w:szCs w:val="22"/>
                <w:lang w:val="fr-FR"/>
              </w:rPr>
              <w:t>Amélioration de la gestion du mercure en Inde</w:t>
            </w:r>
          </w:p>
        </w:tc>
        <w:tc>
          <w:tcPr>
            <w:tcW w:w="857" w:type="dxa"/>
            <w:hideMark/>
          </w:tcPr>
          <w:p w14:paraId="12B137B6" w14:textId="5BF868A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3B2F20C" w14:textId="2272D760"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72FC8149" w14:textId="24D7DCE1"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5BF8BFEF" w14:textId="2AEADF5B"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E33292">
              <w:rPr>
                <w:rFonts w:cstheme="minorHAnsi"/>
                <w:sz w:val="22"/>
                <w:szCs w:val="22"/>
                <w:lang w:val="fr-FR"/>
              </w:rPr>
              <w:t> </w:t>
            </w:r>
            <w:r w:rsidRPr="001A2820">
              <w:rPr>
                <w:rFonts w:cstheme="minorHAnsi"/>
                <w:sz w:val="22"/>
                <w:szCs w:val="22"/>
                <w:lang w:val="fr-FR"/>
              </w:rPr>
              <w:t>000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70E81BBF"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27787C" w:rsidRPr="001A2820" w14:paraId="3AE7BB8B" w14:textId="77777777" w:rsidTr="00A5411B">
        <w:trPr>
          <w:trHeight w:val="900"/>
        </w:trPr>
        <w:tc>
          <w:tcPr>
            <w:tcW w:w="1627" w:type="dxa"/>
            <w:hideMark/>
          </w:tcPr>
          <w:p w14:paraId="4DA98CF2" w14:textId="71DABC47" w:rsidR="0027787C" w:rsidRPr="001A2820" w:rsidRDefault="0027787C" w:rsidP="0027787C">
            <w:pPr>
              <w:rPr>
                <w:rFonts w:cstheme="minorHAnsi"/>
                <w:sz w:val="22"/>
                <w:szCs w:val="22"/>
                <w:lang w:val="fr-FR"/>
              </w:rPr>
            </w:pPr>
            <w:r w:rsidRPr="001A2820">
              <w:rPr>
                <w:rFonts w:cstheme="minorHAnsi"/>
                <w:sz w:val="22"/>
                <w:szCs w:val="22"/>
                <w:lang w:val="fr-FR"/>
              </w:rPr>
              <w:t>Indonésie</w:t>
            </w:r>
          </w:p>
        </w:tc>
        <w:tc>
          <w:tcPr>
            <w:tcW w:w="1671" w:type="dxa"/>
            <w:hideMark/>
          </w:tcPr>
          <w:p w14:paraId="7C90F5C7"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031D9A3" w14:textId="25282F2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3773647" w14:textId="179A687B"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et d’un plan d’action national concernant l’extraction minière artisanale et à petite échelle d’or en Indonésie</w:t>
            </w:r>
          </w:p>
        </w:tc>
        <w:tc>
          <w:tcPr>
            <w:tcW w:w="857" w:type="dxa"/>
            <w:hideMark/>
          </w:tcPr>
          <w:p w14:paraId="3F6A297E" w14:textId="473134B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6C6AF99" w14:textId="38826B3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F4B5ED7" w14:textId="3F00093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39824B47" w14:textId="1B612FD4"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568EAF4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27787C" w:rsidRPr="001A2820" w14:paraId="50E6F24A" w14:textId="77777777" w:rsidTr="00A5411B">
        <w:trPr>
          <w:trHeight w:val="1200"/>
        </w:trPr>
        <w:tc>
          <w:tcPr>
            <w:tcW w:w="1627" w:type="dxa"/>
            <w:hideMark/>
          </w:tcPr>
          <w:p w14:paraId="6712A187" w14:textId="77777777" w:rsidR="0027787C" w:rsidRPr="001A2820" w:rsidRDefault="0027787C" w:rsidP="0027787C">
            <w:pPr>
              <w:rPr>
                <w:rFonts w:cstheme="minorHAnsi"/>
                <w:sz w:val="22"/>
                <w:szCs w:val="22"/>
                <w:lang w:val="fr-FR"/>
              </w:rPr>
            </w:pPr>
            <w:r w:rsidRPr="001A2820">
              <w:rPr>
                <w:rFonts w:cstheme="minorHAnsi"/>
                <w:sz w:val="22"/>
                <w:szCs w:val="22"/>
                <w:lang w:val="fr-FR"/>
              </w:rPr>
              <w:t>Iraq</w:t>
            </w:r>
          </w:p>
        </w:tc>
        <w:tc>
          <w:tcPr>
            <w:tcW w:w="1671" w:type="dxa"/>
            <w:hideMark/>
          </w:tcPr>
          <w:p w14:paraId="50CBB6AC"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22BBD47" w14:textId="33EAA46A"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30909A2" w14:textId="55218261" w:rsidR="0027787C" w:rsidRPr="001A2820" w:rsidRDefault="0027787C" w:rsidP="0027787C">
            <w:pPr>
              <w:rPr>
                <w:rFonts w:cstheme="minorHAnsi"/>
                <w:sz w:val="22"/>
                <w:szCs w:val="22"/>
                <w:lang w:val="fr-FR"/>
              </w:rPr>
            </w:pPr>
            <w:r w:rsidRPr="001A2820">
              <w:rPr>
                <w:rFonts w:cstheme="minorHAnsi"/>
                <w:sz w:val="22"/>
                <w:szCs w:val="22"/>
                <w:lang w:val="fr-FR"/>
              </w:rPr>
              <w:t>Élaboration du Plan national de mise en œuvre pour la Convention de Stockholm sur les polluants organiques persistants et de l’évaluation initiale de la Convention de Minamata sur le mercure en Iraq</w:t>
            </w:r>
          </w:p>
        </w:tc>
        <w:tc>
          <w:tcPr>
            <w:tcW w:w="857" w:type="dxa"/>
            <w:hideMark/>
          </w:tcPr>
          <w:p w14:paraId="1CC37893" w14:textId="74C60441"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1F56863" w14:textId="7BDEABB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EB24E4C" w14:textId="6B9ADAF6"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9727327" w14:textId="419B4065"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66B88C30"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E84A7DC" w14:textId="77777777" w:rsidTr="00A5411B">
        <w:trPr>
          <w:trHeight w:val="900"/>
        </w:trPr>
        <w:tc>
          <w:tcPr>
            <w:tcW w:w="1627" w:type="dxa"/>
            <w:hideMark/>
          </w:tcPr>
          <w:p w14:paraId="46E9ED74" w14:textId="0DA31641" w:rsidR="0027787C" w:rsidRPr="001A2820" w:rsidRDefault="0027787C" w:rsidP="0027787C">
            <w:pPr>
              <w:rPr>
                <w:rFonts w:cstheme="minorHAnsi"/>
                <w:sz w:val="22"/>
                <w:szCs w:val="22"/>
                <w:lang w:val="fr-FR"/>
              </w:rPr>
            </w:pPr>
            <w:r w:rsidRPr="001A2820">
              <w:rPr>
                <w:rFonts w:cstheme="minorHAnsi"/>
                <w:sz w:val="22"/>
                <w:szCs w:val="22"/>
                <w:lang w:val="fr-FR"/>
              </w:rPr>
              <w:t>Jordanie</w:t>
            </w:r>
          </w:p>
        </w:tc>
        <w:tc>
          <w:tcPr>
            <w:tcW w:w="1671" w:type="dxa"/>
            <w:hideMark/>
          </w:tcPr>
          <w:p w14:paraId="17475C8D"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7B645CC" w14:textId="119EE51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6A05BE8" w14:textId="2F1DEFA0" w:rsidR="0027787C" w:rsidRPr="001A2820" w:rsidRDefault="0027787C" w:rsidP="0027787C">
            <w:pPr>
              <w:rPr>
                <w:rFonts w:cstheme="minorHAnsi"/>
                <w:sz w:val="22"/>
                <w:szCs w:val="22"/>
                <w:lang w:val="fr-FR"/>
              </w:rPr>
            </w:pPr>
            <w:r w:rsidRPr="001A2820">
              <w:rPr>
                <w:rFonts w:cstheme="minorHAnsi"/>
                <w:sz w:val="22"/>
                <w:szCs w:val="22"/>
                <w:lang w:val="fr-FR"/>
              </w:rPr>
              <w:t>Renforcement des processus décisionnels nationaux en vue de la ratification de la Convention de Minamata et des capacités en vue de la mise en œuvre de dispositions futures</w:t>
            </w:r>
          </w:p>
        </w:tc>
        <w:tc>
          <w:tcPr>
            <w:tcW w:w="857" w:type="dxa"/>
            <w:hideMark/>
          </w:tcPr>
          <w:p w14:paraId="20F2A0FC" w14:textId="30262273"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716A4E3" w14:textId="1DDE489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AC05AED" w14:textId="4E626327"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206D145C" w14:textId="018FAF2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13B2D43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w:t>
            </w:r>
          </w:p>
        </w:tc>
      </w:tr>
      <w:tr w:rsidR="0027787C" w:rsidRPr="001A2820" w14:paraId="7D8D4765" w14:textId="77777777" w:rsidTr="00A5411B">
        <w:trPr>
          <w:trHeight w:val="300"/>
        </w:trPr>
        <w:tc>
          <w:tcPr>
            <w:tcW w:w="1627" w:type="dxa"/>
            <w:hideMark/>
          </w:tcPr>
          <w:p w14:paraId="52288740" w14:textId="77777777" w:rsidR="0027787C" w:rsidRPr="001A2820" w:rsidRDefault="0027787C" w:rsidP="0027787C">
            <w:pPr>
              <w:rPr>
                <w:rFonts w:cstheme="minorHAnsi"/>
                <w:sz w:val="22"/>
                <w:szCs w:val="22"/>
                <w:lang w:val="fr-FR"/>
              </w:rPr>
            </w:pPr>
            <w:r w:rsidRPr="001A2820">
              <w:rPr>
                <w:rFonts w:cstheme="minorHAnsi"/>
                <w:sz w:val="22"/>
                <w:szCs w:val="22"/>
                <w:lang w:val="fr-FR"/>
              </w:rPr>
              <w:t>Kazakhstan</w:t>
            </w:r>
          </w:p>
        </w:tc>
        <w:tc>
          <w:tcPr>
            <w:tcW w:w="1671" w:type="dxa"/>
            <w:hideMark/>
          </w:tcPr>
          <w:p w14:paraId="77D98467"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EB961AB" w14:textId="37ADB0DC"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8E4DFDF" w14:textId="05EFAB06"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w:t>
            </w:r>
          </w:p>
        </w:tc>
        <w:tc>
          <w:tcPr>
            <w:tcW w:w="857" w:type="dxa"/>
            <w:hideMark/>
          </w:tcPr>
          <w:p w14:paraId="5F6D4680" w14:textId="3B863CC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E368A31" w14:textId="6CEA294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D607702" w14:textId="4136136F"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48C24F48" w14:textId="70F66927" w:rsidR="0027787C" w:rsidRPr="001A2820" w:rsidRDefault="0027787C" w:rsidP="0027787C">
            <w:pPr>
              <w:jc w:val="right"/>
              <w:rPr>
                <w:rFonts w:cstheme="minorHAnsi"/>
                <w:sz w:val="22"/>
                <w:szCs w:val="22"/>
                <w:lang w:val="fr-FR"/>
              </w:rPr>
            </w:pPr>
            <w:r w:rsidRPr="001A2820">
              <w:rPr>
                <w:rFonts w:cstheme="minorHAnsi"/>
                <w:sz w:val="22"/>
                <w:szCs w:val="22"/>
                <w:lang w:val="fr-FR"/>
              </w:rPr>
              <w:t>400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616868E7"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27787C" w:rsidRPr="001A2820" w14:paraId="0CE68E7F" w14:textId="77777777" w:rsidTr="00A5411B">
        <w:trPr>
          <w:trHeight w:val="900"/>
        </w:trPr>
        <w:tc>
          <w:tcPr>
            <w:tcW w:w="1627" w:type="dxa"/>
            <w:hideMark/>
          </w:tcPr>
          <w:p w14:paraId="2FF8F9F5" w14:textId="77777777" w:rsidR="0027787C" w:rsidRPr="001A2820" w:rsidRDefault="0027787C" w:rsidP="0027787C">
            <w:pPr>
              <w:rPr>
                <w:rFonts w:cstheme="minorHAnsi"/>
                <w:sz w:val="22"/>
                <w:szCs w:val="22"/>
                <w:lang w:val="fr-FR"/>
              </w:rPr>
            </w:pPr>
            <w:r w:rsidRPr="001A2820">
              <w:rPr>
                <w:rFonts w:cstheme="minorHAnsi"/>
                <w:sz w:val="22"/>
                <w:szCs w:val="22"/>
                <w:lang w:val="fr-FR"/>
              </w:rPr>
              <w:t>Kazakhstan</w:t>
            </w:r>
          </w:p>
        </w:tc>
        <w:tc>
          <w:tcPr>
            <w:tcW w:w="1671" w:type="dxa"/>
            <w:hideMark/>
          </w:tcPr>
          <w:p w14:paraId="7D9A070A"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90CFF13"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22A239DF" w14:textId="01262EA1" w:rsidR="0027787C" w:rsidRPr="001A2820" w:rsidRDefault="0027787C" w:rsidP="0027787C">
            <w:pPr>
              <w:rPr>
                <w:rFonts w:cstheme="minorHAnsi"/>
                <w:sz w:val="22"/>
                <w:szCs w:val="22"/>
                <w:lang w:val="fr-FR"/>
              </w:rPr>
            </w:pPr>
            <w:r w:rsidRPr="001A2820">
              <w:rPr>
                <w:rFonts w:cstheme="minorHAnsi"/>
                <w:sz w:val="22"/>
                <w:szCs w:val="22"/>
                <w:lang w:val="fr-FR"/>
              </w:rPr>
              <w:t>Mise à jour du Plan national de mise en œuvre, intégration de polluants organiques persistants dans la planification nationale et promotion d</w:t>
            </w:r>
            <w:r w:rsidR="00DD15D9">
              <w:rPr>
                <w:rFonts w:cstheme="minorHAnsi"/>
                <w:sz w:val="22"/>
                <w:szCs w:val="22"/>
                <w:lang w:val="fr-FR"/>
              </w:rPr>
              <w:t>’une</w:t>
            </w:r>
            <w:r w:rsidRPr="001A2820">
              <w:rPr>
                <w:rFonts w:cstheme="minorHAnsi"/>
                <w:sz w:val="22"/>
                <w:szCs w:val="22"/>
                <w:lang w:val="fr-FR"/>
              </w:rPr>
              <w:t xml:space="preserve"> gestion rationnelle des déchets médicaux au Kazakhstan</w:t>
            </w:r>
          </w:p>
        </w:tc>
        <w:tc>
          <w:tcPr>
            <w:tcW w:w="857" w:type="dxa"/>
            <w:hideMark/>
          </w:tcPr>
          <w:p w14:paraId="4492DBCE" w14:textId="4DC6A00D"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510745BA" w14:textId="0068222B"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1F0ACCE2" w14:textId="23733F80"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7C62CB8C" w14:textId="2057621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7527A4B4" w14:textId="65E55230" w:rsidR="0027787C" w:rsidRPr="001A2820" w:rsidRDefault="0027787C" w:rsidP="0027787C">
            <w:pPr>
              <w:jc w:val="right"/>
              <w:rPr>
                <w:rFonts w:cstheme="minorHAnsi"/>
                <w:sz w:val="22"/>
                <w:szCs w:val="22"/>
                <w:lang w:val="fr-FR"/>
              </w:rPr>
            </w:pPr>
            <w:r w:rsidRPr="001A2820">
              <w:rPr>
                <w:rFonts w:cstheme="minorHAnsi"/>
                <w:sz w:val="22"/>
                <w:szCs w:val="22"/>
                <w:lang w:val="fr-FR"/>
              </w:rPr>
              <w:t>470</w:t>
            </w:r>
            <w:r w:rsidR="00E33292">
              <w:rPr>
                <w:rFonts w:cstheme="minorHAnsi"/>
                <w:sz w:val="22"/>
                <w:szCs w:val="22"/>
                <w:lang w:val="fr-FR"/>
              </w:rPr>
              <w:t> </w:t>
            </w:r>
            <w:r w:rsidRPr="001A2820">
              <w:rPr>
                <w:rFonts w:cstheme="minorHAnsi"/>
                <w:sz w:val="22"/>
                <w:szCs w:val="22"/>
                <w:lang w:val="fr-FR"/>
              </w:rPr>
              <w:t>000</w:t>
            </w:r>
          </w:p>
        </w:tc>
      </w:tr>
      <w:tr w:rsidR="0027787C" w:rsidRPr="001A2820" w14:paraId="0BC032AB" w14:textId="77777777" w:rsidTr="00A5411B">
        <w:trPr>
          <w:trHeight w:val="600"/>
        </w:trPr>
        <w:tc>
          <w:tcPr>
            <w:tcW w:w="1627" w:type="dxa"/>
            <w:hideMark/>
          </w:tcPr>
          <w:p w14:paraId="03F5506B" w14:textId="77777777" w:rsidR="0027787C" w:rsidRPr="001A2820" w:rsidRDefault="0027787C" w:rsidP="0027787C">
            <w:pPr>
              <w:rPr>
                <w:rFonts w:cstheme="minorHAnsi"/>
                <w:sz w:val="22"/>
                <w:szCs w:val="22"/>
                <w:lang w:val="fr-FR"/>
              </w:rPr>
            </w:pPr>
            <w:r w:rsidRPr="001A2820">
              <w:rPr>
                <w:rFonts w:cstheme="minorHAnsi"/>
                <w:sz w:val="22"/>
                <w:szCs w:val="22"/>
                <w:lang w:val="fr-FR"/>
              </w:rPr>
              <w:lastRenderedPageBreak/>
              <w:t>Kenya</w:t>
            </w:r>
          </w:p>
        </w:tc>
        <w:tc>
          <w:tcPr>
            <w:tcW w:w="1671" w:type="dxa"/>
            <w:hideMark/>
          </w:tcPr>
          <w:p w14:paraId="751AC7C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F6EEBE5" w14:textId="09974DDA"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D5C787E" w14:textId="55C24607"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w:t>
            </w:r>
          </w:p>
        </w:tc>
        <w:tc>
          <w:tcPr>
            <w:tcW w:w="857" w:type="dxa"/>
            <w:hideMark/>
          </w:tcPr>
          <w:p w14:paraId="5F8784D7" w14:textId="3E5176C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D000ABD" w14:textId="5F87AF4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5A8DE4F" w14:textId="07C263BA" w:rsidR="0027787C" w:rsidRPr="001A2820" w:rsidRDefault="0027787C" w:rsidP="0027787C">
            <w:pPr>
              <w:rPr>
                <w:rFonts w:cstheme="minorHAnsi"/>
                <w:sz w:val="22"/>
                <w:szCs w:val="22"/>
                <w:lang w:val="fr-FR"/>
              </w:rPr>
            </w:pPr>
            <w:r w:rsidRPr="001A2820">
              <w:rPr>
                <w:rFonts w:cstheme="minorHAnsi"/>
                <w:sz w:val="22"/>
                <w:szCs w:val="22"/>
                <w:lang w:val="fr-FR"/>
              </w:rPr>
              <w:t>Accès direct</w:t>
            </w:r>
          </w:p>
        </w:tc>
        <w:tc>
          <w:tcPr>
            <w:tcW w:w="1498" w:type="dxa"/>
            <w:hideMark/>
          </w:tcPr>
          <w:p w14:paraId="2A655B09" w14:textId="66A0CDE8"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0D62360C"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D945151" w14:textId="77777777" w:rsidTr="00A5411B">
        <w:trPr>
          <w:trHeight w:val="300"/>
        </w:trPr>
        <w:tc>
          <w:tcPr>
            <w:tcW w:w="1627" w:type="dxa"/>
            <w:hideMark/>
          </w:tcPr>
          <w:p w14:paraId="67648876" w14:textId="77777777" w:rsidR="0027787C" w:rsidRPr="001A2820" w:rsidRDefault="0027787C" w:rsidP="0027787C">
            <w:pPr>
              <w:rPr>
                <w:rFonts w:cstheme="minorHAnsi"/>
                <w:sz w:val="22"/>
                <w:szCs w:val="22"/>
                <w:lang w:val="fr-FR"/>
              </w:rPr>
            </w:pPr>
            <w:r w:rsidRPr="001A2820">
              <w:rPr>
                <w:rFonts w:cstheme="minorHAnsi"/>
                <w:sz w:val="22"/>
                <w:szCs w:val="22"/>
                <w:lang w:val="fr-FR"/>
              </w:rPr>
              <w:t>Kenya</w:t>
            </w:r>
          </w:p>
        </w:tc>
        <w:tc>
          <w:tcPr>
            <w:tcW w:w="1671" w:type="dxa"/>
            <w:hideMark/>
          </w:tcPr>
          <w:p w14:paraId="16D3F581"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C7E1926"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6C97A4FD" w14:textId="3BB760E9" w:rsidR="0027787C" w:rsidRPr="001A2820" w:rsidRDefault="0027787C" w:rsidP="0027787C">
            <w:pPr>
              <w:rPr>
                <w:rFonts w:cstheme="minorHAnsi"/>
                <w:sz w:val="22"/>
                <w:szCs w:val="22"/>
                <w:lang w:val="fr-FR"/>
              </w:rPr>
            </w:pPr>
            <w:r w:rsidRPr="001A2820">
              <w:rPr>
                <w:rFonts w:cstheme="minorHAnsi"/>
                <w:sz w:val="22"/>
                <w:szCs w:val="22"/>
                <w:lang w:val="fr-FR"/>
              </w:rPr>
              <w:t>Mesures initiales concernant le mercure pour le Kenya</w:t>
            </w:r>
          </w:p>
        </w:tc>
        <w:tc>
          <w:tcPr>
            <w:tcW w:w="857" w:type="dxa"/>
            <w:hideMark/>
          </w:tcPr>
          <w:p w14:paraId="10A1641E" w14:textId="39D21FF9"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A8A7D16" w14:textId="20E4FF10"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DED7295" w14:textId="1749E099" w:rsidR="0027787C" w:rsidRPr="001A2820" w:rsidRDefault="0027787C" w:rsidP="0027787C">
            <w:pPr>
              <w:rPr>
                <w:rFonts w:cstheme="minorHAnsi"/>
                <w:sz w:val="22"/>
                <w:szCs w:val="22"/>
                <w:lang w:val="fr-FR"/>
              </w:rPr>
            </w:pPr>
            <w:r w:rsidRPr="001A2820">
              <w:rPr>
                <w:rFonts w:cstheme="minorHAnsi"/>
                <w:sz w:val="22"/>
                <w:szCs w:val="22"/>
                <w:lang w:val="fr-FR"/>
              </w:rPr>
              <w:t>Secrétariat du FEM</w:t>
            </w:r>
          </w:p>
        </w:tc>
        <w:tc>
          <w:tcPr>
            <w:tcW w:w="1498" w:type="dxa"/>
            <w:hideMark/>
          </w:tcPr>
          <w:p w14:paraId="2951A3CF" w14:textId="30801BE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3C060255" w14:textId="3404932C" w:rsidR="0027787C" w:rsidRPr="001A2820" w:rsidRDefault="0027787C" w:rsidP="0027787C">
            <w:pPr>
              <w:jc w:val="right"/>
              <w:rPr>
                <w:rFonts w:cstheme="minorHAnsi"/>
                <w:sz w:val="22"/>
                <w:szCs w:val="22"/>
                <w:lang w:val="fr-FR"/>
              </w:rPr>
            </w:pPr>
            <w:r w:rsidRPr="001A2820">
              <w:rPr>
                <w:rFonts w:cstheme="minorHAnsi"/>
                <w:sz w:val="22"/>
                <w:szCs w:val="22"/>
                <w:lang w:val="fr-FR"/>
              </w:rPr>
              <w:t>34</w:t>
            </w:r>
            <w:r w:rsidR="00E33292">
              <w:rPr>
                <w:rFonts w:cstheme="minorHAnsi"/>
                <w:sz w:val="22"/>
                <w:szCs w:val="22"/>
                <w:lang w:val="fr-FR"/>
              </w:rPr>
              <w:t> </w:t>
            </w:r>
            <w:r w:rsidRPr="001A2820">
              <w:rPr>
                <w:rFonts w:cstheme="minorHAnsi"/>
                <w:sz w:val="22"/>
                <w:szCs w:val="22"/>
                <w:lang w:val="fr-FR"/>
              </w:rPr>
              <w:t>000</w:t>
            </w:r>
          </w:p>
        </w:tc>
      </w:tr>
      <w:tr w:rsidR="0027787C" w:rsidRPr="001A2820" w14:paraId="24D3E288" w14:textId="77777777" w:rsidTr="00A5411B">
        <w:trPr>
          <w:trHeight w:val="900"/>
        </w:trPr>
        <w:tc>
          <w:tcPr>
            <w:tcW w:w="1627" w:type="dxa"/>
            <w:hideMark/>
          </w:tcPr>
          <w:p w14:paraId="4601F81B" w14:textId="67567C2D" w:rsidR="0027787C" w:rsidRPr="001A2820" w:rsidRDefault="0027787C" w:rsidP="0027787C">
            <w:pPr>
              <w:rPr>
                <w:rFonts w:cstheme="minorHAnsi"/>
                <w:sz w:val="22"/>
                <w:szCs w:val="22"/>
                <w:lang w:val="fr-FR"/>
              </w:rPr>
            </w:pPr>
            <w:r w:rsidRPr="001A2820">
              <w:rPr>
                <w:rFonts w:cstheme="minorHAnsi"/>
                <w:sz w:val="22"/>
                <w:szCs w:val="22"/>
                <w:lang w:val="fr-FR"/>
              </w:rPr>
              <w:t>Lao (République démocratique populaire)</w:t>
            </w:r>
          </w:p>
        </w:tc>
        <w:tc>
          <w:tcPr>
            <w:tcW w:w="1671" w:type="dxa"/>
            <w:hideMark/>
          </w:tcPr>
          <w:p w14:paraId="5497F30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4526D57" w14:textId="65BFBC1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93985BC" w14:textId="7B98C1EB"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et mise à jour du plan d’action national concernant l’extraction minière artisanale et à petite échelle d’or </w:t>
            </w:r>
          </w:p>
        </w:tc>
        <w:tc>
          <w:tcPr>
            <w:tcW w:w="857" w:type="dxa"/>
            <w:hideMark/>
          </w:tcPr>
          <w:p w14:paraId="3ECC630D" w14:textId="65011327"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200B6D3" w14:textId="0B8ABC4B"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07292F9" w14:textId="3EDC1DA0"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367D1786" w14:textId="46607F1D"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77FC4AF0"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FA887C7" w14:textId="77777777" w:rsidTr="00A5411B">
        <w:trPr>
          <w:trHeight w:val="300"/>
        </w:trPr>
        <w:tc>
          <w:tcPr>
            <w:tcW w:w="1627" w:type="dxa"/>
            <w:hideMark/>
          </w:tcPr>
          <w:p w14:paraId="6FA6534B" w14:textId="48C6A546" w:rsidR="0027787C" w:rsidRPr="001A2820" w:rsidRDefault="0027787C" w:rsidP="0027787C">
            <w:pPr>
              <w:rPr>
                <w:rFonts w:cstheme="minorHAnsi"/>
                <w:sz w:val="22"/>
                <w:szCs w:val="22"/>
                <w:lang w:val="fr-FR"/>
              </w:rPr>
            </w:pPr>
            <w:r w:rsidRPr="001A2820">
              <w:rPr>
                <w:rFonts w:cstheme="minorHAnsi"/>
                <w:sz w:val="22"/>
                <w:szCs w:val="22"/>
                <w:lang w:val="fr-FR"/>
              </w:rPr>
              <w:t>Macédoine</w:t>
            </w:r>
          </w:p>
        </w:tc>
        <w:tc>
          <w:tcPr>
            <w:tcW w:w="1671" w:type="dxa"/>
            <w:hideMark/>
          </w:tcPr>
          <w:p w14:paraId="5AD666EB"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E373D2E" w14:textId="37A9262C"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832F88F" w14:textId="7943AE4C"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w:t>
            </w:r>
          </w:p>
        </w:tc>
        <w:tc>
          <w:tcPr>
            <w:tcW w:w="857" w:type="dxa"/>
            <w:hideMark/>
          </w:tcPr>
          <w:p w14:paraId="367660B0" w14:textId="7D8A2EB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6681880" w14:textId="4225CC0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280DB2B" w14:textId="6C517639"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7464AD0D" w14:textId="7989EC04"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554FC0E9"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5CFCBDC3" w14:textId="77777777" w:rsidTr="00A5411B">
        <w:trPr>
          <w:trHeight w:val="600"/>
        </w:trPr>
        <w:tc>
          <w:tcPr>
            <w:tcW w:w="1627" w:type="dxa"/>
            <w:hideMark/>
          </w:tcPr>
          <w:p w14:paraId="2F6DD508" w14:textId="77777777" w:rsidR="0027787C" w:rsidRPr="001A2820" w:rsidRDefault="0027787C" w:rsidP="0027787C">
            <w:pPr>
              <w:rPr>
                <w:rFonts w:cstheme="minorHAnsi"/>
                <w:sz w:val="22"/>
                <w:szCs w:val="22"/>
                <w:lang w:val="fr-FR"/>
              </w:rPr>
            </w:pPr>
            <w:r w:rsidRPr="001A2820">
              <w:rPr>
                <w:rFonts w:cstheme="minorHAnsi"/>
                <w:sz w:val="22"/>
                <w:szCs w:val="22"/>
                <w:lang w:val="fr-FR"/>
              </w:rPr>
              <w:t>Madagascar</w:t>
            </w:r>
          </w:p>
        </w:tc>
        <w:tc>
          <w:tcPr>
            <w:tcW w:w="1671" w:type="dxa"/>
            <w:hideMark/>
          </w:tcPr>
          <w:p w14:paraId="23925193"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F503AAF" w14:textId="3FE59599"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3E833F4" w14:textId="3A583F2A"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 plan d’action national concernant l’extraction minière artisanale et à petite échelle d’or </w:t>
            </w:r>
            <w:r w:rsidR="003F077C">
              <w:rPr>
                <w:rFonts w:cstheme="minorHAnsi"/>
                <w:sz w:val="22"/>
                <w:szCs w:val="22"/>
                <w:lang w:val="fr-FR"/>
              </w:rPr>
              <w:t>à</w:t>
            </w:r>
            <w:r w:rsidRPr="001A2820">
              <w:rPr>
                <w:rFonts w:cstheme="minorHAnsi"/>
                <w:sz w:val="22"/>
                <w:szCs w:val="22"/>
                <w:lang w:val="fr-FR"/>
              </w:rPr>
              <w:t xml:space="preserve"> Madagascar</w:t>
            </w:r>
          </w:p>
        </w:tc>
        <w:tc>
          <w:tcPr>
            <w:tcW w:w="857" w:type="dxa"/>
            <w:hideMark/>
          </w:tcPr>
          <w:p w14:paraId="7E1DCC16" w14:textId="0388CFC2"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82B6DE3" w14:textId="7922443E"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5238E16" w14:textId="5A7393C7"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100E95B2" w14:textId="0D94BE06"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1A918DE1"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786777C5" w14:textId="77777777" w:rsidTr="00A5411B">
        <w:trPr>
          <w:trHeight w:val="600"/>
        </w:trPr>
        <w:tc>
          <w:tcPr>
            <w:tcW w:w="1627" w:type="dxa"/>
            <w:hideMark/>
          </w:tcPr>
          <w:p w14:paraId="6708D78D" w14:textId="77777777" w:rsidR="0027787C" w:rsidRPr="001A2820" w:rsidRDefault="0027787C" w:rsidP="0027787C">
            <w:pPr>
              <w:rPr>
                <w:rFonts w:cstheme="minorHAnsi"/>
                <w:sz w:val="22"/>
                <w:szCs w:val="22"/>
                <w:lang w:val="fr-FR"/>
              </w:rPr>
            </w:pPr>
            <w:r w:rsidRPr="001A2820">
              <w:rPr>
                <w:rFonts w:cstheme="minorHAnsi"/>
                <w:sz w:val="22"/>
                <w:szCs w:val="22"/>
                <w:lang w:val="fr-FR"/>
              </w:rPr>
              <w:t>Madagascar</w:t>
            </w:r>
          </w:p>
        </w:tc>
        <w:tc>
          <w:tcPr>
            <w:tcW w:w="1671" w:type="dxa"/>
            <w:hideMark/>
          </w:tcPr>
          <w:p w14:paraId="594223C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9633DD1"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F47616D" w14:textId="47D8D663"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w:t>
            </w:r>
            <w:r w:rsidR="003F077C">
              <w:rPr>
                <w:rFonts w:cstheme="minorHAnsi"/>
                <w:sz w:val="22"/>
                <w:szCs w:val="22"/>
                <w:lang w:val="fr-FR"/>
              </w:rPr>
              <w:t>à</w:t>
            </w:r>
            <w:r w:rsidRPr="001A2820">
              <w:rPr>
                <w:rFonts w:cstheme="minorHAnsi"/>
                <w:sz w:val="22"/>
                <w:szCs w:val="22"/>
                <w:lang w:val="fr-FR"/>
              </w:rPr>
              <w:t xml:space="preserve"> Madagascar</w:t>
            </w:r>
          </w:p>
        </w:tc>
        <w:tc>
          <w:tcPr>
            <w:tcW w:w="857" w:type="dxa"/>
            <w:hideMark/>
          </w:tcPr>
          <w:p w14:paraId="00717F06" w14:textId="14E6BFBE"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D22B64A" w14:textId="64E5FC7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7B7F5B2" w14:textId="56BE55BC"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7599793" w14:textId="3DC1AA4B" w:rsidR="0027787C" w:rsidRPr="001A2820" w:rsidRDefault="0027787C" w:rsidP="0027787C">
            <w:pPr>
              <w:jc w:val="right"/>
              <w:rPr>
                <w:rFonts w:cstheme="minorHAnsi"/>
                <w:sz w:val="22"/>
                <w:szCs w:val="22"/>
                <w:lang w:val="fr-FR"/>
              </w:rPr>
            </w:pPr>
            <w:r w:rsidRPr="001A2820">
              <w:rPr>
                <w:rFonts w:cstheme="minorHAnsi"/>
                <w:sz w:val="22"/>
                <w:szCs w:val="22"/>
                <w:lang w:val="fr-FR"/>
              </w:rPr>
              <w:t>182</w:t>
            </w:r>
            <w:r w:rsidR="00E33292">
              <w:rPr>
                <w:rFonts w:cstheme="minorHAnsi"/>
                <w:sz w:val="22"/>
                <w:szCs w:val="22"/>
                <w:lang w:val="fr-FR"/>
              </w:rPr>
              <w:t> </w:t>
            </w:r>
            <w:r w:rsidRPr="001A2820">
              <w:rPr>
                <w:rFonts w:cstheme="minorHAnsi"/>
                <w:sz w:val="22"/>
                <w:szCs w:val="22"/>
                <w:lang w:val="fr-FR"/>
              </w:rPr>
              <w:t>648</w:t>
            </w:r>
          </w:p>
        </w:tc>
        <w:tc>
          <w:tcPr>
            <w:tcW w:w="1592" w:type="dxa"/>
            <w:hideMark/>
          </w:tcPr>
          <w:p w14:paraId="5318C5C2" w14:textId="5E337D6D"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r>
      <w:tr w:rsidR="0027787C" w:rsidRPr="001A2820" w14:paraId="6B7359E9" w14:textId="77777777" w:rsidTr="00A5411B">
        <w:trPr>
          <w:trHeight w:val="300"/>
        </w:trPr>
        <w:tc>
          <w:tcPr>
            <w:tcW w:w="1627" w:type="dxa"/>
            <w:hideMark/>
          </w:tcPr>
          <w:p w14:paraId="346AA7AB" w14:textId="44F0C6D1" w:rsidR="0027787C" w:rsidRPr="001A2820" w:rsidRDefault="0027787C" w:rsidP="0027787C">
            <w:pPr>
              <w:rPr>
                <w:rFonts w:cstheme="minorHAnsi"/>
                <w:sz w:val="22"/>
                <w:szCs w:val="22"/>
                <w:lang w:val="fr-FR"/>
              </w:rPr>
            </w:pPr>
            <w:r w:rsidRPr="001A2820">
              <w:rPr>
                <w:rFonts w:cstheme="minorHAnsi"/>
                <w:sz w:val="22"/>
                <w:szCs w:val="22"/>
                <w:lang w:val="fr-FR"/>
              </w:rPr>
              <w:t>Malaisie</w:t>
            </w:r>
          </w:p>
        </w:tc>
        <w:tc>
          <w:tcPr>
            <w:tcW w:w="1671" w:type="dxa"/>
            <w:hideMark/>
          </w:tcPr>
          <w:p w14:paraId="7AAF228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BCDC72E" w14:textId="18CA2CD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05EF3AD" w14:textId="667BF0DE"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en Malaisie</w:t>
            </w:r>
          </w:p>
        </w:tc>
        <w:tc>
          <w:tcPr>
            <w:tcW w:w="857" w:type="dxa"/>
            <w:hideMark/>
          </w:tcPr>
          <w:p w14:paraId="25B6DDA9" w14:textId="668B86C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3625D81" w14:textId="2FFB670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FAA1826" w14:textId="0937E61C"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5B6D2E10" w14:textId="19AB0068" w:rsidR="0027787C" w:rsidRPr="001A2820" w:rsidRDefault="0027787C" w:rsidP="0027787C">
            <w:pPr>
              <w:jc w:val="right"/>
              <w:rPr>
                <w:rFonts w:cstheme="minorHAnsi"/>
                <w:sz w:val="22"/>
                <w:szCs w:val="22"/>
                <w:lang w:val="fr-FR"/>
              </w:rPr>
            </w:pPr>
            <w:r w:rsidRPr="001A2820">
              <w:rPr>
                <w:rFonts w:cstheme="minorHAnsi"/>
                <w:sz w:val="22"/>
                <w:szCs w:val="22"/>
                <w:lang w:val="fr-FR"/>
              </w:rPr>
              <w:t>250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068D07DD" w14:textId="0B6F213D" w:rsidR="0027787C" w:rsidRPr="001A2820" w:rsidRDefault="0027787C" w:rsidP="0027787C">
            <w:pPr>
              <w:jc w:val="right"/>
              <w:rPr>
                <w:rFonts w:cstheme="minorHAnsi"/>
                <w:sz w:val="22"/>
                <w:szCs w:val="22"/>
                <w:lang w:val="fr-FR"/>
              </w:rPr>
            </w:pPr>
            <w:r w:rsidRPr="001A2820">
              <w:rPr>
                <w:rFonts w:cstheme="minorHAnsi"/>
                <w:sz w:val="22"/>
                <w:szCs w:val="22"/>
                <w:lang w:val="fr-FR"/>
              </w:rPr>
              <w:t>250</w:t>
            </w:r>
            <w:r w:rsidR="00E33292">
              <w:rPr>
                <w:rFonts w:cstheme="minorHAnsi"/>
                <w:sz w:val="22"/>
                <w:szCs w:val="22"/>
                <w:lang w:val="fr-FR"/>
              </w:rPr>
              <w:t> </w:t>
            </w:r>
            <w:r w:rsidRPr="001A2820">
              <w:rPr>
                <w:rFonts w:cstheme="minorHAnsi"/>
                <w:sz w:val="22"/>
                <w:szCs w:val="22"/>
                <w:lang w:val="fr-FR"/>
              </w:rPr>
              <w:t>000</w:t>
            </w:r>
          </w:p>
        </w:tc>
      </w:tr>
      <w:tr w:rsidR="0027787C" w:rsidRPr="001A2820" w14:paraId="172A3996" w14:textId="77777777" w:rsidTr="00A5411B">
        <w:trPr>
          <w:trHeight w:val="600"/>
        </w:trPr>
        <w:tc>
          <w:tcPr>
            <w:tcW w:w="1627" w:type="dxa"/>
            <w:hideMark/>
          </w:tcPr>
          <w:p w14:paraId="434D3B6D" w14:textId="77777777" w:rsidR="0027787C" w:rsidRPr="001A2820" w:rsidRDefault="0027787C" w:rsidP="0027787C">
            <w:pPr>
              <w:rPr>
                <w:rFonts w:cstheme="minorHAnsi"/>
                <w:sz w:val="22"/>
                <w:szCs w:val="22"/>
                <w:lang w:val="fr-FR"/>
              </w:rPr>
            </w:pPr>
            <w:r w:rsidRPr="001A2820">
              <w:rPr>
                <w:rFonts w:cstheme="minorHAnsi"/>
                <w:sz w:val="22"/>
                <w:szCs w:val="22"/>
                <w:lang w:val="fr-FR"/>
              </w:rPr>
              <w:t>Maldives</w:t>
            </w:r>
          </w:p>
        </w:tc>
        <w:tc>
          <w:tcPr>
            <w:tcW w:w="1671" w:type="dxa"/>
            <w:hideMark/>
          </w:tcPr>
          <w:p w14:paraId="04EDA123"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B4B7BB5" w14:textId="54330D57"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9D586E1" w14:textId="38A98C75"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aux Maldives</w:t>
            </w:r>
          </w:p>
        </w:tc>
        <w:tc>
          <w:tcPr>
            <w:tcW w:w="857" w:type="dxa"/>
            <w:hideMark/>
          </w:tcPr>
          <w:p w14:paraId="5FA41B16" w14:textId="58BE06FB"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5B0016C" w14:textId="0A8AC25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C334B53" w14:textId="1CE9460D"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16DD86BF" w14:textId="2F8BF7C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hideMark/>
          </w:tcPr>
          <w:p w14:paraId="4B870DD3"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0872EB6D" w14:textId="77777777" w:rsidTr="00A5411B">
        <w:trPr>
          <w:trHeight w:val="600"/>
        </w:trPr>
        <w:tc>
          <w:tcPr>
            <w:tcW w:w="1627" w:type="dxa"/>
          </w:tcPr>
          <w:p w14:paraId="6F0AA7F8" w14:textId="3911F2F1" w:rsidR="0027787C" w:rsidRPr="001A2820" w:rsidRDefault="0027787C" w:rsidP="0027787C">
            <w:pPr>
              <w:rPr>
                <w:rFonts w:cstheme="minorHAnsi"/>
                <w:sz w:val="22"/>
                <w:szCs w:val="22"/>
                <w:lang w:val="fr-FR"/>
              </w:rPr>
            </w:pPr>
            <w:r w:rsidRPr="001A2820">
              <w:rPr>
                <w:rFonts w:cstheme="minorHAnsi"/>
                <w:sz w:val="22"/>
                <w:szCs w:val="22"/>
                <w:lang w:val="fr-FR"/>
              </w:rPr>
              <w:t>Maroc</w:t>
            </w:r>
          </w:p>
        </w:tc>
        <w:tc>
          <w:tcPr>
            <w:tcW w:w="1671" w:type="dxa"/>
          </w:tcPr>
          <w:p w14:paraId="06DABCE0" w14:textId="00A1DD0C"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108C8085" w14:textId="5CA9D280"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792B290F" w14:textId="79FD5ABB" w:rsidR="0027787C" w:rsidRPr="001A2820" w:rsidRDefault="0027787C" w:rsidP="0027787C">
            <w:pPr>
              <w:rPr>
                <w:rFonts w:cstheme="minorHAnsi"/>
                <w:sz w:val="22"/>
                <w:szCs w:val="22"/>
                <w:lang w:val="fr-FR"/>
              </w:rPr>
            </w:pPr>
            <w:r w:rsidRPr="001A2820">
              <w:rPr>
                <w:rFonts w:cstheme="minorHAnsi"/>
                <w:sz w:val="22"/>
                <w:szCs w:val="22"/>
                <w:lang w:val="fr-FR"/>
              </w:rPr>
              <w:t>Renforcement du mécanisme décisionnel national en vue de la ratification de la Convention de Minamata et des capacités nationales en vue de la mise en œuvre de ses dispositions futures</w:t>
            </w:r>
          </w:p>
        </w:tc>
        <w:tc>
          <w:tcPr>
            <w:tcW w:w="857" w:type="dxa"/>
          </w:tcPr>
          <w:p w14:paraId="07D30DE1" w14:textId="701D15C4"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46C813BB" w14:textId="05F38E3B"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04A9C01C" w14:textId="6BA40F26"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tcPr>
          <w:p w14:paraId="7F3B971C" w14:textId="5E868660"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E33292">
              <w:rPr>
                <w:rFonts w:cstheme="minorHAnsi"/>
                <w:sz w:val="22"/>
                <w:szCs w:val="22"/>
                <w:lang w:val="fr-FR"/>
              </w:rPr>
              <w:t> </w:t>
            </w:r>
            <w:r w:rsidRPr="001A2820">
              <w:rPr>
                <w:rFonts w:cstheme="minorHAnsi"/>
                <w:sz w:val="22"/>
                <w:szCs w:val="22"/>
                <w:lang w:val="fr-FR"/>
              </w:rPr>
              <w:t>000</w:t>
            </w:r>
          </w:p>
        </w:tc>
        <w:tc>
          <w:tcPr>
            <w:tcW w:w="1592" w:type="dxa"/>
          </w:tcPr>
          <w:p w14:paraId="2C20FC11" w14:textId="09A560CE"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012A9B1" w14:textId="77777777" w:rsidTr="00A5411B">
        <w:trPr>
          <w:trHeight w:val="1200"/>
        </w:trPr>
        <w:tc>
          <w:tcPr>
            <w:tcW w:w="1627" w:type="dxa"/>
            <w:hideMark/>
          </w:tcPr>
          <w:p w14:paraId="28DE9A33" w14:textId="439B2727" w:rsidR="0027787C" w:rsidRPr="001A2820" w:rsidRDefault="0027787C" w:rsidP="0027787C">
            <w:pPr>
              <w:rPr>
                <w:rFonts w:cstheme="minorHAnsi"/>
                <w:sz w:val="22"/>
                <w:szCs w:val="22"/>
                <w:lang w:val="fr-FR"/>
              </w:rPr>
            </w:pPr>
            <w:r w:rsidRPr="001A2820">
              <w:rPr>
                <w:rFonts w:cstheme="minorHAnsi"/>
                <w:sz w:val="22"/>
                <w:szCs w:val="22"/>
                <w:lang w:val="fr-FR"/>
              </w:rPr>
              <w:t>Maurice</w:t>
            </w:r>
          </w:p>
        </w:tc>
        <w:tc>
          <w:tcPr>
            <w:tcW w:w="1671" w:type="dxa"/>
            <w:hideMark/>
          </w:tcPr>
          <w:p w14:paraId="7ECE4CD9"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B67151F"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CA21C81" w14:textId="56E2E1DE" w:rsidR="0027787C" w:rsidRPr="001A2820" w:rsidRDefault="0027787C" w:rsidP="0027787C">
            <w:pPr>
              <w:rPr>
                <w:rFonts w:cstheme="minorHAnsi"/>
                <w:sz w:val="22"/>
                <w:szCs w:val="22"/>
                <w:lang w:val="fr-FR"/>
              </w:rPr>
            </w:pPr>
            <w:r w:rsidRPr="001A2820">
              <w:rPr>
                <w:rFonts w:cstheme="minorHAnsi"/>
                <w:sz w:val="22"/>
                <w:szCs w:val="22"/>
                <w:lang w:val="fr-FR"/>
              </w:rPr>
              <w:t>Renforcement des processus décisionnels nationaux en vue de la ratification de la Convention de Minamata et des capacités en vue de la mise en œuvre de dispositions futures</w:t>
            </w:r>
          </w:p>
        </w:tc>
        <w:tc>
          <w:tcPr>
            <w:tcW w:w="857" w:type="dxa"/>
            <w:hideMark/>
          </w:tcPr>
          <w:p w14:paraId="022C5D54" w14:textId="5D9D72B6"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7B051888" w14:textId="637C1847"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D8B2262" w14:textId="0D62FFB4"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2DB2AF4B" w14:textId="45DC4373" w:rsidR="0027787C" w:rsidRPr="001A2820" w:rsidRDefault="0027787C" w:rsidP="0027787C">
            <w:pPr>
              <w:jc w:val="right"/>
              <w:rPr>
                <w:rFonts w:cstheme="minorHAnsi"/>
                <w:sz w:val="22"/>
                <w:szCs w:val="22"/>
                <w:lang w:val="fr-FR"/>
              </w:rPr>
            </w:pPr>
            <w:r w:rsidRPr="001A2820">
              <w:rPr>
                <w:rFonts w:cstheme="minorHAnsi"/>
                <w:sz w:val="22"/>
                <w:szCs w:val="22"/>
                <w:lang w:val="fr-FR"/>
              </w:rPr>
              <w:t>199</w:t>
            </w:r>
            <w:r w:rsidR="00E33292">
              <w:rPr>
                <w:rFonts w:cstheme="minorHAnsi"/>
                <w:sz w:val="22"/>
                <w:szCs w:val="22"/>
                <w:lang w:val="fr-FR"/>
              </w:rPr>
              <w:t> </w:t>
            </w:r>
            <w:r w:rsidRPr="001A2820">
              <w:rPr>
                <w:rFonts w:cstheme="minorHAnsi"/>
                <w:sz w:val="22"/>
                <w:szCs w:val="22"/>
                <w:lang w:val="fr-FR"/>
              </w:rPr>
              <w:t>749</w:t>
            </w:r>
          </w:p>
        </w:tc>
        <w:tc>
          <w:tcPr>
            <w:tcW w:w="1592" w:type="dxa"/>
            <w:hideMark/>
          </w:tcPr>
          <w:p w14:paraId="3AFB91BC" w14:textId="5DFF70B0" w:rsidR="0027787C" w:rsidRPr="001A2820" w:rsidRDefault="0027787C" w:rsidP="0027787C">
            <w:pPr>
              <w:jc w:val="right"/>
              <w:rPr>
                <w:rFonts w:cstheme="minorHAnsi"/>
                <w:sz w:val="22"/>
                <w:szCs w:val="22"/>
                <w:lang w:val="fr-FR"/>
              </w:rPr>
            </w:pPr>
            <w:r w:rsidRPr="001A2820">
              <w:rPr>
                <w:rFonts w:cstheme="minorHAnsi"/>
                <w:sz w:val="22"/>
                <w:szCs w:val="22"/>
                <w:lang w:val="fr-FR"/>
              </w:rPr>
              <w:t>125</w:t>
            </w:r>
            <w:r w:rsidR="00E33292">
              <w:rPr>
                <w:rFonts w:cstheme="minorHAnsi"/>
                <w:sz w:val="22"/>
                <w:szCs w:val="22"/>
                <w:lang w:val="fr-FR"/>
              </w:rPr>
              <w:t> </w:t>
            </w:r>
            <w:r w:rsidRPr="001A2820">
              <w:rPr>
                <w:rFonts w:cstheme="minorHAnsi"/>
                <w:sz w:val="22"/>
                <w:szCs w:val="22"/>
                <w:lang w:val="fr-FR"/>
              </w:rPr>
              <w:t>000</w:t>
            </w:r>
          </w:p>
        </w:tc>
      </w:tr>
      <w:tr w:rsidR="0027787C" w:rsidRPr="001A2820" w14:paraId="63417153" w14:textId="77777777" w:rsidTr="00A5411B">
        <w:trPr>
          <w:trHeight w:val="900"/>
        </w:trPr>
        <w:tc>
          <w:tcPr>
            <w:tcW w:w="1627" w:type="dxa"/>
            <w:hideMark/>
          </w:tcPr>
          <w:p w14:paraId="4704E7AE" w14:textId="335CC38B" w:rsidR="0027787C" w:rsidRPr="001A2820" w:rsidRDefault="0027787C" w:rsidP="0027787C">
            <w:pPr>
              <w:rPr>
                <w:rFonts w:cstheme="minorHAnsi"/>
                <w:sz w:val="22"/>
                <w:szCs w:val="22"/>
                <w:lang w:val="fr-FR"/>
              </w:rPr>
            </w:pPr>
            <w:r w:rsidRPr="001A2820">
              <w:rPr>
                <w:rFonts w:cstheme="minorHAnsi"/>
                <w:sz w:val="22"/>
                <w:szCs w:val="22"/>
                <w:lang w:val="fr-FR"/>
              </w:rPr>
              <w:lastRenderedPageBreak/>
              <w:t>Mexique</w:t>
            </w:r>
          </w:p>
        </w:tc>
        <w:tc>
          <w:tcPr>
            <w:tcW w:w="1671" w:type="dxa"/>
            <w:hideMark/>
          </w:tcPr>
          <w:p w14:paraId="2238EC2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CC799BB" w14:textId="4F7EC9A4"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061A2C8" w14:textId="15E1B0B1" w:rsidR="0027787C" w:rsidRPr="001A2820" w:rsidRDefault="0027787C" w:rsidP="0027787C">
            <w:pPr>
              <w:rPr>
                <w:rFonts w:cstheme="minorHAnsi"/>
                <w:sz w:val="22"/>
                <w:szCs w:val="22"/>
                <w:lang w:val="fr-FR"/>
              </w:rPr>
            </w:pPr>
            <w:r w:rsidRPr="001A2820">
              <w:rPr>
                <w:rFonts w:cstheme="minorHAnsi"/>
                <w:sz w:val="22"/>
                <w:szCs w:val="22"/>
                <w:lang w:val="fr-FR"/>
              </w:rPr>
              <w:t xml:space="preserve">Réduction des risques environnementaux mondiaux par le suivi et l’élaboration d’autres moyens de subsistance pour le secteur du mercure primaire obtenu par extraction minière au Mexique </w:t>
            </w:r>
          </w:p>
        </w:tc>
        <w:tc>
          <w:tcPr>
            <w:tcW w:w="857" w:type="dxa"/>
            <w:hideMark/>
          </w:tcPr>
          <w:p w14:paraId="0CAE9246" w14:textId="2C0CCD8A"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02E4313" w14:textId="57BC06A3"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29CFF9DC" w14:textId="2231C3F9"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2AB12B1D" w14:textId="33F733F2" w:rsidR="0027787C" w:rsidRPr="001A2820" w:rsidRDefault="0027787C" w:rsidP="0027787C">
            <w:pPr>
              <w:jc w:val="right"/>
              <w:rPr>
                <w:rFonts w:cstheme="minorHAnsi"/>
                <w:sz w:val="22"/>
                <w:szCs w:val="22"/>
                <w:lang w:val="fr-FR"/>
              </w:rPr>
            </w:pPr>
            <w:r w:rsidRPr="001A2820">
              <w:rPr>
                <w:rFonts w:cstheme="minorHAnsi"/>
                <w:sz w:val="22"/>
                <w:szCs w:val="22"/>
                <w:lang w:val="fr-FR"/>
              </w:rPr>
              <w:t>7</w:t>
            </w:r>
            <w:r w:rsidR="003B5855">
              <w:rPr>
                <w:rFonts w:cstheme="minorHAnsi"/>
                <w:sz w:val="22"/>
                <w:szCs w:val="22"/>
                <w:lang w:val="fr-FR"/>
              </w:rPr>
              <w:t> </w:t>
            </w:r>
            <w:r w:rsidRPr="001A2820">
              <w:rPr>
                <w:rFonts w:cstheme="minorHAnsi"/>
                <w:sz w:val="22"/>
                <w:szCs w:val="22"/>
                <w:lang w:val="fr-FR"/>
              </w:rPr>
              <w:t>035</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69CFC83B" w14:textId="5BB79110" w:rsidR="0027787C" w:rsidRPr="001A2820" w:rsidRDefault="0027787C" w:rsidP="0027787C">
            <w:pPr>
              <w:jc w:val="right"/>
              <w:rPr>
                <w:rFonts w:cstheme="minorHAnsi"/>
                <w:sz w:val="22"/>
                <w:szCs w:val="22"/>
                <w:lang w:val="fr-FR"/>
              </w:rPr>
            </w:pPr>
            <w:r w:rsidRPr="001A2820">
              <w:rPr>
                <w:rFonts w:cstheme="minorHAnsi"/>
                <w:sz w:val="22"/>
                <w:szCs w:val="22"/>
                <w:lang w:val="fr-FR"/>
              </w:rPr>
              <w:t>40</w:t>
            </w:r>
            <w:r w:rsidR="003B5855">
              <w:rPr>
                <w:rFonts w:cstheme="minorHAnsi"/>
                <w:sz w:val="22"/>
                <w:szCs w:val="22"/>
                <w:lang w:val="fr-FR"/>
              </w:rPr>
              <w:t> </w:t>
            </w:r>
            <w:r w:rsidRPr="001A2820">
              <w:rPr>
                <w:rFonts w:cstheme="minorHAnsi"/>
                <w:sz w:val="22"/>
                <w:szCs w:val="22"/>
                <w:lang w:val="fr-FR"/>
              </w:rPr>
              <w:t>850</w:t>
            </w:r>
            <w:r w:rsidR="003B5855">
              <w:rPr>
                <w:rFonts w:cstheme="minorHAnsi"/>
                <w:sz w:val="22"/>
                <w:szCs w:val="22"/>
                <w:lang w:val="fr-FR"/>
              </w:rPr>
              <w:t> </w:t>
            </w:r>
            <w:r w:rsidRPr="001A2820">
              <w:rPr>
                <w:rFonts w:cstheme="minorHAnsi"/>
                <w:sz w:val="22"/>
                <w:szCs w:val="22"/>
                <w:lang w:val="fr-FR"/>
              </w:rPr>
              <w:t>000</w:t>
            </w:r>
          </w:p>
        </w:tc>
      </w:tr>
      <w:tr w:rsidR="0027787C" w:rsidRPr="001A2820" w14:paraId="41FFFFD1" w14:textId="77777777" w:rsidTr="00A5411B">
        <w:trPr>
          <w:trHeight w:val="600"/>
        </w:trPr>
        <w:tc>
          <w:tcPr>
            <w:tcW w:w="1627" w:type="dxa"/>
            <w:hideMark/>
          </w:tcPr>
          <w:p w14:paraId="60A55A96" w14:textId="3292E0B9" w:rsidR="0027787C" w:rsidRPr="001A2820" w:rsidRDefault="0027787C" w:rsidP="0027787C">
            <w:pPr>
              <w:rPr>
                <w:rFonts w:cstheme="minorHAnsi"/>
                <w:sz w:val="22"/>
                <w:szCs w:val="22"/>
                <w:lang w:val="fr-FR"/>
              </w:rPr>
            </w:pPr>
            <w:r w:rsidRPr="001A2820">
              <w:rPr>
                <w:rFonts w:cstheme="minorHAnsi"/>
                <w:sz w:val="22"/>
                <w:szCs w:val="22"/>
                <w:lang w:val="fr-FR"/>
              </w:rPr>
              <w:t>Mexique</w:t>
            </w:r>
          </w:p>
        </w:tc>
        <w:tc>
          <w:tcPr>
            <w:tcW w:w="1671" w:type="dxa"/>
            <w:hideMark/>
          </w:tcPr>
          <w:p w14:paraId="429119BD"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3953B0E"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F07684C" w14:textId="44311E83"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au Mexique</w:t>
            </w:r>
          </w:p>
        </w:tc>
        <w:tc>
          <w:tcPr>
            <w:tcW w:w="857" w:type="dxa"/>
            <w:hideMark/>
          </w:tcPr>
          <w:p w14:paraId="7A38E7C6" w14:textId="394F8BDE"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742091A9" w14:textId="11A4768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080EE9E" w14:textId="7D386496"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0D4EDE5F" w14:textId="75B440C3" w:rsidR="0027787C" w:rsidRPr="001A2820" w:rsidRDefault="0027787C" w:rsidP="0027787C">
            <w:pPr>
              <w:jc w:val="right"/>
              <w:rPr>
                <w:rFonts w:cstheme="minorHAnsi"/>
                <w:sz w:val="22"/>
                <w:szCs w:val="22"/>
                <w:lang w:val="fr-FR"/>
              </w:rPr>
            </w:pPr>
            <w:r w:rsidRPr="001A2820">
              <w:rPr>
                <w:rFonts w:cstheme="minorHAnsi"/>
                <w:sz w:val="22"/>
                <w:szCs w:val="22"/>
                <w:lang w:val="fr-FR"/>
              </w:rPr>
              <w:t>456</w:t>
            </w:r>
            <w:r w:rsidR="003B5855">
              <w:rPr>
                <w:rFonts w:cstheme="minorHAnsi"/>
                <w:sz w:val="22"/>
                <w:szCs w:val="22"/>
                <w:lang w:val="fr-FR"/>
              </w:rPr>
              <w:t> </w:t>
            </w:r>
            <w:r w:rsidRPr="001A2820">
              <w:rPr>
                <w:rFonts w:cstheme="minorHAnsi"/>
                <w:sz w:val="22"/>
                <w:szCs w:val="22"/>
                <w:lang w:val="fr-FR"/>
              </w:rPr>
              <w:t>530</w:t>
            </w:r>
          </w:p>
        </w:tc>
        <w:tc>
          <w:tcPr>
            <w:tcW w:w="1592" w:type="dxa"/>
            <w:hideMark/>
          </w:tcPr>
          <w:p w14:paraId="25B5941E" w14:textId="14F22AC7" w:rsidR="0027787C" w:rsidRPr="001A2820" w:rsidRDefault="0027787C" w:rsidP="0027787C">
            <w:pPr>
              <w:jc w:val="right"/>
              <w:rPr>
                <w:rFonts w:cstheme="minorHAnsi"/>
                <w:sz w:val="22"/>
                <w:szCs w:val="22"/>
                <w:lang w:val="fr-FR"/>
              </w:rPr>
            </w:pPr>
            <w:r w:rsidRPr="001A2820">
              <w:rPr>
                <w:rFonts w:cstheme="minorHAnsi"/>
                <w:sz w:val="22"/>
                <w:szCs w:val="22"/>
                <w:lang w:val="fr-FR"/>
              </w:rPr>
              <w:t>40</w:t>
            </w:r>
            <w:r w:rsidR="003B5855">
              <w:rPr>
                <w:rFonts w:cstheme="minorHAnsi"/>
                <w:sz w:val="22"/>
                <w:szCs w:val="22"/>
                <w:lang w:val="fr-FR"/>
              </w:rPr>
              <w:t> </w:t>
            </w:r>
            <w:r w:rsidRPr="001A2820">
              <w:rPr>
                <w:rFonts w:cstheme="minorHAnsi"/>
                <w:sz w:val="22"/>
                <w:szCs w:val="22"/>
                <w:lang w:val="fr-FR"/>
              </w:rPr>
              <w:t>000</w:t>
            </w:r>
          </w:p>
        </w:tc>
      </w:tr>
      <w:tr w:rsidR="0027787C" w:rsidRPr="001A2820" w14:paraId="19C246FD" w14:textId="77777777" w:rsidTr="00A5411B">
        <w:trPr>
          <w:trHeight w:val="600"/>
        </w:trPr>
        <w:tc>
          <w:tcPr>
            <w:tcW w:w="1627" w:type="dxa"/>
            <w:hideMark/>
          </w:tcPr>
          <w:p w14:paraId="1505C241" w14:textId="083F82D3" w:rsidR="0027787C" w:rsidRPr="001A2820" w:rsidRDefault="0027787C" w:rsidP="0027787C">
            <w:pPr>
              <w:rPr>
                <w:rFonts w:cstheme="minorHAnsi"/>
                <w:sz w:val="22"/>
                <w:szCs w:val="22"/>
                <w:lang w:val="fr-FR"/>
              </w:rPr>
            </w:pPr>
            <w:r w:rsidRPr="001A2820">
              <w:rPr>
                <w:rFonts w:cstheme="minorHAnsi"/>
                <w:sz w:val="22"/>
                <w:szCs w:val="22"/>
                <w:lang w:val="fr-FR"/>
              </w:rPr>
              <w:t>Micronésie</w:t>
            </w:r>
          </w:p>
        </w:tc>
        <w:tc>
          <w:tcPr>
            <w:tcW w:w="1671" w:type="dxa"/>
            <w:hideMark/>
          </w:tcPr>
          <w:p w14:paraId="18F9FC7A"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9578506" w14:textId="0491A4FE"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D971391" w14:textId="4A08179C"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dans les États fédérés de Micronésie</w:t>
            </w:r>
          </w:p>
        </w:tc>
        <w:tc>
          <w:tcPr>
            <w:tcW w:w="857" w:type="dxa"/>
            <w:hideMark/>
          </w:tcPr>
          <w:p w14:paraId="67D67A17" w14:textId="6B64E4CF"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A16AB15" w14:textId="4E220C6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2AE1F98" w14:textId="48F6C335"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2CFED154" w14:textId="00E949CC" w:rsidR="0027787C" w:rsidRPr="001A2820" w:rsidRDefault="0027787C" w:rsidP="0027787C">
            <w:pPr>
              <w:jc w:val="right"/>
              <w:rPr>
                <w:rFonts w:cstheme="minorHAnsi"/>
                <w:sz w:val="22"/>
                <w:szCs w:val="22"/>
                <w:lang w:val="fr-FR"/>
              </w:rPr>
            </w:pPr>
            <w:r w:rsidRPr="001A2820">
              <w:rPr>
                <w:rFonts w:cstheme="minorHAnsi"/>
                <w:sz w:val="22"/>
                <w:szCs w:val="22"/>
                <w:lang w:val="fr-FR"/>
              </w:rPr>
              <w:t>125</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46B14574"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3E634E4B" w14:textId="77777777" w:rsidTr="00A5411B">
        <w:trPr>
          <w:trHeight w:val="600"/>
        </w:trPr>
        <w:tc>
          <w:tcPr>
            <w:tcW w:w="1627" w:type="dxa"/>
            <w:hideMark/>
          </w:tcPr>
          <w:p w14:paraId="4D2A1533" w14:textId="77777777" w:rsidR="0027787C" w:rsidRPr="001A2820" w:rsidRDefault="0027787C" w:rsidP="0027787C">
            <w:pPr>
              <w:rPr>
                <w:rFonts w:cstheme="minorHAnsi"/>
                <w:sz w:val="22"/>
                <w:szCs w:val="22"/>
                <w:lang w:val="fr-FR"/>
              </w:rPr>
            </w:pPr>
            <w:r w:rsidRPr="001A2820">
              <w:rPr>
                <w:rFonts w:cstheme="minorHAnsi"/>
                <w:sz w:val="22"/>
                <w:szCs w:val="22"/>
                <w:lang w:val="fr-FR"/>
              </w:rPr>
              <w:t>Moldova</w:t>
            </w:r>
          </w:p>
        </w:tc>
        <w:tc>
          <w:tcPr>
            <w:tcW w:w="1671" w:type="dxa"/>
            <w:hideMark/>
          </w:tcPr>
          <w:p w14:paraId="627C35B1"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224C448"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678AD718" w14:textId="21023B21"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en Moldova</w:t>
            </w:r>
          </w:p>
        </w:tc>
        <w:tc>
          <w:tcPr>
            <w:tcW w:w="857" w:type="dxa"/>
            <w:hideMark/>
          </w:tcPr>
          <w:p w14:paraId="546AA4DC" w14:textId="3E70B839"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A437067" w14:textId="3C4B76B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83BE926" w14:textId="7E702DA0"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1D6C2675" w14:textId="51B227CE" w:rsidR="0027787C" w:rsidRPr="001A2820" w:rsidRDefault="0027787C" w:rsidP="0027787C">
            <w:pPr>
              <w:jc w:val="right"/>
              <w:rPr>
                <w:rFonts w:cstheme="minorHAnsi"/>
                <w:sz w:val="22"/>
                <w:szCs w:val="22"/>
                <w:lang w:val="fr-FR"/>
              </w:rPr>
            </w:pPr>
            <w:r w:rsidRPr="001A2820">
              <w:rPr>
                <w:rFonts w:cstheme="minorHAnsi"/>
                <w:sz w:val="22"/>
                <w:szCs w:val="22"/>
                <w:lang w:val="fr-FR"/>
              </w:rPr>
              <w:t>182</w:t>
            </w:r>
            <w:r w:rsidR="003B5855">
              <w:rPr>
                <w:rFonts w:cstheme="minorHAnsi"/>
                <w:sz w:val="22"/>
                <w:szCs w:val="22"/>
                <w:lang w:val="fr-FR"/>
              </w:rPr>
              <w:t> </w:t>
            </w:r>
            <w:r w:rsidRPr="001A2820">
              <w:rPr>
                <w:rFonts w:cstheme="minorHAnsi"/>
                <w:sz w:val="22"/>
                <w:szCs w:val="22"/>
                <w:lang w:val="fr-FR"/>
              </w:rPr>
              <w:t>648</w:t>
            </w:r>
          </w:p>
        </w:tc>
        <w:tc>
          <w:tcPr>
            <w:tcW w:w="1592" w:type="dxa"/>
            <w:hideMark/>
          </w:tcPr>
          <w:p w14:paraId="590C0D33" w14:textId="45934590" w:rsidR="0027787C" w:rsidRPr="001A2820" w:rsidRDefault="0027787C" w:rsidP="0027787C">
            <w:pPr>
              <w:jc w:val="right"/>
              <w:rPr>
                <w:rFonts w:cstheme="minorHAnsi"/>
                <w:sz w:val="22"/>
                <w:szCs w:val="22"/>
                <w:lang w:val="fr-FR"/>
              </w:rPr>
            </w:pPr>
            <w:r w:rsidRPr="001A2820">
              <w:rPr>
                <w:rFonts w:cstheme="minorHAnsi"/>
                <w:sz w:val="22"/>
                <w:szCs w:val="22"/>
                <w:lang w:val="fr-FR"/>
              </w:rPr>
              <w:t>52</w:t>
            </w:r>
            <w:r w:rsidR="003B5855">
              <w:rPr>
                <w:rFonts w:cstheme="minorHAnsi"/>
                <w:sz w:val="22"/>
                <w:szCs w:val="22"/>
                <w:lang w:val="fr-FR"/>
              </w:rPr>
              <w:t> </w:t>
            </w:r>
            <w:r w:rsidRPr="001A2820">
              <w:rPr>
                <w:rFonts w:cstheme="minorHAnsi"/>
                <w:sz w:val="22"/>
                <w:szCs w:val="22"/>
                <w:lang w:val="fr-FR"/>
              </w:rPr>
              <w:t>000</w:t>
            </w:r>
          </w:p>
        </w:tc>
      </w:tr>
      <w:tr w:rsidR="0027787C" w:rsidRPr="001A2820" w14:paraId="204F3307" w14:textId="77777777" w:rsidTr="00A5411B">
        <w:trPr>
          <w:trHeight w:val="600"/>
        </w:trPr>
        <w:tc>
          <w:tcPr>
            <w:tcW w:w="1627" w:type="dxa"/>
          </w:tcPr>
          <w:p w14:paraId="1072CDCC" w14:textId="5C41C0A6" w:rsidR="0027787C" w:rsidRPr="001A2820" w:rsidRDefault="0027787C" w:rsidP="0027787C">
            <w:pPr>
              <w:rPr>
                <w:rFonts w:cstheme="minorHAnsi"/>
                <w:sz w:val="22"/>
                <w:szCs w:val="22"/>
                <w:lang w:val="fr-FR"/>
              </w:rPr>
            </w:pPr>
            <w:r w:rsidRPr="001A2820">
              <w:rPr>
                <w:rFonts w:cstheme="minorHAnsi"/>
                <w:sz w:val="22"/>
                <w:szCs w:val="22"/>
                <w:lang w:val="fr-FR"/>
              </w:rPr>
              <w:t>Mondial</w:t>
            </w:r>
          </w:p>
        </w:tc>
        <w:tc>
          <w:tcPr>
            <w:tcW w:w="1671" w:type="dxa"/>
          </w:tcPr>
          <w:p w14:paraId="1F4DCB8D" w14:textId="61887918" w:rsidR="0027787C" w:rsidRPr="001A2820" w:rsidRDefault="0027787C" w:rsidP="0027787C">
            <w:pPr>
              <w:rPr>
                <w:rFonts w:cstheme="minorHAnsi"/>
                <w:sz w:val="22"/>
                <w:szCs w:val="22"/>
                <w:lang w:val="fr-FR"/>
              </w:rPr>
            </w:pPr>
            <w:r w:rsidRPr="001A2820">
              <w:rPr>
                <w:rFonts w:cstheme="minorHAnsi"/>
                <w:sz w:val="22"/>
                <w:szCs w:val="22"/>
                <w:lang w:val="fr-FR"/>
              </w:rPr>
              <w:t>Bangladesh, Guinée-Bissau, Mauritanie, Mozambique, Samoa</w:t>
            </w:r>
          </w:p>
        </w:tc>
        <w:tc>
          <w:tcPr>
            <w:tcW w:w="1463" w:type="dxa"/>
          </w:tcPr>
          <w:p w14:paraId="06869BCB" w14:textId="4B9A70EC"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75137DBB" w14:textId="7EEAFA74" w:rsidR="0027787C" w:rsidRPr="001A2820" w:rsidRDefault="0027787C" w:rsidP="0027787C">
            <w:pPr>
              <w:rPr>
                <w:rFonts w:cstheme="minorHAnsi"/>
                <w:sz w:val="22"/>
                <w:szCs w:val="22"/>
                <w:lang w:val="fr-FR"/>
              </w:rPr>
            </w:pPr>
            <w:r w:rsidRPr="001A2820">
              <w:rPr>
                <w:rFonts w:cstheme="minorHAnsi"/>
                <w:sz w:val="22"/>
                <w:szCs w:val="22"/>
                <w:lang w:val="fr-FR"/>
              </w:rPr>
              <w:t>Renforcement des processus décisionnels nationaux en vue de la ratification de la Convention de Minamata et des capacités en vue de la mise en œuvre de dispositions futures</w:t>
            </w:r>
          </w:p>
        </w:tc>
        <w:tc>
          <w:tcPr>
            <w:tcW w:w="857" w:type="dxa"/>
          </w:tcPr>
          <w:p w14:paraId="07CB579D" w14:textId="69C85FC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1EECCC13" w14:textId="1C3922E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7D5DA48E" w14:textId="56FC4C4F"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tcPr>
          <w:p w14:paraId="0C7EC982" w14:textId="08809B83"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3B5855">
              <w:rPr>
                <w:rFonts w:cstheme="minorHAnsi"/>
                <w:sz w:val="22"/>
                <w:szCs w:val="22"/>
                <w:lang w:val="fr-FR"/>
              </w:rPr>
              <w:t> </w:t>
            </w:r>
            <w:r w:rsidRPr="001A2820">
              <w:rPr>
                <w:rFonts w:cstheme="minorHAnsi"/>
                <w:sz w:val="22"/>
                <w:szCs w:val="22"/>
                <w:lang w:val="fr-FR"/>
              </w:rPr>
              <w:t>000</w:t>
            </w:r>
            <w:r w:rsidR="003B5855">
              <w:rPr>
                <w:rFonts w:cstheme="minorHAnsi"/>
                <w:sz w:val="22"/>
                <w:szCs w:val="22"/>
                <w:lang w:val="fr-FR"/>
              </w:rPr>
              <w:t> </w:t>
            </w:r>
            <w:r w:rsidRPr="001A2820">
              <w:rPr>
                <w:rFonts w:cstheme="minorHAnsi"/>
                <w:sz w:val="22"/>
                <w:szCs w:val="22"/>
                <w:lang w:val="fr-FR"/>
              </w:rPr>
              <w:t>000</w:t>
            </w:r>
          </w:p>
        </w:tc>
        <w:tc>
          <w:tcPr>
            <w:tcW w:w="1592" w:type="dxa"/>
          </w:tcPr>
          <w:p w14:paraId="770545AF" w14:textId="6310C8EC"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39679097" w14:textId="77777777" w:rsidTr="00A5411B">
        <w:trPr>
          <w:trHeight w:val="600"/>
        </w:trPr>
        <w:tc>
          <w:tcPr>
            <w:tcW w:w="1627" w:type="dxa"/>
            <w:hideMark/>
          </w:tcPr>
          <w:p w14:paraId="02BF7B40" w14:textId="096647E7" w:rsidR="0027787C" w:rsidRPr="001A2820" w:rsidRDefault="0027787C" w:rsidP="0027787C">
            <w:pPr>
              <w:rPr>
                <w:rFonts w:cstheme="minorHAnsi"/>
                <w:sz w:val="22"/>
                <w:szCs w:val="22"/>
                <w:lang w:val="fr-FR"/>
              </w:rPr>
            </w:pPr>
            <w:r w:rsidRPr="001A2820">
              <w:rPr>
                <w:rFonts w:cstheme="minorHAnsi"/>
                <w:sz w:val="22"/>
                <w:szCs w:val="22"/>
                <w:lang w:val="fr-FR"/>
              </w:rPr>
              <w:t>Mondial</w:t>
            </w:r>
          </w:p>
        </w:tc>
        <w:tc>
          <w:tcPr>
            <w:tcW w:w="1671" w:type="dxa"/>
            <w:hideMark/>
          </w:tcPr>
          <w:p w14:paraId="06E7FE3A" w14:textId="5F5E511A" w:rsidR="0027787C" w:rsidRPr="001A2820" w:rsidRDefault="0027787C" w:rsidP="0027787C">
            <w:pPr>
              <w:rPr>
                <w:rFonts w:cstheme="minorHAnsi"/>
                <w:sz w:val="22"/>
                <w:szCs w:val="22"/>
                <w:lang w:val="fr-FR"/>
              </w:rPr>
            </w:pPr>
            <w:r w:rsidRPr="001A2820">
              <w:rPr>
                <w:rFonts w:cstheme="minorHAnsi"/>
                <w:sz w:val="22"/>
                <w:szCs w:val="22"/>
                <w:lang w:val="fr-FR"/>
              </w:rPr>
              <w:t>Burkina Faso, Colombie, Guyana, Indonésie, Kenya, Mongolie, Pérou, Philippines</w:t>
            </w:r>
          </w:p>
        </w:tc>
        <w:tc>
          <w:tcPr>
            <w:tcW w:w="1463" w:type="dxa"/>
            <w:hideMark/>
          </w:tcPr>
          <w:p w14:paraId="0D109E7D" w14:textId="602DA97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19CDA58" w14:textId="06664179" w:rsidR="0027787C" w:rsidRPr="001A2820" w:rsidRDefault="0027787C" w:rsidP="0027787C">
            <w:pPr>
              <w:rPr>
                <w:rFonts w:cstheme="minorHAnsi"/>
                <w:sz w:val="22"/>
                <w:szCs w:val="22"/>
                <w:lang w:val="fr-FR"/>
              </w:rPr>
            </w:pPr>
            <w:r w:rsidRPr="001A2820">
              <w:rPr>
                <w:rFonts w:cstheme="minorHAnsi"/>
                <w:sz w:val="22"/>
                <w:szCs w:val="22"/>
                <w:lang w:val="fr-FR"/>
              </w:rPr>
              <w:t>Perspectives mondiales de développement à long terme du secteur de l’extraction minière artisanale et à petite échelle d’or - FEM GOLD</w:t>
            </w:r>
          </w:p>
        </w:tc>
        <w:tc>
          <w:tcPr>
            <w:tcW w:w="857" w:type="dxa"/>
            <w:hideMark/>
          </w:tcPr>
          <w:p w14:paraId="097154B7" w14:textId="091D354F"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BCBAEE5" w14:textId="3DE42B80" w:rsidR="0027787C" w:rsidRPr="001A2820" w:rsidRDefault="00346B22" w:rsidP="0027787C">
            <w:pPr>
              <w:rPr>
                <w:rFonts w:cstheme="minorHAnsi"/>
                <w:sz w:val="22"/>
                <w:szCs w:val="22"/>
                <w:lang w:val="fr-FR"/>
              </w:rPr>
            </w:pPr>
            <w:r>
              <w:rPr>
                <w:rFonts w:cstheme="minorHAnsi"/>
                <w:sz w:val="22"/>
                <w:szCs w:val="22"/>
                <w:lang w:val="fr-FR"/>
              </w:rPr>
              <w:t>DCP</w:t>
            </w:r>
          </w:p>
        </w:tc>
        <w:tc>
          <w:tcPr>
            <w:tcW w:w="1157" w:type="dxa"/>
            <w:hideMark/>
          </w:tcPr>
          <w:p w14:paraId="30016CCC" w14:textId="6CB41862" w:rsidR="0027787C" w:rsidRPr="001A2820" w:rsidRDefault="0027787C" w:rsidP="0027787C">
            <w:pPr>
              <w:rPr>
                <w:rFonts w:cstheme="minorHAnsi"/>
                <w:sz w:val="22"/>
                <w:szCs w:val="22"/>
                <w:lang w:val="fr-FR"/>
              </w:rPr>
            </w:pPr>
            <w:r w:rsidRPr="001A2820">
              <w:rPr>
                <w:rFonts w:cstheme="minorHAnsi"/>
                <w:sz w:val="22"/>
                <w:szCs w:val="22"/>
                <w:lang w:val="fr-FR"/>
              </w:rPr>
              <w:t>PNUE, PNUD, ONUDI, CI</w:t>
            </w:r>
          </w:p>
        </w:tc>
        <w:tc>
          <w:tcPr>
            <w:tcW w:w="1498" w:type="dxa"/>
            <w:hideMark/>
          </w:tcPr>
          <w:p w14:paraId="41B78D46" w14:textId="6CE59E54" w:rsidR="0027787C" w:rsidRPr="001A2820" w:rsidRDefault="0027787C" w:rsidP="0027787C">
            <w:pPr>
              <w:jc w:val="right"/>
              <w:rPr>
                <w:rFonts w:cstheme="minorHAnsi"/>
                <w:sz w:val="22"/>
                <w:szCs w:val="22"/>
                <w:lang w:val="fr-FR"/>
              </w:rPr>
            </w:pPr>
            <w:r w:rsidRPr="001A2820">
              <w:rPr>
                <w:rFonts w:cstheme="minorHAnsi"/>
                <w:sz w:val="22"/>
                <w:szCs w:val="22"/>
                <w:lang w:val="fr-FR"/>
              </w:rPr>
              <w:t>45</w:t>
            </w:r>
            <w:r w:rsidR="003B5855">
              <w:rPr>
                <w:rFonts w:cstheme="minorHAnsi"/>
                <w:sz w:val="22"/>
                <w:szCs w:val="22"/>
                <w:lang w:val="fr-FR"/>
              </w:rPr>
              <w:t> </w:t>
            </w:r>
            <w:r w:rsidRPr="001A2820">
              <w:rPr>
                <w:rFonts w:cstheme="minorHAnsi"/>
                <w:sz w:val="22"/>
                <w:szCs w:val="22"/>
                <w:lang w:val="fr-FR"/>
              </w:rPr>
              <w:t>262</w:t>
            </w:r>
            <w:r w:rsidR="003B5855">
              <w:rPr>
                <w:rFonts w:cstheme="minorHAnsi"/>
                <w:sz w:val="22"/>
                <w:szCs w:val="22"/>
                <w:lang w:val="fr-FR"/>
              </w:rPr>
              <w:t> </w:t>
            </w:r>
            <w:r w:rsidRPr="001A2820">
              <w:rPr>
                <w:rFonts w:cstheme="minorHAnsi"/>
                <w:sz w:val="22"/>
                <w:szCs w:val="22"/>
                <w:lang w:val="fr-FR"/>
              </w:rPr>
              <w:t>294</w:t>
            </w:r>
          </w:p>
        </w:tc>
        <w:tc>
          <w:tcPr>
            <w:tcW w:w="1592" w:type="dxa"/>
            <w:hideMark/>
          </w:tcPr>
          <w:p w14:paraId="39B394FD" w14:textId="6426CDB5" w:rsidR="0027787C" w:rsidRPr="001A2820" w:rsidRDefault="0027787C" w:rsidP="0027787C">
            <w:pPr>
              <w:jc w:val="right"/>
              <w:rPr>
                <w:rFonts w:cstheme="minorHAnsi"/>
                <w:sz w:val="22"/>
                <w:szCs w:val="22"/>
                <w:lang w:val="fr-FR"/>
              </w:rPr>
            </w:pPr>
            <w:r w:rsidRPr="001A2820">
              <w:rPr>
                <w:rFonts w:cstheme="minorHAnsi"/>
                <w:sz w:val="22"/>
                <w:szCs w:val="22"/>
                <w:lang w:val="fr-FR"/>
              </w:rPr>
              <w:t>135</w:t>
            </w:r>
            <w:r w:rsidR="003B5855">
              <w:rPr>
                <w:rFonts w:cstheme="minorHAnsi"/>
                <w:sz w:val="22"/>
                <w:szCs w:val="22"/>
                <w:lang w:val="fr-FR"/>
              </w:rPr>
              <w:t> </w:t>
            </w:r>
            <w:r w:rsidRPr="001A2820">
              <w:rPr>
                <w:rFonts w:cstheme="minorHAnsi"/>
                <w:sz w:val="22"/>
                <w:szCs w:val="22"/>
                <w:lang w:val="fr-FR"/>
              </w:rPr>
              <w:t>174</w:t>
            </w:r>
            <w:r w:rsidR="003B5855">
              <w:rPr>
                <w:rFonts w:cstheme="minorHAnsi"/>
                <w:sz w:val="22"/>
                <w:szCs w:val="22"/>
                <w:lang w:val="fr-FR"/>
              </w:rPr>
              <w:t> </w:t>
            </w:r>
            <w:r w:rsidRPr="001A2820">
              <w:rPr>
                <w:rFonts w:cstheme="minorHAnsi"/>
                <w:sz w:val="22"/>
                <w:szCs w:val="22"/>
                <w:lang w:val="fr-FR"/>
              </w:rPr>
              <w:t>956</w:t>
            </w:r>
          </w:p>
        </w:tc>
      </w:tr>
      <w:tr w:rsidR="0027787C" w:rsidRPr="001A2820" w14:paraId="1CEC8F84" w14:textId="77777777" w:rsidTr="00A5411B">
        <w:trPr>
          <w:trHeight w:val="300"/>
        </w:trPr>
        <w:tc>
          <w:tcPr>
            <w:tcW w:w="1627" w:type="dxa"/>
            <w:hideMark/>
          </w:tcPr>
          <w:p w14:paraId="5522D329" w14:textId="021422B3" w:rsidR="0027787C" w:rsidRPr="001A2820" w:rsidRDefault="0027787C" w:rsidP="0027787C">
            <w:pPr>
              <w:rPr>
                <w:rFonts w:cstheme="minorHAnsi"/>
                <w:sz w:val="22"/>
                <w:szCs w:val="22"/>
                <w:lang w:val="fr-FR"/>
              </w:rPr>
            </w:pPr>
            <w:r w:rsidRPr="001A2820">
              <w:rPr>
                <w:rFonts w:cstheme="minorHAnsi"/>
                <w:sz w:val="22"/>
                <w:szCs w:val="22"/>
                <w:lang w:val="fr-FR"/>
              </w:rPr>
              <w:t>Mondial</w:t>
            </w:r>
          </w:p>
        </w:tc>
        <w:tc>
          <w:tcPr>
            <w:tcW w:w="1671" w:type="dxa"/>
            <w:hideMark/>
          </w:tcPr>
          <w:p w14:paraId="340BB1B9" w14:textId="30296A7E"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FADDA47" w14:textId="220BC60D"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0B9BA7FE" w14:textId="55E99D07"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 </w:t>
            </w:r>
            <w:r w:rsidR="00346B22">
              <w:rPr>
                <w:rFonts w:cstheme="minorHAnsi"/>
                <w:sz w:val="22"/>
                <w:szCs w:val="22"/>
                <w:lang w:val="fr-FR"/>
              </w:rPr>
              <w:t>p</w:t>
            </w:r>
            <w:r w:rsidRPr="001A2820">
              <w:rPr>
                <w:rFonts w:cstheme="minorHAnsi"/>
                <w:sz w:val="22"/>
                <w:szCs w:val="22"/>
                <w:lang w:val="fr-FR"/>
              </w:rPr>
              <w:t xml:space="preserve">lan pour la surveillance mondiale de l’exposition humaine au mercure et des concentrations de mercure dans l’environnement </w:t>
            </w:r>
          </w:p>
        </w:tc>
        <w:tc>
          <w:tcPr>
            <w:tcW w:w="857" w:type="dxa"/>
            <w:hideMark/>
          </w:tcPr>
          <w:p w14:paraId="6D8878B6" w14:textId="27174183"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278BDC39" w14:textId="0336DEE6"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3B8C4528" w14:textId="22D830C0"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0F45F031" w14:textId="600BF90B" w:rsidR="0027787C" w:rsidRPr="001A2820" w:rsidRDefault="0027787C" w:rsidP="0027787C">
            <w:pPr>
              <w:jc w:val="right"/>
              <w:rPr>
                <w:rFonts w:cstheme="minorHAnsi"/>
                <w:sz w:val="22"/>
                <w:szCs w:val="22"/>
                <w:lang w:val="fr-FR"/>
              </w:rPr>
            </w:pPr>
            <w:r w:rsidRPr="001A2820">
              <w:rPr>
                <w:rFonts w:cstheme="minorHAnsi"/>
                <w:sz w:val="22"/>
                <w:szCs w:val="22"/>
                <w:lang w:val="fr-FR"/>
              </w:rPr>
              <w:t>850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091C476B" w14:textId="72E15640" w:rsidR="0027787C" w:rsidRPr="001A2820" w:rsidRDefault="0027787C" w:rsidP="0027787C">
            <w:pPr>
              <w:jc w:val="right"/>
              <w:rPr>
                <w:rFonts w:cstheme="minorHAnsi"/>
                <w:sz w:val="22"/>
                <w:szCs w:val="22"/>
                <w:lang w:val="fr-FR"/>
              </w:rPr>
            </w:pPr>
            <w:r w:rsidRPr="001A2820">
              <w:rPr>
                <w:rFonts w:cstheme="minorHAnsi"/>
                <w:sz w:val="22"/>
                <w:szCs w:val="22"/>
                <w:lang w:val="fr-FR"/>
              </w:rPr>
              <w:t>3</w:t>
            </w:r>
            <w:r w:rsidR="003B5855">
              <w:rPr>
                <w:rFonts w:cstheme="minorHAnsi"/>
                <w:sz w:val="22"/>
                <w:szCs w:val="22"/>
                <w:lang w:val="fr-FR"/>
              </w:rPr>
              <w:t> </w:t>
            </w:r>
            <w:r w:rsidRPr="001A2820">
              <w:rPr>
                <w:rFonts w:cstheme="minorHAnsi"/>
                <w:sz w:val="22"/>
                <w:szCs w:val="22"/>
                <w:lang w:val="fr-FR"/>
              </w:rPr>
              <w:t>005</w:t>
            </w:r>
            <w:r w:rsidR="003B5855">
              <w:rPr>
                <w:rFonts w:cstheme="minorHAnsi"/>
                <w:sz w:val="22"/>
                <w:szCs w:val="22"/>
                <w:lang w:val="fr-FR"/>
              </w:rPr>
              <w:t> </w:t>
            </w:r>
            <w:r w:rsidRPr="001A2820">
              <w:rPr>
                <w:rFonts w:cstheme="minorHAnsi"/>
                <w:sz w:val="22"/>
                <w:szCs w:val="22"/>
                <w:lang w:val="fr-FR"/>
              </w:rPr>
              <w:t>411</w:t>
            </w:r>
          </w:p>
        </w:tc>
      </w:tr>
      <w:tr w:rsidR="00C312D0" w14:paraId="60CD538A" w14:textId="77777777" w:rsidTr="00C312D0">
        <w:trPr>
          <w:trHeight w:val="600"/>
        </w:trPr>
        <w:tc>
          <w:tcPr>
            <w:tcW w:w="1627" w:type="dxa"/>
            <w:hideMark/>
          </w:tcPr>
          <w:p w14:paraId="54096D88" w14:textId="77777777" w:rsidR="00C312D0" w:rsidRDefault="00C312D0">
            <w:pPr>
              <w:rPr>
                <w:rFonts w:cstheme="minorHAnsi"/>
                <w:sz w:val="22"/>
                <w:szCs w:val="22"/>
                <w:lang w:val="fr-FR"/>
              </w:rPr>
            </w:pPr>
            <w:r>
              <w:rPr>
                <w:rFonts w:cstheme="minorHAnsi"/>
                <w:sz w:val="22"/>
                <w:szCs w:val="22"/>
                <w:lang w:val="fr-FR"/>
              </w:rPr>
              <w:lastRenderedPageBreak/>
              <w:t>Mongolie</w:t>
            </w:r>
          </w:p>
        </w:tc>
        <w:tc>
          <w:tcPr>
            <w:tcW w:w="1671" w:type="dxa"/>
            <w:hideMark/>
          </w:tcPr>
          <w:p w14:paraId="08BBCA0F" w14:textId="77777777" w:rsidR="00C312D0" w:rsidRDefault="00C312D0">
            <w:pPr>
              <w:rPr>
                <w:rFonts w:cstheme="minorHAnsi"/>
                <w:sz w:val="22"/>
                <w:szCs w:val="22"/>
                <w:lang w:val="fr-FR"/>
              </w:rPr>
            </w:pPr>
            <w:r>
              <w:rPr>
                <w:rFonts w:cstheme="minorHAnsi"/>
                <w:sz w:val="22"/>
                <w:szCs w:val="22"/>
                <w:lang w:val="fr-FR"/>
              </w:rPr>
              <w:t> </w:t>
            </w:r>
          </w:p>
        </w:tc>
        <w:tc>
          <w:tcPr>
            <w:tcW w:w="1463" w:type="dxa"/>
            <w:hideMark/>
          </w:tcPr>
          <w:p w14:paraId="27435826" w14:textId="77777777" w:rsidR="00C312D0" w:rsidRDefault="00C312D0">
            <w:pPr>
              <w:rPr>
                <w:rFonts w:cstheme="minorHAnsi"/>
                <w:sz w:val="22"/>
                <w:szCs w:val="22"/>
                <w:lang w:val="fr-FR"/>
              </w:rPr>
            </w:pPr>
            <w:r>
              <w:rPr>
                <w:rFonts w:cstheme="minorHAnsi"/>
                <w:sz w:val="22"/>
                <w:szCs w:val="22"/>
                <w:lang w:val="fr-FR"/>
              </w:rPr>
              <w:t>D</w:t>
            </w:r>
          </w:p>
        </w:tc>
        <w:tc>
          <w:tcPr>
            <w:tcW w:w="3751" w:type="dxa"/>
            <w:hideMark/>
          </w:tcPr>
          <w:p w14:paraId="5D997435" w14:textId="77777777" w:rsidR="00C312D0" w:rsidRDefault="00C312D0">
            <w:pPr>
              <w:rPr>
                <w:rFonts w:cstheme="minorHAnsi"/>
                <w:sz w:val="22"/>
                <w:szCs w:val="22"/>
                <w:lang w:val="fr-FR"/>
              </w:rPr>
            </w:pPr>
            <w:r>
              <w:rPr>
                <w:rFonts w:cstheme="minorHAnsi"/>
                <w:sz w:val="22"/>
                <w:szCs w:val="22"/>
                <w:lang w:val="fr-FR"/>
              </w:rPr>
              <w:t xml:space="preserve">Élaboration d’un plan d’action national concernant l’extraction minière artisanale et à petite échelle d’or </w:t>
            </w:r>
          </w:p>
        </w:tc>
        <w:tc>
          <w:tcPr>
            <w:tcW w:w="857" w:type="dxa"/>
            <w:hideMark/>
          </w:tcPr>
          <w:p w14:paraId="630BFD41" w14:textId="5B38A721" w:rsidR="00C312D0" w:rsidRDefault="00F47184">
            <w:pPr>
              <w:rPr>
                <w:rFonts w:cstheme="minorHAnsi"/>
                <w:sz w:val="22"/>
                <w:szCs w:val="22"/>
                <w:lang w:val="fr-FR"/>
              </w:rPr>
            </w:pPr>
            <w:r>
              <w:rPr>
                <w:rFonts w:cstheme="minorHAnsi"/>
                <w:sz w:val="22"/>
                <w:szCs w:val="22"/>
                <w:lang w:val="fr-FR"/>
              </w:rPr>
              <w:t>FEM-6</w:t>
            </w:r>
          </w:p>
        </w:tc>
        <w:tc>
          <w:tcPr>
            <w:tcW w:w="889" w:type="dxa"/>
            <w:hideMark/>
          </w:tcPr>
          <w:p w14:paraId="5DFF84F2" w14:textId="77777777" w:rsidR="00C312D0" w:rsidRDefault="00C312D0">
            <w:pPr>
              <w:rPr>
                <w:rFonts w:cstheme="minorHAnsi"/>
                <w:sz w:val="22"/>
                <w:szCs w:val="22"/>
                <w:lang w:val="fr-FR"/>
              </w:rPr>
            </w:pPr>
            <w:r>
              <w:rPr>
                <w:rFonts w:cstheme="minorHAnsi"/>
                <w:sz w:val="22"/>
                <w:szCs w:val="22"/>
                <w:lang w:val="fr-FR"/>
              </w:rPr>
              <w:t>AH</w:t>
            </w:r>
          </w:p>
        </w:tc>
        <w:tc>
          <w:tcPr>
            <w:tcW w:w="1157" w:type="dxa"/>
            <w:hideMark/>
          </w:tcPr>
          <w:p w14:paraId="2E9C2C0E" w14:textId="77777777" w:rsidR="00C312D0" w:rsidRDefault="00C312D0">
            <w:pPr>
              <w:rPr>
                <w:rFonts w:cstheme="minorHAnsi"/>
                <w:sz w:val="22"/>
                <w:szCs w:val="22"/>
                <w:lang w:val="fr-FR"/>
              </w:rPr>
            </w:pPr>
            <w:r>
              <w:rPr>
                <w:rFonts w:cstheme="minorHAnsi"/>
                <w:sz w:val="22"/>
                <w:szCs w:val="22"/>
                <w:lang w:val="fr-FR"/>
              </w:rPr>
              <w:t>PNUE</w:t>
            </w:r>
          </w:p>
        </w:tc>
        <w:tc>
          <w:tcPr>
            <w:tcW w:w="1498" w:type="dxa"/>
            <w:hideMark/>
          </w:tcPr>
          <w:p w14:paraId="3852DD64" w14:textId="783F2CE7" w:rsidR="00C312D0" w:rsidRDefault="00C312D0">
            <w:pPr>
              <w:jc w:val="right"/>
              <w:rPr>
                <w:rFonts w:cstheme="minorHAnsi"/>
                <w:sz w:val="22"/>
                <w:szCs w:val="22"/>
                <w:lang w:val="fr-FR"/>
              </w:rPr>
            </w:pPr>
            <w:r>
              <w:rPr>
                <w:rFonts w:cstheme="minorHAnsi"/>
                <w:sz w:val="22"/>
                <w:szCs w:val="22"/>
                <w:lang w:val="fr-FR"/>
              </w:rPr>
              <w:t>500</w:t>
            </w:r>
            <w:r w:rsidR="003B5855">
              <w:rPr>
                <w:rFonts w:cstheme="minorHAnsi"/>
                <w:sz w:val="22"/>
                <w:szCs w:val="22"/>
                <w:lang w:val="fr-FR"/>
              </w:rPr>
              <w:t> </w:t>
            </w:r>
            <w:r>
              <w:rPr>
                <w:rFonts w:cstheme="minorHAnsi"/>
                <w:sz w:val="22"/>
                <w:szCs w:val="22"/>
                <w:lang w:val="fr-FR"/>
              </w:rPr>
              <w:t>000</w:t>
            </w:r>
          </w:p>
        </w:tc>
        <w:tc>
          <w:tcPr>
            <w:tcW w:w="1592" w:type="dxa"/>
            <w:hideMark/>
          </w:tcPr>
          <w:p w14:paraId="5E042A08" w14:textId="77777777" w:rsidR="00C312D0" w:rsidRDefault="00C312D0">
            <w:pPr>
              <w:jc w:val="right"/>
              <w:rPr>
                <w:rFonts w:cstheme="minorHAnsi"/>
                <w:sz w:val="22"/>
                <w:szCs w:val="22"/>
                <w:lang w:val="fr-FR"/>
              </w:rPr>
            </w:pPr>
            <w:r>
              <w:rPr>
                <w:rFonts w:cstheme="minorHAnsi"/>
                <w:sz w:val="22"/>
                <w:szCs w:val="22"/>
                <w:lang w:val="fr-FR"/>
              </w:rPr>
              <w:t> 0</w:t>
            </w:r>
          </w:p>
        </w:tc>
      </w:tr>
      <w:tr w:rsidR="00C312D0" w14:paraId="585E7EC9" w14:textId="77777777" w:rsidTr="00C312D0">
        <w:trPr>
          <w:trHeight w:val="300"/>
        </w:trPr>
        <w:tc>
          <w:tcPr>
            <w:tcW w:w="1627" w:type="dxa"/>
            <w:hideMark/>
          </w:tcPr>
          <w:p w14:paraId="1A93D9D7" w14:textId="77777777" w:rsidR="00C312D0" w:rsidRDefault="00C312D0">
            <w:pPr>
              <w:rPr>
                <w:rFonts w:cstheme="minorHAnsi"/>
                <w:sz w:val="22"/>
                <w:szCs w:val="22"/>
                <w:lang w:val="fr-FR"/>
              </w:rPr>
            </w:pPr>
            <w:r>
              <w:rPr>
                <w:rFonts w:cstheme="minorHAnsi"/>
                <w:sz w:val="22"/>
                <w:szCs w:val="22"/>
                <w:lang w:val="fr-FR"/>
              </w:rPr>
              <w:t>Mongolie</w:t>
            </w:r>
          </w:p>
        </w:tc>
        <w:tc>
          <w:tcPr>
            <w:tcW w:w="1671" w:type="dxa"/>
            <w:hideMark/>
          </w:tcPr>
          <w:p w14:paraId="3518DA48" w14:textId="77777777" w:rsidR="00C312D0" w:rsidRDefault="00C312D0">
            <w:pPr>
              <w:rPr>
                <w:rFonts w:cstheme="minorHAnsi"/>
                <w:sz w:val="22"/>
                <w:szCs w:val="22"/>
                <w:lang w:val="fr-FR"/>
              </w:rPr>
            </w:pPr>
            <w:r>
              <w:rPr>
                <w:rFonts w:cstheme="minorHAnsi"/>
                <w:sz w:val="22"/>
                <w:szCs w:val="22"/>
                <w:lang w:val="fr-FR"/>
              </w:rPr>
              <w:t> </w:t>
            </w:r>
          </w:p>
        </w:tc>
        <w:tc>
          <w:tcPr>
            <w:tcW w:w="1463" w:type="dxa"/>
            <w:hideMark/>
          </w:tcPr>
          <w:p w14:paraId="157AD972" w14:textId="77777777" w:rsidR="00C312D0" w:rsidRDefault="00C312D0">
            <w:pPr>
              <w:rPr>
                <w:rFonts w:cstheme="minorHAnsi"/>
                <w:sz w:val="22"/>
                <w:szCs w:val="22"/>
                <w:lang w:val="fr-FR"/>
              </w:rPr>
            </w:pPr>
            <w:r>
              <w:rPr>
                <w:rFonts w:cstheme="minorHAnsi"/>
                <w:sz w:val="22"/>
                <w:szCs w:val="22"/>
                <w:lang w:val="fr-FR"/>
              </w:rPr>
              <w:t>D</w:t>
            </w:r>
          </w:p>
        </w:tc>
        <w:tc>
          <w:tcPr>
            <w:tcW w:w="3751" w:type="dxa"/>
            <w:hideMark/>
          </w:tcPr>
          <w:p w14:paraId="24F4A35D" w14:textId="77777777" w:rsidR="00C312D0" w:rsidRDefault="00C312D0">
            <w:pPr>
              <w:rPr>
                <w:rFonts w:cstheme="minorHAnsi"/>
                <w:sz w:val="22"/>
                <w:szCs w:val="22"/>
                <w:lang w:val="fr-FR"/>
              </w:rPr>
            </w:pPr>
            <w:r>
              <w:rPr>
                <w:sz w:val="22"/>
                <w:szCs w:val="22"/>
                <w:lang w:val="fr-FR"/>
              </w:rPr>
              <w:t>É</w:t>
            </w:r>
            <w:r>
              <w:rPr>
                <w:rFonts w:cstheme="minorHAnsi"/>
                <w:sz w:val="22"/>
                <w:szCs w:val="22"/>
                <w:lang w:val="fr-FR"/>
              </w:rPr>
              <w:t>valuation initiale avancée de la Convention de Minamata en Mongolie</w:t>
            </w:r>
          </w:p>
        </w:tc>
        <w:tc>
          <w:tcPr>
            <w:tcW w:w="857" w:type="dxa"/>
            <w:hideMark/>
          </w:tcPr>
          <w:p w14:paraId="582BDC0F" w14:textId="230C77DA" w:rsidR="00C312D0" w:rsidRDefault="00F47184">
            <w:pPr>
              <w:rPr>
                <w:rFonts w:cstheme="minorHAnsi"/>
                <w:sz w:val="22"/>
                <w:szCs w:val="22"/>
                <w:lang w:val="fr-FR"/>
              </w:rPr>
            </w:pPr>
            <w:r>
              <w:rPr>
                <w:rFonts w:cstheme="minorHAnsi"/>
                <w:sz w:val="22"/>
                <w:szCs w:val="22"/>
                <w:lang w:val="fr-FR"/>
              </w:rPr>
              <w:t>FEM-6</w:t>
            </w:r>
          </w:p>
        </w:tc>
        <w:tc>
          <w:tcPr>
            <w:tcW w:w="889" w:type="dxa"/>
            <w:hideMark/>
          </w:tcPr>
          <w:p w14:paraId="25A60AE9" w14:textId="77777777" w:rsidR="00C312D0" w:rsidRDefault="00C312D0">
            <w:pPr>
              <w:rPr>
                <w:rFonts w:cstheme="minorHAnsi"/>
                <w:sz w:val="22"/>
                <w:szCs w:val="22"/>
                <w:lang w:val="fr-FR"/>
              </w:rPr>
            </w:pPr>
            <w:r>
              <w:rPr>
                <w:rFonts w:cstheme="minorHAnsi"/>
                <w:sz w:val="22"/>
                <w:szCs w:val="22"/>
                <w:lang w:val="fr-FR"/>
              </w:rPr>
              <w:t>AH</w:t>
            </w:r>
          </w:p>
        </w:tc>
        <w:tc>
          <w:tcPr>
            <w:tcW w:w="1157" w:type="dxa"/>
            <w:hideMark/>
          </w:tcPr>
          <w:p w14:paraId="6DFD4FDA" w14:textId="77777777" w:rsidR="00C312D0" w:rsidRDefault="00C312D0">
            <w:pPr>
              <w:rPr>
                <w:rFonts w:cstheme="minorHAnsi"/>
                <w:sz w:val="22"/>
                <w:szCs w:val="22"/>
                <w:lang w:val="fr-FR"/>
              </w:rPr>
            </w:pPr>
            <w:r>
              <w:rPr>
                <w:rFonts w:cstheme="minorHAnsi"/>
                <w:sz w:val="22"/>
                <w:szCs w:val="22"/>
                <w:lang w:val="fr-FR"/>
              </w:rPr>
              <w:t>ONUDI</w:t>
            </w:r>
          </w:p>
        </w:tc>
        <w:tc>
          <w:tcPr>
            <w:tcW w:w="1498" w:type="dxa"/>
            <w:hideMark/>
          </w:tcPr>
          <w:p w14:paraId="29ED5BC7" w14:textId="18583CE7" w:rsidR="00C312D0" w:rsidRDefault="00C312D0">
            <w:pPr>
              <w:jc w:val="right"/>
              <w:rPr>
                <w:rFonts w:cstheme="minorHAnsi"/>
                <w:sz w:val="22"/>
                <w:szCs w:val="22"/>
                <w:lang w:val="fr-FR"/>
              </w:rPr>
            </w:pPr>
            <w:r>
              <w:rPr>
                <w:rFonts w:cstheme="minorHAnsi"/>
                <w:sz w:val="22"/>
                <w:szCs w:val="22"/>
                <w:lang w:val="fr-FR"/>
              </w:rPr>
              <w:t>200</w:t>
            </w:r>
            <w:r w:rsidR="003B5855">
              <w:rPr>
                <w:rFonts w:cstheme="minorHAnsi"/>
                <w:sz w:val="22"/>
                <w:szCs w:val="22"/>
                <w:lang w:val="fr-FR"/>
              </w:rPr>
              <w:t> </w:t>
            </w:r>
            <w:r>
              <w:rPr>
                <w:rFonts w:cstheme="minorHAnsi"/>
                <w:sz w:val="22"/>
                <w:szCs w:val="22"/>
                <w:lang w:val="fr-FR"/>
              </w:rPr>
              <w:t>000</w:t>
            </w:r>
          </w:p>
        </w:tc>
        <w:tc>
          <w:tcPr>
            <w:tcW w:w="1592" w:type="dxa"/>
            <w:hideMark/>
          </w:tcPr>
          <w:p w14:paraId="11E6A542" w14:textId="75C5B988" w:rsidR="00C312D0" w:rsidRDefault="00C312D0">
            <w:pPr>
              <w:jc w:val="right"/>
              <w:rPr>
                <w:rFonts w:cstheme="minorHAnsi"/>
                <w:sz w:val="22"/>
                <w:szCs w:val="22"/>
                <w:lang w:val="fr-FR"/>
              </w:rPr>
            </w:pPr>
            <w:r>
              <w:rPr>
                <w:rFonts w:cstheme="minorHAnsi"/>
                <w:sz w:val="22"/>
                <w:szCs w:val="22"/>
                <w:lang w:val="fr-FR"/>
              </w:rPr>
              <w:t>18</w:t>
            </w:r>
            <w:r w:rsidR="003B5855">
              <w:rPr>
                <w:rFonts w:cstheme="minorHAnsi"/>
                <w:sz w:val="22"/>
                <w:szCs w:val="22"/>
                <w:lang w:val="fr-FR"/>
              </w:rPr>
              <w:t> </w:t>
            </w:r>
            <w:r>
              <w:rPr>
                <w:rFonts w:cstheme="minorHAnsi"/>
                <w:sz w:val="22"/>
                <w:szCs w:val="22"/>
                <w:lang w:val="fr-FR"/>
              </w:rPr>
              <w:t>600</w:t>
            </w:r>
          </w:p>
        </w:tc>
      </w:tr>
      <w:tr w:rsidR="0027787C" w:rsidRPr="001A2820" w14:paraId="6AD52F02" w14:textId="77777777" w:rsidTr="00A5411B">
        <w:trPr>
          <w:trHeight w:val="900"/>
        </w:trPr>
        <w:tc>
          <w:tcPr>
            <w:tcW w:w="1627" w:type="dxa"/>
            <w:hideMark/>
          </w:tcPr>
          <w:p w14:paraId="3A4A84E8" w14:textId="10AA3010" w:rsidR="0027787C" w:rsidRPr="001A2820" w:rsidRDefault="0027787C" w:rsidP="0027787C">
            <w:pPr>
              <w:rPr>
                <w:rFonts w:cstheme="minorHAnsi"/>
                <w:sz w:val="22"/>
                <w:szCs w:val="22"/>
                <w:lang w:val="fr-FR"/>
              </w:rPr>
            </w:pPr>
            <w:r w:rsidRPr="001A2820">
              <w:rPr>
                <w:rFonts w:cstheme="minorHAnsi"/>
                <w:sz w:val="22"/>
                <w:szCs w:val="22"/>
                <w:lang w:val="fr-FR"/>
              </w:rPr>
              <w:t>Mongolie</w:t>
            </w:r>
          </w:p>
        </w:tc>
        <w:tc>
          <w:tcPr>
            <w:tcW w:w="1671" w:type="dxa"/>
            <w:hideMark/>
          </w:tcPr>
          <w:p w14:paraId="57D99CD5"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2628E70"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29FF5095" w14:textId="066C32DC" w:rsidR="0027787C" w:rsidRPr="001A2820" w:rsidRDefault="0027787C" w:rsidP="0027787C">
            <w:pPr>
              <w:rPr>
                <w:rFonts w:cstheme="minorHAnsi"/>
                <w:sz w:val="22"/>
                <w:szCs w:val="22"/>
                <w:lang w:val="fr-FR"/>
              </w:rPr>
            </w:pPr>
            <w:r w:rsidRPr="001A2820">
              <w:rPr>
                <w:rFonts w:cstheme="minorHAnsi"/>
                <w:sz w:val="22"/>
                <w:szCs w:val="22"/>
                <w:lang w:val="fr-FR"/>
              </w:rPr>
              <w:t>Réduction de l’exposition au mercure de la santé humaine et de l’environnement par la promotion d’une gestion rationnelle des produits chimiques en Mongolie</w:t>
            </w:r>
          </w:p>
        </w:tc>
        <w:tc>
          <w:tcPr>
            <w:tcW w:w="857" w:type="dxa"/>
            <w:hideMark/>
          </w:tcPr>
          <w:p w14:paraId="42C31B34" w14:textId="22A78E6E"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51F760C6" w14:textId="0A0675CB"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1A485F54" w14:textId="22B38CEA"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657DD35C" w14:textId="430AC7C0" w:rsidR="0027787C" w:rsidRPr="001A2820" w:rsidRDefault="0027787C" w:rsidP="0027787C">
            <w:pPr>
              <w:jc w:val="right"/>
              <w:rPr>
                <w:rFonts w:cstheme="minorHAnsi"/>
                <w:sz w:val="22"/>
                <w:szCs w:val="22"/>
                <w:lang w:val="fr-FR"/>
              </w:rPr>
            </w:pPr>
            <w:r w:rsidRPr="001A2820">
              <w:rPr>
                <w:rFonts w:cstheme="minorHAnsi"/>
                <w:sz w:val="22"/>
                <w:szCs w:val="22"/>
                <w:lang w:val="fr-FR"/>
              </w:rPr>
              <w:t>600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272252F4" w14:textId="49185E05"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3B5855">
              <w:rPr>
                <w:rFonts w:cstheme="minorHAnsi"/>
                <w:sz w:val="22"/>
                <w:szCs w:val="22"/>
                <w:lang w:val="fr-FR"/>
              </w:rPr>
              <w:t> </w:t>
            </w:r>
            <w:r w:rsidRPr="001A2820">
              <w:rPr>
                <w:rFonts w:cstheme="minorHAnsi"/>
                <w:sz w:val="22"/>
                <w:szCs w:val="22"/>
                <w:lang w:val="fr-FR"/>
              </w:rPr>
              <w:t>569</w:t>
            </w:r>
            <w:r w:rsidR="003B5855">
              <w:rPr>
                <w:rFonts w:cstheme="minorHAnsi"/>
                <w:sz w:val="22"/>
                <w:szCs w:val="22"/>
                <w:lang w:val="fr-FR"/>
              </w:rPr>
              <w:t> </w:t>
            </w:r>
            <w:r w:rsidRPr="001A2820">
              <w:rPr>
                <w:rFonts w:cstheme="minorHAnsi"/>
                <w:sz w:val="22"/>
                <w:szCs w:val="22"/>
                <w:lang w:val="fr-FR"/>
              </w:rPr>
              <w:t>000</w:t>
            </w:r>
          </w:p>
        </w:tc>
      </w:tr>
      <w:tr w:rsidR="0027787C" w:rsidRPr="001A2820" w14:paraId="1CE8C560" w14:textId="77777777" w:rsidTr="00A5411B">
        <w:trPr>
          <w:trHeight w:val="300"/>
        </w:trPr>
        <w:tc>
          <w:tcPr>
            <w:tcW w:w="1627" w:type="dxa"/>
            <w:hideMark/>
          </w:tcPr>
          <w:p w14:paraId="0F794DCD" w14:textId="109ECFAC" w:rsidR="0027787C" w:rsidRPr="001A2820" w:rsidRDefault="0027787C" w:rsidP="0027787C">
            <w:pPr>
              <w:rPr>
                <w:rFonts w:cstheme="minorHAnsi"/>
                <w:sz w:val="22"/>
                <w:szCs w:val="22"/>
                <w:lang w:val="fr-FR"/>
              </w:rPr>
            </w:pPr>
            <w:r w:rsidRPr="001A2820">
              <w:rPr>
                <w:rFonts w:cstheme="minorHAnsi"/>
                <w:sz w:val="22"/>
                <w:szCs w:val="22"/>
                <w:lang w:val="fr-FR"/>
              </w:rPr>
              <w:t>Monténégro</w:t>
            </w:r>
          </w:p>
        </w:tc>
        <w:tc>
          <w:tcPr>
            <w:tcW w:w="1671" w:type="dxa"/>
            <w:hideMark/>
          </w:tcPr>
          <w:p w14:paraId="3BAA5E81"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1F85B13" w14:textId="4BD1D050"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FCAA411" w14:textId="7030478F"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pour le Monténégro</w:t>
            </w:r>
          </w:p>
        </w:tc>
        <w:tc>
          <w:tcPr>
            <w:tcW w:w="857" w:type="dxa"/>
            <w:hideMark/>
          </w:tcPr>
          <w:p w14:paraId="1C051AE9" w14:textId="386B0AF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AE62481" w14:textId="49319EE0"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A1323C2" w14:textId="3969E34D"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0B4F9A7A" w14:textId="754825DC"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07E5FB5D" w14:textId="39BEF041" w:rsidR="0027787C" w:rsidRPr="001A2820" w:rsidRDefault="0027787C" w:rsidP="0027787C">
            <w:pPr>
              <w:jc w:val="right"/>
              <w:rPr>
                <w:rFonts w:cstheme="minorHAnsi"/>
                <w:sz w:val="22"/>
                <w:szCs w:val="22"/>
                <w:lang w:val="fr-FR"/>
              </w:rPr>
            </w:pPr>
            <w:r w:rsidRPr="001A2820">
              <w:rPr>
                <w:rFonts w:cstheme="minorHAnsi"/>
                <w:sz w:val="22"/>
                <w:szCs w:val="22"/>
                <w:lang w:val="fr-FR"/>
              </w:rPr>
              <w:t>20</w:t>
            </w:r>
            <w:r w:rsidR="003B5855">
              <w:rPr>
                <w:rFonts w:cstheme="minorHAnsi"/>
                <w:sz w:val="22"/>
                <w:szCs w:val="22"/>
                <w:lang w:val="fr-FR"/>
              </w:rPr>
              <w:t> </w:t>
            </w:r>
            <w:r w:rsidRPr="001A2820">
              <w:rPr>
                <w:rFonts w:cstheme="minorHAnsi"/>
                <w:sz w:val="22"/>
                <w:szCs w:val="22"/>
                <w:lang w:val="fr-FR"/>
              </w:rPr>
              <w:t>000</w:t>
            </w:r>
          </w:p>
        </w:tc>
      </w:tr>
      <w:tr w:rsidR="0027787C" w:rsidRPr="001A2820" w14:paraId="0DCCDC79" w14:textId="77777777" w:rsidTr="00A5411B">
        <w:trPr>
          <w:trHeight w:val="600"/>
        </w:trPr>
        <w:tc>
          <w:tcPr>
            <w:tcW w:w="1627" w:type="dxa"/>
            <w:hideMark/>
          </w:tcPr>
          <w:p w14:paraId="5596C75B" w14:textId="77777777" w:rsidR="0027787C" w:rsidRPr="001A2820" w:rsidRDefault="0027787C" w:rsidP="0027787C">
            <w:pPr>
              <w:rPr>
                <w:rFonts w:cstheme="minorHAnsi"/>
                <w:sz w:val="22"/>
                <w:szCs w:val="22"/>
                <w:lang w:val="fr-FR"/>
              </w:rPr>
            </w:pPr>
            <w:r w:rsidRPr="001A2820">
              <w:rPr>
                <w:rFonts w:cstheme="minorHAnsi"/>
                <w:sz w:val="22"/>
                <w:szCs w:val="22"/>
                <w:lang w:val="fr-FR"/>
              </w:rPr>
              <w:t>Mozambique</w:t>
            </w:r>
          </w:p>
        </w:tc>
        <w:tc>
          <w:tcPr>
            <w:tcW w:w="1671" w:type="dxa"/>
            <w:hideMark/>
          </w:tcPr>
          <w:p w14:paraId="146AC115"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E7DFFFE" w14:textId="14FDDF63"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2D2AA69" w14:textId="4E195F72" w:rsidR="0027787C" w:rsidRPr="001A2820" w:rsidRDefault="0027787C" w:rsidP="0027787C">
            <w:pPr>
              <w:rPr>
                <w:rFonts w:cstheme="minorHAnsi"/>
                <w:sz w:val="22"/>
                <w:szCs w:val="22"/>
                <w:lang w:val="fr-FR"/>
              </w:rPr>
            </w:pPr>
            <w:r w:rsidRPr="001A2820">
              <w:rPr>
                <w:rFonts w:cstheme="minorHAnsi"/>
                <w:sz w:val="22"/>
                <w:szCs w:val="22"/>
                <w:lang w:val="fr-FR"/>
              </w:rPr>
              <w:t xml:space="preserve">Plan d’action national concernant le mercure dans le secteur mozambicain de l’extraction minière artisanale et à petite échelle d’or </w:t>
            </w:r>
          </w:p>
        </w:tc>
        <w:tc>
          <w:tcPr>
            <w:tcW w:w="857" w:type="dxa"/>
            <w:hideMark/>
          </w:tcPr>
          <w:p w14:paraId="06E050A5" w14:textId="20E9EF6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6827CE4" w14:textId="31C92BB9"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6FE2473" w14:textId="548D3F38"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4EC91FA6" w14:textId="0FC0488D"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14D01546" w14:textId="3320D7D9" w:rsidR="0027787C" w:rsidRPr="001A2820" w:rsidRDefault="0027787C" w:rsidP="0027787C">
            <w:pPr>
              <w:jc w:val="right"/>
              <w:rPr>
                <w:rFonts w:cstheme="minorHAnsi"/>
                <w:sz w:val="22"/>
                <w:szCs w:val="22"/>
                <w:lang w:val="fr-FR"/>
              </w:rPr>
            </w:pPr>
            <w:r w:rsidRPr="001A2820">
              <w:rPr>
                <w:rFonts w:cstheme="minorHAnsi"/>
                <w:sz w:val="22"/>
                <w:szCs w:val="22"/>
                <w:lang w:val="fr-FR"/>
              </w:rPr>
              <w:t>84</w:t>
            </w:r>
            <w:r w:rsidR="003B5855">
              <w:rPr>
                <w:rFonts w:cstheme="minorHAnsi"/>
                <w:sz w:val="22"/>
                <w:szCs w:val="22"/>
                <w:lang w:val="fr-FR"/>
              </w:rPr>
              <w:t> </w:t>
            </w:r>
            <w:r w:rsidRPr="001A2820">
              <w:rPr>
                <w:rFonts w:cstheme="minorHAnsi"/>
                <w:sz w:val="22"/>
                <w:szCs w:val="22"/>
                <w:lang w:val="fr-FR"/>
              </w:rPr>
              <w:t>000</w:t>
            </w:r>
          </w:p>
        </w:tc>
      </w:tr>
      <w:tr w:rsidR="0027787C" w:rsidRPr="001A2820" w14:paraId="405D9D4B" w14:textId="77777777" w:rsidTr="00A5411B">
        <w:trPr>
          <w:trHeight w:val="900"/>
        </w:trPr>
        <w:tc>
          <w:tcPr>
            <w:tcW w:w="1627" w:type="dxa"/>
            <w:hideMark/>
          </w:tcPr>
          <w:p w14:paraId="0732D0B9" w14:textId="77777777" w:rsidR="0027787C" w:rsidRPr="001A2820" w:rsidRDefault="0027787C" w:rsidP="0027787C">
            <w:pPr>
              <w:rPr>
                <w:rFonts w:cstheme="minorHAnsi"/>
                <w:sz w:val="22"/>
                <w:szCs w:val="22"/>
                <w:lang w:val="fr-FR"/>
              </w:rPr>
            </w:pPr>
            <w:r w:rsidRPr="001A2820">
              <w:rPr>
                <w:rFonts w:cstheme="minorHAnsi"/>
                <w:sz w:val="22"/>
                <w:szCs w:val="22"/>
                <w:lang w:val="fr-FR"/>
              </w:rPr>
              <w:t>Myanmar</w:t>
            </w:r>
          </w:p>
        </w:tc>
        <w:tc>
          <w:tcPr>
            <w:tcW w:w="1671" w:type="dxa"/>
            <w:hideMark/>
          </w:tcPr>
          <w:p w14:paraId="437DF69D"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26AC1B8" w14:textId="555FF1B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496A421" w14:textId="208E4EBA"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et d’un plan d’action national concernant l’extraction minière artisanale et à petite échelle d’or au Myanmar </w:t>
            </w:r>
          </w:p>
        </w:tc>
        <w:tc>
          <w:tcPr>
            <w:tcW w:w="857" w:type="dxa"/>
            <w:hideMark/>
          </w:tcPr>
          <w:p w14:paraId="02238299" w14:textId="0B7FDA8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755DDAF" w14:textId="2C394B99"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4263B99" w14:textId="792F0EA5"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9C92FD3" w14:textId="60390AA7"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663CAA49"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531C3F5" w14:textId="77777777" w:rsidTr="00A5411B">
        <w:trPr>
          <w:trHeight w:val="300"/>
        </w:trPr>
        <w:tc>
          <w:tcPr>
            <w:tcW w:w="1627" w:type="dxa"/>
            <w:hideMark/>
          </w:tcPr>
          <w:p w14:paraId="626819DD" w14:textId="0E07E98C" w:rsidR="0027787C" w:rsidRPr="001A2820" w:rsidRDefault="0027787C" w:rsidP="0027787C">
            <w:pPr>
              <w:rPr>
                <w:rFonts w:cstheme="minorHAnsi"/>
                <w:sz w:val="22"/>
                <w:szCs w:val="22"/>
                <w:lang w:val="fr-FR"/>
              </w:rPr>
            </w:pPr>
            <w:r w:rsidRPr="001A2820">
              <w:rPr>
                <w:rFonts w:cstheme="minorHAnsi"/>
                <w:sz w:val="22"/>
                <w:szCs w:val="22"/>
                <w:lang w:val="fr-FR"/>
              </w:rPr>
              <w:t>Népal</w:t>
            </w:r>
          </w:p>
        </w:tc>
        <w:tc>
          <w:tcPr>
            <w:tcW w:w="1671" w:type="dxa"/>
            <w:hideMark/>
          </w:tcPr>
          <w:p w14:paraId="4EB52866"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6DBA73A" w14:textId="358CE30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3AB0B34" w14:textId="71B798D2"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au Népal</w:t>
            </w:r>
          </w:p>
        </w:tc>
        <w:tc>
          <w:tcPr>
            <w:tcW w:w="857" w:type="dxa"/>
            <w:hideMark/>
          </w:tcPr>
          <w:p w14:paraId="53D98708" w14:textId="6475A86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B1E2023" w14:textId="3E4C6E1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DC3BD93" w14:textId="430469C8"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494C8898" w14:textId="5493C211"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1821010B" w14:textId="00E555A9" w:rsidR="0027787C" w:rsidRPr="001A2820" w:rsidRDefault="0027787C" w:rsidP="0027787C">
            <w:pPr>
              <w:jc w:val="right"/>
              <w:rPr>
                <w:rFonts w:cstheme="minorHAnsi"/>
                <w:sz w:val="22"/>
                <w:szCs w:val="22"/>
                <w:lang w:val="fr-FR"/>
              </w:rPr>
            </w:pPr>
            <w:r w:rsidRPr="001A2820">
              <w:rPr>
                <w:rFonts w:cstheme="minorHAnsi"/>
                <w:sz w:val="22"/>
                <w:szCs w:val="22"/>
                <w:lang w:val="fr-FR"/>
              </w:rPr>
              <w:t>108</w:t>
            </w:r>
            <w:r w:rsidR="003B5855">
              <w:rPr>
                <w:rFonts w:cstheme="minorHAnsi"/>
                <w:sz w:val="22"/>
                <w:szCs w:val="22"/>
                <w:lang w:val="fr-FR"/>
              </w:rPr>
              <w:t> </w:t>
            </w:r>
            <w:r w:rsidRPr="001A2820">
              <w:rPr>
                <w:rFonts w:cstheme="minorHAnsi"/>
                <w:sz w:val="22"/>
                <w:szCs w:val="22"/>
                <w:lang w:val="fr-FR"/>
              </w:rPr>
              <w:t>600</w:t>
            </w:r>
          </w:p>
        </w:tc>
      </w:tr>
      <w:tr w:rsidR="0027787C" w:rsidRPr="001A2820" w14:paraId="552E9292" w14:textId="77777777" w:rsidTr="00A5411B">
        <w:trPr>
          <w:trHeight w:val="600"/>
        </w:trPr>
        <w:tc>
          <w:tcPr>
            <w:tcW w:w="1627" w:type="dxa"/>
            <w:hideMark/>
          </w:tcPr>
          <w:p w14:paraId="21377A5A" w14:textId="3D97302A" w:rsidR="0027787C" w:rsidRPr="001A2820" w:rsidRDefault="0027787C" w:rsidP="0027787C">
            <w:pPr>
              <w:rPr>
                <w:rFonts w:cstheme="minorHAnsi"/>
                <w:sz w:val="22"/>
                <w:szCs w:val="22"/>
                <w:lang w:val="fr-FR"/>
              </w:rPr>
            </w:pPr>
            <w:r w:rsidRPr="001A2820">
              <w:rPr>
                <w:rFonts w:cstheme="minorHAnsi"/>
                <w:sz w:val="22"/>
                <w:szCs w:val="22"/>
                <w:lang w:val="fr-FR"/>
              </w:rPr>
              <w:t>Nigéria</w:t>
            </w:r>
          </w:p>
        </w:tc>
        <w:tc>
          <w:tcPr>
            <w:tcW w:w="1671" w:type="dxa"/>
            <w:hideMark/>
          </w:tcPr>
          <w:p w14:paraId="685D9B3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A17B876" w14:textId="01862CA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B0C64E7" w14:textId="2345DB18" w:rsidR="0027787C" w:rsidRPr="001A2820" w:rsidRDefault="0027787C" w:rsidP="0027787C">
            <w:pPr>
              <w:rPr>
                <w:rFonts w:cstheme="minorHAnsi"/>
                <w:sz w:val="22"/>
                <w:szCs w:val="22"/>
                <w:lang w:val="fr-FR"/>
              </w:rPr>
            </w:pPr>
            <w:r w:rsidRPr="001A2820">
              <w:rPr>
                <w:rFonts w:cstheme="minorHAnsi"/>
                <w:sz w:val="22"/>
                <w:szCs w:val="22"/>
                <w:lang w:val="fr-FR"/>
              </w:rPr>
              <w:t xml:space="preserve">Plan d’action national concernant le mercure dans le secteur nigérian de l’extraction minière artisanale et à petite échelle d’or </w:t>
            </w:r>
          </w:p>
        </w:tc>
        <w:tc>
          <w:tcPr>
            <w:tcW w:w="857" w:type="dxa"/>
            <w:hideMark/>
          </w:tcPr>
          <w:p w14:paraId="1587CA30" w14:textId="48F054A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56445DE" w14:textId="2CCC3AD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2D9127E" w14:textId="0D9BC061"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1CA73222" w14:textId="318188A0"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553B0B55" w14:textId="67902659" w:rsidR="0027787C" w:rsidRPr="001A2820" w:rsidRDefault="0027787C" w:rsidP="0027787C">
            <w:pPr>
              <w:jc w:val="right"/>
              <w:rPr>
                <w:rFonts w:cstheme="minorHAnsi"/>
                <w:sz w:val="22"/>
                <w:szCs w:val="22"/>
                <w:lang w:val="fr-FR"/>
              </w:rPr>
            </w:pPr>
            <w:r w:rsidRPr="001A2820">
              <w:rPr>
                <w:rFonts w:cstheme="minorHAnsi"/>
                <w:sz w:val="22"/>
                <w:szCs w:val="22"/>
                <w:lang w:val="fr-FR"/>
              </w:rPr>
              <w:t>373</w:t>
            </w:r>
            <w:r w:rsidR="003B5855">
              <w:rPr>
                <w:rFonts w:cstheme="minorHAnsi"/>
                <w:sz w:val="22"/>
                <w:szCs w:val="22"/>
                <w:lang w:val="fr-FR"/>
              </w:rPr>
              <w:t> </w:t>
            </w:r>
            <w:r w:rsidRPr="001A2820">
              <w:rPr>
                <w:rFonts w:cstheme="minorHAnsi"/>
                <w:sz w:val="22"/>
                <w:szCs w:val="22"/>
                <w:lang w:val="fr-FR"/>
              </w:rPr>
              <w:t>000</w:t>
            </w:r>
          </w:p>
        </w:tc>
      </w:tr>
      <w:tr w:rsidR="0027787C" w:rsidRPr="001A2820" w14:paraId="4EBF6E0B" w14:textId="77777777" w:rsidTr="00A5411B">
        <w:trPr>
          <w:trHeight w:val="600"/>
        </w:trPr>
        <w:tc>
          <w:tcPr>
            <w:tcW w:w="1627" w:type="dxa"/>
            <w:hideMark/>
          </w:tcPr>
          <w:p w14:paraId="76B9CAF2" w14:textId="0822B88F" w:rsidR="0027787C" w:rsidRPr="001A2820" w:rsidRDefault="0027787C" w:rsidP="0027787C">
            <w:pPr>
              <w:rPr>
                <w:rFonts w:cstheme="minorHAnsi"/>
                <w:sz w:val="22"/>
                <w:szCs w:val="22"/>
                <w:lang w:val="fr-FR"/>
              </w:rPr>
            </w:pPr>
            <w:r w:rsidRPr="001A2820">
              <w:rPr>
                <w:rFonts w:cstheme="minorHAnsi"/>
                <w:sz w:val="22"/>
                <w:szCs w:val="22"/>
                <w:lang w:val="fr-FR"/>
              </w:rPr>
              <w:t>Nigéria</w:t>
            </w:r>
          </w:p>
        </w:tc>
        <w:tc>
          <w:tcPr>
            <w:tcW w:w="1671" w:type="dxa"/>
            <w:hideMark/>
          </w:tcPr>
          <w:p w14:paraId="50AB92E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130BFC0"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26391C4B" w14:textId="504D299F" w:rsidR="0027787C" w:rsidRPr="001A2820" w:rsidRDefault="0027787C" w:rsidP="0027787C">
            <w:pPr>
              <w:rPr>
                <w:rFonts w:cstheme="minorHAnsi"/>
                <w:sz w:val="22"/>
                <w:szCs w:val="22"/>
                <w:lang w:val="fr-FR"/>
              </w:rPr>
            </w:pPr>
            <w:r w:rsidRPr="001A2820">
              <w:rPr>
                <w:rFonts w:cstheme="minorHAnsi"/>
                <w:sz w:val="22"/>
                <w:szCs w:val="22"/>
                <w:lang w:val="fr-FR"/>
              </w:rPr>
              <w:t xml:space="preserve">Évaluation initiale de la Convention de Minamata </w:t>
            </w:r>
            <w:r w:rsidR="00192DAA">
              <w:rPr>
                <w:rFonts w:cstheme="minorHAnsi"/>
                <w:sz w:val="22"/>
                <w:szCs w:val="22"/>
                <w:lang w:val="fr-FR"/>
              </w:rPr>
              <w:t>en</w:t>
            </w:r>
            <w:r w:rsidRPr="001A2820">
              <w:rPr>
                <w:rFonts w:cstheme="minorHAnsi"/>
                <w:sz w:val="22"/>
                <w:szCs w:val="22"/>
                <w:lang w:val="fr-FR"/>
              </w:rPr>
              <w:t xml:space="preserve"> République fédérale du Nigéria</w:t>
            </w:r>
          </w:p>
        </w:tc>
        <w:tc>
          <w:tcPr>
            <w:tcW w:w="857" w:type="dxa"/>
            <w:hideMark/>
          </w:tcPr>
          <w:p w14:paraId="77FF202A" w14:textId="26C557F6"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181F0EF" w14:textId="689A3A89"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104B619" w14:textId="6B15C91E"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6CCABC8A" w14:textId="17571D42"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3B5855">
              <w:rPr>
                <w:rFonts w:cstheme="minorHAnsi"/>
                <w:sz w:val="22"/>
                <w:szCs w:val="22"/>
                <w:lang w:val="fr-FR"/>
              </w:rPr>
              <w:t> </w:t>
            </w:r>
            <w:r w:rsidRPr="001A2820">
              <w:rPr>
                <w:rFonts w:cstheme="minorHAnsi"/>
                <w:sz w:val="22"/>
                <w:szCs w:val="22"/>
                <w:lang w:val="fr-FR"/>
              </w:rPr>
              <w:t>000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38AFE3B5" w14:textId="392B2E5D" w:rsidR="0027787C" w:rsidRPr="001A2820" w:rsidRDefault="0027787C" w:rsidP="0027787C">
            <w:pPr>
              <w:jc w:val="right"/>
              <w:rPr>
                <w:rFonts w:cstheme="minorHAnsi"/>
                <w:sz w:val="22"/>
                <w:szCs w:val="22"/>
                <w:lang w:val="fr-FR"/>
              </w:rPr>
            </w:pPr>
            <w:r w:rsidRPr="001A2820">
              <w:rPr>
                <w:rFonts w:cstheme="minorHAnsi"/>
                <w:sz w:val="22"/>
                <w:szCs w:val="22"/>
                <w:lang w:val="fr-FR"/>
              </w:rPr>
              <w:t>182</w:t>
            </w:r>
            <w:r w:rsidR="003B5855">
              <w:rPr>
                <w:rFonts w:cstheme="minorHAnsi"/>
                <w:sz w:val="22"/>
                <w:szCs w:val="22"/>
                <w:lang w:val="fr-FR"/>
              </w:rPr>
              <w:t> </w:t>
            </w:r>
            <w:r w:rsidRPr="001A2820">
              <w:rPr>
                <w:rFonts w:cstheme="minorHAnsi"/>
                <w:sz w:val="22"/>
                <w:szCs w:val="22"/>
                <w:lang w:val="fr-FR"/>
              </w:rPr>
              <w:t>000</w:t>
            </w:r>
          </w:p>
        </w:tc>
      </w:tr>
      <w:tr w:rsidR="0027787C" w:rsidRPr="001A2820" w14:paraId="76E2F19E" w14:textId="77777777" w:rsidTr="00A5411B">
        <w:trPr>
          <w:trHeight w:val="600"/>
        </w:trPr>
        <w:tc>
          <w:tcPr>
            <w:tcW w:w="1627" w:type="dxa"/>
            <w:hideMark/>
          </w:tcPr>
          <w:p w14:paraId="20ED8D4A" w14:textId="1829F046" w:rsidR="0027787C" w:rsidRPr="001A2820" w:rsidRDefault="0027787C" w:rsidP="0027787C">
            <w:pPr>
              <w:rPr>
                <w:rFonts w:cstheme="minorHAnsi"/>
                <w:sz w:val="22"/>
                <w:szCs w:val="22"/>
                <w:lang w:val="fr-FR"/>
              </w:rPr>
            </w:pPr>
            <w:r w:rsidRPr="001A2820">
              <w:rPr>
                <w:rFonts w:cstheme="minorHAnsi"/>
                <w:sz w:val="22"/>
                <w:szCs w:val="22"/>
                <w:lang w:val="fr-FR"/>
              </w:rPr>
              <w:t>Nioué</w:t>
            </w:r>
          </w:p>
        </w:tc>
        <w:tc>
          <w:tcPr>
            <w:tcW w:w="1671" w:type="dxa"/>
            <w:hideMark/>
          </w:tcPr>
          <w:p w14:paraId="54521BE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D0687AC" w14:textId="3F24DC03"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E8FC83F" w14:textId="710FBE48"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à Nioué</w:t>
            </w:r>
          </w:p>
        </w:tc>
        <w:tc>
          <w:tcPr>
            <w:tcW w:w="857" w:type="dxa"/>
            <w:hideMark/>
          </w:tcPr>
          <w:p w14:paraId="5D01EEFA" w14:textId="7052608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E39E1B6" w14:textId="30F83DC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7D94C460" w14:textId="65719B5C"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F3E9F18" w14:textId="28C48F10" w:rsidR="0027787C" w:rsidRPr="001A2820" w:rsidRDefault="0027787C" w:rsidP="0027787C">
            <w:pPr>
              <w:jc w:val="right"/>
              <w:rPr>
                <w:rFonts w:cstheme="minorHAnsi"/>
                <w:sz w:val="22"/>
                <w:szCs w:val="22"/>
                <w:lang w:val="fr-FR"/>
              </w:rPr>
            </w:pPr>
            <w:r w:rsidRPr="001A2820">
              <w:rPr>
                <w:rFonts w:cstheme="minorHAnsi"/>
                <w:sz w:val="22"/>
                <w:szCs w:val="22"/>
                <w:lang w:val="fr-FR"/>
              </w:rPr>
              <w:t>125</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306A3E40"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CB5A98A" w14:textId="77777777" w:rsidTr="00A5411B">
        <w:trPr>
          <w:trHeight w:val="300"/>
        </w:trPr>
        <w:tc>
          <w:tcPr>
            <w:tcW w:w="1627" w:type="dxa"/>
            <w:hideMark/>
          </w:tcPr>
          <w:p w14:paraId="7B5C2877" w14:textId="77777777" w:rsidR="0027787C" w:rsidRPr="001A2820" w:rsidRDefault="0027787C" w:rsidP="0027787C">
            <w:pPr>
              <w:rPr>
                <w:rFonts w:cstheme="minorHAnsi"/>
                <w:sz w:val="22"/>
                <w:szCs w:val="22"/>
                <w:lang w:val="fr-FR"/>
              </w:rPr>
            </w:pPr>
            <w:r w:rsidRPr="001A2820">
              <w:rPr>
                <w:rFonts w:cstheme="minorHAnsi"/>
                <w:sz w:val="22"/>
                <w:szCs w:val="22"/>
                <w:lang w:val="fr-FR"/>
              </w:rPr>
              <w:t>Panama</w:t>
            </w:r>
          </w:p>
        </w:tc>
        <w:tc>
          <w:tcPr>
            <w:tcW w:w="1671" w:type="dxa"/>
            <w:hideMark/>
          </w:tcPr>
          <w:p w14:paraId="198956F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44DB0831" w14:textId="559470A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1D6294D" w14:textId="3CD6A2D6"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pour le Panama</w:t>
            </w:r>
          </w:p>
        </w:tc>
        <w:tc>
          <w:tcPr>
            <w:tcW w:w="857" w:type="dxa"/>
            <w:hideMark/>
          </w:tcPr>
          <w:p w14:paraId="2FFB3F39" w14:textId="7FCC9E73"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4B535CA" w14:textId="276AF8B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6DD562E" w14:textId="5F39C405"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34400DB6" w14:textId="26DED862"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185AC148"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3B0B4019" w14:textId="77777777" w:rsidTr="00A5411B">
        <w:trPr>
          <w:trHeight w:val="600"/>
        </w:trPr>
        <w:tc>
          <w:tcPr>
            <w:tcW w:w="1627" w:type="dxa"/>
            <w:hideMark/>
          </w:tcPr>
          <w:p w14:paraId="103610CA" w14:textId="6E7C262F" w:rsidR="0027787C" w:rsidRPr="001A2820" w:rsidRDefault="0027787C" w:rsidP="0027787C">
            <w:pPr>
              <w:rPr>
                <w:rFonts w:cstheme="minorHAnsi"/>
                <w:sz w:val="22"/>
                <w:szCs w:val="22"/>
                <w:lang w:val="fr-FR"/>
              </w:rPr>
            </w:pPr>
            <w:r w:rsidRPr="001A2820">
              <w:rPr>
                <w:rFonts w:cstheme="minorHAnsi"/>
                <w:sz w:val="22"/>
                <w:szCs w:val="22"/>
                <w:lang w:val="fr-FR"/>
              </w:rPr>
              <w:lastRenderedPageBreak/>
              <w:t>Papouasie-Nouvelle-Guinée</w:t>
            </w:r>
          </w:p>
        </w:tc>
        <w:tc>
          <w:tcPr>
            <w:tcW w:w="1671" w:type="dxa"/>
            <w:hideMark/>
          </w:tcPr>
          <w:p w14:paraId="052EE064"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26308FC" w14:textId="6C2E41A0"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C5C8F46" w14:textId="18DDCF12"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en Papouasie-Nouvelle-Guinée</w:t>
            </w:r>
          </w:p>
        </w:tc>
        <w:tc>
          <w:tcPr>
            <w:tcW w:w="857" w:type="dxa"/>
            <w:hideMark/>
          </w:tcPr>
          <w:p w14:paraId="65F167A3" w14:textId="3C1E4D47"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921D80A" w14:textId="5B8B87B3"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269F331" w14:textId="12F0E201"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5A36682" w14:textId="32581BC7" w:rsidR="0027787C" w:rsidRPr="001A2820" w:rsidRDefault="0027787C" w:rsidP="0027787C">
            <w:pPr>
              <w:jc w:val="right"/>
              <w:rPr>
                <w:rFonts w:cstheme="minorHAnsi"/>
                <w:sz w:val="22"/>
                <w:szCs w:val="22"/>
                <w:lang w:val="fr-FR"/>
              </w:rPr>
            </w:pPr>
            <w:r w:rsidRPr="001A2820">
              <w:rPr>
                <w:rFonts w:cstheme="minorHAnsi"/>
                <w:sz w:val="22"/>
                <w:szCs w:val="22"/>
                <w:lang w:val="fr-FR"/>
              </w:rPr>
              <w:t>300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78A05C8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12CC6217" w14:textId="77777777" w:rsidTr="00A5411B">
        <w:trPr>
          <w:trHeight w:val="600"/>
        </w:trPr>
        <w:tc>
          <w:tcPr>
            <w:tcW w:w="1627" w:type="dxa"/>
            <w:hideMark/>
          </w:tcPr>
          <w:p w14:paraId="39A6E5CF" w14:textId="77777777" w:rsidR="0027787C" w:rsidRPr="001A2820" w:rsidRDefault="0027787C" w:rsidP="0027787C">
            <w:pPr>
              <w:rPr>
                <w:rFonts w:cstheme="minorHAnsi"/>
                <w:sz w:val="22"/>
                <w:szCs w:val="22"/>
                <w:lang w:val="fr-FR"/>
              </w:rPr>
            </w:pPr>
            <w:r w:rsidRPr="001A2820">
              <w:rPr>
                <w:rFonts w:cstheme="minorHAnsi"/>
                <w:sz w:val="22"/>
                <w:szCs w:val="22"/>
                <w:lang w:val="fr-FR"/>
              </w:rPr>
              <w:t>Paraguay</w:t>
            </w:r>
          </w:p>
        </w:tc>
        <w:tc>
          <w:tcPr>
            <w:tcW w:w="1671" w:type="dxa"/>
            <w:hideMark/>
          </w:tcPr>
          <w:p w14:paraId="52CB1129"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35E3F5D" w14:textId="070CA4A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1B1BB15" w14:textId="41F851FF" w:rsidR="0027787C" w:rsidRPr="001A2820" w:rsidRDefault="0027787C" w:rsidP="0027787C">
            <w:pPr>
              <w:rPr>
                <w:rFonts w:cstheme="minorHAnsi"/>
                <w:sz w:val="22"/>
                <w:szCs w:val="22"/>
                <w:lang w:val="fr-FR"/>
              </w:rPr>
            </w:pPr>
            <w:r w:rsidRPr="001A2820">
              <w:rPr>
                <w:rFonts w:cstheme="minorHAnsi"/>
                <w:sz w:val="22"/>
                <w:szCs w:val="22"/>
                <w:lang w:val="fr-FR"/>
              </w:rPr>
              <w:t>Élaboration de plans d’action nationaux concernant l’extraction minière artisanale et à petite échelle d’or au Paraguay</w:t>
            </w:r>
          </w:p>
        </w:tc>
        <w:tc>
          <w:tcPr>
            <w:tcW w:w="857" w:type="dxa"/>
            <w:hideMark/>
          </w:tcPr>
          <w:p w14:paraId="7A630ED5" w14:textId="75D90B4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53D0B66" w14:textId="7B2BF0BA"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1EB1202" w14:textId="2ED20532"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21EBB48" w14:textId="616EB995"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300389D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76B53863" w14:textId="77777777" w:rsidTr="00A5411B">
        <w:trPr>
          <w:trHeight w:val="600"/>
        </w:trPr>
        <w:tc>
          <w:tcPr>
            <w:tcW w:w="1627" w:type="dxa"/>
            <w:hideMark/>
          </w:tcPr>
          <w:p w14:paraId="45DBC36E" w14:textId="38C9D1B5" w:rsidR="0027787C" w:rsidRPr="001A2820" w:rsidRDefault="0027787C" w:rsidP="0027787C">
            <w:pPr>
              <w:rPr>
                <w:rFonts w:cstheme="minorHAnsi"/>
                <w:sz w:val="22"/>
                <w:szCs w:val="22"/>
                <w:lang w:val="fr-FR"/>
              </w:rPr>
            </w:pPr>
            <w:r w:rsidRPr="001A2820">
              <w:rPr>
                <w:rFonts w:cstheme="minorHAnsi"/>
                <w:sz w:val="22"/>
                <w:szCs w:val="22"/>
                <w:lang w:val="fr-FR"/>
              </w:rPr>
              <w:t>Pérou</w:t>
            </w:r>
          </w:p>
        </w:tc>
        <w:tc>
          <w:tcPr>
            <w:tcW w:w="1671" w:type="dxa"/>
            <w:hideMark/>
          </w:tcPr>
          <w:p w14:paraId="1AE519D8"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21D46DD" w14:textId="2DFB65D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8346C7F" w14:textId="50C86BE8" w:rsidR="0027787C" w:rsidRPr="001A2820" w:rsidRDefault="0027787C" w:rsidP="0027787C">
            <w:pPr>
              <w:rPr>
                <w:rFonts w:cstheme="minorHAnsi"/>
                <w:sz w:val="22"/>
                <w:szCs w:val="22"/>
                <w:lang w:val="fr-FR"/>
              </w:rPr>
            </w:pPr>
            <w:r w:rsidRPr="001A2820">
              <w:rPr>
                <w:rFonts w:cstheme="minorHAnsi"/>
                <w:sz w:val="22"/>
                <w:szCs w:val="22"/>
                <w:lang w:val="fr-FR"/>
              </w:rPr>
              <w:t xml:space="preserve">Plan d’action national concernant le mercure dans le secteur de l’extraction minière artisanale et à petite échelle d’or au Pérou </w:t>
            </w:r>
          </w:p>
        </w:tc>
        <w:tc>
          <w:tcPr>
            <w:tcW w:w="857" w:type="dxa"/>
            <w:hideMark/>
          </w:tcPr>
          <w:p w14:paraId="2E33004E" w14:textId="60F93E5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59F84B4" w14:textId="3F54361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3B2DB77" w14:textId="24C3A4E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7F9A1142" w14:textId="132CDB51"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5495178C" w14:textId="4015502E" w:rsidR="0027787C" w:rsidRPr="001A2820" w:rsidRDefault="0027787C" w:rsidP="0027787C">
            <w:pPr>
              <w:jc w:val="right"/>
              <w:rPr>
                <w:rFonts w:cstheme="minorHAnsi"/>
                <w:sz w:val="22"/>
                <w:szCs w:val="22"/>
                <w:lang w:val="fr-FR"/>
              </w:rPr>
            </w:pPr>
            <w:r w:rsidRPr="001A2820">
              <w:rPr>
                <w:rFonts w:cstheme="minorHAnsi"/>
                <w:sz w:val="22"/>
                <w:szCs w:val="22"/>
                <w:lang w:val="fr-FR"/>
              </w:rPr>
              <w:t>217</w:t>
            </w:r>
            <w:r w:rsidR="003B5855">
              <w:rPr>
                <w:rFonts w:cstheme="minorHAnsi"/>
                <w:sz w:val="22"/>
                <w:szCs w:val="22"/>
                <w:lang w:val="fr-FR"/>
              </w:rPr>
              <w:t> </w:t>
            </w:r>
            <w:r w:rsidRPr="001A2820">
              <w:rPr>
                <w:rFonts w:cstheme="minorHAnsi"/>
                <w:sz w:val="22"/>
                <w:szCs w:val="22"/>
                <w:lang w:val="fr-FR"/>
              </w:rPr>
              <w:t>000</w:t>
            </w:r>
          </w:p>
        </w:tc>
      </w:tr>
      <w:tr w:rsidR="0027787C" w:rsidRPr="001A2820" w14:paraId="4480E490" w14:textId="77777777" w:rsidTr="00A5411B">
        <w:trPr>
          <w:trHeight w:val="900"/>
        </w:trPr>
        <w:tc>
          <w:tcPr>
            <w:tcW w:w="1627" w:type="dxa"/>
            <w:hideMark/>
          </w:tcPr>
          <w:p w14:paraId="214128B3" w14:textId="77777777" w:rsidR="0027787C" w:rsidRPr="001A2820" w:rsidRDefault="0027787C" w:rsidP="0027787C">
            <w:pPr>
              <w:rPr>
                <w:rFonts w:cstheme="minorHAnsi"/>
                <w:sz w:val="22"/>
                <w:szCs w:val="22"/>
                <w:lang w:val="fr-FR"/>
              </w:rPr>
            </w:pPr>
            <w:r w:rsidRPr="001A2820">
              <w:rPr>
                <w:rFonts w:cstheme="minorHAnsi"/>
                <w:sz w:val="22"/>
                <w:szCs w:val="22"/>
                <w:lang w:val="fr-FR"/>
              </w:rPr>
              <w:t>Philippines</w:t>
            </w:r>
          </w:p>
        </w:tc>
        <w:tc>
          <w:tcPr>
            <w:tcW w:w="1671" w:type="dxa"/>
            <w:hideMark/>
          </w:tcPr>
          <w:p w14:paraId="5BC322E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81E195B"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65BFAF6B" w14:textId="276E7E23" w:rsidR="0027787C" w:rsidRPr="001A2820" w:rsidRDefault="0027787C" w:rsidP="0027787C">
            <w:pPr>
              <w:rPr>
                <w:rFonts w:cstheme="minorHAnsi"/>
                <w:sz w:val="22"/>
                <w:szCs w:val="22"/>
                <w:lang w:val="fr-FR"/>
              </w:rPr>
            </w:pPr>
            <w:r w:rsidRPr="001A2820">
              <w:rPr>
                <w:rFonts w:cstheme="minorHAnsi"/>
                <w:sz w:val="22"/>
                <w:szCs w:val="22"/>
                <w:lang w:val="fr-FR"/>
              </w:rPr>
              <w:t xml:space="preserve">Amélioration de la santé et de l’environnement des communautés pratiquant l’extraction minière artisanale d’or aux Philippines par la réduction des émissions de mercure </w:t>
            </w:r>
          </w:p>
        </w:tc>
        <w:tc>
          <w:tcPr>
            <w:tcW w:w="857" w:type="dxa"/>
            <w:hideMark/>
          </w:tcPr>
          <w:p w14:paraId="05B98347" w14:textId="67C29533"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38EDE162" w14:textId="4ED7FBDC"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18EC34FC" w14:textId="0339CF92"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38B96CDB" w14:textId="6D30D500" w:rsidR="0027787C" w:rsidRPr="001A2820" w:rsidRDefault="0027787C" w:rsidP="0027787C">
            <w:pPr>
              <w:jc w:val="right"/>
              <w:rPr>
                <w:rFonts w:cstheme="minorHAnsi"/>
                <w:sz w:val="22"/>
                <w:szCs w:val="22"/>
                <w:lang w:val="fr-FR"/>
              </w:rPr>
            </w:pPr>
            <w:r w:rsidRPr="001A2820">
              <w:rPr>
                <w:rFonts w:cstheme="minorHAnsi"/>
                <w:sz w:val="22"/>
                <w:szCs w:val="22"/>
                <w:lang w:val="fr-FR"/>
              </w:rPr>
              <w:t>550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3C91E813" w14:textId="35341AB3"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3B5855">
              <w:rPr>
                <w:rFonts w:cstheme="minorHAnsi"/>
                <w:sz w:val="22"/>
                <w:szCs w:val="22"/>
                <w:lang w:val="fr-FR"/>
              </w:rPr>
              <w:t> </w:t>
            </w:r>
            <w:r w:rsidRPr="001A2820">
              <w:rPr>
                <w:rFonts w:cstheme="minorHAnsi"/>
                <w:sz w:val="22"/>
                <w:szCs w:val="22"/>
                <w:lang w:val="fr-FR"/>
              </w:rPr>
              <w:t>081</w:t>
            </w:r>
            <w:r w:rsidR="003B5855">
              <w:rPr>
                <w:rFonts w:cstheme="minorHAnsi"/>
                <w:sz w:val="22"/>
                <w:szCs w:val="22"/>
                <w:lang w:val="fr-FR"/>
              </w:rPr>
              <w:t> </w:t>
            </w:r>
            <w:r w:rsidRPr="001A2820">
              <w:rPr>
                <w:rFonts w:cstheme="minorHAnsi"/>
                <w:sz w:val="22"/>
                <w:szCs w:val="22"/>
                <w:lang w:val="fr-FR"/>
              </w:rPr>
              <w:t>070</w:t>
            </w:r>
          </w:p>
        </w:tc>
      </w:tr>
      <w:tr w:rsidR="0027787C" w:rsidRPr="001A2820" w14:paraId="4649E327" w14:textId="77777777" w:rsidTr="00A5411B">
        <w:trPr>
          <w:trHeight w:val="600"/>
        </w:trPr>
        <w:tc>
          <w:tcPr>
            <w:tcW w:w="1627" w:type="dxa"/>
            <w:hideMark/>
          </w:tcPr>
          <w:p w14:paraId="1FCD42FA" w14:textId="1FBBD500"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208F426B" w14:textId="77777777" w:rsidR="0027787C" w:rsidRPr="001A2820" w:rsidRDefault="0027787C" w:rsidP="0027787C">
            <w:pPr>
              <w:rPr>
                <w:rFonts w:cstheme="minorHAnsi"/>
                <w:sz w:val="22"/>
                <w:szCs w:val="22"/>
                <w:lang w:val="fr-FR"/>
              </w:rPr>
            </w:pPr>
            <w:r w:rsidRPr="001A2820">
              <w:rPr>
                <w:rFonts w:cstheme="minorHAnsi"/>
                <w:sz w:val="22"/>
                <w:szCs w:val="22"/>
                <w:lang w:val="fr-FR"/>
              </w:rPr>
              <w:t>Angola, Malawi, Zimbabwe</w:t>
            </w:r>
          </w:p>
        </w:tc>
        <w:tc>
          <w:tcPr>
            <w:tcW w:w="1463" w:type="dxa"/>
            <w:hideMark/>
          </w:tcPr>
          <w:p w14:paraId="32F3D54B" w14:textId="196B2748"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F4A7097" w14:textId="78332A1C"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sur </w:t>
            </w:r>
            <w:r w:rsidR="00192DAA">
              <w:rPr>
                <w:rFonts w:cstheme="minorHAnsi"/>
                <w:sz w:val="22"/>
                <w:szCs w:val="22"/>
                <w:lang w:val="fr-FR"/>
              </w:rPr>
              <w:t xml:space="preserve">le </w:t>
            </w:r>
            <w:r w:rsidRPr="001A2820">
              <w:rPr>
                <w:rFonts w:cstheme="minorHAnsi"/>
                <w:sz w:val="22"/>
                <w:szCs w:val="22"/>
                <w:lang w:val="fr-FR"/>
              </w:rPr>
              <w:t xml:space="preserve">mercure en Afrique </w:t>
            </w:r>
          </w:p>
        </w:tc>
        <w:tc>
          <w:tcPr>
            <w:tcW w:w="857" w:type="dxa"/>
            <w:hideMark/>
          </w:tcPr>
          <w:p w14:paraId="75CE4298" w14:textId="435337EF"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4DDB716" w14:textId="252E7BD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8C56FD4" w14:textId="00DE8B23"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95FF1A1" w14:textId="3ED04088" w:rsidR="0027787C" w:rsidRPr="001A2820" w:rsidRDefault="0027787C" w:rsidP="0027787C">
            <w:pPr>
              <w:jc w:val="right"/>
              <w:rPr>
                <w:rFonts w:cstheme="minorHAnsi"/>
                <w:sz w:val="22"/>
                <w:szCs w:val="22"/>
                <w:lang w:val="fr-FR"/>
              </w:rPr>
            </w:pPr>
            <w:r w:rsidRPr="001A2820">
              <w:rPr>
                <w:rFonts w:cstheme="minorHAnsi"/>
                <w:sz w:val="22"/>
                <w:szCs w:val="22"/>
                <w:lang w:val="fr-FR"/>
              </w:rPr>
              <w:t>547</w:t>
            </w:r>
            <w:r w:rsidR="003B5855">
              <w:rPr>
                <w:rFonts w:cstheme="minorHAnsi"/>
                <w:sz w:val="22"/>
                <w:szCs w:val="22"/>
                <w:lang w:val="fr-FR"/>
              </w:rPr>
              <w:t> </w:t>
            </w:r>
            <w:r w:rsidRPr="001A2820">
              <w:rPr>
                <w:rFonts w:cstheme="minorHAnsi"/>
                <w:sz w:val="22"/>
                <w:szCs w:val="22"/>
                <w:lang w:val="fr-FR"/>
              </w:rPr>
              <w:t>945</w:t>
            </w:r>
          </w:p>
        </w:tc>
        <w:tc>
          <w:tcPr>
            <w:tcW w:w="1592" w:type="dxa"/>
            <w:hideMark/>
          </w:tcPr>
          <w:p w14:paraId="50C5909E" w14:textId="1705EA5A" w:rsidR="0027787C" w:rsidRPr="001A2820" w:rsidRDefault="0027787C" w:rsidP="0027787C">
            <w:pPr>
              <w:jc w:val="right"/>
              <w:rPr>
                <w:rFonts w:cstheme="minorHAnsi"/>
                <w:sz w:val="22"/>
                <w:szCs w:val="22"/>
                <w:lang w:val="fr-FR"/>
              </w:rPr>
            </w:pPr>
            <w:r w:rsidRPr="001A2820">
              <w:rPr>
                <w:rFonts w:cstheme="minorHAnsi"/>
                <w:sz w:val="22"/>
                <w:szCs w:val="22"/>
                <w:lang w:val="fr-FR"/>
              </w:rPr>
              <w:t>505</w:t>
            </w:r>
            <w:r w:rsidR="003B5855">
              <w:rPr>
                <w:rFonts w:cstheme="minorHAnsi"/>
                <w:sz w:val="22"/>
                <w:szCs w:val="22"/>
                <w:lang w:val="fr-FR"/>
              </w:rPr>
              <w:t> </w:t>
            </w:r>
            <w:r w:rsidRPr="001A2820">
              <w:rPr>
                <w:rFonts w:cstheme="minorHAnsi"/>
                <w:sz w:val="22"/>
                <w:szCs w:val="22"/>
                <w:lang w:val="fr-FR"/>
              </w:rPr>
              <w:t>000</w:t>
            </w:r>
          </w:p>
        </w:tc>
      </w:tr>
      <w:tr w:rsidR="0027787C" w:rsidRPr="001A2820" w14:paraId="0857C1D6" w14:textId="77777777" w:rsidTr="00A5411B">
        <w:trPr>
          <w:trHeight w:val="1800"/>
        </w:trPr>
        <w:tc>
          <w:tcPr>
            <w:tcW w:w="1627" w:type="dxa"/>
            <w:hideMark/>
          </w:tcPr>
          <w:p w14:paraId="1B9C1C46" w14:textId="53FAD321"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4EF55962" w14:textId="5B46DFCF" w:rsidR="0027787C" w:rsidRPr="001A2820" w:rsidRDefault="0027787C" w:rsidP="0027787C">
            <w:pPr>
              <w:rPr>
                <w:rFonts w:cstheme="minorHAnsi"/>
                <w:sz w:val="22"/>
                <w:szCs w:val="22"/>
                <w:lang w:val="fr-FR"/>
              </w:rPr>
            </w:pPr>
            <w:r w:rsidRPr="001A2820">
              <w:rPr>
                <w:rFonts w:cstheme="minorHAnsi"/>
                <w:sz w:val="22"/>
                <w:szCs w:val="22"/>
                <w:lang w:val="fr-FR"/>
              </w:rPr>
              <w:t>Antigua-et-Barbuda, Dominique, Grenade, Saint-Vincent-et-les Grenadines</w:t>
            </w:r>
          </w:p>
        </w:tc>
        <w:tc>
          <w:tcPr>
            <w:tcW w:w="1463" w:type="dxa"/>
            <w:hideMark/>
          </w:tcPr>
          <w:p w14:paraId="3572E808" w14:textId="196FFD4B"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43C562C" w14:textId="540A69D3" w:rsidR="0027787C" w:rsidRPr="001A2820" w:rsidRDefault="0027787C" w:rsidP="0027787C">
            <w:pPr>
              <w:rPr>
                <w:rFonts w:cstheme="minorHAnsi"/>
                <w:sz w:val="22"/>
                <w:szCs w:val="22"/>
                <w:lang w:val="fr-FR"/>
              </w:rPr>
            </w:pPr>
            <w:r w:rsidRPr="001A2820">
              <w:rPr>
                <w:rFonts w:cstheme="minorHAnsi"/>
                <w:sz w:val="22"/>
                <w:szCs w:val="22"/>
                <w:lang w:val="fr-FR"/>
              </w:rPr>
              <w:t>Élaboration d’évaluation</w:t>
            </w:r>
            <w:r w:rsidR="00192DAA">
              <w:rPr>
                <w:rFonts w:cstheme="minorHAnsi"/>
                <w:sz w:val="22"/>
                <w:szCs w:val="22"/>
                <w:lang w:val="fr-FR"/>
              </w:rPr>
              <w:t>s</w:t>
            </w:r>
            <w:r w:rsidRPr="001A2820">
              <w:rPr>
                <w:rFonts w:cstheme="minorHAnsi"/>
                <w:sz w:val="22"/>
                <w:szCs w:val="22"/>
                <w:lang w:val="fr-FR"/>
              </w:rPr>
              <w:t xml:space="preserve"> initiale</w:t>
            </w:r>
            <w:r w:rsidR="00192DAA">
              <w:rPr>
                <w:rFonts w:cstheme="minorHAnsi"/>
                <w:sz w:val="22"/>
                <w:szCs w:val="22"/>
                <w:lang w:val="fr-FR"/>
              </w:rPr>
              <w:t>s</w:t>
            </w:r>
            <w:r w:rsidRPr="001A2820">
              <w:rPr>
                <w:rFonts w:cstheme="minorHAnsi"/>
                <w:sz w:val="22"/>
                <w:szCs w:val="22"/>
                <w:lang w:val="fr-FR"/>
              </w:rPr>
              <w:t xml:space="preserve"> de la Convention de Minamata dans les Caraïbes (Antigua-et-Barbuda, Dominique, Grenade, Saint-Vincent-et-les Grenadines)</w:t>
            </w:r>
          </w:p>
        </w:tc>
        <w:tc>
          <w:tcPr>
            <w:tcW w:w="857" w:type="dxa"/>
            <w:hideMark/>
          </w:tcPr>
          <w:p w14:paraId="69C29299" w14:textId="0C03C54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87EF5C2" w14:textId="7540D49B"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9A70F2E" w14:textId="4921AA85"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8FE53A4" w14:textId="03B08BDF" w:rsidR="0027787C" w:rsidRPr="001A2820" w:rsidRDefault="0027787C" w:rsidP="0027787C">
            <w:pPr>
              <w:jc w:val="right"/>
              <w:rPr>
                <w:rFonts w:cstheme="minorHAnsi"/>
                <w:sz w:val="22"/>
                <w:szCs w:val="22"/>
                <w:lang w:val="fr-FR"/>
              </w:rPr>
            </w:pPr>
            <w:r w:rsidRPr="001A2820">
              <w:rPr>
                <w:rFonts w:cstheme="minorHAnsi"/>
                <w:sz w:val="22"/>
                <w:szCs w:val="22"/>
                <w:lang w:val="fr-FR"/>
              </w:rPr>
              <w:t>600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5FDBA50D"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4934C67" w14:textId="77777777" w:rsidTr="00A5411B">
        <w:trPr>
          <w:trHeight w:val="900"/>
        </w:trPr>
        <w:tc>
          <w:tcPr>
            <w:tcW w:w="1627" w:type="dxa"/>
            <w:hideMark/>
          </w:tcPr>
          <w:p w14:paraId="29B3E79D" w14:textId="1F484305"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75C946B3" w14:textId="40871B4D" w:rsidR="0027787C" w:rsidRPr="001A2820" w:rsidRDefault="0027787C" w:rsidP="0027787C">
            <w:pPr>
              <w:rPr>
                <w:rFonts w:cstheme="minorHAnsi"/>
                <w:sz w:val="22"/>
                <w:szCs w:val="22"/>
                <w:lang w:val="fr-FR"/>
              </w:rPr>
            </w:pPr>
            <w:r w:rsidRPr="001A2820">
              <w:rPr>
                <w:rFonts w:cstheme="minorHAnsi"/>
                <w:sz w:val="22"/>
                <w:szCs w:val="22"/>
                <w:lang w:val="fr-FR"/>
              </w:rPr>
              <w:t>Botswana, Lesotho, Namibie, Swaziland</w:t>
            </w:r>
          </w:p>
        </w:tc>
        <w:tc>
          <w:tcPr>
            <w:tcW w:w="1463" w:type="dxa"/>
            <w:hideMark/>
          </w:tcPr>
          <w:p w14:paraId="45AA4AF8" w14:textId="6BEEEBD5"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10AF55F" w14:textId="0BF1188F"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w:t>
            </w:r>
          </w:p>
        </w:tc>
        <w:tc>
          <w:tcPr>
            <w:tcW w:w="857" w:type="dxa"/>
            <w:hideMark/>
          </w:tcPr>
          <w:p w14:paraId="0C73F8DC" w14:textId="26005C3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81EBE00" w14:textId="6DFD0B1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E6BFB0A" w14:textId="6F45B615"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7F8A7DD4" w14:textId="32B4B9D1" w:rsidR="0027787C" w:rsidRPr="001A2820" w:rsidRDefault="0027787C" w:rsidP="0027787C">
            <w:pPr>
              <w:jc w:val="right"/>
              <w:rPr>
                <w:rFonts w:cstheme="minorHAnsi"/>
                <w:sz w:val="22"/>
                <w:szCs w:val="22"/>
                <w:lang w:val="fr-FR"/>
              </w:rPr>
            </w:pPr>
            <w:r w:rsidRPr="001A2820">
              <w:rPr>
                <w:rFonts w:cstheme="minorHAnsi"/>
                <w:sz w:val="22"/>
                <w:szCs w:val="22"/>
                <w:lang w:val="fr-FR"/>
              </w:rPr>
              <w:t>800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7F0A2DFD" w14:textId="64B6B74F" w:rsidR="0027787C" w:rsidRPr="001A2820" w:rsidRDefault="0027787C" w:rsidP="0027787C">
            <w:pPr>
              <w:jc w:val="right"/>
              <w:rPr>
                <w:rFonts w:cstheme="minorHAnsi"/>
                <w:sz w:val="22"/>
                <w:szCs w:val="22"/>
                <w:lang w:val="fr-FR"/>
              </w:rPr>
            </w:pPr>
            <w:r w:rsidRPr="001A2820">
              <w:rPr>
                <w:rFonts w:cstheme="minorHAnsi"/>
                <w:sz w:val="22"/>
                <w:szCs w:val="22"/>
                <w:lang w:val="fr-FR"/>
              </w:rPr>
              <w:t>61</w:t>
            </w:r>
            <w:r w:rsidR="003B5855">
              <w:rPr>
                <w:rFonts w:cstheme="minorHAnsi"/>
                <w:sz w:val="22"/>
                <w:szCs w:val="22"/>
                <w:lang w:val="fr-FR"/>
              </w:rPr>
              <w:t> </w:t>
            </w:r>
            <w:r w:rsidRPr="001A2820">
              <w:rPr>
                <w:rFonts w:cstheme="minorHAnsi"/>
                <w:sz w:val="22"/>
                <w:szCs w:val="22"/>
                <w:lang w:val="fr-FR"/>
              </w:rPr>
              <w:t>000</w:t>
            </w:r>
          </w:p>
        </w:tc>
      </w:tr>
      <w:tr w:rsidR="0027787C" w:rsidRPr="001A2820" w14:paraId="3E2C4508" w14:textId="77777777" w:rsidTr="00A5411B">
        <w:trPr>
          <w:trHeight w:val="900"/>
        </w:trPr>
        <w:tc>
          <w:tcPr>
            <w:tcW w:w="1627" w:type="dxa"/>
            <w:hideMark/>
          </w:tcPr>
          <w:p w14:paraId="61E6F13E" w14:textId="53CD7617"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73C1D1F4" w14:textId="537CDBBA" w:rsidR="0027787C" w:rsidRPr="00425FEC" w:rsidRDefault="0027787C" w:rsidP="0027787C">
            <w:pPr>
              <w:rPr>
                <w:rFonts w:cstheme="minorHAnsi"/>
                <w:sz w:val="22"/>
                <w:szCs w:val="22"/>
                <w:lang w:val="en-US"/>
              </w:rPr>
            </w:pPr>
            <w:r w:rsidRPr="00425FEC">
              <w:rPr>
                <w:rFonts w:cstheme="minorHAnsi"/>
                <w:sz w:val="22"/>
                <w:szCs w:val="22"/>
                <w:lang w:val="en-US"/>
              </w:rPr>
              <w:t>Burkina Faso, Bénin, Niger, Togo</w:t>
            </w:r>
          </w:p>
        </w:tc>
        <w:tc>
          <w:tcPr>
            <w:tcW w:w="1463" w:type="dxa"/>
            <w:hideMark/>
          </w:tcPr>
          <w:p w14:paraId="6DA07633" w14:textId="18A07397"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FE36668" w14:textId="19B162BB" w:rsidR="0027787C" w:rsidRPr="001A2820" w:rsidRDefault="0027787C" w:rsidP="0027787C">
            <w:pPr>
              <w:rPr>
                <w:rFonts w:cstheme="minorHAnsi"/>
                <w:sz w:val="22"/>
                <w:szCs w:val="22"/>
                <w:lang w:val="fr-FR"/>
              </w:rPr>
            </w:pPr>
            <w:r w:rsidRPr="001A2820">
              <w:rPr>
                <w:rFonts w:cstheme="minorHAnsi"/>
                <w:sz w:val="22"/>
                <w:szCs w:val="22"/>
                <w:lang w:val="fr-FR"/>
              </w:rPr>
              <w:t xml:space="preserve">Évaluation initiale de la Convention de Minamata en Afrique francophone II   </w:t>
            </w:r>
          </w:p>
        </w:tc>
        <w:tc>
          <w:tcPr>
            <w:tcW w:w="857" w:type="dxa"/>
            <w:hideMark/>
          </w:tcPr>
          <w:p w14:paraId="11DC8292" w14:textId="529BF3A4"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389C5E6" w14:textId="5ACD58A9"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779DE7F" w14:textId="3D7AABAC"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49599517" w14:textId="587486A3" w:rsidR="0027787C" w:rsidRPr="001A2820" w:rsidRDefault="0027787C" w:rsidP="0027787C">
            <w:pPr>
              <w:jc w:val="right"/>
              <w:rPr>
                <w:rFonts w:cstheme="minorHAnsi"/>
                <w:sz w:val="22"/>
                <w:szCs w:val="22"/>
                <w:lang w:val="fr-FR"/>
              </w:rPr>
            </w:pPr>
            <w:r w:rsidRPr="001A2820">
              <w:rPr>
                <w:rFonts w:cstheme="minorHAnsi"/>
                <w:sz w:val="22"/>
                <w:szCs w:val="22"/>
                <w:lang w:val="fr-FR"/>
              </w:rPr>
              <w:t>800</w:t>
            </w:r>
            <w:r w:rsidR="003B5855">
              <w:rPr>
                <w:rFonts w:cstheme="minorHAnsi"/>
                <w:sz w:val="22"/>
                <w:szCs w:val="22"/>
                <w:lang w:val="fr-FR"/>
              </w:rPr>
              <w:t> </w:t>
            </w:r>
            <w:r w:rsidRPr="001A2820">
              <w:rPr>
                <w:rFonts w:cstheme="minorHAnsi"/>
                <w:sz w:val="22"/>
                <w:szCs w:val="22"/>
                <w:lang w:val="fr-FR"/>
              </w:rPr>
              <w:t>000</w:t>
            </w:r>
          </w:p>
        </w:tc>
        <w:tc>
          <w:tcPr>
            <w:tcW w:w="1592" w:type="dxa"/>
            <w:hideMark/>
          </w:tcPr>
          <w:p w14:paraId="0CB95CDD" w14:textId="6A43F946" w:rsidR="0027787C" w:rsidRPr="001A2820" w:rsidRDefault="0027787C" w:rsidP="0027787C">
            <w:pPr>
              <w:jc w:val="right"/>
              <w:rPr>
                <w:rFonts w:cstheme="minorHAnsi"/>
                <w:sz w:val="22"/>
                <w:szCs w:val="22"/>
                <w:lang w:val="fr-FR"/>
              </w:rPr>
            </w:pPr>
            <w:r w:rsidRPr="001A2820">
              <w:rPr>
                <w:rFonts w:cstheme="minorHAnsi"/>
                <w:sz w:val="22"/>
                <w:szCs w:val="22"/>
                <w:lang w:val="fr-FR"/>
              </w:rPr>
              <w:t>134</w:t>
            </w:r>
            <w:r w:rsidR="003B5855">
              <w:rPr>
                <w:rFonts w:cstheme="minorHAnsi"/>
                <w:sz w:val="22"/>
                <w:szCs w:val="22"/>
                <w:lang w:val="fr-FR"/>
              </w:rPr>
              <w:t> </w:t>
            </w:r>
            <w:r w:rsidRPr="001A2820">
              <w:rPr>
                <w:rFonts w:cstheme="minorHAnsi"/>
                <w:sz w:val="22"/>
                <w:szCs w:val="22"/>
                <w:lang w:val="fr-FR"/>
              </w:rPr>
              <w:t>400</w:t>
            </w:r>
          </w:p>
        </w:tc>
      </w:tr>
      <w:tr w:rsidR="0027787C" w:rsidRPr="001A2820" w14:paraId="41BA3291" w14:textId="77777777" w:rsidTr="00A5411B">
        <w:trPr>
          <w:trHeight w:val="1200"/>
        </w:trPr>
        <w:tc>
          <w:tcPr>
            <w:tcW w:w="1627" w:type="dxa"/>
            <w:hideMark/>
          </w:tcPr>
          <w:p w14:paraId="436106F8" w14:textId="635B3EF4" w:rsidR="0027787C" w:rsidRPr="001A2820" w:rsidRDefault="0027787C" w:rsidP="0027787C">
            <w:pPr>
              <w:rPr>
                <w:rFonts w:cstheme="minorHAnsi"/>
                <w:sz w:val="22"/>
                <w:szCs w:val="22"/>
                <w:lang w:val="fr-FR"/>
              </w:rPr>
            </w:pPr>
            <w:r w:rsidRPr="001A2820">
              <w:rPr>
                <w:rFonts w:cstheme="minorHAnsi"/>
                <w:sz w:val="22"/>
                <w:szCs w:val="22"/>
                <w:lang w:val="fr-FR"/>
              </w:rPr>
              <w:lastRenderedPageBreak/>
              <w:t>Régional</w:t>
            </w:r>
          </w:p>
        </w:tc>
        <w:tc>
          <w:tcPr>
            <w:tcW w:w="1671" w:type="dxa"/>
            <w:hideMark/>
          </w:tcPr>
          <w:p w14:paraId="7C55215F" w14:textId="2A3FFA42" w:rsidR="0027787C" w:rsidRPr="001A2820" w:rsidRDefault="0027787C" w:rsidP="0027787C">
            <w:pPr>
              <w:rPr>
                <w:rFonts w:cstheme="minorHAnsi"/>
                <w:sz w:val="22"/>
                <w:szCs w:val="22"/>
                <w:lang w:val="fr-FR"/>
              </w:rPr>
            </w:pPr>
            <w:r w:rsidRPr="001A2820">
              <w:rPr>
                <w:rFonts w:cstheme="minorHAnsi"/>
                <w:sz w:val="22"/>
                <w:szCs w:val="22"/>
                <w:lang w:val="fr-FR"/>
              </w:rPr>
              <w:t>Burundi, Congo, Côte d’Ivoire, Gabon, République centrafricaine</w:t>
            </w:r>
          </w:p>
        </w:tc>
        <w:tc>
          <w:tcPr>
            <w:tcW w:w="1463" w:type="dxa"/>
            <w:hideMark/>
          </w:tcPr>
          <w:p w14:paraId="68EE2C13" w14:textId="50089DDE"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41DCAC4" w14:textId="08FBE187"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sur le mercure en Afrique</w:t>
            </w:r>
          </w:p>
        </w:tc>
        <w:tc>
          <w:tcPr>
            <w:tcW w:w="857" w:type="dxa"/>
            <w:hideMark/>
          </w:tcPr>
          <w:p w14:paraId="55F89054" w14:textId="514F037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BC5B92A" w14:textId="2FDCE01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B5D4126" w14:textId="7018C85F"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33990DD2" w14:textId="0F8C439F"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EC4D4C">
              <w:rPr>
                <w:rFonts w:cstheme="minorHAnsi"/>
                <w:sz w:val="22"/>
                <w:szCs w:val="22"/>
                <w:lang w:val="fr-FR"/>
              </w:rPr>
              <w:t> </w:t>
            </w:r>
            <w:r w:rsidRPr="001A2820">
              <w:rPr>
                <w:rFonts w:cstheme="minorHAnsi"/>
                <w:sz w:val="22"/>
                <w:szCs w:val="22"/>
                <w:lang w:val="fr-FR"/>
              </w:rPr>
              <w:t>000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11B401EA" w14:textId="12E06C72" w:rsidR="0027787C" w:rsidRPr="001A2820" w:rsidRDefault="0027787C" w:rsidP="0027787C">
            <w:pPr>
              <w:jc w:val="right"/>
              <w:rPr>
                <w:rFonts w:cstheme="minorHAnsi"/>
                <w:sz w:val="22"/>
                <w:szCs w:val="22"/>
                <w:lang w:val="fr-FR"/>
              </w:rPr>
            </w:pPr>
            <w:r w:rsidRPr="001A2820">
              <w:rPr>
                <w:rFonts w:cstheme="minorHAnsi"/>
                <w:sz w:val="22"/>
                <w:szCs w:val="22"/>
                <w:lang w:val="fr-FR"/>
              </w:rPr>
              <w:t>60</w:t>
            </w:r>
            <w:r w:rsidR="00EC4D4C">
              <w:rPr>
                <w:rFonts w:cstheme="minorHAnsi"/>
                <w:sz w:val="22"/>
                <w:szCs w:val="22"/>
                <w:lang w:val="fr-FR"/>
              </w:rPr>
              <w:t> </w:t>
            </w:r>
            <w:r w:rsidRPr="001A2820">
              <w:rPr>
                <w:rFonts w:cstheme="minorHAnsi"/>
                <w:sz w:val="22"/>
                <w:szCs w:val="22"/>
                <w:lang w:val="fr-FR"/>
              </w:rPr>
              <w:t>000</w:t>
            </w:r>
          </w:p>
        </w:tc>
      </w:tr>
      <w:tr w:rsidR="0027787C" w:rsidRPr="001A2820" w14:paraId="6F1F0018" w14:textId="77777777" w:rsidTr="00A5411B">
        <w:trPr>
          <w:trHeight w:val="1800"/>
        </w:trPr>
        <w:tc>
          <w:tcPr>
            <w:tcW w:w="1627" w:type="dxa"/>
            <w:hideMark/>
          </w:tcPr>
          <w:p w14:paraId="1F32C63C" w14:textId="74F8DC2D"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79EBB24D" w14:textId="3D605913" w:rsidR="0027787C" w:rsidRPr="001A2820" w:rsidRDefault="0027787C" w:rsidP="0027787C">
            <w:pPr>
              <w:rPr>
                <w:rFonts w:cstheme="minorHAnsi"/>
                <w:sz w:val="22"/>
                <w:szCs w:val="22"/>
                <w:lang w:val="fr-FR"/>
              </w:rPr>
            </w:pPr>
            <w:r w:rsidRPr="001A2820">
              <w:rPr>
                <w:rFonts w:cstheme="minorHAnsi"/>
                <w:sz w:val="22"/>
                <w:szCs w:val="22"/>
                <w:lang w:val="fr-FR"/>
              </w:rPr>
              <w:t>Burundi, Congo, Kenya, Ouganda, République centrafricaine, Swaziland, Zambie, Zimbabwe</w:t>
            </w:r>
          </w:p>
        </w:tc>
        <w:tc>
          <w:tcPr>
            <w:tcW w:w="1463" w:type="dxa"/>
            <w:hideMark/>
          </w:tcPr>
          <w:p w14:paraId="62243140" w14:textId="271AEDF1"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1825911" w14:textId="29C512FB" w:rsidR="0027787C" w:rsidRPr="001A2820" w:rsidRDefault="0027787C" w:rsidP="0027787C">
            <w:pPr>
              <w:rPr>
                <w:rFonts w:cstheme="minorHAnsi"/>
                <w:sz w:val="22"/>
                <w:szCs w:val="22"/>
                <w:lang w:val="fr-FR"/>
              </w:rPr>
            </w:pPr>
            <w:r w:rsidRPr="001A2820">
              <w:rPr>
                <w:rFonts w:cstheme="minorHAnsi"/>
                <w:sz w:val="22"/>
                <w:szCs w:val="22"/>
                <w:lang w:val="fr-FR"/>
              </w:rPr>
              <w:t xml:space="preserve">Projet régional sur l’élaboration de plans d’action nationaux </w:t>
            </w:r>
            <w:r w:rsidR="004A48BA">
              <w:rPr>
                <w:rFonts w:cstheme="minorHAnsi"/>
                <w:sz w:val="22"/>
                <w:szCs w:val="22"/>
                <w:lang w:val="fr-FR"/>
              </w:rPr>
              <w:t>concernant</w:t>
            </w:r>
            <w:r w:rsidRPr="001A2820">
              <w:rPr>
                <w:rFonts w:cstheme="minorHAnsi"/>
                <w:sz w:val="22"/>
                <w:szCs w:val="22"/>
                <w:lang w:val="fr-FR"/>
              </w:rPr>
              <w:t xml:space="preserve"> l’extraction minière artisanale et à petite échelle d’or en Afrique </w:t>
            </w:r>
          </w:p>
        </w:tc>
        <w:tc>
          <w:tcPr>
            <w:tcW w:w="857" w:type="dxa"/>
            <w:hideMark/>
          </w:tcPr>
          <w:p w14:paraId="209F9B79" w14:textId="615771FC"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61C3093" w14:textId="13A8C662"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280330C" w14:textId="0396CEE3"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2B331D51" w14:textId="2507A6CC" w:rsidR="0027787C" w:rsidRPr="001A2820" w:rsidRDefault="0027787C" w:rsidP="0027787C">
            <w:pPr>
              <w:jc w:val="right"/>
              <w:rPr>
                <w:rFonts w:cstheme="minorHAnsi"/>
                <w:sz w:val="22"/>
                <w:szCs w:val="22"/>
                <w:lang w:val="fr-FR"/>
              </w:rPr>
            </w:pPr>
            <w:r w:rsidRPr="001A2820">
              <w:rPr>
                <w:rFonts w:cstheme="minorHAnsi"/>
                <w:sz w:val="22"/>
                <w:szCs w:val="22"/>
                <w:lang w:val="fr-FR"/>
              </w:rPr>
              <w:t>4</w:t>
            </w:r>
            <w:r w:rsidR="00EC4D4C">
              <w:rPr>
                <w:rFonts w:cstheme="minorHAnsi"/>
                <w:sz w:val="22"/>
                <w:szCs w:val="22"/>
                <w:lang w:val="fr-FR"/>
              </w:rPr>
              <w:t> </w:t>
            </w:r>
            <w:r w:rsidRPr="001A2820">
              <w:rPr>
                <w:rFonts w:cstheme="minorHAnsi"/>
                <w:sz w:val="22"/>
                <w:szCs w:val="22"/>
                <w:lang w:val="fr-FR"/>
              </w:rPr>
              <w:t>000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62F86A9D" w14:textId="16D50FE6" w:rsidR="0027787C" w:rsidRPr="001A2820" w:rsidRDefault="0027787C" w:rsidP="0027787C">
            <w:pPr>
              <w:jc w:val="right"/>
              <w:rPr>
                <w:rFonts w:cstheme="minorHAnsi"/>
                <w:sz w:val="22"/>
                <w:szCs w:val="22"/>
                <w:lang w:val="fr-FR"/>
              </w:rPr>
            </w:pPr>
            <w:r w:rsidRPr="001A2820">
              <w:rPr>
                <w:rFonts w:cstheme="minorHAnsi"/>
                <w:sz w:val="22"/>
                <w:szCs w:val="22"/>
                <w:lang w:val="fr-FR"/>
              </w:rPr>
              <w:t>50</w:t>
            </w:r>
            <w:r w:rsidR="00EC4D4C">
              <w:rPr>
                <w:rFonts w:cstheme="minorHAnsi"/>
                <w:sz w:val="22"/>
                <w:szCs w:val="22"/>
                <w:lang w:val="fr-FR"/>
              </w:rPr>
              <w:t> </w:t>
            </w:r>
            <w:r w:rsidRPr="001A2820">
              <w:rPr>
                <w:rFonts w:cstheme="minorHAnsi"/>
                <w:sz w:val="22"/>
                <w:szCs w:val="22"/>
                <w:lang w:val="fr-FR"/>
              </w:rPr>
              <w:t>000</w:t>
            </w:r>
          </w:p>
        </w:tc>
      </w:tr>
      <w:tr w:rsidR="0027787C" w:rsidRPr="001A2820" w14:paraId="2B6F650A" w14:textId="77777777" w:rsidTr="00A5411B">
        <w:trPr>
          <w:trHeight w:val="900"/>
        </w:trPr>
        <w:tc>
          <w:tcPr>
            <w:tcW w:w="1627" w:type="dxa"/>
            <w:hideMark/>
          </w:tcPr>
          <w:p w14:paraId="13538A9D" w14:textId="16A5E5B6"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06F9601C" w14:textId="2BA2B973" w:rsidR="0027787C" w:rsidRPr="001A2820" w:rsidRDefault="0027787C" w:rsidP="0027787C">
            <w:pPr>
              <w:rPr>
                <w:rFonts w:cstheme="minorHAnsi"/>
                <w:sz w:val="22"/>
                <w:szCs w:val="22"/>
                <w:lang w:val="fr-FR"/>
              </w:rPr>
            </w:pPr>
            <w:r w:rsidRPr="001A2820">
              <w:rPr>
                <w:rFonts w:cstheme="minorHAnsi"/>
                <w:sz w:val="22"/>
                <w:szCs w:val="22"/>
                <w:lang w:val="fr-FR"/>
              </w:rPr>
              <w:t>Cabo Verde, Sao Tomé-et-Principe</w:t>
            </w:r>
          </w:p>
        </w:tc>
        <w:tc>
          <w:tcPr>
            <w:tcW w:w="1463" w:type="dxa"/>
            <w:hideMark/>
          </w:tcPr>
          <w:p w14:paraId="27E8D90E" w14:textId="23C196A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ADBC17C" w14:textId="7EF949FB" w:rsidR="0027787C" w:rsidRPr="001A2820" w:rsidRDefault="0027787C" w:rsidP="0027787C">
            <w:pPr>
              <w:rPr>
                <w:rFonts w:cstheme="minorHAnsi"/>
                <w:sz w:val="22"/>
                <w:szCs w:val="22"/>
                <w:lang w:val="fr-FR"/>
              </w:rPr>
            </w:pPr>
            <w:r w:rsidRPr="001A2820">
              <w:rPr>
                <w:rFonts w:cstheme="minorHAnsi"/>
                <w:sz w:val="22"/>
                <w:szCs w:val="22"/>
                <w:lang w:val="fr-FR"/>
              </w:rPr>
              <w:t>Convention de Minamata : évaluation initiale à Cabo Verde et à Sao Tomé-et-Principe</w:t>
            </w:r>
          </w:p>
        </w:tc>
        <w:tc>
          <w:tcPr>
            <w:tcW w:w="857" w:type="dxa"/>
            <w:hideMark/>
          </w:tcPr>
          <w:p w14:paraId="4B9A6BE4" w14:textId="4B93A19E"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E29EC5B" w14:textId="4A74464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95D59CB" w14:textId="1C70FBD9"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7D4A8899" w14:textId="0313A0BD" w:rsidR="0027787C" w:rsidRPr="001A2820" w:rsidRDefault="0027787C" w:rsidP="0027787C">
            <w:pPr>
              <w:jc w:val="right"/>
              <w:rPr>
                <w:rFonts w:cstheme="minorHAnsi"/>
                <w:sz w:val="22"/>
                <w:szCs w:val="22"/>
                <w:lang w:val="fr-FR"/>
              </w:rPr>
            </w:pPr>
            <w:r w:rsidRPr="001A2820">
              <w:rPr>
                <w:rFonts w:cstheme="minorHAnsi"/>
                <w:sz w:val="22"/>
                <w:szCs w:val="22"/>
                <w:lang w:val="fr-FR"/>
              </w:rPr>
              <w:t>400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2F675D34" w14:textId="30F4E727" w:rsidR="0027787C" w:rsidRPr="001A2820" w:rsidRDefault="0027787C" w:rsidP="0027787C">
            <w:pPr>
              <w:jc w:val="right"/>
              <w:rPr>
                <w:rFonts w:cstheme="minorHAnsi"/>
                <w:sz w:val="22"/>
                <w:szCs w:val="22"/>
                <w:lang w:val="fr-FR"/>
              </w:rPr>
            </w:pPr>
            <w:r w:rsidRPr="001A2820">
              <w:rPr>
                <w:rFonts w:cstheme="minorHAnsi"/>
                <w:sz w:val="22"/>
                <w:szCs w:val="22"/>
                <w:lang w:val="fr-FR"/>
              </w:rPr>
              <w:t>187</w:t>
            </w:r>
            <w:r w:rsidR="00EC4D4C">
              <w:rPr>
                <w:rFonts w:cstheme="minorHAnsi"/>
                <w:sz w:val="22"/>
                <w:szCs w:val="22"/>
                <w:lang w:val="fr-FR"/>
              </w:rPr>
              <w:t xml:space="preserve"> </w:t>
            </w:r>
            <w:r w:rsidRPr="001A2820">
              <w:rPr>
                <w:rFonts w:cstheme="minorHAnsi"/>
                <w:sz w:val="22"/>
                <w:szCs w:val="22"/>
                <w:lang w:val="fr-FR"/>
              </w:rPr>
              <w:t>200</w:t>
            </w:r>
          </w:p>
        </w:tc>
      </w:tr>
      <w:tr w:rsidR="0027787C" w:rsidRPr="001A2820" w14:paraId="4E5325BF" w14:textId="77777777" w:rsidTr="00A5411B">
        <w:trPr>
          <w:trHeight w:val="900"/>
        </w:trPr>
        <w:tc>
          <w:tcPr>
            <w:tcW w:w="1627" w:type="dxa"/>
            <w:hideMark/>
          </w:tcPr>
          <w:p w14:paraId="6B83FF9B" w14:textId="07C81A2D"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41F1C862" w14:textId="08C724B0" w:rsidR="0027787C" w:rsidRPr="00425FEC" w:rsidRDefault="0027787C" w:rsidP="0027787C">
            <w:pPr>
              <w:rPr>
                <w:rFonts w:cstheme="minorHAnsi"/>
                <w:sz w:val="22"/>
                <w:szCs w:val="22"/>
                <w:lang w:val="en-US"/>
              </w:rPr>
            </w:pPr>
            <w:r w:rsidRPr="00425FEC">
              <w:rPr>
                <w:rFonts w:cstheme="minorHAnsi"/>
                <w:sz w:val="22"/>
                <w:szCs w:val="22"/>
                <w:lang w:val="en-US"/>
              </w:rPr>
              <w:t>Îles Cook, Kiribati, Palaos, Tonga, Vanuatu</w:t>
            </w:r>
          </w:p>
        </w:tc>
        <w:tc>
          <w:tcPr>
            <w:tcW w:w="1463" w:type="dxa"/>
            <w:hideMark/>
          </w:tcPr>
          <w:p w14:paraId="73A120CE" w14:textId="749974B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7746A70" w14:textId="235F9AB4"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sur le mercure dans le Pacifique</w:t>
            </w:r>
          </w:p>
        </w:tc>
        <w:tc>
          <w:tcPr>
            <w:tcW w:w="857" w:type="dxa"/>
            <w:hideMark/>
          </w:tcPr>
          <w:p w14:paraId="1823F7DF" w14:textId="590E541B"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6E8EDCB" w14:textId="6C9AC61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0F75F09" w14:textId="44585923"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D05B163" w14:textId="20487E51"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6E7309FD" w14:textId="2BF4C031" w:rsidR="0027787C" w:rsidRPr="001A2820" w:rsidRDefault="0027787C" w:rsidP="0027787C">
            <w:pPr>
              <w:jc w:val="right"/>
              <w:rPr>
                <w:rFonts w:cstheme="minorHAnsi"/>
                <w:sz w:val="22"/>
                <w:szCs w:val="22"/>
                <w:lang w:val="fr-FR"/>
              </w:rPr>
            </w:pPr>
            <w:r w:rsidRPr="001A2820">
              <w:rPr>
                <w:rFonts w:cstheme="minorHAnsi"/>
                <w:sz w:val="22"/>
                <w:szCs w:val="22"/>
                <w:lang w:val="fr-FR"/>
              </w:rPr>
              <w:t>20</w:t>
            </w:r>
            <w:r w:rsidR="00EC4D4C">
              <w:rPr>
                <w:rFonts w:cstheme="minorHAnsi"/>
                <w:sz w:val="22"/>
                <w:szCs w:val="22"/>
                <w:lang w:val="fr-FR"/>
              </w:rPr>
              <w:t> </w:t>
            </w:r>
            <w:r w:rsidRPr="001A2820">
              <w:rPr>
                <w:rFonts w:cstheme="minorHAnsi"/>
                <w:sz w:val="22"/>
                <w:szCs w:val="22"/>
                <w:lang w:val="fr-FR"/>
              </w:rPr>
              <w:t>000</w:t>
            </w:r>
          </w:p>
        </w:tc>
      </w:tr>
      <w:tr w:rsidR="0027787C" w:rsidRPr="001A2820" w14:paraId="2D87D2F0" w14:textId="77777777" w:rsidTr="00A5411B">
        <w:trPr>
          <w:trHeight w:val="600"/>
        </w:trPr>
        <w:tc>
          <w:tcPr>
            <w:tcW w:w="1627" w:type="dxa"/>
            <w:hideMark/>
          </w:tcPr>
          <w:p w14:paraId="66DBED85" w14:textId="103CF3BE"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1E33FF0E" w14:textId="587C5362" w:rsidR="0027787C" w:rsidRPr="001A2820" w:rsidRDefault="0027787C" w:rsidP="0027787C">
            <w:pPr>
              <w:rPr>
                <w:rFonts w:cstheme="minorHAnsi"/>
                <w:sz w:val="22"/>
                <w:szCs w:val="22"/>
                <w:lang w:val="fr-FR"/>
              </w:rPr>
            </w:pPr>
            <w:r w:rsidRPr="001A2820">
              <w:rPr>
                <w:rFonts w:cstheme="minorHAnsi"/>
                <w:sz w:val="22"/>
                <w:szCs w:val="22"/>
                <w:lang w:val="fr-FR"/>
              </w:rPr>
              <w:t>Guinée, Mali, Sénégal</w:t>
            </w:r>
          </w:p>
        </w:tc>
        <w:tc>
          <w:tcPr>
            <w:tcW w:w="1463" w:type="dxa"/>
            <w:hideMark/>
          </w:tcPr>
          <w:p w14:paraId="4BCC799A" w14:textId="7D9118A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E61E7A7" w14:textId="115FFD9D"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en Afrique francophone I</w:t>
            </w:r>
          </w:p>
        </w:tc>
        <w:tc>
          <w:tcPr>
            <w:tcW w:w="857" w:type="dxa"/>
            <w:hideMark/>
          </w:tcPr>
          <w:p w14:paraId="0D00E24A" w14:textId="1E3A5A9A"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5F5E4A8" w14:textId="2986888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7551EE93" w14:textId="347B0C21"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633A6CD2" w14:textId="2C02349E" w:rsidR="0027787C" w:rsidRPr="001A2820" w:rsidRDefault="0027787C" w:rsidP="0027787C">
            <w:pPr>
              <w:jc w:val="right"/>
              <w:rPr>
                <w:rFonts w:cstheme="minorHAnsi"/>
                <w:sz w:val="22"/>
                <w:szCs w:val="22"/>
                <w:lang w:val="fr-FR"/>
              </w:rPr>
            </w:pPr>
            <w:r w:rsidRPr="001A2820">
              <w:rPr>
                <w:rFonts w:cstheme="minorHAnsi"/>
                <w:sz w:val="22"/>
                <w:szCs w:val="22"/>
                <w:lang w:val="fr-FR"/>
              </w:rPr>
              <w:t>600</w:t>
            </w:r>
            <w:r w:rsidR="00EC4D4C">
              <w:rPr>
                <w:rFonts w:cstheme="minorHAnsi"/>
                <w:sz w:val="22"/>
                <w:szCs w:val="22"/>
                <w:lang w:val="fr-FR"/>
              </w:rPr>
              <w:t xml:space="preserve"> </w:t>
            </w:r>
            <w:r w:rsidRPr="001A2820">
              <w:rPr>
                <w:rFonts w:cstheme="minorHAnsi"/>
                <w:sz w:val="22"/>
                <w:szCs w:val="22"/>
                <w:lang w:val="fr-FR"/>
              </w:rPr>
              <w:t>000</w:t>
            </w:r>
          </w:p>
        </w:tc>
        <w:tc>
          <w:tcPr>
            <w:tcW w:w="1592" w:type="dxa"/>
            <w:hideMark/>
          </w:tcPr>
          <w:p w14:paraId="536D9206" w14:textId="6E282210" w:rsidR="0027787C" w:rsidRPr="001A2820" w:rsidRDefault="0027787C" w:rsidP="0027787C">
            <w:pPr>
              <w:jc w:val="right"/>
              <w:rPr>
                <w:rFonts w:cstheme="minorHAnsi"/>
                <w:sz w:val="22"/>
                <w:szCs w:val="22"/>
                <w:lang w:val="fr-FR"/>
              </w:rPr>
            </w:pPr>
            <w:r w:rsidRPr="001A2820">
              <w:rPr>
                <w:rFonts w:cstheme="minorHAnsi"/>
                <w:sz w:val="22"/>
                <w:szCs w:val="22"/>
                <w:lang w:val="fr-FR"/>
              </w:rPr>
              <w:t>175</w:t>
            </w:r>
            <w:r w:rsidR="00EC4D4C">
              <w:rPr>
                <w:rFonts w:cstheme="minorHAnsi"/>
                <w:sz w:val="22"/>
                <w:szCs w:val="22"/>
                <w:lang w:val="fr-FR"/>
              </w:rPr>
              <w:t> </w:t>
            </w:r>
            <w:r w:rsidRPr="001A2820">
              <w:rPr>
                <w:rFonts w:cstheme="minorHAnsi"/>
                <w:sz w:val="22"/>
                <w:szCs w:val="22"/>
                <w:lang w:val="fr-FR"/>
              </w:rPr>
              <w:t>800</w:t>
            </w:r>
          </w:p>
        </w:tc>
      </w:tr>
      <w:tr w:rsidR="0027787C" w:rsidRPr="001A2820" w14:paraId="2B4F55FA" w14:textId="77777777" w:rsidTr="00A5411B">
        <w:trPr>
          <w:trHeight w:val="600"/>
        </w:trPr>
        <w:tc>
          <w:tcPr>
            <w:tcW w:w="1627" w:type="dxa"/>
            <w:hideMark/>
          </w:tcPr>
          <w:p w14:paraId="4EB40419" w14:textId="23997342"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6B0E14C9" w14:textId="41E84E77" w:rsidR="0027787C" w:rsidRPr="001A2820" w:rsidRDefault="0027787C" w:rsidP="0027787C">
            <w:pPr>
              <w:rPr>
                <w:rFonts w:cstheme="minorHAnsi"/>
                <w:sz w:val="22"/>
                <w:szCs w:val="22"/>
                <w:lang w:val="fr-FR"/>
              </w:rPr>
            </w:pPr>
            <w:r w:rsidRPr="001A2820">
              <w:rPr>
                <w:rFonts w:cstheme="minorHAnsi"/>
                <w:sz w:val="22"/>
                <w:szCs w:val="22"/>
                <w:lang w:val="fr-FR"/>
              </w:rPr>
              <w:t>Guinée, Niger</w:t>
            </w:r>
          </w:p>
        </w:tc>
        <w:tc>
          <w:tcPr>
            <w:tcW w:w="1463" w:type="dxa"/>
            <w:hideMark/>
          </w:tcPr>
          <w:p w14:paraId="16405DD4" w14:textId="1DA7EF2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E5C5CC4" w14:textId="0B94A10E"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 plan d’action national concernant l’extraction minière artisanale et à petite échelle d’or en Guinée et au Niger </w:t>
            </w:r>
          </w:p>
        </w:tc>
        <w:tc>
          <w:tcPr>
            <w:tcW w:w="857" w:type="dxa"/>
            <w:hideMark/>
          </w:tcPr>
          <w:p w14:paraId="785FA15E" w14:textId="3CE3362A"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7BE8F02" w14:textId="63B870C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480FCF2" w14:textId="6C181E15"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37492C0" w14:textId="4D8177C5"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EC4D4C">
              <w:rPr>
                <w:rFonts w:cstheme="minorHAnsi"/>
                <w:sz w:val="22"/>
                <w:szCs w:val="22"/>
                <w:lang w:val="fr-FR"/>
              </w:rPr>
              <w:t> </w:t>
            </w:r>
            <w:r w:rsidRPr="001A2820">
              <w:rPr>
                <w:rFonts w:cstheme="minorHAnsi"/>
                <w:sz w:val="22"/>
                <w:szCs w:val="22"/>
                <w:lang w:val="fr-FR"/>
              </w:rPr>
              <w:t>000</w:t>
            </w:r>
            <w:r w:rsidR="00EC4D4C">
              <w:rPr>
                <w:rFonts w:cstheme="minorHAnsi"/>
                <w:sz w:val="22"/>
                <w:szCs w:val="22"/>
                <w:lang w:val="fr-FR"/>
              </w:rPr>
              <w:t xml:space="preserve"> </w:t>
            </w:r>
            <w:r w:rsidRPr="001A2820">
              <w:rPr>
                <w:rFonts w:cstheme="minorHAnsi"/>
                <w:sz w:val="22"/>
                <w:szCs w:val="22"/>
                <w:lang w:val="fr-FR"/>
              </w:rPr>
              <w:t>000</w:t>
            </w:r>
          </w:p>
        </w:tc>
        <w:tc>
          <w:tcPr>
            <w:tcW w:w="1592" w:type="dxa"/>
            <w:hideMark/>
          </w:tcPr>
          <w:p w14:paraId="3A2EAA7D"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5D80141E" w14:textId="77777777" w:rsidTr="00A5411B">
        <w:trPr>
          <w:trHeight w:val="1200"/>
        </w:trPr>
        <w:tc>
          <w:tcPr>
            <w:tcW w:w="1627" w:type="dxa"/>
            <w:hideMark/>
          </w:tcPr>
          <w:p w14:paraId="1DA2261F" w14:textId="59AEBC53"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709D45FB" w14:textId="698E1C01" w:rsidR="0027787C" w:rsidRPr="001A2820" w:rsidRDefault="0027787C" w:rsidP="0027787C">
            <w:pPr>
              <w:rPr>
                <w:rFonts w:cstheme="minorHAnsi"/>
                <w:sz w:val="22"/>
                <w:szCs w:val="22"/>
                <w:lang w:val="fr-FR"/>
              </w:rPr>
            </w:pPr>
            <w:r w:rsidRPr="001A2820">
              <w:rPr>
                <w:rFonts w:cstheme="minorHAnsi"/>
                <w:sz w:val="22"/>
                <w:szCs w:val="22"/>
                <w:lang w:val="fr-FR"/>
              </w:rPr>
              <w:t>Jamaïque, Sainte-Lucie, Saint-Kitts-et-Nevis, Trinité-et-Tobago</w:t>
            </w:r>
          </w:p>
        </w:tc>
        <w:tc>
          <w:tcPr>
            <w:tcW w:w="1463" w:type="dxa"/>
            <w:hideMark/>
          </w:tcPr>
          <w:p w14:paraId="5C929C67" w14:textId="75C9B4A4"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F86FCBF" w14:textId="2825E3C6"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d’une évaluation initiale de la Convention de Minamata dans les Caraïbes (Jamaïque, Sainte-Lucie, Saint-Kitts-et-Nevis, Trinité-et-Tobago) </w:t>
            </w:r>
          </w:p>
        </w:tc>
        <w:tc>
          <w:tcPr>
            <w:tcW w:w="857" w:type="dxa"/>
            <w:hideMark/>
          </w:tcPr>
          <w:p w14:paraId="789B29B6" w14:textId="20F15A4E"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39C34E8" w14:textId="35B9A52E"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AA6A9FB" w14:textId="60312F14"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76D3EC34" w14:textId="0909B509" w:rsidR="0027787C" w:rsidRPr="001A2820" w:rsidRDefault="0027787C" w:rsidP="0027787C">
            <w:pPr>
              <w:jc w:val="right"/>
              <w:rPr>
                <w:rFonts w:cstheme="minorHAnsi"/>
                <w:sz w:val="22"/>
                <w:szCs w:val="22"/>
                <w:lang w:val="fr-FR"/>
              </w:rPr>
            </w:pPr>
            <w:r w:rsidRPr="001A2820">
              <w:rPr>
                <w:rFonts w:cstheme="minorHAnsi"/>
                <w:sz w:val="22"/>
                <w:szCs w:val="22"/>
                <w:lang w:val="fr-FR"/>
              </w:rPr>
              <w:t>600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3B1987EB"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215C9253" w14:textId="77777777" w:rsidTr="00A5411B">
        <w:trPr>
          <w:trHeight w:val="600"/>
        </w:trPr>
        <w:tc>
          <w:tcPr>
            <w:tcW w:w="1627" w:type="dxa"/>
            <w:hideMark/>
          </w:tcPr>
          <w:p w14:paraId="1590A342" w14:textId="66102218"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68D3E514" w14:textId="26120679" w:rsidR="0027787C" w:rsidRPr="001A2820" w:rsidRDefault="0027787C" w:rsidP="0027787C">
            <w:pPr>
              <w:rPr>
                <w:rFonts w:cstheme="minorHAnsi"/>
                <w:sz w:val="22"/>
                <w:szCs w:val="22"/>
                <w:lang w:val="fr-FR"/>
              </w:rPr>
            </w:pPr>
            <w:r w:rsidRPr="001A2820">
              <w:rPr>
                <w:rFonts w:cstheme="minorHAnsi"/>
                <w:sz w:val="22"/>
                <w:szCs w:val="22"/>
                <w:lang w:val="fr-FR"/>
              </w:rPr>
              <w:t>Mali, Sénégal</w:t>
            </w:r>
          </w:p>
        </w:tc>
        <w:tc>
          <w:tcPr>
            <w:tcW w:w="1463" w:type="dxa"/>
            <w:hideMark/>
          </w:tcPr>
          <w:p w14:paraId="240822C2" w14:textId="3AD77CF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72A34EE" w14:textId="26DBD576" w:rsidR="0027787C" w:rsidRPr="001A2820" w:rsidRDefault="0027787C" w:rsidP="0027787C">
            <w:pPr>
              <w:rPr>
                <w:rFonts w:cstheme="minorHAnsi"/>
                <w:sz w:val="22"/>
                <w:szCs w:val="22"/>
                <w:lang w:val="fr-FR"/>
              </w:rPr>
            </w:pPr>
            <w:r w:rsidRPr="001A2820">
              <w:rPr>
                <w:rFonts w:cstheme="minorHAnsi"/>
                <w:sz w:val="22"/>
                <w:szCs w:val="22"/>
                <w:lang w:val="fr-FR"/>
              </w:rPr>
              <w:t xml:space="preserve">Élaboration d’un plan d’action national concernant l’extraction minière </w:t>
            </w:r>
            <w:r w:rsidRPr="001A2820">
              <w:rPr>
                <w:rFonts w:cstheme="minorHAnsi"/>
                <w:sz w:val="22"/>
                <w:szCs w:val="22"/>
                <w:lang w:val="fr-FR"/>
              </w:rPr>
              <w:lastRenderedPageBreak/>
              <w:t xml:space="preserve">artisanale et à petite échelle d’or au Mali et au Sénégal </w:t>
            </w:r>
          </w:p>
        </w:tc>
        <w:tc>
          <w:tcPr>
            <w:tcW w:w="857" w:type="dxa"/>
            <w:hideMark/>
          </w:tcPr>
          <w:p w14:paraId="593D811A" w14:textId="4962E7EB" w:rsidR="0027787C" w:rsidRPr="001A2820" w:rsidRDefault="00F47184" w:rsidP="0027787C">
            <w:pPr>
              <w:rPr>
                <w:rFonts w:cstheme="minorHAnsi"/>
                <w:sz w:val="22"/>
                <w:szCs w:val="22"/>
                <w:lang w:val="fr-FR"/>
              </w:rPr>
            </w:pPr>
            <w:r>
              <w:rPr>
                <w:rFonts w:cstheme="minorHAnsi"/>
                <w:sz w:val="22"/>
                <w:szCs w:val="22"/>
                <w:lang w:val="fr-FR"/>
              </w:rPr>
              <w:lastRenderedPageBreak/>
              <w:t>FEM-6</w:t>
            </w:r>
          </w:p>
        </w:tc>
        <w:tc>
          <w:tcPr>
            <w:tcW w:w="889" w:type="dxa"/>
            <w:hideMark/>
          </w:tcPr>
          <w:p w14:paraId="278E98D7" w14:textId="37D9289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48A3424" w14:textId="3433B8A2"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4FF2038" w14:textId="266126D1"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EC4D4C">
              <w:rPr>
                <w:rFonts w:cstheme="minorHAnsi"/>
                <w:sz w:val="22"/>
                <w:szCs w:val="22"/>
                <w:lang w:val="fr-FR"/>
              </w:rPr>
              <w:t> </w:t>
            </w:r>
            <w:r w:rsidRPr="001A2820">
              <w:rPr>
                <w:rFonts w:cstheme="minorHAnsi"/>
                <w:sz w:val="22"/>
                <w:szCs w:val="22"/>
                <w:lang w:val="fr-FR"/>
              </w:rPr>
              <w:t>000</w:t>
            </w:r>
            <w:r w:rsidR="00EC4D4C">
              <w:rPr>
                <w:rFonts w:cstheme="minorHAnsi"/>
                <w:sz w:val="22"/>
                <w:szCs w:val="22"/>
                <w:lang w:val="fr-FR"/>
              </w:rPr>
              <w:t> </w:t>
            </w:r>
            <w:r w:rsidRPr="001A2820">
              <w:rPr>
                <w:rFonts w:cstheme="minorHAnsi"/>
                <w:sz w:val="22"/>
                <w:szCs w:val="22"/>
                <w:lang w:val="fr-FR"/>
              </w:rPr>
              <w:t>000</w:t>
            </w:r>
          </w:p>
        </w:tc>
        <w:tc>
          <w:tcPr>
            <w:tcW w:w="1592" w:type="dxa"/>
            <w:hideMark/>
          </w:tcPr>
          <w:p w14:paraId="2A83E7B3"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5B3A9E8A" w14:textId="77777777" w:rsidTr="00A5411B">
        <w:trPr>
          <w:trHeight w:val="900"/>
        </w:trPr>
        <w:tc>
          <w:tcPr>
            <w:tcW w:w="1627" w:type="dxa"/>
            <w:hideMark/>
          </w:tcPr>
          <w:p w14:paraId="77663AE3" w14:textId="4ED72D10"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27EE1445" w14:textId="3FE6883A" w:rsidR="0027787C" w:rsidRPr="001A2820" w:rsidRDefault="0027787C" w:rsidP="0027787C">
            <w:pPr>
              <w:rPr>
                <w:rFonts w:cstheme="minorHAnsi"/>
                <w:sz w:val="22"/>
                <w:szCs w:val="22"/>
                <w:lang w:val="fr-FR"/>
              </w:rPr>
            </w:pPr>
            <w:r w:rsidRPr="001A2820">
              <w:rPr>
                <w:rFonts w:cstheme="minorHAnsi"/>
                <w:sz w:val="22"/>
                <w:szCs w:val="22"/>
                <w:lang w:val="fr-FR"/>
              </w:rPr>
              <w:t>Ghana, Kenya, Sénégal, Tanzanie, Zambie</w:t>
            </w:r>
          </w:p>
        </w:tc>
        <w:tc>
          <w:tcPr>
            <w:tcW w:w="1463" w:type="dxa"/>
            <w:hideMark/>
          </w:tcPr>
          <w:p w14:paraId="738C7401" w14:textId="5CBFFD6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E4B3B81" w14:textId="5A1B60E8" w:rsidR="0027787C" w:rsidRPr="001A2820" w:rsidRDefault="0027787C" w:rsidP="0027787C">
            <w:pPr>
              <w:rPr>
                <w:rFonts w:cstheme="minorHAnsi"/>
                <w:sz w:val="22"/>
                <w:szCs w:val="22"/>
                <w:lang w:val="fr-FR"/>
              </w:rPr>
            </w:pPr>
            <w:r w:rsidRPr="001A2820">
              <w:rPr>
                <w:rFonts w:cstheme="minorHAnsi"/>
                <w:sz w:val="22"/>
                <w:szCs w:val="22"/>
                <w:lang w:val="fr-FR"/>
              </w:rPr>
              <w:t>Programme sur la gestion de la pollution et la santé de l’environnement en Afrique</w:t>
            </w:r>
          </w:p>
        </w:tc>
        <w:tc>
          <w:tcPr>
            <w:tcW w:w="857" w:type="dxa"/>
            <w:hideMark/>
          </w:tcPr>
          <w:p w14:paraId="5736A87E" w14:textId="1985BDD4"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6EAC183" w14:textId="57381D04" w:rsidR="0027787C" w:rsidRPr="001A2820" w:rsidRDefault="00346B22" w:rsidP="0027787C">
            <w:pPr>
              <w:rPr>
                <w:rFonts w:cstheme="minorHAnsi"/>
                <w:sz w:val="22"/>
                <w:szCs w:val="22"/>
                <w:lang w:val="fr-FR"/>
              </w:rPr>
            </w:pPr>
            <w:r>
              <w:rPr>
                <w:rFonts w:cstheme="minorHAnsi"/>
                <w:sz w:val="22"/>
                <w:szCs w:val="22"/>
                <w:lang w:val="fr-FR"/>
              </w:rPr>
              <w:t>DCP</w:t>
            </w:r>
          </w:p>
        </w:tc>
        <w:tc>
          <w:tcPr>
            <w:tcW w:w="1157" w:type="dxa"/>
            <w:hideMark/>
          </w:tcPr>
          <w:p w14:paraId="570EB354" w14:textId="7B3C315C" w:rsidR="0027787C" w:rsidRPr="001A2820" w:rsidRDefault="0027787C" w:rsidP="0027787C">
            <w:pPr>
              <w:rPr>
                <w:rFonts w:cstheme="minorHAnsi"/>
                <w:sz w:val="22"/>
                <w:szCs w:val="22"/>
                <w:lang w:val="fr-FR"/>
              </w:rPr>
            </w:pPr>
            <w:r w:rsidRPr="001A2820">
              <w:rPr>
                <w:rFonts w:cstheme="minorHAnsi"/>
                <w:sz w:val="22"/>
                <w:szCs w:val="22"/>
                <w:lang w:val="fr-FR"/>
              </w:rPr>
              <w:t>Banque mondiale</w:t>
            </w:r>
          </w:p>
        </w:tc>
        <w:tc>
          <w:tcPr>
            <w:tcW w:w="1498" w:type="dxa"/>
            <w:hideMark/>
          </w:tcPr>
          <w:p w14:paraId="6A027734" w14:textId="061D56DA" w:rsidR="0027787C" w:rsidRPr="001A2820" w:rsidRDefault="0027787C" w:rsidP="0027787C">
            <w:pPr>
              <w:jc w:val="right"/>
              <w:rPr>
                <w:rFonts w:cstheme="minorHAnsi"/>
                <w:sz w:val="22"/>
                <w:szCs w:val="22"/>
                <w:lang w:val="fr-FR"/>
              </w:rPr>
            </w:pPr>
            <w:r w:rsidRPr="001A2820">
              <w:rPr>
                <w:rFonts w:cstheme="minorHAnsi"/>
                <w:sz w:val="22"/>
                <w:szCs w:val="22"/>
                <w:lang w:val="fr-FR"/>
              </w:rPr>
              <w:t>13</w:t>
            </w:r>
            <w:r w:rsidR="0075453A">
              <w:rPr>
                <w:rFonts w:cstheme="minorHAnsi"/>
                <w:sz w:val="22"/>
                <w:szCs w:val="22"/>
                <w:lang w:val="fr-FR"/>
              </w:rPr>
              <w:t> </w:t>
            </w:r>
            <w:r w:rsidRPr="001A2820">
              <w:rPr>
                <w:rFonts w:cstheme="minorHAnsi"/>
                <w:sz w:val="22"/>
                <w:szCs w:val="22"/>
                <w:lang w:val="fr-FR"/>
              </w:rPr>
              <w:t>486</w:t>
            </w:r>
            <w:r w:rsidR="0075453A">
              <w:rPr>
                <w:rFonts w:cstheme="minorHAnsi"/>
                <w:sz w:val="22"/>
                <w:szCs w:val="22"/>
                <w:lang w:val="fr-FR"/>
              </w:rPr>
              <w:t> </w:t>
            </w:r>
            <w:r w:rsidRPr="001A2820">
              <w:rPr>
                <w:rFonts w:cstheme="minorHAnsi"/>
                <w:sz w:val="22"/>
                <w:szCs w:val="22"/>
                <w:lang w:val="fr-FR"/>
              </w:rPr>
              <w:t>239</w:t>
            </w:r>
          </w:p>
        </w:tc>
        <w:tc>
          <w:tcPr>
            <w:tcW w:w="1592" w:type="dxa"/>
            <w:hideMark/>
          </w:tcPr>
          <w:p w14:paraId="7BA3EFFC" w14:textId="28CE3AFC" w:rsidR="0027787C" w:rsidRPr="001A2820" w:rsidRDefault="0027787C" w:rsidP="0027787C">
            <w:pPr>
              <w:jc w:val="right"/>
              <w:rPr>
                <w:rFonts w:cstheme="minorHAnsi"/>
                <w:sz w:val="22"/>
                <w:szCs w:val="22"/>
                <w:lang w:val="fr-FR"/>
              </w:rPr>
            </w:pPr>
            <w:r w:rsidRPr="001A2820">
              <w:rPr>
                <w:rFonts w:cstheme="minorHAnsi"/>
                <w:sz w:val="22"/>
                <w:szCs w:val="22"/>
                <w:lang w:val="fr-FR"/>
              </w:rPr>
              <w:t>98</w:t>
            </w:r>
            <w:r w:rsidR="009E04A6">
              <w:rPr>
                <w:rFonts w:cstheme="minorHAnsi"/>
                <w:sz w:val="22"/>
                <w:szCs w:val="22"/>
                <w:lang w:val="fr-FR"/>
              </w:rPr>
              <w:t> </w:t>
            </w:r>
            <w:r w:rsidRPr="001A2820">
              <w:rPr>
                <w:rFonts w:cstheme="minorHAnsi"/>
                <w:sz w:val="22"/>
                <w:szCs w:val="22"/>
                <w:lang w:val="fr-FR"/>
              </w:rPr>
              <w:t>600</w:t>
            </w:r>
            <w:r w:rsidR="009E04A6">
              <w:rPr>
                <w:rFonts w:cstheme="minorHAnsi"/>
                <w:sz w:val="22"/>
                <w:szCs w:val="22"/>
                <w:lang w:val="fr-FR"/>
              </w:rPr>
              <w:t> </w:t>
            </w:r>
            <w:r w:rsidRPr="001A2820">
              <w:rPr>
                <w:rFonts w:cstheme="minorHAnsi"/>
                <w:sz w:val="22"/>
                <w:szCs w:val="22"/>
                <w:lang w:val="fr-FR"/>
              </w:rPr>
              <w:t>000</w:t>
            </w:r>
          </w:p>
        </w:tc>
      </w:tr>
      <w:tr w:rsidR="0027787C" w:rsidRPr="001A2820" w14:paraId="4D9AAE8C" w14:textId="77777777" w:rsidTr="00A5411B">
        <w:trPr>
          <w:trHeight w:val="1200"/>
        </w:trPr>
        <w:tc>
          <w:tcPr>
            <w:tcW w:w="1627" w:type="dxa"/>
            <w:hideMark/>
          </w:tcPr>
          <w:p w14:paraId="72E1080B" w14:textId="0B06BB64"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3DFE8E20" w14:textId="308A3707" w:rsidR="0027787C" w:rsidRPr="001A2820" w:rsidRDefault="0027787C" w:rsidP="0027787C">
            <w:pPr>
              <w:rPr>
                <w:rFonts w:cstheme="minorHAnsi"/>
                <w:sz w:val="22"/>
                <w:szCs w:val="22"/>
                <w:lang w:val="fr-FR"/>
              </w:rPr>
            </w:pPr>
            <w:r w:rsidRPr="001A2820">
              <w:rPr>
                <w:rFonts w:cstheme="minorHAnsi"/>
                <w:sz w:val="22"/>
                <w:szCs w:val="22"/>
                <w:lang w:val="fr-FR"/>
              </w:rPr>
              <w:t>Burkina Faso, Bénin, Mali, Niger, Sénégal, Togo</w:t>
            </w:r>
          </w:p>
        </w:tc>
        <w:tc>
          <w:tcPr>
            <w:tcW w:w="1463" w:type="dxa"/>
            <w:hideMark/>
          </w:tcPr>
          <w:p w14:paraId="699F2C7A" w14:textId="7778452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A7A2FC5" w14:textId="51788643" w:rsidR="0027787C" w:rsidRPr="001A2820" w:rsidRDefault="0027787C" w:rsidP="0027787C">
            <w:pPr>
              <w:rPr>
                <w:rFonts w:cstheme="minorHAnsi"/>
                <w:sz w:val="22"/>
                <w:szCs w:val="22"/>
                <w:lang w:val="fr-FR"/>
              </w:rPr>
            </w:pPr>
            <w:r w:rsidRPr="001A2820">
              <w:rPr>
                <w:rFonts w:cstheme="minorHAnsi"/>
                <w:sz w:val="22"/>
                <w:szCs w:val="22"/>
                <w:lang w:val="fr-FR"/>
              </w:rPr>
              <w:t>Investissement à impact et renforcement des capacités à l’appui d’une gestion durable des déchets visant à réduire les émissions de polluants organiques persistants produits non intentionnellement et de mercure en Afrique occidentale</w:t>
            </w:r>
          </w:p>
        </w:tc>
        <w:tc>
          <w:tcPr>
            <w:tcW w:w="857" w:type="dxa"/>
            <w:hideMark/>
          </w:tcPr>
          <w:p w14:paraId="5C875E2C" w14:textId="5E14AB4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034B45F" w14:textId="2D7768A8"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10F87A0E" w14:textId="77777777" w:rsidR="0027787C" w:rsidRPr="001A2820" w:rsidRDefault="0027787C" w:rsidP="0027787C">
            <w:pPr>
              <w:rPr>
                <w:rFonts w:cstheme="minorHAnsi"/>
                <w:sz w:val="22"/>
                <w:szCs w:val="22"/>
                <w:lang w:val="fr-FR"/>
              </w:rPr>
            </w:pPr>
            <w:r w:rsidRPr="001A2820">
              <w:rPr>
                <w:rFonts w:cstheme="minorHAnsi"/>
                <w:sz w:val="22"/>
                <w:szCs w:val="22"/>
                <w:lang w:val="fr-FR"/>
              </w:rPr>
              <w:t>BOAD</w:t>
            </w:r>
          </w:p>
        </w:tc>
        <w:tc>
          <w:tcPr>
            <w:tcW w:w="1498" w:type="dxa"/>
            <w:hideMark/>
          </w:tcPr>
          <w:p w14:paraId="276F20E3" w14:textId="23A7EC41" w:rsidR="0027787C" w:rsidRPr="001A2820" w:rsidRDefault="0027787C" w:rsidP="0027787C">
            <w:pPr>
              <w:jc w:val="right"/>
              <w:rPr>
                <w:rFonts w:cstheme="minorHAnsi"/>
                <w:sz w:val="22"/>
                <w:szCs w:val="22"/>
                <w:lang w:val="fr-FR"/>
              </w:rPr>
            </w:pPr>
            <w:r w:rsidRPr="001A2820">
              <w:rPr>
                <w:rFonts w:cstheme="minorHAnsi"/>
                <w:sz w:val="22"/>
                <w:szCs w:val="22"/>
                <w:lang w:val="fr-FR"/>
              </w:rPr>
              <w:t>5</w:t>
            </w:r>
            <w:r w:rsidR="0075453A">
              <w:rPr>
                <w:rFonts w:cstheme="minorHAnsi"/>
                <w:sz w:val="22"/>
                <w:szCs w:val="22"/>
                <w:lang w:val="fr-FR"/>
              </w:rPr>
              <w:t> </w:t>
            </w:r>
            <w:r w:rsidRPr="001A2820">
              <w:rPr>
                <w:rFonts w:cstheme="minorHAnsi"/>
                <w:sz w:val="22"/>
                <w:szCs w:val="22"/>
                <w:lang w:val="fr-FR"/>
              </w:rPr>
              <w:t>331</w:t>
            </w:r>
            <w:r w:rsidR="0075453A">
              <w:rPr>
                <w:rFonts w:cstheme="minorHAnsi"/>
                <w:sz w:val="22"/>
                <w:szCs w:val="22"/>
                <w:lang w:val="fr-FR"/>
              </w:rPr>
              <w:t> </w:t>
            </w:r>
            <w:r w:rsidRPr="001A2820">
              <w:rPr>
                <w:rFonts w:cstheme="minorHAnsi"/>
                <w:sz w:val="22"/>
                <w:szCs w:val="22"/>
                <w:lang w:val="fr-FR"/>
              </w:rPr>
              <w:t>334</w:t>
            </w:r>
          </w:p>
        </w:tc>
        <w:tc>
          <w:tcPr>
            <w:tcW w:w="1592" w:type="dxa"/>
            <w:hideMark/>
          </w:tcPr>
          <w:p w14:paraId="6D4D67F9" w14:textId="7F867BB1" w:rsidR="0027787C" w:rsidRPr="001A2820" w:rsidRDefault="0027787C" w:rsidP="0027787C">
            <w:pPr>
              <w:jc w:val="right"/>
              <w:rPr>
                <w:rFonts w:cstheme="minorHAnsi"/>
                <w:sz w:val="22"/>
                <w:szCs w:val="22"/>
                <w:lang w:val="fr-FR"/>
              </w:rPr>
            </w:pPr>
            <w:r w:rsidRPr="001A2820">
              <w:rPr>
                <w:rFonts w:cstheme="minorHAnsi"/>
                <w:sz w:val="22"/>
                <w:szCs w:val="22"/>
                <w:lang w:val="fr-FR"/>
              </w:rPr>
              <w:t>77</w:t>
            </w:r>
            <w:r w:rsidR="009E04A6">
              <w:rPr>
                <w:rFonts w:cstheme="minorHAnsi"/>
                <w:sz w:val="22"/>
                <w:szCs w:val="22"/>
                <w:lang w:val="fr-FR"/>
              </w:rPr>
              <w:t> </w:t>
            </w:r>
            <w:r w:rsidRPr="001A2820">
              <w:rPr>
                <w:rFonts w:cstheme="minorHAnsi"/>
                <w:sz w:val="22"/>
                <w:szCs w:val="22"/>
                <w:lang w:val="fr-FR"/>
              </w:rPr>
              <w:t>000</w:t>
            </w:r>
            <w:r w:rsidR="009E04A6">
              <w:rPr>
                <w:rFonts w:cstheme="minorHAnsi"/>
                <w:sz w:val="22"/>
                <w:szCs w:val="22"/>
                <w:lang w:val="fr-FR"/>
              </w:rPr>
              <w:t> </w:t>
            </w:r>
            <w:r w:rsidRPr="001A2820">
              <w:rPr>
                <w:rFonts w:cstheme="minorHAnsi"/>
                <w:sz w:val="22"/>
                <w:szCs w:val="22"/>
                <w:lang w:val="fr-FR"/>
              </w:rPr>
              <w:t>000</w:t>
            </w:r>
          </w:p>
        </w:tc>
      </w:tr>
      <w:tr w:rsidR="0027787C" w:rsidRPr="001A2820" w14:paraId="581B6A03" w14:textId="77777777" w:rsidTr="00A5411B">
        <w:trPr>
          <w:trHeight w:val="900"/>
        </w:trPr>
        <w:tc>
          <w:tcPr>
            <w:tcW w:w="1627" w:type="dxa"/>
            <w:hideMark/>
          </w:tcPr>
          <w:p w14:paraId="42270AB3" w14:textId="38EA6FB6"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6ED246B2" w14:textId="22B1C0E1" w:rsidR="0027787C" w:rsidRPr="001A2820" w:rsidRDefault="0027787C" w:rsidP="0027787C">
            <w:pPr>
              <w:rPr>
                <w:rFonts w:cstheme="minorHAnsi"/>
                <w:sz w:val="22"/>
                <w:szCs w:val="22"/>
                <w:lang w:val="fr-FR"/>
              </w:rPr>
            </w:pPr>
            <w:r w:rsidRPr="001A2820">
              <w:rPr>
                <w:rFonts w:cstheme="minorHAnsi"/>
                <w:sz w:val="22"/>
                <w:szCs w:val="22"/>
                <w:lang w:val="fr-FR"/>
              </w:rPr>
              <w:t>Cambodge, Philippines, Pakistan</w:t>
            </w:r>
          </w:p>
        </w:tc>
        <w:tc>
          <w:tcPr>
            <w:tcW w:w="1463" w:type="dxa"/>
            <w:hideMark/>
          </w:tcPr>
          <w:p w14:paraId="13EF1A6B"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56D5492C" w14:textId="19EDD370"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dans trois pays asiatiques</w:t>
            </w:r>
          </w:p>
        </w:tc>
        <w:tc>
          <w:tcPr>
            <w:tcW w:w="857" w:type="dxa"/>
            <w:hideMark/>
          </w:tcPr>
          <w:p w14:paraId="4F64EFB4" w14:textId="4C04F166"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6E4CBA9C" w14:textId="5D553D18"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09FD3EF" w14:textId="6C2283A1"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E92229B" w14:textId="10F488FC" w:rsidR="0027787C" w:rsidRPr="001A2820" w:rsidRDefault="0027787C" w:rsidP="0027787C">
            <w:pPr>
              <w:jc w:val="right"/>
              <w:rPr>
                <w:rFonts w:cstheme="minorHAnsi"/>
                <w:sz w:val="22"/>
                <w:szCs w:val="22"/>
                <w:lang w:val="fr-FR"/>
              </w:rPr>
            </w:pPr>
            <w:r w:rsidRPr="001A2820">
              <w:rPr>
                <w:rFonts w:cstheme="minorHAnsi"/>
                <w:sz w:val="22"/>
                <w:szCs w:val="22"/>
                <w:lang w:val="fr-FR"/>
              </w:rPr>
              <w:t>730</w:t>
            </w:r>
            <w:r w:rsidR="0075453A">
              <w:rPr>
                <w:rFonts w:cstheme="minorHAnsi"/>
                <w:sz w:val="22"/>
                <w:szCs w:val="22"/>
                <w:lang w:val="fr-FR"/>
              </w:rPr>
              <w:t> </w:t>
            </w:r>
            <w:r w:rsidRPr="001A2820">
              <w:rPr>
                <w:rFonts w:cstheme="minorHAnsi"/>
                <w:sz w:val="22"/>
                <w:szCs w:val="22"/>
                <w:lang w:val="fr-FR"/>
              </w:rPr>
              <w:t>594</w:t>
            </w:r>
          </w:p>
        </w:tc>
        <w:tc>
          <w:tcPr>
            <w:tcW w:w="1592" w:type="dxa"/>
            <w:hideMark/>
          </w:tcPr>
          <w:p w14:paraId="274689A6" w14:textId="40D4F15F"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75453A">
              <w:rPr>
                <w:rFonts w:cstheme="minorHAnsi"/>
                <w:sz w:val="22"/>
                <w:szCs w:val="22"/>
                <w:lang w:val="fr-FR"/>
              </w:rPr>
              <w:t> </w:t>
            </w:r>
            <w:r w:rsidRPr="001A2820">
              <w:rPr>
                <w:rFonts w:cstheme="minorHAnsi"/>
                <w:sz w:val="22"/>
                <w:szCs w:val="22"/>
                <w:lang w:val="fr-FR"/>
              </w:rPr>
              <w:t>702</w:t>
            </w:r>
            <w:r w:rsidR="009E04A6">
              <w:rPr>
                <w:rFonts w:cstheme="minorHAnsi"/>
                <w:sz w:val="22"/>
                <w:szCs w:val="22"/>
                <w:lang w:val="fr-FR"/>
              </w:rPr>
              <w:t> </w:t>
            </w:r>
            <w:r w:rsidRPr="001A2820">
              <w:rPr>
                <w:rFonts w:cstheme="minorHAnsi"/>
                <w:sz w:val="22"/>
                <w:szCs w:val="22"/>
                <w:lang w:val="fr-FR"/>
              </w:rPr>
              <w:t>084</w:t>
            </w:r>
          </w:p>
        </w:tc>
      </w:tr>
      <w:tr w:rsidR="0027787C" w:rsidRPr="001A2820" w14:paraId="08D8B164" w14:textId="77777777" w:rsidTr="00A5411B">
        <w:trPr>
          <w:trHeight w:val="600"/>
        </w:trPr>
        <w:tc>
          <w:tcPr>
            <w:tcW w:w="1627" w:type="dxa"/>
            <w:hideMark/>
          </w:tcPr>
          <w:p w14:paraId="2EBEE496" w14:textId="01044275"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6C540CC1" w14:textId="61C98B36" w:rsidR="0027787C" w:rsidRPr="001A2820" w:rsidRDefault="0027787C" w:rsidP="0027787C">
            <w:pPr>
              <w:rPr>
                <w:rFonts w:cstheme="minorHAnsi"/>
                <w:sz w:val="22"/>
                <w:szCs w:val="22"/>
                <w:lang w:val="fr-FR"/>
              </w:rPr>
            </w:pPr>
            <w:r w:rsidRPr="001A2820">
              <w:rPr>
                <w:rFonts w:cstheme="minorHAnsi"/>
                <w:sz w:val="22"/>
                <w:szCs w:val="22"/>
                <w:lang w:val="fr-FR"/>
              </w:rPr>
              <w:t>Équateur, Pérou</w:t>
            </w:r>
          </w:p>
        </w:tc>
        <w:tc>
          <w:tcPr>
            <w:tcW w:w="1463" w:type="dxa"/>
            <w:hideMark/>
          </w:tcPr>
          <w:p w14:paraId="6F7A4624"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0E1C100" w14:textId="7D8D45AB" w:rsidR="0027787C" w:rsidRPr="001A2820" w:rsidRDefault="0027787C" w:rsidP="0027787C">
            <w:pPr>
              <w:rPr>
                <w:rFonts w:cstheme="minorHAnsi"/>
                <w:sz w:val="22"/>
                <w:szCs w:val="22"/>
                <w:lang w:val="fr-FR"/>
              </w:rPr>
            </w:pPr>
            <w:r w:rsidRPr="001A2820">
              <w:rPr>
                <w:rFonts w:cstheme="minorHAnsi"/>
                <w:sz w:val="22"/>
                <w:szCs w:val="22"/>
                <w:lang w:val="fr-FR"/>
              </w:rPr>
              <w:t>Mise en œuvre de mesures intégrées visant à réduire au minimum les rejets de mercure provenant de l’extraction minière artisanale d’or</w:t>
            </w:r>
          </w:p>
        </w:tc>
        <w:tc>
          <w:tcPr>
            <w:tcW w:w="857" w:type="dxa"/>
            <w:hideMark/>
          </w:tcPr>
          <w:p w14:paraId="2FB5E276" w14:textId="47F0E277"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6FBD8AF4" w14:textId="6BEE2586"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5588946C" w14:textId="1515838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73B2CEB8" w14:textId="7A503CEC" w:rsidR="0027787C" w:rsidRPr="001A2820" w:rsidRDefault="0027787C" w:rsidP="0027787C">
            <w:pPr>
              <w:jc w:val="right"/>
              <w:rPr>
                <w:rFonts w:cstheme="minorHAnsi"/>
                <w:sz w:val="22"/>
                <w:szCs w:val="22"/>
                <w:lang w:val="fr-FR"/>
              </w:rPr>
            </w:pPr>
            <w:r w:rsidRPr="001A2820">
              <w:rPr>
                <w:rFonts w:cstheme="minorHAnsi"/>
                <w:sz w:val="22"/>
                <w:szCs w:val="22"/>
                <w:lang w:val="fr-FR"/>
              </w:rPr>
              <w:t>999</w:t>
            </w:r>
            <w:r w:rsidR="0075453A">
              <w:rPr>
                <w:rFonts w:cstheme="minorHAnsi"/>
                <w:sz w:val="22"/>
                <w:szCs w:val="22"/>
                <w:lang w:val="fr-FR"/>
              </w:rPr>
              <w:t> </w:t>
            </w:r>
            <w:r w:rsidRPr="001A2820">
              <w:rPr>
                <w:rFonts w:cstheme="minorHAnsi"/>
                <w:sz w:val="22"/>
                <w:szCs w:val="22"/>
                <w:lang w:val="fr-FR"/>
              </w:rPr>
              <w:t>900</w:t>
            </w:r>
          </w:p>
        </w:tc>
        <w:tc>
          <w:tcPr>
            <w:tcW w:w="1592" w:type="dxa"/>
            <w:hideMark/>
          </w:tcPr>
          <w:p w14:paraId="2DB160BB" w14:textId="217C54F8"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75453A">
              <w:rPr>
                <w:rFonts w:cstheme="minorHAnsi"/>
                <w:sz w:val="22"/>
                <w:szCs w:val="22"/>
                <w:lang w:val="fr-FR"/>
              </w:rPr>
              <w:t> </w:t>
            </w:r>
            <w:r w:rsidRPr="001A2820">
              <w:rPr>
                <w:rFonts w:cstheme="minorHAnsi"/>
                <w:sz w:val="22"/>
                <w:szCs w:val="22"/>
                <w:lang w:val="fr-FR"/>
              </w:rPr>
              <w:t>676</w:t>
            </w:r>
            <w:r w:rsidR="0075453A">
              <w:rPr>
                <w:rFonts w:cstheme="minorHAnsi"/>
                <w:sz w:val="22"/>
                <w:szCs w:val="22"/>
                <w:lang w:val="fr-FR"/>
              </w:rPr>
              <w:t> </w:t>
            </w:r>
            <w:r w:rsidRPr="001A2820">
              <w:rPr>
                <w:rFonts w:cstheme="minorHAnsi"/>
                <w:sz w:val="22"/>
                <w:szCs w:val="22"/>
                <w:lang w:val="fr-FR"/>
              </w:rPr>
              <w:t>764</w:t>
            </w:r>
          </w:p>
        </w:tc>
      </w:tr>
      <w:tr w:rsidR="0027787C" w:rsidRPr="001A2820" w14:paraId="03981005" w14:textId="77777777" w:rsidTr="00A5411B">
        <w:trPr>
          <w:trHeight w:val="900"/>
        </w:trPr>
        <w:tc>
          <w:tcPr>
            <w:tcW w:w="1627" w:type="dxa"/>
            <w:hideMark/>
          </w:tcPr>
          <w:p w14:paraId="7C19F96E" w14:textId="218BA9A7" w:rsidR="0027787C" w:rsidRPr="001A2820" w:rsidRDefault="0027787C" w:rsidP="0027787C">
            <w:pPr>
              <w:rPr>
                <w:rFonts w:cstheme="minorHAnsi"/>
                <w:sz w:val="22"/>
                <w:szCs w:val="22"/>
                <w:lang w:val="fr-FR"/>
              </w:rPr>
            </w:pPr>
            <w:r w:rsidRPr="001A2820">
              <w:rPr>
                <w:rFonts w:cstheme="minorHAnsi"/>
                <w:sz w:val="22"/>
                <w:szCs w:val="22"/>
                <w:lang w:val="fr-FR"/>
              </w:rPr>
              <w:t>Régional</w:t>
            </w:r>
          </w:p>
        </w:tc>
        <w:tc>
          <w:tcPr>
            <w:tcW w:w="1671" w:type="dxa"/>
            <w:hideMark/>
          </w:tcPr>
          <w:p w14:paraId="0B82E255" w14:textId="01C01AAB" w:rsidR="0027787C" w:rsidRPr="001A2820" w:rsidRDefault="0027787C" w:rsidP="0027787C">
            <w:pPr>
              <w:rPr>
                <w:rFonts w:cstheme="minorHAnsi"/>
                <w:sz w:val="22"/>
                <w:szCs w:val="22"/>
                <w:lang w:val="fr-FR"/>
              </w:rPr>
            </w:pPr>
            <w:r w:rsidRPr="001A2820">
              <w:rPr>
                <w:rFonts w:cstheme="minorHAnsi"/>
                <w:sz w:val="22"/>
                <w:szCs w:val="22"/>
                <w:lang w:val="fr-FR"/>
              </w:rPr>
              <w:t>Ghana, Madagascar, Tanzanie</w:t>
            </w:r>
          </w:p>
        </w:tc>
        <w:tc>
          <w:tcPr>
            <w:tcW w:w="1463" w:type="dxa"/>
            <w:hideMark/>
          </w:tcPr>
          <w:p w14:paraId="3731839D"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0192E260" w14:textId="2D6F2B02" w:rsidR="0027787C" w:rsidRPr="001A2820" w:rsidRDefault="0027787C" w:rsidP="0027787C">
            <w:pPr>
              <w:rPr>
                <w:rFonts w:cstheme="minorHAnsi"/>
                <w:sz w:val="22"/>
                <w:szCs w:val="22"/>
                <w:lang w:val="fr-FR"/>
              </w:rPr>
            </w:pPr>
            <w:r w:rsidRPr="001A2820">
              <w:rPr>
                <w:rFonts w:cstheme="minorHAnsi"/>
                <w:sz w:val="22"/>
                <w:szCs w:val="22"/>
                <w:lang w:val="fr-FR"/>
              </w:rPr>
              <w:t xml:space="preserve">Réduction des rejets de polluants organiques persistants produits non intentionnellement et de mercure provenant du secteur de la santé en Afrique </w:t>
            </w:r>
          </w:p>
        </w:tc>
        <w:tc>
          <w:tcPr>
            <w:tcW w:w="857" w:type="dxa"/>
            <w:hideMark/>
          </w:tcPr>
          <w:p w14:paraId="7B032329" w14:textId="7372917C"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4268D521" w14:textId="0C06F9BE" w:rsidR="0027787C" w:rsidRPr="001A2820" w:rsidRDefault="0027787C" w:rsidP="0027787C">
            <w:pPr>
              <w:rPr>
                <w:rFonts w:cstheme="minorHAnsi"/>
                <w:sz w:val="22"/>
                <w:szCs w:val="22"/>
                <w:lang w:val="fr-FR"/>
              </w:rPr>
            </w:pPr>
            <w:r w:rsidRPr="001A2820">
              <w:rPr>
                <w:rFonts w:cstheme="minorHAnsi"/>
                <w:sz w:val="22"/>
                <w:szCs w:val="22"/>
                <w:lang w:val="fr-FR"/>
              </w:rPr>
              <w:t>PGE</w:t>
            </w:r>
          </w:p>
        </w:tc>
        <w:tc>
          <w:tcPr>
            <w:tcW w:w="1157" w:type="dxa"/>
            <w:hideMark/>
          </w:tcPr>
          <w:p w14:paraId="4AC53452" w14:textId="1CF4D403"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0A7505C2" w14:textId="6F1B9401" w:rsidR="0027787C" w:rsidRPr="001A2820" w:rsidRDefault="0027787C" w:rsidP="0027787C">
            <w:pPr>
              <w:jc w:val="right"/>
              <w:rPr>
                <w:rFonts w:cstheme="minorHAnsi"/>
                <w:sz w:val="22"/>
                <w:szCs w:val="22"/>
                <w:lang w:val="fr-FR"/>
              </w:rPr>
            </w:pPr>
            <w:r w:rsidRPr="001A2820">
              <w:rPr>
                <w:rFonts w:cstheme="minorHAnsi"/>
                <w:sz w:val="22"/>
                <w:szCs w:val="22"/>
                <w:lang w:val="fr-FR"/>
              </w:rPr>
              <w:t>517</w:t>
            </w:r>
            <w:r w:rsidR="009E04A6">
              <w:rPr>
                <w:rFonts w:cstheme="minorHAnsi"/>
                <w:sz w:val="22"/>
                <w:szCs w:val="22"/>
                <w:lang w:val="fr-FR"/>
              </w:rPr>
              <w:t> </w:t>
            </w:r>
            <w:r w:rsidRPr="001A2820">
              <w:rPr>
                <w:rFonts w:cstheme="minorHAnsi"/>
                <w:sz w:val="22"/>
                <w:szCs w:val="22"/>
                <w:lang w:val="fr-FR"/>
              </w:rPr>
              <w:t>902</w:t>
            </w:r>
          </w:p>
        </w:tc>
        <w:tc>
          <w:tcPr>
            <w:tcW w:w="1592" w:type="dxa"/>
            <w:hideMark/>
          </w:tcPr>
          <w:p w14:paraId="466AA065" w14:textId="762C9014"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9E04A6">
              <w:rPr>
                <w:rFonts w:cstheme="minorHAnsi"/>
                <w:sz w:val="22"/>
                <w:szCs w:val="22"/>
                <w:lang w:val="fr-FR"/>
              </w:rPr>
              <w:t> </w:t>
            </w:r>
            <w:r w:rsidRPr="001A2820">
              <w:rPr>
                <w:rFonts w:cstheme="minorHAnsi"/>
                <w:sz w:val="22"/>
                <w:szCs w:val="22"/>
                <w:lang w:val="fr-FR"/>
              </w:rPr>
              <w:t>000</w:t>
            </w:r>
            <w:r w:rsidR="009E04A6">
              <w:rPr>
                <w:rFonts w:cstheme="minorHAnsi"/>
                <w:sz w:val="22"/>
                <w:szCs w:val="22"/>
                <w:lang w:val="fr-FR"/>
              </w:rPr>
              <w:t> </w:t>
            </w:r>
            <w:r w:rsidRPr="001A2820">
              <w:rPr>
                <w:rFonts w:cstheme="minorHAnsi"/>
                <w:sz w:val="22"/>
                <w:szCs w:val="22"/>
                <w:lang w:val="fr-FR"/>
              </w:rPr>
              <w:t>345</w:t>
            </w:r>
          </w:p>
        </w:tc>
      </w:tr>
      <w:tr w:rsidR="0027787C" w:rsidRPr="001A2820" w14:paraId="1DD66DCC" w14:textId="77777777" w:rsidTr="00A5411B">
        <w:trPr>
          <w:trHeight w:val="1800"/>
        </w:trPr>
        <w:tc>
          <w:tcPr>
            <w:tcW w:w="1627" w:type="dxa"/>
            <w:hideMark/>
          </w:tcPr>
          <w:p w14:paraId="7BAB54AC" w14:textId="1B91A763" w:rsidR="0027787C" w:rsidRPr="001A2820" w:rsidRDefault="0027787C" w:rsidP="0027787C">
            <w:pPr>
              <w:rPr>
                <w:rFonts w:cstheme="minorHAnsi"/>
                <w:sz w:val="22"/>
                <w:szCs w:val="22"/>
                <w:lang w:val="fr-FR"/>
              </w:rPr>
            </w:pPr>
            <w:r w:rsidRPr="001A2820">
              <w:rPr>
                <w:rFonts w:cstheme="minorHAnsi"/>
                <w:sz w:val="22"/>
                <w:szCs w:val="22"/>
                <w:lang w:val="fr-FR"/>
              </w:rPr>
              <w:t xml:space="preserve">Régional </w:t>
            </w:r>
          </w:p>
        </w:tc>
        <w:tc>
          <w:tcPr>
            <w:tcW w:w="1671" w:type="dxa"/>
            <w:hideMark/>
          </w:tcPr>
          <w:p w14:paraId="76DC47E9" w14:textId="7C29AFB4" w:rsidR="0027787C" w:rsidRPr="001A2820" w:rsidRDefault="0027787C" w:rsidP="0027787C">
            <w:pPr>
              <w:rPr>
                <w:rFonts w:cstheme="minorHAnsi"/>
                <w:sz w:val="22"/>
                <w:szCs w:val="22"/>
                <w:lang w:val="fr-FR"/>
              </w:rPr>
            </w:pPr>
            <w:r w:rsidRPr="001A2820">
              <w:rPr>
                <w:rFonts w:cstheme="minorHAnsi"/>
                <w:sz w:val="22"/>
                <w:szCs w:val="22"/>
                <w:lang w:val="fr-FR"/>
              </w:rPr>
              <w:t xml:space="preserve">Albanie, Bosnie-Herzégovine, </w:t>
            </w:r>
            <w:r w:rsidRPr="001A2820">
              <w:rPr>
                <w:sz w:val="22"/>
                <w:szCs w:val="22"/>
                <w:lang w:val="fr-FR"/>
              </w:rPr>
              <w:t>É</w:t>
            </w:r>
            <w:r w:rsidRPr="001A2820">
              <w:rPr>
                <w:rFonts w:cstheme="minorHAnsi"/>
                <w:sz w:val="22"/>
                <w:szCs w:val="22"/>
                <w:lang w:val="fr-FR"/>
              </w:rPr>
              <w:t>gypte, Liban, Libye, Maroc, Monténégro, Tunisie</w:t>
            </w:r>
          </w:p>
        </w:tc>
        <w:tc>
          <w:tcPr>
            <w:tcW w:w="1463" w:type="dxa"/>
            <w:hideMark/>
          </w:tcPr>
          <w:p w14:paraId="7BBFB88A" w14:textId="75BBE772" w:rsidR="0027787C" w:rsidRPr="001A2820" w:rsidRDefault="00F4680F" w:rsidP="0027787C">
            <w:pPr>
              <w:rPr>
                <w:rFonts w:cstheme="minorHAnsi"/>
                <w:sz w:val="22"/>
                <w:szCs w:val="22"/>
                <w:lang w:val="fr-FR"/>
              </w:rPr>
            </w:pPr>
            <w:r>
              <w:rPr>
                <w:rFonts w:cstheme="minorHAnsi"/>
                <w:sz w:val="22"/>
                <w:szCs w:val="22"/>
                <w:lang w:val="fr-FR"/>
              </w:rPr>
              <w:t>DIM</w:t>
            </w:r>
          </w:p>
        </w:tc>
        <w:tc>
          <w:tcPr>
            <w:tcW w:w="3751" w:type="dxa"/>
            <w:hideMark/>
          </w:tcPr>
          <w:p w14:paraId="051792ED" w14:textId="575E1364" w:rsidR="0027787C" w:rsidRPr="001A2820" w:rsidRDefault="0027787C" w:rsidP="0027787C">
            <w:pPr>
              <w:rPr>
                <w:rFonts w:cstheme="minorHAnsi"/>
                <w:sz w:val="22"/>
                <w:szCs w:val="22"/>
                <w:lang w:val="fr-FR"/>
              </w:rPr>
            </w:pPr>
            <w:r w:rsidRPr="001A2820">
              <w:rPr>
                <w:rFonts w:cstheme="minorHAnsi"/>
                <w:sz w:val="22"/>
                <w:szCs w:val="22"/>
                <w:lang w:val="fr-FR"/>
              </w:rPr>
              <w:t xml:space="preserve">Programme de la </w:t>
            </w:r>
            <w:r w:rsidR="00F61E2E">
              <w:rPr>
                <w:rFonts w:cstheme="minorHAnsi"/>
                <w:sz w:val="22"/>
                <w:szCs w:val="22"/>
                <w:lang w:val="fr-FR"/>
              </w:rPr>
              <w:t>m</w:t>
            </w:r>
            <w:r w:rsidRPr="001A2820">
              <w:rPr>
                <w:rFonts w:cstheme="minorHAnsi"/>
                <w:sz w:val="22"/>
                <w:szCs w:val="22"/>
                <w:lang w:val="fr-FR"/>
              </w:rPr>
              <w:t>er Méditerranée (MedProgramme) : améliorer la sécurité environnementale</w:t>
            </w:r>
          </w:p>
        </w:tc>
        <w:tc>
          <w:tcPr>
            <w:tcW w:w="857" w:type="dxa"/>
            <w:hideMark/>
          </w:tcPr>
          <w:p w14:paraId="746C4D42" w14:textId="1D2EDB2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79DCE1E5" w14:textId="230B7D29" w:rsidR="0027787C" w:rsidRPr="001A2820" w:rsidRDefault="00346B22" w:rsidP="0027787C">
            <w:pPr>
              <w:rPr>
                <w:rFonts w:cstheme="minorHAnsi"/>
                <w:sz w:val="22"/>
                <w:szCs w:val="22"/>
                <w:lang w:val="fr-FR"/>
              </w:rPr>
            </w:pPr>
            <w:r>
              <w:rPr>
                <w:rFonts w:cstheme="minorHAnsi"/>
                <w:sz w:val="22"/>
                <w:szCs w:val="22"/>
                <w:lang w:val="fr-FR"/>
              </w:rPr>
              <w:t>DCP</w:t>
            </w:r>
          </w:p>
        </w:tc>
        <w:tc>
          <w:tcPr>
            <w:tcW w:w="1157" w:type="dxa"/>
            <w:hideMark/>
          </w:tcPr>
          <w:p w14:paraId="29D31763" w14:textId="1545C051"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2234FAEC" w14:textId="6A42C904" w:rsidR="0027787C" w:rsidRPr="001A2820" w:rsidRDefault="0027787C" w:rsidP="0027787C">
            <w:pPr>
              <w:jc w:val="right"/>
              <w:rPr>
                <w:rFonts w:cstheme="minorHAnsi"/>
                <w:sz w:val="22"/>
                <w:szCs w:val="22"/>
                <w:lang w:val="fr-FR"/>
              </w:rPr>
            </w:pPr>
            <w:r w:rsidRPr="001A2820">
              <w:rPr>
                <w:rFonts w:cstheme="minorHAnsi"/>
                <w:sz w:val="22"/>
                <w:szCs w:val="22"/>
                <w:lang w:val="fr-FR"/>
              </w:rPr>
              <w:t>5</w:t>
            </w:r>
            <w:r w:rsidR="009E04A6">
              <w:rPr>
                <w:rFonts w:cstheme="minorHAnsi"/>
                <w:sz w:val="22"/>
                <w:szCs w:val="22"/>
                <w:lang w:val="fr-FR"/>
              </w:rPr>
              <w:t> </w:t>
            </w:r>
            <w:r w:rsidRPr="001A2820">
              <w:rPr>
                <w:rFonts w:cstheme="minorHAnsi"/>
                <w:sz w:val="22"/>
                <w:szCs w:val="22"/>
                <w:lang w:val="fr-FR"/>
              </w:rPr>
              <w:t>250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658AEDEC" w14:textId="607B519E" w:rsidR="0027787C" w:rsidRPr="001A2820" w:rsidRDefault="0027787C" w:rsidP="0027787C">
            <w:pPr>
              <w:jc w:val="right"/>
              <w:rPr>
                <w:rFonts w:cstheme="minorHAnsi"/>
                <w:sz w:val="22"/>
                <w:szCs w:val="22"/>
                <w:lang w:val="fr-FR"/>
              </w:rPr>
            </w:pPr>
            <w:r w:rsidRPr="001A2820">
              <w:rPr>
                <w:rFonts w:cstheme="minorHAnsi"/>
                <w:sz w:val="22"/>
                <w:szCs w:val="22"/>
                <w:lang w:val="fr-FR"/>
              </w:rPr>
              <w:t>20</w:t>
            </w:r>
            <w:r w:rsidR="009E04A6">
              <w:rPr>
                <w:rFonts w:cstheme="minorHAnsi"/>
                <w:sz w:val="22"/>
                <w:szCs w:val="22"/>
                <w:lang w:val="fr-FR"/>
              </w:rPr>
              <w:t> </w:t>
            </w:r>
            <w:r w:rsidRPr="001A2820">
              <w:rPr>
                <w:rFonts w:cstheme="minorHAnsi"/>
                <w:sz w:val="22"/>
                <w:szCs w:val="22"/>
                <w:lang w:val="fr-FR"/>
              </w:rPr>
              <w:t>500</w:t>
            </w:r>
            <w:r w:rsidR="009E04A6">
              <w:rPr>
                <w:rFonts w:cstheme="minorHAnsi"/>
                <w:sz w:val="22"/>
                <w:szCs w:val="22"/>
                <w:lang w:val="fr-FR"/>
              </w:rPr>
              <w:t> </w:t>
            </w:r>
            <w:r w:rsidRPr="001A2820">
              <w:rPr>
                <w:rFonts w:cstheme="minorHAnsi"/>
                <w:sz w:val="22"/>
                <w:szCs w:val="22"/>
                <w:lang w:val="fr-FR"/>
              </w:rPr>
              <w:t>000</w:t>
            </w:r>
          </w:p>
        </w:tc>
      </w:tr>
      <w:tr w:rsidR="0027787C" w:rsidRPr="001A2820" w14:paraId="2FF2A793" w14:textId="77777777" w:rsidTr="00A5411B">
        <w:trPr>
          <w:trHeight w:val="900"/>
        </w:trPr>
        <w:tc>
          <w:tcPr>
            <w:tcW w:w="1627" w:type="dxa"/>
            <w:hideMark/>
          </w:tcPr>
          <w:p w14:paraId="463EF6A3" w14:textId="5278E502" w:rsidR="0027787C" w:rsidRPr="001A2820" w:rsidRDefault="0027787C" w:rsidP="0027787C">
            <w:pPr>
              <w:rPr>
                <w:rFonts w:cstheme="minorHAnsi"/>
                <w:sz w:val="22"/>
                <w:szCs w:val="22"/>
                <w:lang w:val="fr-FR"/>
              </w:rPr>
            </w:pPr>
            <w:r w:rsidRPr="001A2820">
              <w:rPr>
                <w:rFonts w:cstheme="minorHAnsi"/>
                <w:sz w:val="22"/>
                <w:szCs w:val="22"/>
                <w:lang w:val="fr-FR"/>
              </w:rPr>
              <w:lastRenderedPageBreak/>
              <w:t xml:space="preserve">Régional </w:t>
            </w:r>
          </w:p>
        </w:tc>
        <w:tc>
          <w:tcPr>
            <w:tcW w:w="1671" w:type="dxa"/>
            <w:hideMark/>
          </w:tcPr>
          <w:p w14:paraId="7888A8A6" w14:textId="7933B017" w:rsidR="0027787C" w:rsidRPr="001A2820" w:rsidRDefault="0027787C" w:rsidP="0027787C">
            <w:pPr>
              <w:rPr>
                <w:rFonts w:cstheme="minorHAnsi"/>
                <w:sz w:val="22"/>
                <w:szCs w:val="22"/>
                <w:lang w:val="fr-FR"/>
              </w:rPr>
            </w:pPr>
            <w:r w:rsidRPr="001A2820">
              <w:rPr>
                <w:sz w:val="22"/>
                <w:szCs w:val="22"/>
                <w:lang w:val="fr-FR"/>
              </w:rPr>
              <w:t>É</w:t>
            </w:r>
            <w:r w:rsidRPr="001A2820">
              <w:rPr>
                <w:rFonts w:cstheme="minorHAnsi"/>
                <w:sz w:val="22"/>
                <w:szCs w:val="22"/>
                <w:lang w:val="fr-FR"/>
              </w:rPr>
              <w:t>thiopie, Gambie, Ouganda, Tanzanie, Zambie</w:t>
            </w:r>
          </w:p>
        </w:tc>
        <w:tc>
          <w:tcPr>
            <w:tcW w:w="1463" w:type="dxa"/>
            <w:hideMark/>
          </w:tcPr>
          <w:p w14:paraId="2DBAD58D"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739F55C4" w14:textId="541476B9"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sur le mercure en Afrique</w:t>
            </w:r>
          </w:p>
        </w:tc>
        <w:tc>
          <w:tcPr>
            <w:tcW w:w="857" w:type="dxa"/>
            <w:hideMark/>
          </w:tcPr>
          <w:p w14:paraId="42AA2E59" w14:textId="0DEAEBCB"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15C0E6C6" w14:textId="1D368982"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461F6A0" w14:textId="1426F3FC"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5D3F108B" w14:textId="3D854BFE" w:rsidR="0027787C" w:rsidRPr="001A2820" w:rsidRDefault="0027787C" w:rsidP="0027787C">
            <w:pPr>
              <w:jc w:val="right"/>
              <w:rPr>
                <w:rFonts w:cstheme="minorHAnsi"/>
                <w:sz w:val="22"/>
                <w:szCs w:val="22"/>
                <w:lang w:val="fr-FR"/>
              </w:rPr>
            </w:pPr>
            <w:r w:rsidRPr="001A2820">
              <w:rPr>
                <w:rFonts w:cstheme="minorHAnsi"/>
                <w:sz w:val="22"/>
                <w:szCs w:val="22"/>
                <w:lang w:val="fr-FR"/>
              </w:rPr>
              <w:t>913</w:t>
            </w:r>
            <w:r w:rsidR="009E04A6">
              <w:rPr>
                <w:rFonts w:cstheme="minorHAnsi"/>
                <w:sz w:val="22"/>
                <w:szCs w:val="22"/>
                <w:lang w:val="fr-FR"/>
              </w:rPr>
              <w:t> </w:t>
            </w:r>
            <w:r w:rsidRPr="001A2820">
              <w:rPr>
                <w:rFonts w:cstheme="minorHAnsi"/>
                <w:sz w:val="22"/>
                <w:szCs w:val="22"/>
                <w:lang w:val="fr-FR"/>
              </w:rPr>
              <w:t>242</w:t>
            </w:r>
          </w:p>
        </w:tc>
        <w:tc>
          <w:tcPr>
            <w:tcW w:w="1592" w:type="dxa"/>
            <w:hideMark/>
          </w:tcPr>
          <w:p w14:paraId="576A9C15" w14:textId="5E554130"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9E04A6">
              <w:rPr>
                <w:rFonts w:cstheme="minorHAnsi"/>
                <w:sz w:val="22"/>
                <w:szCs w:val="22"/>
                <w:lang w:val="fr-FR"/>
              </w:rPr>
              <w:t> </w:t>
            </w:r>
            <w:r w:rsidRPr="001A2820">
              <w:rPr>
                <w:rFonts w:cstheme="minorHAnsi"/>
                <w:sz w:val="22"/>
                <w:szCs w:val="22"/>
                <w:lang w:val="fr-FR"/>
              </w:rPr>
              <w:t>129</w:t>
            </w:r>
            <w:r w:rsidR="009E04A6">
              <w:rPr>
                <w:rFonts w:cstheme="minorHAnsi"/>
                <w:sz w:val="22"/>
                <w:szCs w:val="22"/>
                <w:lang w:val="fr-FR"/>
              </w:rPr>
              <w:t> </w:t>
            </w:r>
            <w:r w:rsidRPr="001A2820">
              <w:rPr>
                <w:rFonts w:cstheme="minorHAnsi"/>
                <w:sz w:val="22"/>
                <w:szCs w:val="22"/>
                <w:lang w:val="fr-FR"/>
              </w:rPr>
              <w:t>943</w:t>
            </w:r>
          </w:p>
        </w:tc>
      </w:tr>
      <w:tr w:rsidR="0027787C" w:rsidRPr="001A2820" w14:paraId="0E02217A" w14:textId="77777777" w:rsidTr="00A5411B">
        <w:trPr>
          <w:trHeight w:val="1200"/>
        </w:trPr>
        <w:tc>
          <w:tcPr>
            <w:tcW w:w="1627" w:type="dxa"/>
            <w:hideMark/>
          </w:tcPr>
          <w:p w14:paraId="0B1372FE" w14:textId="420B2A82" w:rsidR="0027787C" w:rsidRPr="001A2820" w:rsidRDefault="0027787C" w:rsidP="0027787C">
            <w:pPr>
              <w:rPr>
                <w:rFonts w:cstheme="minorHAnsi"/>
                <w:sz w:val="22"/>
                <w:szCs w:val="22"/>
                <w:lang w:val="fr-FR"/>
              </w:rPr>
            </w:pPr>
            <w:r w:rsidRPr="001A2820">
              <w:rPr>
                <w:rFonts w:cstheme="minorHAnsi"/>
                <w:sz w:val="22"/>
                <w:szCs w:val="22"/>
                <w:lang w:val="fr-FR"/>
              </w:rPr>
              <w:t xml:space="preserve">Régional </w:t>
            </w:r>
          </w:p>
        </w:tc>
        <w:tc>
          <w:tcPr>
            <w:tcW w:w="1671" w:type="dxa"/>
            <w:hideMark/>
          </w:tcPr>
          <w:p w14:paraId="042F43C8" w14:textId="03BAC10C" w:rsidR="0027787C" w:rsidRPr="001A2820" w:rsidRDefault="0027787C" w:rsidP="0027787C">
            <w:pPr>
              <w:rPr>
                <w:rFonts w:cstheme="minorHAnsi"/>
                <w:sz w:val="22"/>
                <w:szCs w:val="22"/>
                <w:lang w:val="fr-FR"/>
              </w:rPr>
            </w:pPr>
            <w:r w:rsidRPr="001A2820">
              <w:rPr>
                <w:rFonts w:cstheme="minorHAnsi"/>
                <w:sz w:val="22"/>
                <w:szCs w:val="22"/>
                <w:lang w:val="fr-FR"/>
              </w:rPr>
              <w:t>Bolivie, Chili, Paraguay,</w:t>
            </w:r>
            <w:r w:rsidRPr="001A2820">
              <w:rPr>
                <w:lang w:val="fr-FR"/>
              </w:rPr>
              <w:t xml:space="preserve"> </w:t>
            </w:r>
            <w:r w:rsidRPr="001A2820">
              <w:rPr>
                <w:rFonts w:cstheme="minorHAnsi"/>
                <w:sz w:val="22"/>
                <w:szCs w:val="22"/>
                <w:lang w:val="fr-FR"/>
              </w:rPr>
              <w:t>République dominicaine</w:t>
            </w:r>
          </w:p>
        </w:tc>
        <w:tc>
          <w:tcPr>
            <w:tcW w:w="1463" w:type="dxa"/>
            <w:hideMark/>
          </w:tcPr>
          <w:p w14:paraId="24480A67"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7AC3D47A" w14:textId="64C56D40"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dans la région de l’Amérique latine et des Caraïbes</w:t>
            </w:r>
          </w:p>
        </w:tc>
        <w:tc>
          <w:tcPr>
            <w:tcW w:w="857" w:type="dxa"/>
            <w:hideMark/>
          </w:tcPr>
          <w:p w14:paraId="45BB3BF7" w14:textId="1505A2F5"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3AF83F15" w14:textId="278BE797"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098E5FD" w14:textId="5E1C5A6A"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4BC012F" w14:textId="541C476B" w:rsidR="0027787C" w:rsidRPr="001A2820" w:rsidRDefault="0027787C" w:rsidP="0027787C">
            <w:pPr>
              <w:jc w:val="right"/>
              <w:rPr>
                <w:rFonts w:cstheme="minorHAnsi"/>
                <w:sz w:val="22"/>
                <w:szCs w:val="22"/>
                <w:lang w:val="fr-FR"/>
              </w:rPr>
            </w:pPr>
            <w:r w:rsidRPr="001A2820">
              <w:rPr>
                <w:rFonts w:cstheme="minorHAnsi"/>
                <w:sz w:val="22"/>
                <w:szCs w:val="22"/>
                <w:lang w:val="fr-FR"/>
              </w:rPr>
              <w:t>730</w:t>
            </w:r>
            <w:r w:rsidR="009E04A6">
              <w:rPr>
                <w:rFonts w:cstheme="minorHAnsi"/>
                <w:sz w:val="22"/>
                <w:szCs w:val="22"/>
                <w:lang w:val="fr-FR"/>
              </w:rPr>
              <w:t> </w:t>
            </w:r>
            <w:r w:rsidRPr="001A2820">
              <w:rPr>
                <w:rFonts w:cstheme="minorHAnsi"/>
                <w:sz w:val="22"/>
                <w:szCs w:val="22"/>
                <w:lang w:val="fr-FR"/>
              </w:rPr>
              <w:t>594</w:t>
            </w:r>
          </w:p>
        </w:tc>
        <w:tc>
          <w:tcPr>
            <w:tcW w:w="1592" w:type="dxa"/>
            <w:hideMark/>
          </w:tcPr>
          <w:p w14:paraId="1B8665F5" w14:textId="27146CA8" w:rsidR="0027787C" w:rsidRPr="001A2820" w:rsidRDefault="0027787C" w:rsidP="0027787C">
            <w:pPr>
              <w:jc w:val="right"/>
              <w:rPr>
                <w:rFonts w:cstheme="minorHAnsi"/>
                <w:sz w:val="22"/>
                <w:szCs w:val="22"/>
                <w:lang w:val="fr-FR"/>
              </w:rPr>
            </w:pPr>
            <w:r w:rsidRPr="001A2820">
              <w:rPr>
                <w:rFonts w:cstheme="minorHAnsi"/>
                <w:sz w:val="22"/>
                <w:szCs w:val="22"/>
                <w:lang w:val="fr-FR"/>
              </w:rPr>
              <w:t>935</w:t>
            </w:r>
            <w:r w:rsidR="009E04A6">
              <w:rPr>
                <w:rFonts w:cstheme="minorHAnsi"/>
                <w:sz w:val="22"/>
                <w:szCs w:val="22"/>
                <w:lang w:val="fr-FR"/>
              </w:rPr>
              <w:t> </w:t>
            </w:r>
            <w:r w:rsidRPr="001A2820">
              <w:rPr>
                <w:rFonts w:cstheme="minorHAnsi"/>
                <w:sz w:val="22"/>
                <w:szCs w:val="22"/>
                <w:lang w:val="fr-FR"/>
              </w:rPr>
              <w:t>000</w:t>
            </w:r>
          </w:p>
        </w:tc>
      </w:tr>
      <w:tr w:rsidR="0027787C" w:rsidRPr="001A2820" w14:paraId="338C9CB3" w14:textId="77777777" w:rsidTr="00A5411B">
        <w:trPr>
          <w:trHeight w:val="1200"/>
        </w:trPr>
        <w:tc>
          <w:tcPr>
            <w:tcW w:w="1627" w:type="dxa"/>
            <w:hideMark/>
          </w:tcPr>
          <w:p w14:paraId="02CB0503" w14:textId="31632DA7" w:rsidR="0027787C" w:rsidRPr="001A2820" w:rsidRDefault="0027787C" w:rsidP="0027787C">
            <w:pPr>
              <w:rPr>
                <w:rFonts w:cstheme="minorHAnsi"/>
                <w:sz w:val="22"/>
                <w:szCs w:val="22"/>
                <w:lang w:val="fr-FR"/>
              </w:rPr>
            </w:pPr>
            <w:r w:rsidRPr="001A2820">
              <w:rPr>
                <w:rFonts w:cstheme="minorHAnsi"/>
                <w:sz w:val="22"/>
                <w:szCs w:val="22"/>
                <w:lang w:val="fr-FR"/>
              </w:rPr>
              <w:t xml:space="preserve">Régional </w:t>
            </w:r>
          </w:p>
        </w:tc>
        <w:tc>
          <w:tcPr>
            <w:tcW w:w="1671" w:type="dxa"/>
            <w:hideMark/>
          </w:tcPr>
          <w:p w14:paraId="418C06B4" w14:textId="0DAD1725" w:rsidR="0027787C" w:rsidRPr="001A2820" w:rsidRDefault="0027787C" w:rsidP="0027787C">
            <w:pPr>
              <w:rPr>
                <w:rFonts w:cstheme="minorHAnsi"/>
                <w:sz w:val="22"/>
                <w:szCs w:val="22"/>
                <w:lang w:val="fr-FR"/>
              </w:rPr>
            </w:pPr>
            <w:r w:rsidRPr="001A2820">
              <w:rPr>
                <w:rFonts w:cstheme="minorHAnsi"/>
                <w:sz w:val="22"/>
                <w:szCs w:val="22"/>
                <w:lang w:val="fr-FR"/>
              </w:rPr>
              <w:t>Burkina Faso, Mali, Sénégal</w:t>
            </w:r>
          </w:p>
        </w:tc>
        <w:tc>
          <w:tcPr>
            <w:tcW w:w="1463" w:type="dxa"/>
            <w:hideMark/>
          </w:tcPr>
          <w:p w14:paraId="33E9ED3A"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303E9FA4" w14:textId="4AF1CEB8" w:rsidR="0027787C" w:rsidRPr="001A2820" w:rsidRDefault="0027787C" w:rsidP="0027787C">
            <w:pPr>
              <w:rPr>
                <w:rFonts w:cstheme="minorHAnsi"/>
                <w:sz w:val="22"/>
                <w:szCs w:val="22"/>
                <w:lang w:val="fr-FR"/>
              </w:rPr>
            </w:pPr>
            <w:r w:rsidRPr="001A2820">
              <w:rPr>
                <w:rFonts w:cstheme="minorHAnsi"/>
                <w:sz w:val="22"/>
                <w:szCs w:val="22"/>
                <w:lang w:val="fr-FR"/>
              </w:rPr>
              <w:t xml:space="preserve">Amélioration de la santé et de l’environnement des communautés pratiquant l’extraction minière artisanale et à petite échelle d’or par la réduction des émissions de mercure et la promotion d’une gestion rationnelle des produit chimiques </w:t>
            </w:r>
          </w:p>
        </w:tc>
        <w:tc>
          <w:tcPr>
            <w:tcW w:w="857" w:type="dxa"/>
            <w:hideMark/>
          </w:tcPr>
          <w:p w14:paraId="6D7F1AAF" w14:textId="592B5BFC"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402FB00C" w14:textId="053E317B"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00819B99" w14:textId="609C3FE6"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073AEAE4" w14:textId="65EA348F" w:rsidR="0027787C" w:rsidRPr="001A2820" w:rsidRDefault="0027787C" w:rsidP="0027787C">
            <w:pPr>
              <w:jc w:val="right"/>
              <w:rPr>
                <w:rFonts w:cstheme="minorHAnsi"/>
                <w:sz w:val="22"/>
                <w:szCs w:val="22"/>
                <w:lang w:val="fr-FR"/>
              </w:rPr>
            </w:pPr>
            <w:r w:rsidRPr="001A2820">
              <w:rPr>
                <w:rFonts w:cstheme="minorHAnsi"/>
                <w:sz w:val="22"/>
                <w:szCs w:val="22"/>
                <w:lang w:val="fr-FR"/>
              </w:rPr>
              <w:t>990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7A51EA0B" w14:textId="181813B9"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9E04A6">
              <w:rPr>
                <w:rFonts w:cstheme="minorHAnsi"/>
                <w:sz w:val="22"/>
                <w:szCs w:val="22"/>
                <w:lang w:val="fr-FR"/>
              </w:rPr>
              <w:t> </w:t>
            </w:r>
            <w:r w:rsidRPr="001A2820">
              <w:rPr>
                <w:rFonts w:cstheme="minorHAnsi"/>
                <w:sz w:val="22"/>
                <w:szCs w:val="22"/>
                <w:lang w:val="fr-FR"/>
              </w:rPr>
              <w:t>450</w:t>
            </w:r>
            <w:r w:rsidR="009E04A6">
              <w:rPr>
                <w:rFonts w:cstheme="minorHAnsi"/>
                <w:sz w:val="22"/>
                <w:szCs w:val="22"/>
                <w:lang w:val="fr-FR"/>
              </w:rPr>
              <w:t> </w:t>
            </w:r>
            <w:r w:rsidRPr="001A2820">
              <w:rPr>
                <w:rFonts w:cstheme="minorHAnsi"/>
                <w:sz w:val="22"/>
                <w:szCs w:val="22"/>
                <w:lang w:val="fr-FR"/>
              </w:rPr>
              <w:t>000</w:t>
            </w:r>
          </w:p>
        </w:tc>
      </w:tr>
      <w:tr w:rsidR="0027787C" w:rsidRPr="001A2820" w14:paraId="2F898FEB" w14:textId="77777777" w:rsidTr="00A5411B">
        <w:trPr>
          <w:trHeight w:val="1200"/>
        </w:trPr>
        <w:tc>
          <w:tcPr>
            <w:tcW w:w="1627" w:type="dxa"/>
            <w:hideMark/>
          </w:tcPr>
          <w:p w14:paraId="34644217" w14:textId="28CCC6D1" w:rsidR="0027787C" w:rsidRPr="001A2820" w:rsidRDefault="0027787C" w:rsidP="0027787C">
            <w:pPr>
              <w:rPr>
                <w:rFonts w:cstheme="minorHAnsi"/>
                <w:sz w:val="22"/>
                <w:szCs w:val="22"/>
                <w:lang w:val="fr-FR"/>
              </w:rPr>
            </w:pPr>
            <w:r w:rsidRPr="001A2820">
              <w:rPr>
                <w:rFonts w:cstheme="minorHAnsi"/>
                <w:sz w:val="22"/>
                <w:szCs w:val="22"/>
                <w:lang w:val="fr-FR"/>
              </w:rPr>
              <w:t xml:space="preserve">Régional </w:t>
            </w:r>
          </w:p>
        </w:tc>
        <w:tc>
          <w:tcPr>
            <w:tcW w:w="1671" w:type="dxa"/>
            <w:hideMark/>
          </w:tcPr>
          <w:p w14:paraId="054835A4" w14:textId="10FBDCC7" w:rsidR="0027787C" w:rsidRPr="001A2820" w:rsidRDefault="0027787C" w:rsidP="0027787C">
            <w:pPr>
              <w:rPr>
                <w:rFonts w:cstheme="minorHAnsi"/>
                <w:sz w:val="22"/>
                <w:szCs w:val="22"/>
                <w:lang w:val="fr-FR"/>
              </w:rPr>
            </w:pPr>
            <w:r w:rsidRPr="001A2820">
              <w:rPr>
                <w:rFonts w:cstheme="minorHAnsi"/>
                <w:sz w:val="22"/>
                <w:szCs w:val="22"/>
                <w:lang w:val="fr-FR"/>
              </w:rPr>
              <w:t>Argentine, Équateur, Nicaragua, Pérou, Uruguay</w:t>
            </w:r>
          </w:p>
        </w:tc>
        <w:tc>
          <w:tcPr>
            <w:tcW w:w="1463" w:type="dxa"/>
            <w:hideMark/>
          </w:tcPr>
          <w:p w14:paraId="3E3E7A6B"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7DEB2A4B" w14:textId="6E1BAE96" w:rsidR="0027787C" w:rsidRPr="001A2820" w:rsidRDefault="0027787C" w:rsidP="0027787C">
            <w:pPr>
              <w:rPr>
                <w:rFonts w:cstheme="minorHAnsi"/>
                <w:sz w:val="22"/>
                <w:szCs w:val="22"/>
                <w:lang w:val="fr-FR"/>
              </w:rPr>
            </w:pPr>
            <w:r w:rsidRPr="001A2820">
              <w:rPr>
                <w:sz w:val="22"/>
                <w:szCs w:val="22"/>
                <w:lang w:val="fr-FR"/>
              </w:rPr>
              <w:t>É</w:t>
            </w:r>
            <w:r w:rsidRPr="001A2820">
              <w:rPr>
                <w:rFonts w:cstheme="minorHAnsi"/>
                <w:sz w:val="22"/>
                <w:szCs w:val="22"/>
                <w:lang w:val="fr-FR"/>
              </w:rPr>
              <w:t>laboration d’approches de gestion des risques liés au mercure en Amérique latine</w:t>
            </w:r>
          </w:p>
        </w:tc>
        <w:tc>
          <w:tcPr>
            <w:tcW w:w="857" w:type="dxa"/>
            <w:hideMark/>
          </w:tcPr>
          <w:p w14:paraId="41C26DC4" w14:textId="6BE62E09"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5AF9CF0B" w14:textId="28E906AB"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3C88C6D7" w14:textId="34577947"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66410AE2" w14:textId="7A1ADAF3" w:rsidR="0027787C" w:rsidRPr="001A2820" w:rsidRDefault="0027787C" w:rsidP="0027787C">
            <w:pPr>
              <w:jc w:val="right"/>
              <w:rPr>
                <w:rFonts w:cstheme="minorHAnsi"/>
                <w:sz w:val="22"/>
                <w:szCs w:val="22"/>
                <w:lang w:val="fr-FR"/>
              </w:rPr>
            </w:pPr>
            <w:r w:rsidRPr="001A2820">
              <w:rPr>
                <w:rFonts w:cstheme="minorHAnsi"/>
                <w:sz w:val="22"/>
                <w:szCs w:val="22"/>
                <w:lang w:val="fr-FR"/>
              </w:rPr>
              <w:t>916</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684B65B4" w14:textId="18490D75"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9E04A6">
              <w:rPr>
                <w:rFonts w:cstheme="minorHAnsi"/>
                <w:sz w:val="22"/>
                <w:szCs w:val="22"/>
                <w:lang w:val="fr-FR"/>
              </w:rPr>
              <w:t> </w:t>
            </w:r>
            <w:r w:rsidRPr="001A2820">
              <w:rPr>
                <w:rFonts w:cstheme="minorHAnsi"/>
                <w:sz w:val="22"/>
                <w:szCs w:val="22"/>
                <w:lang w:val="fr-FR"/>
              </w:rPr>
              <w:t>894</w:t>
            </w:r>
            <w:r w:rsidR="009E04A6">
              <w:rPr>
                <w:rFonts w:cstheme="minorHAnsi"/>
                <w:sz w:val="22"/>
                <w:szCs w:val="22"/>
                <w:lang w:val="fr-FR"/>
              </w:rPr>
              <w:t> </w:t>
            </w:r>
            <w:r w:rsidRPr="001A2820">
              <w:rPr>
                <w:rFonts w:cstheme="minorHAnsi"/>
                <w:sz w:val="22"/>
                <w:szCs w:val="22"/>
                <w:lang w:val="fr-FR"/>
              </w:rPr>
              <w:t>434</w:t>
            </w:r>
          </w:p>
        </w:tc>
      </w:tr>
      <w:tr w:rsidR="0027787C" w:rsidRPr="001A2820" w14:paraId="57FE433D" w14:textId="77777777" w:rsidTr="00A5411B">
        <w:trPr>
          <w:trHeight w:val="1200"/>
        </w:trPr>
        <w:tc>
          <w:tcPr>
            <w:tcW w:w="1627" w:type="dxa"/>
          </w:tcPr>
          <w:p w14:paraId="15E7652A" w14:textId="69D080E2" w:rsidR="0027787C" w:rsidRPr="001A2820" w:rsidRDefault="0027787C" w:rsidP="0027787C">
            <w:pPr>
              <w:rPr>
                <w:rFonts w:cstheme="minorHAnsi"/>
                <w:sz w:val="22"/>
                <w:szCs w:val="22"/>
                <w:lang w:val="fr-FR"/>
              </w:rPr>
            </w:pPr>
            <w:r w:rsidRPr="001A2820">
              <w:rPr>
                <w:rFonts w:cstheme="minorHAnsi"/>
                <w:sz w:val="22"/>
                <w:szCs w:val="22"/>
                <w:lang w:val="fr-FR"/>
              </w:rPr>
              <w:t>République kirghize</w:t>
            </w:r>
          </w:p>
        </w:tc>
        <w:tc>
          <w:tcPr>
            <w:tcW w:w="1671" w:type="dxa"/>
          </w:tcPr>
          <w:p w14:paraId="6920C7A2" w14:textId="7EED48F2"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299787B7" w14:textId="70146CDD"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353E469B" w14:textId="5AA14B5A" w:rsidR="0027787C" w:rsidRPr="001A2820" w:rsidRDefault="0027787C" w:rsidP="0027787C">
            <w:pPr>
              <w:rPr>
                <w:sz w:val="22"/>
                <w:szCs w:val="22"/>
                <w:lang w:val="fr-FR"/>
              </w:rPr>
            </w:pPr>
            <w:r w:rsidRPr="001A2820">
              <w:rPr>
                <w:rFonts w:cstheme="minorHAnsi"/>
                <w:sz w:val="22"/>
                <w:szCs w:val="22"/>
                <w:lang w:val="fr-FR"/>
              </w:rPr>
              <w:t xml:space="preserve">Élaboration d’une évaluation initiale de la Convention de Minamata et mise à jour du plan d’action national concernant l’extraction minière artisanale et à petite échelle d’or  </w:t>
            </w:r>
          </w:p>
        </w:tc>
        <w:tc>
          <w:tcPr>
            <w:tcW w:w="857" w:type="dxa"/>
          </w:tcPr>
          <w:p w14:paraId="31277AF5" w14:textId="3A41F2E9"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52A4C9E4" w14:textId="0F0933FA"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16E21535" w14:textId="6F1BC8F9"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tcPr>
          <w:p w14:paraId="7A5462E0" w14:textId="6E64516D"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9E04A6">
              <w:rPr>
                <w:rFonts w:cstheme="minorHAnsi"/>
                <w:sz w:val="22"/>
                <w:szCs w:val="22"/>
                <w:lang w:val="fr-FR"/>
              </w:rPr>
              <w:t> </w:t>
            </w:r>
            <w:r w:rsidRPr="001A2820">
              <w:rPr>
                <w:rFonts w:cstheme="minorHAnsi"/>
                <w:sz w:val="22"/>
                <w:szCs w:val="22"/>
                <w:lang w:val="fr-FR"/>
              </w:rPr>
              <w:t>000</w:t>
            </w:r>
          </w:p>
        </w:tc>
        <w:tc>
          <w:tcPr>
            <w:tcW w:w="1592" w:type="dxa"/>
          </w:tcPr>
          <w:p w14:paraId="1262164D" w14:textId="67169325"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46EABF24" w14:textId="77777777" w:rsidTr="00A5411B">
        <w:trPr>
          <w:trHeight w:val="600"/>
        </w:trPr>
        <w:tc>
          <w:tcPr>
            <w:tcW w:w="1627" w:type="dxa"/>
            <w:hideMark/>
          </w:tcPr>
          <w:p w14:paraId="4B6308EE" w14:textId="74DC4E20" w:rsidR="0027787C" w:rsidRPr="001A2820" w:rsidRDefault="0027787C" w:rsidP="0027787C">
            <w:pPr>
              <w:rPr>
                <w:rFonts w:cstheme="minorHAnsi"/>
                <w:sz w:val="22"/>
                <w:szCs w:val="22"/>
                <w:lang w:val="fr-FR"/>
              </w:rPr>
            </w:pPr>
            <w:r w:rsidRPr="001A2820">
              <w:rPr>
                <w:rFonts w:cstheme="minorHAnsi"/>
                <w:sz w:val="22"/>
                <w:szCs w:val="22"/>
                <w:lang w:val="fr-FR"/>
              </w:rPr>
              <w:t>République kirghize</w:t>
            </w:r>
          </w:p>
        </w:tc>
        <w:tc>
          <w:tcPr>
            <w:tcW w:w="1671" w:type="dxa"/>
            <w:hideMark/>
          </w:tcPr>
          <w:p w14:paraId="315A7525" w14:textId="2CEFF83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64CC862" w14:textId="0C4E8DA6"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7AB03D6D" w14:textId="6585D08B" w:rsidR="0027787C" w:rsidRPr="001A2820" w:rsidRDefault="0027787C" w:rsidP="0027787C">
            <w:pPr>
              <w:rPr>
                <w:rFonts w:cstheme="minorHAnsi"/>
                <w:sz w:val="22"/>
                <w:szCs w:val="22"/>
                <w:lang w:val="fr-FR"/>
              </w:rPr>
            </w:pPr>
            <w:r w:rsidRPr="001A2820">
              <w:rPr>
                <w:rFonts w:cstheme="minorHAnsi"/>
                <w:sz w:val="22"/>
                <w:szCs w:val="22"/>
                <w:lang w:val="fr-FR"/>
              </w:rPr>
              <w:t>Réduction des risques environnementaux mondiaux et locaux présentés par le mercure primaire obtenu par extraction minière à Khaidarkan en République kirghize</w:t>
            </w:r>
          </w:p>
        </w:tc>
        <w:tc>
          <w:tcPr>
            <w:tcW w:w="857" w:type="dxa"/>
            <w:hideMark/>
          </w:tcPr>
          <w:p w14:paraId="5631791B" w14:textId="0A862358"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42FFDA0C" w14:textId="4149C48D"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6C5CE502" w14:textId="782854E2"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2CA7816" w14:textId="505FCFB8" w:rsidR="0027787C" w:rsidRPr="001A2820" w:rsidRDefault="0027787C" w:rsidP="0027787C">
            <w:pPr>
              <w:jc w:val="right"/>
              <w:rPr>
                <w:rFonts w:cstheme="minorHAnsi"/>
                <w:sz w:val="22"/>
                <w:szCs w:val="22"/>
                <w:lang w:val="fr-FR"/>
              </w:rPr>
            </w:pPr>
            <w:r w:rsidRPr="001A2820">
              <w:rPr>
                <w:rFonts w:cstheme="minorHAnsi"/>
                <w:sz w:val="22"/>
                <w:szCs w:val="22"/>
                <w:lang w:val="fr-FR"/>
              </w:rPr>
              <w:t>944</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6C6DAF4B" w14:textId="6B6E231F" w:rsidR="0027787C" w:rsidRPr="001A2820" w:rsidRDefault="0027787C" w:rsidP="0027787C">
            <w:pPr>
              <w:jc w:val="right"/>
              <w:rPr>
                <w:rFonts w:cstheme="minorHAnsi"/>
                <w:sz w:val="22"/>
                <w:szCs w:val="22"/>
                <w:lang w:val="fr-FR"/>
              </w:rPr>
            </w:pPr>
            <w:r w:rsidRPr="001A2820">
              <w:rPr>
                <w:rFonts w:cstheme="minorHAnsi"/>
                <w:sz w:val="22"/>
                <w:szCs w:val="22"/>
                <w:lang w:val="fr-FR"/>
              </w:rPr>
              <w:t>3</w:t>
            </w:r>
            <w:r w:rsidR="009E04A6">
              <w:rPr>
                <w:rFonts w:cstheme="minorHAnsi"/>
                <w:sz w:val="22"/>
                <w:szCs w:val="22"/>
                <w:lang w:val="fr-FR"/>
              </w:rPr>
              <w:t> </w:t>
            </w:r>
            <w:r w:rsidRPr="001A2820">
              <w:rPr>
                <w:rFonts w:cstheme="minorHAnsi"/>
                <w:sz w:val="22"/>
                <w:szCs w:val="22"/>
                <w:lang w:val="fr-FR"/>
              </w:rPr>
              <w:t>007</w:t>
            </w:r>
            <w:r w:rsidR="009E04A6">
              <w:rPr>
                <w:rFonts w:cstheme="minorHAnsi"/>
                <w:sz w:val="22"/>
                <w:szCs w:val="22"/>
                <w:lang w:val="fr-FR"/>
              </w:rPr>
              <w:t> </w:t>
            </w:r>
            <w:r w:rsidRPr="001A2820">
              <w:rPr>
                <w:rFonts w:cstheme="minorHAnsi"/>
                <w:sz w:val="22"/>
                <w:szCs w:val="22"/>
                <w:lang w:val="fr-FR"/>
              </w:rPr>
              <w:t>000</w:t>
            </w:r>
          </w:p>
        </w:tc>
      </w:tr>
      <w:tr w:rsidR="0027787C" w:rsidRPr="001A2820" w14:paraId="2F339F05" w14:textId="77777777" w:rsidTr="00A5411B">
        <w:trPr>
          <w:trHeight w:val="300"/>
        </w:trPr>
        <w:tc>
          <w:tcPr>
            <w:tcW w:w="1627" w:type="dxa"/>
            <w:hideMark/>
          </w:tcPr>
          <w:p w14:paraId="36B39B53" w14:textId="1031C7E2" w:rsidR="0027787C" w:rsidRPr="001A2820" w:rsidRDefault="0027787C" w:rsidP="0027787C">
            <w:pPr>
              <w:rPr>
                <w:rFonts w:cstheme="minorHAnsi"/>
                <w:sz w:val="22"/>
                <w:szCs w:val="22"/>
                <w:lang w:val="fr-FR"/>
              </w:rPr>
            </w:pPr>
            <w:r w:rsidRPr="001A2820">
              <w:rPr>
                <w:rFonts w:cstheme="minorHAnsi"/>
                <w:sz w:val="22"/>
                <w:szCs w:val="22"/>
                <w:lang w:val="fr-FR"/>
              </w:rPr>
              <w:t>République kirghize</w:t>
            </w:r>
          </w:p>
        </w:tc>
        <w:tc>
          <w:tcPr>
            <w:tcW w:w="1671" w:type="dxa"/>
            <w:hideMark/>
          </w:tcPr>
          <w:p w14:paraId="235A916D" w14:textId="54994F34"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489C701" w14:textId="107B7E0C"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14A46B59" w14:textId="34BFDA7E" w:rsidR="0027787C" w:rsidRPr="001A2820" w:rsidRDefault="0027787C" w:rsidP="0027787C">
            <w:pPr>
              <w:rPr>
                <w:rFonts w:cstheme="minorHAnsi"/>
                <w:sz w:val="22"/>
                <w:szCs w:val="22"/>
                <w:lang w:val="fr-FR"/>
              </w:rPr>
            </w:pPr>
            <w:r w:rsidRPr="001A2820">
              <w:rPr>
                <w:rFonts w:cstheme="minorHAnsi"/>
                <w:sz w:val="22"/>
                <w:szCs w:val="22"/>
                <w:lang w:val="fr-FR"/>
              </w:rPr>
              <w:t xml:space="preserve">Protéger la santé humaine et l’environnement des rejets non intentionnels de polluants organiques persistants et de mercure provenant de </w:t>
            </w:r>
            <w:r w:rsidRPr="001A2820">
              <w:rPr>
                <w:rFonts w:cstheme="minorHAnsi"/>
                <w:sz w:val="22"/>
                <w:szCs w:val="22"/>
                <w:lang w:val="fr-FR"/>
              </w:rPr>
              <w:lastRenderedPageBreak/>
              <w:t>l’élimination non rationnelle de déchets médicaux au Kirghizistan</w:t>
            </w:r>
          </w:p>
        </w:tc>
        <w:tc>
          <w:tcPr>
            <w:tcW w:w="857" w:type="dxa"/>
            <w:hideMark/>
          </w:tcPr>
          <w:p w14:paraId="02B70416" w14:textId="358D7FFF" w:rsidR="0027787C" w:rsidRPr="001A2820" w:rsidRDefault="00F47184" w:rsidP="0027787C">
            <w:pPr>
              <w:rPr>
                <w:rFonts w:cstheme="minorHAnsi"/>
                <w:sz w:val="22"/>
                <w:szCs w:val="22"/>
                <w:lang w:val="fr-FR"/>
              </w:rPr>
            </w:pPr>
            <w:r>
              <w:rPr>
                <w:rFonts w:cstheme="minorHAnsi"/>
                <w:sz w:val="22"/>
                <w:szCs w:val="22"/>
                <w:lang w:val="fr-FR"/>
              </w:rPr>
              <w:lastRenderedPageBreak/>
              <w:t>FEM-5</w:t>
            </w:r>
          </w:p>
        </w:tc>
        <w:tc>
          <w:tcPr>
            <w:tcW w:w="889" w:type="dxa"/>
            <w:hideMark/>
          </w:tcPr>
          <w:p w14:paraId="42246FCC" w14:textId="6A12CBB8"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0AE1BA9C" w14:textId="1B13757C"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10C0A075" w14:textId="5CAB4BDB" w:rsidR="0027787C" w:rsidRPr="001A2820" w:rsidRDefault="0027787C" w:rsidP="0027787C">
            <w:pPr>
              <w:jc w:val="right"/>
              <w:rPr>
                <w:rFonts w:cstheme="minorHAnsi"/>
                <w:sz w:val="22"/>
                <w:szCs w:val="22"/>
                <w:lang w:val="fr-FR"/>
              </w:rPr>
            </w:pPr>
            <w:r w:rsidRPr="001A2820">
              <w:rPr>
                <w:rFonts w:cstheme="minorHAnsi"/>
                <w:sz w:val="22"/>
                <w:szCs w:val="22"/>
                <w:lang w:val="fr-FR"/>
              </w:rPr>
              <w:t>120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48D85B4E" w14:textId="0629B1DC" w:rsidR="0027787C" w:rsidRPr="001A2820" w:rsidRDefault="0027787C" w:rsidP="0027787C">
            <w:pPr>
              <w:jc w:val="right"/>
              <w:rPr>
                <w:rFonts w:cstheme="minorHAnsi"/>
                <w:sz w:val="22"/>
                <w:szCs w:val="22"/>
                <w:lang w:val="fr-FR"/>
              </w:rPr>
            </w:pPr>
            <w:r w:rsidRPr="001A2820">
              <w:rPr>
                <w:rFonts w:cstheme="minorHAnsi"/>
                <w:sz w:val="22"/>
                <w:szCs w:val="22"/>
                <w:lang w:val="fr-FR"/>
              </w:rPr>
              <w:t>360</w:t>
            </w:r>
            <w:r w:rsidR="00F62597">
              <w:rPr>
                <w:rFonts w:cstheme="minorHAnsi"/>
                <w:sz w:val="22"/>
                <w:szCs w:val="22"/>
                <w:lang w:val="fr-FR"/>
              </w:rPr>
              <w:t xml:space="preserve"> </w:t>
            </w:r>
            <w:r w:rsidRPr="001A2820">
              <w:rPr>
                <w:rFonts w:cstheme="minorHAnsi"/>
                <w:sz w:val="22"/>
                <w:szCs w:val="22"/>
                <w:lang w:val="fr-FR"/>
              </w:rPr>
              <w:t>000</w:t>
            </w:r>
          </w:p>
        </w:tc>
      </w:tr>
      <w:tr w:rsidR="00394759" w14:paraId="4226B262" w14:textId="77777777" w:rsidTr="00394759">
        <w:trPr>
          <w:trHeight w:val="300"/>
        </w:trPr>
        <w:tc>
          <w:tcPr>
            <w:tcW w:w="1627" w:type="dxa"/>
            <w:hideMark/>
          </w:tcPr>
          <w:p w14:paraId="57B68402" w14:textId="77777777" w:rsidR="00394759" w:rsidRDefault="00394759">
            <w:pPr>
              <w:rPr>
                <w:rFonts w:cstheme="minorHAnsi"/>
                <w:sz w:val="22"/>
                <w:szCs w:val="22"/>
                <w:lang w:val="fr-FR"/>
              </w:rPr>
            </w:pPr>
            <w:r>
              <w:rPr>
                <w:rFonts w:cstheme="minorHAnsi"/>
                <w:sz w:val="22"/>
                <w:szCs w:val="22"/>
                <w:lang w:val="fr-FR"/>
              </w:rPr>
              <w:t>Rwanda</w:t>
            </w:r>
          </w:p>
        </w:tc>
        <w:tc>
          <w:tcPr>
            <w:tcW w:w="1671" w:type="dxa"/>
            <w:hideMark/>
          </w:tcPr>
          <w:p w14:paraId="0FF32D27" w14:textId="77777777" w:rsidR="00394759" w:rsidRDefault="00394759">
            <w:pPr>
              <w:rPr>
                <w:rFonts w:cstheme="minorHAnsi"/>
                <w:sz w:val="22"/>
                <w:szCs w:val="22"/>
                <w:lang w:val="fr-FR"/>
              </w:rPr>
            </w:pPr>
            <w:r>
              <w:rPr>
                <w:rFonts w:cstheme="minorHAnsi"/>
                <w:sz w:val="22"/>
                <w:szCs w:val="22"/>
                <w:lang w:val="fr-FR"/>
              </w:rPr>
              <w:t> </w:t>
            </w:r>
          </w:p>
        </w:tc>
        <w:tc>
          <w:tcPr>
            <w:tcW w:w="1463" w:type="dxa"/>
            <w:hideMark/>
          </w:tcPr>
          <w:p w14:paraId="7F17DE45" w14:textId="77777777" w:rsidR="00394759" w:rsidRDefault="00394759">
            <w:pPr>
              <w:rPr>
                <w:rFonts w:cstheme="minorHAnsi"/>
                <w:sz w:val="22"/>
                <w:szCs w:val="22"/>
                <w:lang w:val="fr-FR"/>
              </w:rPr>
            </w:pPr>
            <w:r>
              <w:rPr>
                <w:rFonts w:cstheme="minorHAnsi"/>
                <w:sz w:val="22"/>
                <w:szCs w:val="22"/>
                <w:lang w:val="fr-FR"/>
              </w:rPr>
              <w:t>D</w:t>
            </w:r>
          </w:p>
        </w:tc>
        <w:tc>
          <w:tcPr>
            <w:tcW w:w="3751" w:type="dxa"/>
            <w:hideMark/>
          </w:tcPr>
          <w:p w14:paraId="51B70A9B" w14:textId="77777777" w:rsidR="00394759" w:rsidRDefault="00394759">
            <w:pPr>
              <w:rPr>
                <w:rFonts w:cstheme="minorHAnsi"/>
                <w:sz w:val="22"/>
                <w:szCs w:val="22"/>
                <w:lang w:val="fr-FR"/>
              </w:rPr>
            </w:pPr>
            <w:r>
              <w:rPr>
                <w:rFonts w:cstheme="minorHAnsi"/>
                <w:sz w:val="22"/>
                <w:szCs w:val="22"/>
                <w:lang w:val="fr-FR"/>
              </w:rPr>
              <w:t>Convention de Minamata : évaluation initiale pour le Rwanda</w:t>
            </w:r>
          </w:p>
        </w:tc>
        <w:tc>
          <w:tcPr>
            <w:tcW w:w="857" w:type="dxa"/>
            <w:hideMark/>
          </w:tcPr>
          <w:p w14:paraId="761EBACA" w14:textId="67B9FCB6" w:rsidR="00394759" w:rsidRDefault="00F47184">
            <w:pPr>
              <w:rPr>
                <w:rFonts w:cstheme="minorHAnsi"/>
                <w:sz w:val="22"/>
                <w:szCs w:val="22"/>
                <w:lang w:val="fr-FR"/>
              </w:rPr>
            </w:pPr>
            <w:r>
              <w:rPr>
                <w:rFonts w:cstheme="minorHAnsi"/>
                <w:sz w:val="22"/>
                <w:szCs w:val="22"/>
                <w:lang w:val="fr-FR"/>
              </w:rPr>
              <w:t>FEM-6</w:t>
            </w:r>
          </w:p>
        </w:tc>
        <w:tc>
          <w:tcPr>
            <w:tcW w:w="889" w:type="dxa"/>
            <w:hideMark/>
          </w:tcPr>
          <w:p w14:paraId="13F0D976" w14:textId="77777777" w:rsidR="00394759" w:rsidRDefault="00394759">
            <w:pPr>
              <w:rPr>
                <w:rFonts w:cstheme="minorHAnsi"/>
                <w:sz w:val="22"/>
                <w:szCs w:val="22"/>
                <w:lang w:val="fr-FR"/>
              </w:rPr>
            </w:pPr>
            <w:r>
              <w:rPr>
                <w:rFonts w:cstheme="minorHAnsi"/>
                <w:sz w:val="22"/>
                <w:szCs w:val="22"/>
                <w:lang w:val="fr-FR"/>
              </w:rPr>
              <w:t>AH</w:t>
            </w:r>
          </w:p>
        </w:tc>
        <w:tc>
          <w:tcPr>
            <w:tcW w:w="1157" w:type="dxa"/>
            <w:hideMark/>
          </w:tcPr>
          <w:p w14:paraId="19D343EF" w14:textId="77777777" w:rsidR="00394759" w:rsidRDefault="00394759">
            <w:pPr>
              <w:rPr>
                <w:rFonts w:cstheme="minorHAnsi"/>
                <w:sz w:val="22"/>
                <w:szCs w:val="22"/>
                <w:lang w:val="fr-FR"/>
              </w:rPr>
            </w:pPr>
            <w:r>
              <w:rPr>
                <w:rFonts w:cstheme="minorHAnsi"/>
                <w:sz w:val="22"/>
                <w:szCs w:val="22"/>
                <w:lang w:val="fr-FR"/>
              </w:rPr>
              <w:t>ONUDI</w:t>
            </w:r>
          </w:p>
        </w:tc>
        <w:tc>
          <w:tcPr>
            <w:tcW w:w="1498" w:type="dxa"/>
            <w:hideMark/>
          </w:tcPr>
          <w:p w14:paraId="58E1E6EA" w14:textId="61B4FCBA" w:rsidR="00394759" w:rsidRDefault="00394759">
            <w:pPr>
              <w:jc w:val="right"/>
              <w:rPr>
                <w:rFonts w:cstheme="minorHAnsi"/>
                <w:sz w:val="22"/>
                <w:szCs w:val="22"/>
                <w:lang w:val="fr-FR"/>
              </w:rPr>
            </w:pPr>
            <w:r>
              <w:rPr>
                <w:rFonts w:cstheme="minorHAnsi"/>
                <w:sz w:val="22"/>
                <w:szCs w:val="22"/>
                <w:lang w:val="fr-FR"/>
              </w:rPr>
              <w:t>200</w:t>
            </w:r>
            <w:r w:rsidR="009E04A6">
              <w:rPr>
                <w:rFonts w:cstheme="minorHAnsi"/>
                <w:sz w:val="22"/>
                <w:szCs w:val="22"/>
                <w:lang w:val="fr-FR"/>
              </w:rPr>
              <w:t> </w:t>
            </w:r>
            <w:r>
              <w:rPr>
                <w:rFonts w:cstheme="minorHAnsi"/>
                <w:sz w:val="22"/>
                <w:szCs w:val="22"/>
                <w:lang w:val="fr-FR"/>
              </w:rPr>
              <w:t>000</w:t>
            </w:r>
          </w:p>
        </w:tc>
        <w:tc>
          <w:tcPr>
            <w:tcW w:w="1592" w:type="dxa"/>
            <w:hideMark/>
          </w:tcPr>
          <w:p w14:paraId="6D647699" w14:textId="74D45845" w:rsidR="00394759" w:rsidRDefault="00394759">
            <w:pPr>
              <w:jc w:val="right"/>
              <w:rPr>
                <w:rFonts w:cstheme="minorHAnsi"/>
                <w:sz w:val="22"/>
                <w:szCs w:val="22"/>
                <w:lang w:val="fr-FR"/>
              </w:rPr>
            </w:pPr>
            <w:r>
              <w:rPr>
                <w:rFonts w:cstheme="minorHAnsi"/>
                <w:sz w:val="22"/>
                <w:szCs w:val="22"/>
                <w:lang w:val="fr-FR"/>
              </w:rPr>
              <w:t>18</w:t>
            </w:r>
            <w:r w:rsidR="009E04A6">
              <w:rPr>
                <w:rFonts w:cstheme="minorHAnsi"/>
                <w:sz w:val="22"/>
                <w:szCs w:val="22"/>
                <w:lang w:val="fr-FR"/>
              </w:rPr>
              <w:t> </w:t>
            </w:r>
            <w:r>
              <w:rPr>
                <w:rFonts w:cstheme="minorHAnsi"/>
                <w:sz w:val="22"/>
                <w:szCs w:val="22"/>
                <w:lang w:val="fr-FR"/>
              </w:rPr>
              <w:t>400</w:t>
            </w:r>
          </w:p>
        </w:tc>
      </w:tr>
      <w:tr w:rsidR="0027787C" w:rsidRPr="001A2820" w14:paraId="0AF636AF" w14:textId="77777777" w:rsidTr="00A5411B">
        <w:trPr>
          <w:trHeight w:val="600"/>
        </w:trPr>
        <w:tc>
          <w:tcPr>
            <w:tcW w:w="1627" w:type="dxa"/>
            <w:hideMark/>
          </w:tcPr>
          <w:p w14:paraId="6A685AEE" w14:textId="77777777" w:rsidR="0027787C" w:rsidRPr="001A2820" w:rsidRDefault="0027787C" w:rsidP="0027787C">
            <w:pPr>
              <w:rPr>
                <w:rFonts w:cstheme="minorHAnsi"/>
                <w:sz w:val="22"/>
                <w:szCs w:val="22"/>
                <w:lang w:val="fr-FR"/>
              </w:rPr>
            </w:pPr>
            <w:r w:rsidRPr="001A2820">
              <w:rPr>
                <w:rFonts w:cstheme="minorHAnsi"/>
                <w:sz w:val="22"/>
                <w:szCs w:val="22"/>
                <w:lang w:val="fr-FR"/>
              </w:rPr>
              <w:t>Rwanda</w:t>
            </w:r>
          </w:p>
        </w:tc>
        <w:tc>
          <w:tcPr>
            <w:tcW w:w="1671" w:type="dxa"/>
            <w:hideMark/>
          </w:tcPr>
          <w:p w14:paraId="40754DA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F31D14B" w14:textId="30F29321"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5371637" w14:textId="6F171255" w:rsidR="0027787C" w:rsidRPr="001A2820" w:rsidRDefault="0027787C" w:rsidP="0027787C">
            <w:pPr>
              <w:rPr>
                <w:rFonts w:cstheme="minorHAnsi"/>
                <w:sz w:val="22"/>
                <w:szCs w:val="22"/>
                <w:lang w:val="fr-FR"/>
              </w:rPr>
            </w:pPr>
            <w:r w:rsidRPr="001A2820">
              <w:rPr>
                <w:rFonts w:cstheme="minorHAnsi"/>
                <w:sz w:val="22"/>
                <w:szCs w:val="22"/>
                <w:lang w:val="fr-FR"/>
              </w:rPr>
              <w:t>Plan d’action national concernant le mercure dans le secteur de l’extraction minière artisanale et à petite échelle d’or au Rwanda</w:t>
            </w:r>
          </w:p>
        </w:tc>
        <w:tc>
          <w:tcPr>
            <w:tcW w:w="857" w:type="dxa"/>
            <w:hideMark/>
          </w:tcPr>
          <w:p w14:paraId="0D5C3272" w14:textId="352EF39D"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2507F98F" w14:textId="4DC9EE1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DFDBAFE" w14:textId="598C0947"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49FB6628" w14:textId="4BCADB5C"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4C8AFC19" w14:textId="67AA6A6F" w:rsidR="0027787C" w:rsidRPr="001A2820" w:rsidRDefault="0027787C" w:rsidP="0027787C">
            <w:pPr>
              <w:jc w:val="right"/>
              <w:rPr>
                <w:rFonts w:cstheme="minorHAnsi"/>
                <w:sz w:val="22"/>
                <w:szCs w:val="22"/>
                <w:lang w:val="fr-FR"/>
              </w:rPr>
            </w:pPr>
            <w:r w:rsidRPr="001A2820">
              <w:rPr>
                <w:rFonts w:cstheme="minorHAnsi"/>
                <w:sz w:val="22"/>
                <w:szCs w:val="22"/>
                <w:lang w:val="fr-FR"/>
              </w:rPr>
              <w:t>58</w:t>
            </w:r>
            <w:r w:rsidR="009E04A6">
              <w:rPr>
                <w:rFonts w:cstheme="minorHAnsi"/>
                <w:sz w:val="22"/>
                <w:szCs w:val="22"/>
                <w:lang w:val="fr-FR"/>
              </w:rPr>
              <w:t> </w:t>
            </w:r>
            <w:r w:rsidRPr="001A2820">
              <w:rPr>
                <w:rFonts w:cstheme="minorHAnsi"/>
                <w:sz w:val="22"/>
                <w:szCs w:val="22"/>
                <w:lang w:val="fr-FR"/>
              </w:rPr>
              <w:t>500</w:t>
            </w:r>
          </w:p>
        </w:tc>
      </w:tr>
      <w:tr w:rsidR="0027787C" w:rsidRPr="001A2820" w14:paraId="4E7E651C" w14:textId="77777777" w:rsidTr="00A5411B">
        <w:trPr>
          <w:trHeight w:val="300"/>
        </w:trPr>
        <w:tc>
          <w:tcPr>
            <w:tcW w:w="1627" w:type="dxa"/>
            <w:hideMark/>
          </w:tcPr>
          <w:p w14:paraId="229C84C2" w14:textId="0340B1DE" w:rsidR="0027787C" w:rsidRPr="001A2820" w:rsidRDefault="0027787C" w:rsidP="0027787C">
            <w:pPr>
              <w:rPr>
                <w:rFonts w:cstheme="minorHAnsi"/>
                <w:sz w:val="22"/>
                <w:szCs w:val="22"/>
                <w:lang w:val="fr-FR"/>
              </w:rPr>
            </w:pPr>
            <w:r w:rsidRPr="001A2820">
              <w:rPr>
                <w:rFonts w:cstheme="minorHAnsi"/>
                <w:sz w:val="22"/>
                <w:szCs w:val="22"/>
                <w:lang w:val="fr-FR"/>
              </w:rPr>
              <w:t>Serbie</w:t>
            </w:r>
          </w:p>
        </w:tc>
        <w:tc>
          <w:tcPr>
            <w:tcW w:w="1671" w:type="dxa"/>
            <w:hideMark/>
          </w:tcPr>
          <w:p w14:paraId="699DCE41"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65FE9443" w14:textId="46F57E5C"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728AC9D2" w14:textId="07A14831"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w:t>
            </w:r>
          </w:p>
        </w:tc>
        <w:tc>
          <w:tcPr>
            <w:tcW w:w="857" w:type="dxa"/>
            <w:hideMark/>
          </w:tcPr>
          <w:p w14:paraId="516D6451" w14:textId="0ECBD3AB"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CAE47F9" w14:textId="73D76DF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750BFF69" w14:textId="0D3FF7D9"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685244F8" w14:textId="6FCBA6ED"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372CD89A" w14:textId="11C1F46E" w:rsidR="0027787C" w:rsidRPr="001A2820" w:rsidRDefault="0027787C" w:rsidP="0027787C">
            <w:pPr>
              <w:jc w:val="right"/>
              <w:rPr>
                <w:rFonts w:cstheme="minorHAnsi"/>
                <w:sz w:val="22"/>
                <w:szCs w:val="22"/>
                <w:lang w:val="fr-FR"/>
              </w:rPr>
            </w:pPr>
            <w:r w:rsidRPr="001A2820">
              <w:rPr>
                <w:rFonts w:cstheme="minorHAnsi"/>
                <w:sz w:val="22"/>
                <w:szCs w:val="22"/>
                <w:lang w:val="fr-FR"/>
              </w:rPr>
              <w:t>97</w:t>
            </w:r>
            <w:r w:rsidR="009E04A6">
              <w:rPr>
                <w:rFonts w:cstheme="minorHAnsi"/>
                <w:sz w:val="22"/>
                <w:szCs w:val="22"/>
                <w:lang w:val="fr-FR"/>
              </w:rPr>
              <w:t> </w:t>
            </w:r>
            <w:r w:rsidRPr="001A2820">
              <w:rPr>
                <w:rFonts w:cstheme="minorHAnsi"/>
                <w:sz w:val="22"/>
                <w:szCs w:val="22"/>
                <w:lang w:val="fr-FR"/>
              </w:rPr>
              <w:t>220</w:t>
            </w:r>
          </w:p>
        </w:tc>
      </w:tr>
      <w:tr w:rsidR="0027787C" w:rsidRPr="001A2820" w14:paraId="46A2B439" w14:textId="77777777" w:rsidTr="00A5411B">
        <w:trPr>
          <w:trHeight w:val="1200"/>
        </w:trPr>
        <w:tc>
          <w:tcPr>
            <w:tcW w:w="1627" w:type="dxa"/>
            <w:hideMark/>
          </w:tcPr>
          <w:p w14:paraId="61F9C2DB" w14:textId="77777777" w:rsidR="0027787C" w:rsidRPr="001A2820" w:rsidRDefault="0027787C" w:rsidP="0027787C">
            <w:pPr>
              <w:rPr>
                <w:rFonts w:cstheme="minorHAnsi"/>
                <w:sz w:val="22"/>
                <w:szCs w:val="22"/>
                <w:lang w:val="fr-FR"/>
              </w:rPr>
            </w:pPr>
            <w:r w:rsidRPr="001A2820">
              <w:rPr>
                <w:rFonts w:cstheme="minorHAnsi"/>
                <w:sz w:val="22"/>
                <w:szCs w:val="22"/>
                <w:lang w:val="fr-FR"/>
              </w:rPr>
              <w:t>Seychelles</w:t>
            </w:r>
          </w:p>
        </w:tc>
        <w:tc>
          <w:tcPr>
            <w:tcW w:w="1671" w:type="dxa"/>
            <w:hideMark/>
          </w:tcPr>
          <w:p w14:paraId="45B523AD"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1266EB3" w14:textId="5F0C7D64"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4A71B479" w14:textId="28BAE12F" w:rsidR="0027787C" w:rsidRPr="001A2820" w:rsidRDefault="0027787C" w:rsidP="0027787C">
            <w:pPr>
              <w:rPr>
                <w:rFonts w:cstheme="minorHAnsi"/>
                <w:sz w:val="22"/>
                <w:szCs w:val="22"/>
                <w:lang w:val="fr-FR"/>
              </w:rPr>
            </w:pPr>
            <w:r w:rsidRPr="001A2820">
              <w:rPr>
                <w:rFonts w:cstheme="minorHAnsi"/>
                <w:sz w:val="22"/>
                <w:szCs w:val="22"/>
                <w:lang w:val="fr-FR"/>
              </w:rPr>
              <w:t xml:space="preserve">Renforcement des processus décisionnels nationaux en vue de la ratification de la Convention de Minamata et des capacités en vue de la mise en œuvre de dispositions futures </w:t>
            </w:r>
          </w:p>
        </w:tc>
        <w:tc>
          <w:tcPr>
            <w:tcW w:w="857" w:type="dxa"/>
            <w:hideMark/>
          </w:tcPr>
          <w:p w14:paraId="072571EF" w14:textId="30E3723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4290877C" w14:textId="1540E614"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3DAA7996" w14:textId="1C1EDBB7"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50074BA7" w14:textId="2E5E1FD0" w:rsidR="0027787C" w:rsidRPr="001A2820" w:rsidRDefault="0027787C" w:rsidP="0027787C">
            <w:pPr>
              <w:jc w:val="right"/>
              <w:rPr>
                <w:rFonts w:cstheme="minorHAnsi"/>
                <w:sz w:val="22"/>
                <w:szCs w:val="22"/>
                <w:lang w:val="fr-FR"/>
              </w:rPr>
            </w:pPr>
            <w:r w:rsidRPr="001A2820">
              <w:rPr>
                <w:rFonts w:cstheme="minorHAnsi"/>
                <w:sz w:val="22"/>
                <w:szCs w:val="22"/>
                <w:lang w:val="fr-FR"/>
              </w:rPr>
              <w:t>199</w:t>
            </w:r>
            <w:r w:rsidR="009E04A6">
              <w:rPr>
                <w:rFonts w:cstheme="minorHAnsi"/>
                <w:sz w:val="22"/>
                <w:szCs w:val="22"/>
                <w:lang w:val="fr-FR"/>
              </w:rPr>
              <w:t> </w:t>
            </w:r>
            <w:r w:rsidRPr="001A2820">
              <w:rPr>
                <w:rFonts w:cstheme="minorHAnsi"/>
                <w:sz w:val="22"/>
                <w:szCs w:val="22"/>
                <w:lang w:val="fr-FR"/>
              </w:rPr>
              <w:t>100</w:t>
            </w:r>
          </w:p>
        </w:tc>
        <w:tc>
          <w:tcPr>
            <w:tcW w:w="1592" w:type="dxa"/>
            <w:hideMark/>
          </w:tcPr>
          <w:p w14:paraId="42EE2F8B" w14:textId="2691FE24" w:rsidR="0027787C" w:rsidRPr="001A2820" w:rsidRDefault="0027787C" w:rsidP="0027787C">
            <w:pPr>
              <w:jc w:val="right"/>
              <w:rPr>
                <w:rFonts w:cstheme="minorHAnsi"/>
                <w:sz w:val="22"/>
                <w:szCs w:val="22"/>
                <w:lang w:val="fr-FR"/>
              </w:rPr>
            </w:pPr>
            <w:r w:rsidRPr="001A2820">
              <w:rPr>
                <w:rFonts w:cstheme="minorHAnsi"/>
                <w:sz w:val="22"/>
                <w:szCs w:val="22"/>
                <w:lang w:val="fr-FR"/>
              </w:rPr>
              <w:t>25</w:t>
            </w:r>
            <w:r w:rsidR="009E04A6">
              <w:rPr>
                <w:rFonts w:cstheme="minorHAnsi"/>
                <w:sz w:val="22"/>
                <w:szCs w:val="22"/>
                <w:lang w:val="fr-FR"/>
              </w:rPr>
              <w:t> </w:t>
            </w:r>
            <w:r w:rsidRPr="001A2820">
              <w:rPr>
                <w:rFonts w:cstheme="minorHAnsi"/>
                <w:sz w:val="22"/>
                <w:szCs w:val="22"/>
                <w:lang w:val="fr-FR"/>
              </w:rPr>
              <w:t>000</w:t>
            </w:r>
          </w:p>
        </w:tc>
      </w:tr>
      <w:tr w:rsidR="0027787C" w:rsidRPr="001A2820" w14:paraId="2579BDF2" w14:textId="77777777" w:rsidTr="00A5411B">
        <w:trPr>
          <w:trHeight w:val="900"/>
        </w:trPr>
        <w:tc>
          <w:tcPr>
            <w:tcW w:w="1627" w:type="dxa"/>
            <w:hideMark/>
          </w:tcPr>
          <w:p w14:paraId="6AE8C88B" w14:textId="1E5E352C" w:rsidR="0027787C" w:rsidRPr="001A2820" w:rsidRDefault="0027787C" w:rsidP="0027787C">
            <w:pPr>
              <w:rPr>
                <w:rFonts w:cstheme="minorHAnsi"/>
                <w:sz w:val="22"/>
                <w:szCs w:val="22"/>
                <w:lang w:val="fr-FR"/>
              </w:rPr>
            </w:pPr>
            <w:r w:rsidRPr="001A2820">
              <w:rPr>
                <w:rFonts w:cstheme="minorHAnsi"/>
                <w:sz w:val="22"/>
                <w:szCs w:val="22"/>
                <w:lang w:val="fr-FR"/>
              </w:rPr>
              <w:t>Sierra Leone</w:t>
            </w:r>
          </w:p>
        </w:tc>
        <w:tc>
          <w:tcPr>
            <w:tcW w:w="1671" w:type="dxa"/>
            <w:hideMark/>
          </w:tcPr>
          <w:p w14:paraId="7F627487"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F1D5EF1" w14:textId="31EE679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24D04627" w14:textId="02DB2E46" w:rsidR="0027787C" w:rsidRPr="001A2820" w:rsidRDefault="0027787C" w:rsidP="0027787C">
            <w:pPr>
              <w:rPr>
                <w:rFonts w:cstheme="minorHAnsi"/>
                <w:sz w:val="22"/>
                <w:szCs w:val="22"/>
                <w:lang w:val="fr-FR"/>
              </w:rPr>
            </w:pPr>
            <w:r w:rsidRPr="001A2820">
              <w:rPr>
                <w:rFonts w:cstheme="minorHAnsi"/>
                <w:sz w:val="22"/>
                <w:szCs w:val="22"/>
                <w:lang w:val="fr-FR"/>
              </w:rPr>
              <w:t>Élaboration d’une évaluation initiale de la Convention de Minamata et d’un plan d’action national concernant l’extraction minière artisanale et à petite échelle d’or en Sierra Leone</w:t>
            </w:r>
          </w:p>
        </w:tc>
        <w:tc>
          <w:tcPr>
            <w:tcW w:w="857" w:type="dxa"/>
            <w:hideMark/>
          </w:tcPr>
          <w:p w14:paraId="652010B8" w14:textId="702ED940"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A2E58C9" w14:textId="78B52310"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7F10C6BF" w14:textId="1B553116"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41A58246" w14:textId="718CD5A8"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05839F0F"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68892751" w14:textId="77777777" w:rsidTr="00A5411B">
        <w:trPr>
          <w:trHeight w:val="900"/>
        </w:trPr>
        <w:tc>
          <w:tcPr>
            <w:tcW w:w="1627" w:type="dxa"/>
          </w:tcPr>
          <w:p w14:paraId="3F79378C" w14:textId="5E628C96" w:rsidR="0027787C" w:rsidRPr="001A2820" w:rsidRDefault="0027787C" w:rsidP="0027787C">
            <w:pPr>
              <w:rPr>
                <w:rFonts w:cstheme="minorHAnsi"/>
                <w:sz w:val="22"/>
                <w:szCs w:val="22"/>
                <w:lang w:val="fr-FR"/>
              </w:rPr>
            </w:pPr>
            <w:r w:rsidRPr="001A2820">
              <w:rPr>
                <w:rFonts w:cstheme="minorHAnsi"/>
                <w:sz w:val="22"/>
                <w:szCs w:val="22"/>
                <w:lang w:val="fr-FR"/>
              </w:rPr>
              <w:t>Soudan</w:t>
            </w:r>
          </w:p>
        </w:tc>
        <w:tc>
          <w:tcPr>
            <w:tcW w:w="1671" w:type="dxa"/>
          </w:tcPr>
          <w:p w14:paraId="2854CB81" w14:textId="05B84B29"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580FDEF1" w14:textId="0A281041"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73E89D89" w14:textId="3E045578" w:rsidR="0027787C" w:rsidRPr="001A2820" w:rsidRDefault="0027787C" w:rsidP="0027787C">
            <w:pPr>
              <w:rPr>
                <w:rFonts w:cstheme="minorHAnsi"/>
                <w:sz w:val="22"/>
                <w:szCs w:val="22"/>
                <w:lang w:val="fr-FR"/>
              </w:rPr>
            </w:pPr>
            <w:r w:rsidRPr="001A2820">
              <w:rPr>
                <w:rFonts w:cstheme="minorHAnsi"/>
                <w:sz w:val="22"/>
                <w:szCs w:val="22"/>
                <w:lang w:val="fr-FR"/>
              </w:rPr>
              <w:t>Convention de Minamata : évaluation initiale en république du Soudan</w:t>
            </w:r>
          </w:p>
        </w:tc>
        <w:tc>
          <w:tcPr>
            <w:tcW w:w="857" w:type="dxa"/>
          </w:tcPr>
          <w:p w14:paraId="3DF096BE" w14:textId="5C700A4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51D3C82C" w14:textId="59332531"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44B30EF5" w14:textId="1A26B034"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tcPr>
          <w:p w14:paraId="2451B814" w14:textId="2E1AFE32"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9E04A6">
              <w:rPr>
                <w:rFonts w:cstheme="minorHAnsi"/>
                <w:sz w:val="22"/>
                <w:szCs w:val="22"/>
                <w:lang w:val="fr-FR"/>
              </w:rPr>
              <w:t> </w:t>
            </w:r>
            <w:r w:rsidRPr="001A2820">
              <w:rPr>
                <w:rFonts w:cstheme="minorHAnsi"/>
                <w:sz w:val="22"/>
                <w:szCs w:val="22"/>
                <w:lang w:val="fr-FR"/>
              </w:rPr>
              <w:t>000</w:t>
            </w:r>
          </w:p>
        </w:tc>
        <w:tc>
          <w:tcPr>
            <w:tcW w:w="1592" w:type="dxa"/>
          </w:tcPr>
          <w:p w14:paraId="6E0FA065" w14:textId="1978CB5F" w:rsidR="0027787C" w:rsidRPr="001A2820" w:rsidRDefault="0027787C" w:rsidP="0027787C">
            <w:pPr>
              <w:jc w:val="right"/>
              <w:rPr>
                <w:rFonts w:cstheme="minorHAnsi"/>
                <w:sz w:val="22"/>
                <w:szCs w:val="22"/>
                <w:lang w:val="fr-FR"/>
              </w:rPr>
            </w:pPr>
            <w:r w:rsidRPr="001A2820">
              <w:rPr>
                <w:rFonts w:cstheme="minorHAnsi"/>
                <w:sz w:val="22"/>
                <w:szCs w:val="22"/>
                <w:lang w:val="fr-FR"/>
              </w:rPr>
              <w:t>118</w:t>
            </w:r>
            <w:r w:rsidR="009E04A6">
              <w:rPr>
                <w:rFonts w:cstheme="minorHAnsi"/>
                <w:sz w:val="22"/>
                <w:szCs w:val="22"/>
                <w:lang w:val="fr-FR"/>
              </w:rPr>
              <w:t> </w:t>
            </w:r>
            <w:r w:rsidRPr="001A2820">
              <w:rPr>
                <w:rFonts w:cstheme="minorHAnsi"/>
                <w:sz w:val="22"/>
                <w:szCs w:val="22"/>
                <w:lang w:val="fr-FR"/>
              </w:rPr>
              <w:t>600</w:t>
            </w:r>
          </w:p>
        </w:tc>
      </w:tr>
      <w:tr w:rsidR="0027787C" w:rsidRPr="001A2820" w14:paraId="1039E542" w14:textId="77777777" w:rsidTr="00A5411B">
        <w:trPr>
          <w:trHeight w:val="300"/>
        </w:trPr>
        <w:tc>
          <w:tcPr>
            <w:tcW w:w="1627" w:type="dxa"/>
            <w:hideMark/>
          </w:tcPr>
          <w:p w14:paraId="1499A28E" w14:textId="148B9743" w:rsidR="0027787C" w:rsidRPr="001A2820" w:rsidRDefault="0027787C" w:rsidP="0027787C">
            <w:pPr>
              <w:rPr>
                <w:rFonts w:cstheme="minorHAnsi"/>
                <w:sz w:val="22"/>
                <w:szCs w:val="22"/>
                <w:lang w:val="fr-FR"/>
              </w:rPr>
            </w:pPr>
            <w:r w:rsidRPr="001A2820">
              <w:rPr>
                <w:rFonts w:cstheme="minorHAnsi"/>
                <w:sz w:val="22"/>
                <w:szCs w:val="22"/>
                <w:lang w:val="fr-FR"/>
              </w:rPr>
              <w:t>Sri Lanka</w:t>
            </w:r>
          </w:p>
        </w:tc>
        <w:tc>
          <w:tcPr>
            <w:tcW w:w="1671" w:type="dxa"/>
            <w:hideMark/>
          </w:tcPr>
          <w:p w14:paraId="64FDE3F8"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B1F9EBF" w14:textId="6E6C66BF"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719F6AF" w14:textId="7F5F5DAF" w:rsidR="0027787C" w:rsidRPr="001A2820" w:rsidRDefault="0027787C" w:rsidP="0027787C">
            <w:pPr>
              <w:rPr>
                <w:rFonts w:cstheme="minorHAnsi"/>
                <w:sz w:val="22"/>
                <w:szCs w:val="22"/>
                <w:lang w:val="fr-FR"/>
              </w:rPr>
            </w:pPr>
            <w:r w:rsidRPr="001A2820">
              <w:rPr>
                <w:rFonts w:cstheme="minorHAnsi"/>
                <w:sz w:val="22"/>
                <w:szCs w:val="22"/>
                <w:lang w:val="fr-FR"/>
              </w:rPr>
              <w:t>Convention de Minamata : évaluation initiale au Sri Lanka</w:t>
            </w:r>
          </w:p>
        </w:tc>
        <w:tc>
          <w:tcPr>
            <w:tcW w:w="857" w:type="dxa"/>
            <w:hideMark/>
          </w:tcPr>
          <w:p w14:paraId="0A193D44" w14:textId="25917A65"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5501B32" w14:textId="1AA6927B"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6D2FF732" w14:textId="5993FE59"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642B358B" w14:textId="4B2D4208"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68B2036A" w14:textId="28B9C32C" w:rsidR="0027787C" w:rsidRPr="001A2820" w:rsidRDefault="0027787C" w:rsidP="0027787C">
            <w:pPr>
              <w:jc w:val="right"/>
              <w:rPr>
                <w:rFonts w:cstheme="minorHAnsi"/>
                <w:sz w:val="22"/>
                <w:szCs w:val="22"/>
                <w:lang w:val="fr-FR"/>
              </w:rPr>
            </w:pPr>
            <w:r w:rsidRPr="001A2820">
              <w:rPr>
                <w:rFonts w:cstheme="minorHAnsi"/>
                <w:sz w:val="22"/>
                <w:szCs w:val="22"/>
                <w:lang w:val="fr-FR"/>
              </w:rPr>
              <w:t>38</w:t>
            </w:r>
            <w:r w:rsidR="009E04A6">
              <w:rPr>
                <w:rFonts w:cstheme="minorHAnsi"/>
                <w:sz w:val="22"/>
                <w:szCs w:val="22"/>
                <w:lang w:val="fr-FR"/>
              </w:rPr>
              <w:t> </w:t>
            </w:r>
            <w:r w:rsidRPr="001A2820">
              <w:rPr>
                <w:rFonts w:cstheme="minorHAnsi"/>
                <w:sz w:val="22"/>
                <w:szCs w:val="22"/>
                <w:lang w:val="fr-FR"/>
              </w:rPr>
              <w:t>600</w:t>
            </w:r>
          </w:p>
        </w:tc>
      </w:tr>
      <w:tr w:rsidR="0027787C" w:rsidRPr="001A2820" w14:paraId="6B92678C" w14:textId="77777777" w:rsidTr="00A5411B">
        <w:trPr>
          <w:trHeight w:val="300"/>
        </w:trPr>
        <w:tc>
          <w:tcPr>
            <w:tcW w:w="1627" w:type="dxa"/>
            <w:hideMark/>
          </w:tcPr>
          <w:p w14:paraId="220FF4EA" w14:textId="77777777" w:rsidR="0027787C" w:rsidRPr="001A2820" w:rsidRDefault="0027787C" w:rsidP="0027787C">
            <w:pPr>
              <w:rPr>
                <w:rFonts w:cstheme="minorHAnsi"/>
                <w:sz w:val="22"/>
                <w:szCs w:val="22"/>
                <w:lang w:val="fr-FR"/>
              </w:rPr>
            </w:pPr>
            <w:r w:rsidRPr="001A2820">
              <w:rPr>
                <w:rFonts w:cstheme="minorHAnsi"/>
                <w:sz w:val="22"/>
                <w:szCs w:val="22"/>
                <w:lang w:val="fr-FR"/>
              </w:rPr>
              <w:t>Suriname</w:t>
            </w:r>
          </w:p>
        </w:tc>
        <w:tc>
          <w:tcPr>
            <w:tcW w:w="1671" w:type="dxa"/>
            <w:hideMark/>
          </w:tcPr>
          <w:p w14:paraId="5933785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69D934E" w14:textId="6F6F21F5"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628D30F" w14:textId="2479FF3B" w:rsidR="0027787C" w:rsidRPr="001A2820" w:rsidRDefault="0027787C" w:rsidP="0027787C">
            <w:pPr>
              <w:rPr>
                <w:rFonts w:cstheme="minorHAnsi"/>
                <w:sz w:val="22"/>
                <w:szCs w:val="22"/>
                <w:lang w:val="fr-FR"/>
              </w:rPr>
            </w:pPr>
            <w:r w:rsidRPr="001A2820">
              <w:rPr>
                <w:rFonts w:cstheme="minorHAnsi"/>
                <w:sz w:val="22"/>
                <w:szCs w:val="22"/>
                <w:lang w:val="fr-FR"/>
              </w:rPr>
              <w:t xml:space="preserve">Évaluation initiale de la Convention de Minamata pour le Suriname </w:t>
            </w:r>
          </w:p>
        </w:tc>
        <w:tc>
          <w:tcPr>
            <w:tcW w:w="857" w:type="dxa"/>
            <w:hideMark/>
          </w:tcPr>
          <w:p w14:paraId="67359102" w14:textId="045E12DB"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0D08DA2A" w14:textId="2D50659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7A627F8" w14:textId="321352F7"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2C581D1A" w14:textId="3728FC23"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D71E97">
              <w:rPr>
                <w:rFonts w:cstheme="minorHAnsi"/>
                <w:sz w:val="22"/>
                <w:szCs w:val="22"/>
                <w:lang w:val="fr-FR"/>
              </w:rPr>
              <w:t xml:space="preserve"> </w:t>
            </w:r>
            <w:r w:rsidRPr="001A2820">
              <w:rPr>
                <w:rFonts w:cstheme="minorHAnsi"/>
                <w:sz w:val="22"/>
                <w:szCs w:val="22"/>
                <w:lang w:val="fr-FR"/>
              </w:rPr>
              <w:t>000</w:t>
            </w:r>
          </w:p>
        </w:tc>
        <w:tc>
          <w:tcPr>
            <w:tcW w:w="1592" w:type="dxa"/>
            <w:hideMark/>
          </w:tcPr>
          <w:p w14:paraId="4B613746"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086E2BE8" w14:textId="77777777" w:rsidTr="00A5411B">
        <w:trPr>
          <w:trHeight w:val="600"/>
        </w:trPr>
        <w:tc>
          <w:tcPr>
            <w:tcW w:w="1627" w:type="dxa"/>
            <w:hideMark/>
          </w:tcPr>
          <w:p w14:paraId="6A9B4E02" w14:textId="77777777" w:rsidR="0027787C" w:rsidRPr="001A2820" w:rsidRDefault="0027787C" w:rsidP="0027787C">
            <w:pPr>
              <w:rPr>
                <w:rFonts w:cstheme="minorHAnsi"/>
                <w:sz w:val="22"/>
                <w:szCs w:val="22"/>
                <w:lang w:val="fr-FR"/>
              </w:rPr>
            </w:pPr>
            <w:r w:rsidRPr="001A2820">
              <w:rPr>
                <w:rFonts w:cstheme="minorHAnsi"/>
                <w:sz w:val="22"/>
                <w:szCs w:val="22"/>
                <w:lang w:val="fr-FR"/>
              </w:rPr>
              <w:t>Suriname</w:t>
            </w:r>
          </w:p>
        </w:tc>
        <w:tc>
          <w:tcPr>
            <w:tcW w:w="1671" w:type="dxa"/>
            <w:hideMark/>
          </w:tcPr>
          <w:p w14:paraId="630C8F25"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73DC7846" w14:textId="020C73B2"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6BFEFC9B" w14:textId="45B2B669" w:rsidR="0027787C" w:rsidRPr="001A2820" w:rsidRDefault="0027787C" w:rsidP="0027787C">
            <w:pPr>
              <w:rPr>
                <w:rFonts w:cstheme="minorHAnsi"/>
                <w:sz w:val="22"/>
                <w:szCs w:val="22"/>
                <w:lang w:val="fr-FR"/>
              </w:rPr>
            </w:pPr>
            <w:r w:rsidRPr="001A2820">
              <w:rPr>
                <w:rFonts w:cstheme="minorHAnsi"/>
                <w:sz w:val="22"/>
                <w:szCs w:val="22"/>
                <w:lang w:val="fr-FR"/>
              </w:rPr>
              <w:t xml:space="preserve">Plan d’action national concernant l’extraction minière artisanale et à petite échelle d’or pour le Suriname </w:t>
            </w:r>
          </w:p>
        </w:tc>
        <w:tc>
          <w:tcPr>
            <w:tcW w:w="857" w:type="dxa"/>
            <w:hideMark/>
          </w:tcPr>
          <w:p w14:paraId="302DA4CB" w14:textId="09ACD2C4"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217DB88" w14:textId="74DF953C"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484DDDCD" w14:textId="23EBF2EC"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6E42E2CD" w14:textId="40523DB2"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D71E97">
              <w:rPr>
                <w:rFonts w:cstheme="minorHAnsi"/>
                <w:sz w:val="22"/>
                <w:szCs w:val="22"/>
                <w:lang w:val="fr-FR"/>
              </w:rPr>
              <w:t xml:space="preserve"> </w:t>
            </w:r>
            <w:r w:rsidRPr="001A2820">
              <w:rPr>
                <w:rFonts w:cstheme="minorHAnsi"/>
                <w:sz w:val="22"/>
                <w:szCs w:val="22"/>
                <w:lang w:val="fr-FR"/>
              </w:rPr>
              <w:t>000</w:t>
            </w:r>
          </w:p>
        </w:tc>
        <w:tc>
          <w:tcPr>
            <w:tcW w:w="1592" w:type="dxa"/>
            <w:hideMark/>
          </w:tcPr>
          <w:p w14:paraId="1703D0CE"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0 </w:t>
            </w:r>
          </w:p>
        </w:tc>
      </w:tr>
      <w:tr w:rsidR="0027787C" w:rsidRPr="001A2820" w14:paraId="058DCE97" w14:textId="77777777" w:rsidTr="00A5411B">
        <w:trPr>
          <w:trHeight w:val="900"/>
        </w:trPr>
        <w:tc>
          <w:tcPr>
            <w:tcW w:w="1627" w:type="dxa"/>
            <w:hideMark/>
          </w:tcPr>
          <w:p w14:paraId="0597182F" w14:textId="28614533" w:rsidR="0027787C" w:rsidRPr="001A2820" w:rsidRDefault="0027787C" w:rsidP="0027787C">
            <w:pPr>
              <w:rPr>
                <w:rFonts w:cstheme="minorHAnsi"/>
                <w:sz w:val="22"/>
                <w:szCs w:val="22"/>
                <w:lang w:val="fr-FR"/>
              </w:rPr>
            </w:pPr>
            <w:r w:rsidRPr="001A2820">
              <w:rPr>
                <w:rFonts w:cstheme="minorHAnsi"/>
                <w:sz w:val="22"/>
                <w:szCs w:val="22"/>
                <w:lang w:val="fr-FR"/>
              </w:rPr>
              <w:t>Tanzanie</w:t>
            </w:r>
          </w:p>
        </w:tc>
        <w:tc>
          <w:tcPr>
            <w:tcW w:w="1671" w:type="dxa"/>
            <w:hideMark/>
          </w:tcPr>
          <w:p w14:paraId="10877FB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93A811E" w14:textId="6CABE676"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1478313F" w14:textId="6550205D" w:rsidR="0027787C" w:rsidRPr="001A2820" w:rsidRDefault="0027787C" w:rsidP="0027787C">
            <w:pPr>
              <w:rPr>
                <w:rFonts w:cstheme="minorHAnsi"/>
                <w:sz w:val="22"/>
                <w:szCs w:val="22"/>
                <w:lang w:val="fr-FR"/>
              </w:rPr>
            </w:pPr>
            <w:r w:rsidRPr="001A2820">
              <w:rPr>
                <w:rFonts w:cstheme="minorHAnsi"/>
                <w:sz w:val="22"/>
                <w:szCs w:val="22"/>
                <w:lang w:val="fr-FR"/>
              </w:rPr>
              <w:t>Élaboration de plans d’action nationaux concernant l’extraction minière artisanale et à petite échelle d’or en République-Unie de Tanzanie</w:t>
            </w:r>
          </w:p>
        </w:tc>
        <w:tc>
          <w:tcPr>
            <w:tcW w:w="857" w:type="dxa"/>
            <w:hideMark/>
          </w:tcPr>
          <w:p w14:paraId="6205ED17" w14:textId="17771E22"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186575D5" w14:textId="33CFB435"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07662421" w14:textId="31B5888B" w:rsidR="0027787C" w:rsidRPr="001A2820" w:rsidRDefault="0027787C" w:rsidP="0027787C">
            <w:pPr>
              <w:rPr>
                <w:rFonts w:cstheme="minorHAnsi"/>
                <w:sz w:val="22"/>
                <w:szCs w:val="22"/>
                <w:lang w:val="fr-FR"/>
              </w:rPr>
            </w:pPr>
            <w:r w:rsidRPr="001A2820">
              <w:rPr>
                <w:rFonts w:cstheme="minorHAnsi"/>
                <w:sz w:val="22"/>
                <w:szCs w:val="22"/>
                <w:lang w:val="fr-FR"/>
              </w:rPr>
              <w:t>PNUE</w:t>
            </w:r>
          </w:p>
        </w:tc>
        <w:tc>
          <w:tcPr>
            <w:tcW w:w="1498" w:type="dxa"/>
            <w:hideMark/>
          </w:tcPr>
          <w:p w14:paraId="7484BEDB" w14:textId="29B308EB"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D71E97">
              <w:rPr>
                <w:rFonts w:cstheme="minorHAnsi"/>
                <w:sz w:val="22"/>
                <w:szCs w:val="22"/>
                <w:lang w:val="fr-FR"/>
              </w:rPr>
              <w:t xml:space="preserve"> </w:t>
            </w:r>
            <w:r w:rsidRPr="001A2820">
              <w:rPr>
                <w:rFonts w:cstheme="minorHAnsi"/>
                <w:sz w:val="22"/>
                <w:szCs w:val="22"/>
                <w:lang w:val="fr-FR"/>
              </w:rPr>
              <w:t>000</w:t>
            </w:r>
          </w:p>
        </w:tc>
        <w:tc>
          <w:tcPr>
            <w:tcW w:w="1592" w:type="dxa"/>
            <w:hideMark/>
          </w:tcPr>
          <w:p w14:paraId="239AD298" w14:textId="77777777" w:rsidR="0027787C" w:rsidRPr="001A2820" w:rsidRDefault="0027787C" w:rsidP="0027787C">
            <w:pPr>
              <w:jc w:val="right"/>
              <w:rPr>
                <w:rFonts w:cstheme="minorHAnsi"/>
                <w:sz w:val="22"/>
                <w:szCs w:val="22"/>
                <w:lang w:val="fr-FR"/>
              </w:rPr>
            </w:pPr>
            <w:r w:rsidRPr="001A2820">
              <w:rPr>
                <w:rFonts w:cstheme="minorHAnsi"/>
                <w:sz w:val="22"/>
                <w:szCs w:val="22"/>
                <w:lang w:val="fr-FR"/>
              </w:rPr>
              <w:t> 0</w:t>
            </w:r>
          </w:p>
        </w:tc>
      </w:tr>
      <w:tr w:rsidR="0027787C" w:rsidRPr="001A2820" w14:paraId="0CC46D60" w14:textId="77777777" w:rsidTr="00A5411B">
        <w:trPr>
          <w:trHeight w:val="900"/>
        </w:trPr>
        <w:tc>
          <w:tcPr>
            <w:tcW w:w="1627" w:type="dxa"/>
          </w:tcPr>
          <w:p w14:paraId="0E21E99D" w14:textId="21E8D0AA" w:rsidR="0027787C" w:rsidRPr="001A2820" w:rsidRDefault="0027787C" w:rsidP="0027787C">
            <w:pPr>
              <w:rPr>
                <w:rFonts w:cstheme="minorHAnsi"/>
                <w:sz w:val="22"/>
                <w:szCs w:val="22"/>
                <w:lang w:val="fr-FR"/>
              </w:rPr>
            </w:pPr>
            <w:r w:rsidRPr="001A2820">
              <w:rPr>
                <w:rFonts w:cstheme="minorHAnsi"/>
                <w:sz w:val="22"/>
                <w:szCs w:val="22"/>
                <w:lang w:val="fr-FR"/>
              </w:rPr>
              <w:lastRenderedPageBreak/>
              <w:t>Tchad</w:t>
            </w:r>
          </w:p>
        </w:tc>
        <w:tc>
          <w:tcPr>
            <w:tcW w:w="1671" w:type="dxa"/>
          </w:tcPr>
          <w:p w14:paraId="460BDEB0" w14:textId="7B99BC08"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tcPr>
          <w:p w14:paraId="506AEEB0" w14:textId="53CF7A89"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tcPr>
          <w:p w14:paraId="3153AD3B" w14:textId="06452BAE" w:rsidR="0027787C" w:rsidRPr="001A2820" w:rsidRDefault="0027787C" w:rsidP="0027787C">
            <w:pPr>
              <w:rPr>
                <w:rFonts w:cstheme="minorHAnsi"/>
                <w:sz w:val="22"/>
                <w:szCs w:val="22"/>
                <w:lang w:val="fr-FR"/>
              </w:rPr>
            </w:pPr>
            <w:r w:rsidRPr="001A2820">
              <w:rPr>
                <w:sz w:val="22"/>
                <w:szCs w:val="22"/>
                <w:lang w:val="fr-FR"/>
              </w:rPr>
              <w:t>É</w:t>
            </w:r>
            <w:r w:rsidRPr="001A2820">
              <w:rPr>
                <w:rFonts w:cstheme="minorHAnsi"/>
                <w:sz w:val="22"/>
                <w:szCs w:val="22"/>
                <w:lang w:val="fr-FR"/>
              </w:rPr>
              <w:t xml:space="preserve">valuation initiale de la Convention de Minamata au Tchad </w:t>
            </w:r>
          </w:p>
        </w:tc>
        <w:tc>
          <w:tcPr>
            <w:tcW w:w="857" w:type="dxa"/>
          </w:tcPr>
          <w:p w14:paraId="72297B5C" w14:textId="56D0686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tcPr>
          <w:p w14:paraId="3C6E6AD7" w14:textId="3BFA4E8F"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tcPr>
          <w:p w14:paraId="73057BAA" w14:textId="0CA4A788"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tcPr>
          <w:p w14:paraId="3466267D" w14:textId="7944CEAD"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9E04A6">
              <w:rPr>
                <w:rFonts w:cstheme="minorHAnsi"/>
                <w:sz w:val="22"/>
                <w:szCs w:val="22"/>
                <w:lang w:val="fr-FR"/>
              </w:rPr>
              <w:t> </w:t>
            </w:r>
            <w:r w:rsidRPr="001A2820">
              <w:rPr>
                <w:rFonts w:cstheme="minorHAnsi"/>
                <w:sz w:val="22"/>
                <w:szCs w:val="22"/>
                <w:lang w:val="fr-FR"/>
              </w:rPr>
              <w:t>000</w:t>
            </w:r>
          </w:p>
        </w:tc>
        <w:tc>
          <w:tcPr>
            <w:tcW w:w="1592" w:type="dxa"/>
          </w:tcPr>
          <w:p w14:paraId="4DDF5B75" w14:textId="17307650" w:rsidR="0027787C" w:rsidRPr="001A2820" w:rsidRDefault="0027787C" w:rsidP="0027787C">
            <w:pPr>
              <w:jc w:val="right"/>
              <w:rPr>
                <w:rFonts w:cstheme="minorHAnsi"/>
                <w:sz w:val="22"/>
                <w:szCs w:val="22"/>
                <w:lang w:val="fr-FR"/>
              </w:rPr>
            </w:pPr>
            <w:r w:rsidRPr="001A2820">
              <w:rPr>
                <w:rFonts w:cstheme="minorHAnsi"/>
                <w:sz w:val="22"/>
                <w:szCs w:val="22"/>
                <w:lang w:val="fr-FR"/>
              </w:rPr>
              <w:t>78</w:t>
            </w:r>
            <w:r w:rsidR="009E04A6">
              <w:rPr>
                <w:rFonts w:cstheme="minorHAnsi"/>
                <w:sz w:val="22"/>
                <w:szCs w:val="22"/>
                <w:lang w:val="fr-FR"/>
              </w:rPr>
              <w:t> </w:t>
            </w:r>
            <w:r w:rsidRPr="001A2820">
              <w:rPr>
                <w:rFonts w:cstheme="minorHAnsi"/>
                <w:sz w:val="22"/>
                <w:szCs w:val="22"/>
                <w:lang w:val="fr-FR"/>
              </w:rPr>
              <w:t>600</w:t>
            </w:r>
          </w:p>
        </w:tc>
      </w:tr>
      <w:tr w:rsidR="0027787C" w:rsidRPr="001A2820" w14:paraId="73A7D2A7" w14:textId="77777777" w:rsidTr="00A5411B">
        <w:trPr>
          <w:trHeight w:val="300"/>
        </w:trPr>
        <w:tc>
          <w:tcPr>
            <w:tcW w:w="1627" w:type="dxa"/>
            <w:hideMark/>
          </w:tcPr>
          <w:p w14:paraId="2C3B2144" w14:textId="02F6BD04" w:rsidR="0027787C" w:rsidRPr="001A2820" w:rsidRDefault="0027787C" w:rsidP="0027787C">
            <w:pPr>
              <w:rPr>
                <w:rFonts w:cstheme="minorHAnsi"/>
                <w:sz w:val="22"/>
                <w:szCs w:val="22"/>
                <w:lang w:val="fr-FR"/>
              </w:rPr>
            </w:pPr>
            <w:r w:rsidRPr="001A2820">
              <w:rPr>
                <w:rFonts w:cstheme="minorHAnsi"/>
                <w:sz w:val="22"/>
                <w:szCs w:val="22"/>
                <w:lang w:val="fr-FR"/>
              </w:rPr>
              <w:t>Tunisie</w:t>
            </w:r>
          </w:p>
        </w:tc>
        <w:tc>
          <w:tcPr>
            <w:tcW w:w="1671" w:type="dxa"/>
            <w:hideMark/>
          </w:tcPr>
          <w:p w14:paraId="7378003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DAC7DD7" w14:textId="5881B275"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3D648EBA" w14:textId="00BA6032" w:rsidR="0027787C" w:rsidRPr="001A2820" w:rsidRDefault="0027787C" w:rsidP="0027787C">
            <w:pPr>
              <w:rPr>
                <w:rFonts w:cstheme="minorHAnsi"/>
                <w:sz w:val="22"/>
                <w:szCs w:val="22"/>
                <w:lang w:val="fr-FR"/>
              </w:rPr>
            </w:pPr>
            <w:r w:rsidRPr="001A2820">
              <w:rPr>
                <w:rFonts w:cstheme="minorHAnsi"/>
                <w:sz w:val="22"/>
                <w:szCs w:val="22"/>
                <w:lang w:val="fr-FR"/>
              </w:rPr>
              <w:t>Amélioration de la gestion du mercure en Tunisie</w:t>
            </w:r>
          </w:p>
        </w:tc>
        <w:tc>
          <w:tcPr>
            <w:tcW w:w="857" w:type="dxa"/>
            <w:hideMark/>
          </w:tcPr>
          <w:p w14:paraId="55C44571" w14:textId="41B76F86"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65A8F204" w14:textId="5524AC03"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1D5967DC" w14:textId="106082DF"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09F225B0" w14:textId="49180AD3" w:rsidR="0027787C" w:rsidRPr="001A2820" w:rsidRDefault="0027787C" w:rsidP="0027787C">
            <w:pPr>
              <w:jc w:val="right"/>
              <w:rPr>
                <w:rFonts w:cstheme="minorHAnsi"/>
                <w:sz w:val="22"/>
                <w:szCs w:val="22"/>
                <w:lang w:val="fr-FR"/>
              </w:rPr>
            </w:pPr>
            <w:r w:rsidRPr="001A2820">
              <w:rPr>
                <w:rFonts w:cstheme="minorHAnsi"/>
                <w:sz w:val="22"/>
                <w:szCs w:val="22"/>
                <w:lang w:val="fr-FR"/>
              </w:rPr>
              <w:t>600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299C7E59" w14:textId="631C0C54"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9E04A6">
              <w:rPr>
                <w:rFonts w:cstheme="minorHAnsi"/>
                <w:sz w:val="22"/>
                <w:szCs w:val="22"/>
                <w:lang w:val="fr-FR"/>
              </w:rPr>
              <w:t> </w:t>
            </w:r>
            <w:r w:rsidRPr="001A2820">
              <w:rPr>
                <w:rFonts w:cstheme="minorHAnsi"/>
                <w:sz w:val="22"/>
                <w:szCs w:val="22"/>
                <w:lang w:val="fr-FR"/>
              </w:rPr>
              <w:t>350</w:t>
            </w:r>
            <w:r w:rsidR="009E04A6">
              <w:rPr>
                <w:rFonts w:cstheme="minorHAnsi"/>
                <w:sz w:val="22"/>
                <w:szCs w:val="22"/>
                <w:lang w:val="fr-FR"/>
              </w:rPr>
              <w:t> </w:t>
            </w:r>
            <w:r w:rsidRPr="001A2820">
              <w:rPr>
                <w:rFonts w:cstheme="minorHAnsi"/>
                <w:sz w:val="22"/>
                <w:szCs w:val="22"/>
                <w:lang w:val="fr-FR"/>
              </w:rPr>
              <w:t>000</w:t>
            </w:r>
          </w:p>
        </w:tc>
      </w:tr>
      <w:tr w:rsidR="0027787C" w:rsidRPr="001A2820" w14:paraId="3A69BA48" w14:textId="77777777" w:rsidTr="00A5411B">
        <w:trPr>
          <w:trHeight w:val="300"/>
        </w:trPr>
        <w:tc>
          <w:tcPr>
            <w:tcW w:w="1627" w:type="dxa"/>
            <w:hideMark/>
          </w:tcPr>
          <w:p w14:paraId="084944F6" w14:textId="43D38C0B" w:rsidR="0027787C" w:rsidRPr="001A2820" w:rsidRDefault="0027787C" w:rsidP="0027787C">
            <w:pPr>
              <w:rPr>
                <w:rFonts w:cstheme="minorHAnsi"/>
                <w:sz w:val="22"/>
                <w:szCs w:val="22"/>
                <w:lang w:val="fr-FR"/>
              </w:rPr>
            </w:pPr>
            <w:r w:rsidRPr="001A2820">
              <w:rPr>
                <w:rFonts w:cstheme="minorHAnsi"/>
                <w:sz w:val="22"/>
                <w:szCs w:val="22"/>
                <w:lang w:val="fr-FR"/>
              </w:rPr>
              <w:t>Turquie</w:t>
            </w:r>
          </w:p>
        </w:tc>
        <w:tc>
          <w:tcPr>
            <w:tcW w:w="1671" w:type="dxa"/>
            <w:hideMark/>
          </w:tcPr>
          <w:p w14:paraId="7DE7413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BBEEA5A" w14:textId="069D5EBC"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563137DD" w14:textId="3430A556" w:rsidR="0027787C" w:rsidRPr="001A2820" w:rsidRDefault="0027787C" w:rsidP="0027787C">
            <w:pPr>
              <w:rPr>
                <w:rFonts w:cstheme="minorHAnsi"/>
                <w:sz w:val="22"/>
                <w:szCs w:val="22"/>
                <w:lang w:val="fr-FR"/>
              </w:rPr>
            </w:pPr>
            <w:r w:rsidRPr="001A2820">
              <w:rPr>
                <w:rFonts w:cstheme="minorHAnsi"/>
                <w:sz w:val="22"/>
                <w:szCs w:val="22"/>
                <w:lang w:val="fr-FR"/>
              </w:rPr>
              <w:t>Convention de Minamata : évaluation initiale en Turquie</w:t>
            </w:r>
          </w:p>
        </w:tc>
        <w:tc>
          <w:tcPr>
            <w:tcW w:w="857" w:type="dxa"/>
            <w:hideMark/>
          </w:tcPr>
          <w:p w14:paraId="393909D4" w14:textId="31E86B88"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5C3ADD1C" w14:textId="554350BB"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594165DE" w14:textId="6BEC7266"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3CEDE8AA" w14:textId="1791EE39"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0E0394A2" w14:textId="6C4C74FD" w:rsidR="0027787C" w:rsidRPr="001A2820" w:rsidRDefault="0027787C" w:rsidP="0027787C">
            <w:pPr>
              <w:jc w:val="right"/>
              <w:rPr>
                <w:rFonts w:cstheme="minorHAnsi"/>
                <w:sz w:val="22"/>
                <w:szCs w:val="22"/>
                <w:lang w:val="fr-FR"/>
              </w:rPr>
            </w:pPr>
            <w:r w:rsidRPr="001A2820">
              <w:rPr>
                <w:rFonts w:cstheme="minorHAnsi"/>
                <w:sz w:val="22"/>
                <w:szCs w:val="22"/>
                <w:lang w:val="fr-FR"/>
              </w:rPr>
              <w:t>29</w:t>
            </w:r>
            <w:r w:rsidR="009E04A6">
              <w:rPr>
                <w:rFonts w:cstheme="minorHAnsi"/>
                <w:sz w:val="22"/>
                <w:szCs w:val="22"/>
                <w:lang w:val="fr-FR"/>
              </w:rPr>
              <w:t> </w:t>
            </w:r>
            <w:r w:rsidRPr="001A2820">
              <w:rPr>
                <w:rFonts w:cstheme="minorHAnsi"/>
                <w:sz w:val="22"/>
                <w:szCs w:val="22"/>
                <w:lang w:val="fr-FR"/>
              </w:rPr>
              <w:t>000</w:t>
            </w:r>
          </w:p>
        </w:tc>
      </w:tr>
      <w:tr w:rsidR="0027787C" w:rsidRPr="001A2820" w14:paraId="7AB750F4" w14:textId="77777777" w:rsidTr="00A5411B">
        <w:trPr>
          <w:trHeight w:val="600"/>
        </w:trPr>
        <w:tc>
          <w:tcPr>
            <w:tcW w:w="1627" w:type="dxa"/>
            <w:hideMark/>
          </w:tcPr>
          <w:p w14:paraId="051C352D" w14:textId="77777777" w:rsidR="0027787C" w:rsidRPr="001A2820" w:rsidRDefault="0027787C" w:rsidP="0027787C">
            <w:pPr>
              <w:rPr>
                <w:rFonts w:cstheme="minorHAnsi"/>
                <w:sz w:val="22"/>
                <w:szCs w:val="22"/>
                <w:lang w:val="fr-FR"/>
              </w:rPr>
            </w:pPr>
            <w:r w:rsidRPr="001A2820">
              <w:rPr>
                <w:rFonts w:cstheme="minorHAnsi"/>
                <w:sz w:val="22"/>
                <w:szCs w:val="22"/>
                <w:lang w:val="fr-FR"/>
              </w:rPr>
              <w:t>Uruguay</w:t>
            </w:r>
          </w:p>
        </w:tc>
        <w:tc>
          <w:tcPr>
            <w:tcW w:w="1671" w:type="dxa"/>
            <w:hideMark/>
          </w:tcPr>
          <w:p w14:paraId="2630AABC"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3412A84B"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ACF0F5A" w14:textId="0569D34D" w:rsidR="0027787C" w:rsidRPr="001A2820" w:rsidRDefault="0027787C" w:rsidP="0027787C">
            <w:pPr>
              <w:rPr>
                <w:rFonts w:cstheme="minorHAnsi"/>
                <w:sz w:val="22"/>
                <w:szCs w:val="22"/>
                <w:lang w:val="fr-FR"/>
              </w:rPr>
            </w:pPr>
            <w:r w:rsidRPr="001A2820">
              <w:rPr>
                <w:rFonts w:cstheme="minorHAnsi"/>
                <w:sz w:val="22"/>
                <w:szCs w:val="22"/>
                <w:lang w:val="fr-FR"/>
              </w:rPr>
              <w:t>Gestion écologiquement rationnelle du cycle de vie des produits contenant du mercure et de leurs déchets</w:t>
            </w:r>
          </w:p>
        </w:tc>
        <w:tc>
          <w:tcPr>
            <w:tcW w:w="857" w:type="dxa"/>
            <w:hideMark/>
          </w:tcPr>
          <w:p w14:paraId="048CBBD4" w14:textId="55C2172A"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260E561C" w14:textId="2A3956F1"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0F0A3C74" w14:textId="15773033"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16BDDE2C" w14:textId="457B8B81" w:rsidR="0027787C" w:rsidRPr="001A2820" w:rsidRDefault="0027787C" w:rsidP="0027787C">
            <w:pPr>
              <w:jc w:val="right"/>
              <w:rPr>
                <w:rFonts w:cstheme="minorHAnsi"/>
                <w:sz w:val="22"/>
                <w:szCs w:val="22"/>
                <w:lang w:val="fr-FR"/>
              </w:rPr>
            </w:pPr>
            <w:r w:rsidRPr="001A2820">
              <w:rPr>
                <w:rFonts w:cstheme="minorHAnsi"/>
                <w:sz w:val="22"/>
                <w:szCs w:val="22"/>
                <w:lang w:val="fr-FR"/>
              </w:rPr>
              <w:t>700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0D010206" w14:textId="2503970C" w:rsidR="0027787C" w:rsidRPr="001A2820" w:rsidRDefault="0027787C" w:rsidP="0027787C">
            <w:pPr>
              <w:jc w:val="right"/>
              <w:rPr>
                <w:rFonts w:cstheme="minorHAnsi"/>
                <w:sz w:val="22"/>
                <w:szCs w:val="22"/>
                <w:lang w:val="fr-FR"/>
              </w:rPr>
            </w:pPr>
            <w:r w:rsidRPr="001A2820">
              <w:rPr>
                <w:rFonts w:cstheme="minorHAnsi"/>
                <w:sz w:val="22"/>
                <w:szCs w:val="22"/>
                <w:lang w:val="fr-FR"/>
              </w:rPr>
              <w:t>2</w:t>
            </w:r>
            <w:r w:rsidR="009E04A6">
              <w:rPr>
                <w:rFonts w:cstheme="minorHAnsi"/>
                <w:sz w:val="22"/>
                <w:szCs w:val="22"/>
                <w:lang w:val="fr-FR"/>
              </w:rPr>
              <w:t> </w:t>
            </w:r>
            <w:r w:rsidRPr="001A2820">
              <w:rPr>
                <w:rFonts w:cstheme="minorHAnsi"/>
                <w:sz w:val="22"/>
                <w:szCs w:val="22"/>
                <w:lang w:val="fr-FR"/>
              </w:rPr>
              <w:t>959</w:t>
            </w:r>
            <w:r w:rsidR="009E04A6">
              <w:rPr>
                <w:rFonts w:cstheme="minorHAnsi"/>
                <w:sz w:val="22"/>
                <w:szCs w:val="22"/>
                <w:lang w:val="fr-FR"/>
              </w:rPr>
              <w:t> </w:t>
            </w:r>
            <w:r w:rsidRPr="001A2820">
              <w:rPr>
                <w:rFonts w:cstheme="minorHAnsi"/>
                <w:sz w:val="22"/>
                <w:szCs w:val="22"/>
                <w:lang w:val="fr-FR"/>
              </w:rPr>
              <w:t>700</w:t>
            </w:r>
          </w:p>
        </w:tc>
      </w:tr>
      <w:tr w:rsidR="0027787C" w:rsidRPr="001A2820" w14:paraId="2ACAAA52" w14:textId="77777777" w:rsidTr="00A5411B">
        <w:trPr>
          <w:trHeight w:val="900"/>
        </w:trPr>
        <w:tc>
          <w:tcPr>
            <w:tcW w:w="1627" w:type="dxa"/>
            <w:hideMark/>
          </w:tcPr>
          <w:p w14:paraId="65A9AA5B" w14:textId="0673FA00" w:rsidR="0027787C" w:rsidRPr="001A2820" w:rsidRDefault="0027787C" w:rsidP="0027787C">
            <w:pPr>
              <w:rPr>
                <w:rFonts w:cstheme="minorHAnsi"/>
                <w:sz w:val="22"/>
                <w:szCs w:val="22"/>
                <w:lang w:val="fr-FR"/>
              </w:rPr>
            </w:pPr>
            <w:r w:rsidRPr="001A2820">
              <w:rPr>
                <w:rFonts w:cstheme="minorHAnsi"/>
                <w:sz w:val="22"/>
                <w:szCs w:val="22"/>
                <w:lang w:val="fr-FR"/>
              </w:rPr>
              <w:t>Viet Nam</w:t>
            </w:r>
          </w:p>
        </w:tc>
        <w:tc>
          <w:tcPr>
            <w:tcW w:w="1671" w:type="dxa"/>
            <w:hideMark/>
          </w:tcPr>
          <w:p w14:paraId="38F95FDE"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1DF9653" w14:textId="0DE130C7" w:rsidR="0027787C" w:rsidRPr="001A2820" w:rsidRDefault="0027787C" w:rsidP="0027787C">
            <w:pPr>
              <w:rPr>
                <w:rFonts w:cstheme="minorHAnsi"/>
                <w:sz w:val="22"/>
                <w:szCs w:val="22"/>
                <w:lang w:val="fr-FR"/>
              </w:rPr>
            </w:pPr>
            <w:r w:rsidRPr="001A2820">
              <w:rPr>
                <w:rFonts w:cstheme="minorHAnsi"/>
                <w:sz w:val="22"/>
                <w:szCs w:val="22"/>
                <w:lang w:val="fr-FR"/>
              </w:rPr>
              <w:t>D</w:t>
            </w:r>
          </w:p>
        </w:tc>
        <w:tc>
          <w:tcPr>
            <w:tcW w:w="3751" w:type="dxa"/>
            <w:hideMark/>
          </w:tcPr>
          <w:p w14:paraId="0996BD5B" w14:textId="303DDE17" w:rsidR="0027787C" w:rsidRPr="001A2820" w:rsidRDefault="0027787C" w:rsidP="0027787C">
            <w:pPr>
              <w:rPr>
                <w:rFonts w:cstheme="minorHAnsi"/>
                <w:sz w:val="22"/>
                <w:szCs w:val="22"/>
                <w:lang w:val="fr-FR"/>
              </w:rPr>
            </w:pPr>
            <w:r w:rsidRPr="001A2820">
              <w:rPr>
                <w:rFonts w:cstheme="minorHAnsi"/>
                <w:sz w:val="22"/>
                <w:szCs w:val="22"/>
                <w:lang w:val="fr-FR"/>
              </w:rPr>
              <w:t xml:space="preserve">Application de la chimie verte au Viet Nam afin d’appuyer la croissance verte et la réduction de l’utilisation et des rejets de polluants organiques persistants/produits chimiques nocifs </w:t>
            </w:r>
          </w:p>
        </w:tc>
        <w:tc>
          <w:tcPr>
            <w:tcW w:w="857" w:type="dxa"/>
            <w:hideMark/>
          </w:tcPr>
          <w:p w14:paraId="76EAFF4E" w14:textId="7D71B691" w:rsidR="0027787C" w:rsidRPr="001A2820" w:rsidRDefault="00F47184" w:rsidP="0027787C">
            <w:pPr>
              <w:rPr>
                <w:rFonts w:cstheme="minorHAnsi"/>
                <w:sz w:val="22"/>
                <w:szCs w:val="22"/>
                <w:lang w:val="fr-FR"/>
              </w:rPr>
            </w:pPr>
            <w:r>
              <w:rPr>
                <w:rFonts w:cstheme="minorHAnsi"/>
                <w:sz w:val="22"/>
                <w:szCs w:val="22"/>
                <w:lang w:val="fr-FR"/>
              </w:rPr>
              <w:t>FEM-6</w:t>
            </w:r>
          </w:p>
        </w:tc>
        <w:tc>
          <w:tcPr>
            <w:tcW w:w="889" w:type="dxa"/>
            <w:hideMark/>
          </w:tcPr>
          <w:p w14:paraId="30515CD5" w14:textId="66400CEE" w:rsidR="0027787C" w:rsidRPr="001A2820" w:rsidRDefault="0027787C" w:rsidP="0027787C">
            <w:pPr>
              <w:rPr>
                <w:rFonts w:cstheme="minorHAnsi"/>
                <w:sz w:val="22"/>
                <w:szCs w:val="22"/>
                <w:lang w:val="fr-FR"/>
              </w:rPr>
            </w:pPr>
            <w:r w:rsidRPr="001A2820">
              <w:rPr>
                <w:rFonts w:cstheme="minorHAnsi"/>
                <w:sz w:val="22"/>
                <w:szCs w:val="22"/>
                <w:lang w:val="fr-FR"/>
              </w:rPr>
              <w:t>PME</w:t>
            </w:r>
          </w:p>
        </w:tc>
        <w:tc>
          <w:tcPr>
            <w:tcW w:w="1157" w:type="dxa"/>
            <w:hideMark/>
          </w:tcPr>
          <w:p w14:paraId="3C6316D8" w14:textId="23797284" w:rsidR="0027787C" w:rsidRPr="001A2820" w:rsidRDefault="0027787C" w:rsidP="0027787C">
            <w:pPr>
              <w:rPr>
                <w:rFonts w:cstheme="minorHAnsi"/>
                <w:sz w:val="22"/>
                <w:szCs w:val="22"/>
                <w:lang w:val="fr-FR"/>
              </w:rPr>
            </w:pPr>
            <w:r w:rsidRPr="001A2820">
              <w:rPr>
                <w:rFonts w:cstheme="minorHAnsi"/>
                <w:sz w:val="22"/>
                <w:szCs w:val="22"/>
                <w:lang w:val="fr-FR"/>
              </w:rPr>
              <w:t>PNUD</w:t>
            </w:r>
          </w:p>
        </w:tc>
        <w:tc>
          <w:tcPr>
            <w:tcW w:w="1498" w:type="dxa"/>
            <w:hideMark/>
          </w:tcPr>
          <w:p w14:paraId="4070308A" w14:textId="43D6DCD4" w:rsidR="0027787C" w:rsidRPr="001A2820" w:rsidRDefault="0027787C" w:rsidP="0027787C">
            <w:pPr>
              <w:jc w:val="right"/>
              <w:rPr>
                <w:rFonts w:cstheme="minorHAnsi"/>
                <w:sz w:val="22"/>
                <w:szCs w:val="22"/>
                <w:lang w:val="fr-FR"/>
              </w:rPr>
            </w:pPr>
            <w:r w:rsidRPr="001A2820">
              <w:rPr>
                <w:rFonts w:cstheme="minorHAnsi"/>
                <w:sz w:val="22"/>
                <w:szCs w:val="22"/>
                <w:lang w:val="fr-FR"/>
              </w:rPr>
              <w:t>469</w:t>
            </w:r>
            <w:r w:rsidR="009E04A6">
              <w:rPr>
                <w:rFonts w:cstheme="minorHAnsi"/>
                <w:sz w:val="22"/>
                <w:szCs w:val="22"/>
                <w:lang w:val="fr-FR"/>
              </w:rPr>
              <w:t> </w:t>
            </w:r>
            <w:r w:rsidRPr="001A2820">
              <w:rPr>
                <w:rFonts w:cstheme="minorHAnsi"/>
                <w:sz w:val="22"/>
                <w:szCs w:val="22"/>
                <w:lang w:val="fr-FR"/>
              </w:rPr>
              <w:t>800</w:t>
            </w:r>
          </w:p>
        </w:tc>
        <w:tc>
          <w:tcPr>
            <w:tcW w:w="1592" w:type="dxa"/>
            <w:hideMark/>
          </w:tcPr>
          <w:p w14:paraId="2B02F055" w14:textId="0B931F6B" w:rsidR="0027787C" w:rsidRPr="001A2820" w:rsidRDefault="0027787C" w:rsidP="0027787C">
            <w:pPr>
              <w:jc w:val="right"/>
              <w:rPr>
                <w:rFonts w:cstheme="minorHAnsi"/>
                <w:sz w:val="22"/>
                <w:szCs w:val="22"/>
                <w:lang w:val="fr-FR"/>
              </w:rPr>
            </w:pPr>
            <w:r w:rsidRPr="001A2820">
              <w:rPr>
                <w:rFonts w:cstheme="minorHAnsi"/>
                <w:sz w:val="22"/>
                <w:szCs w:val="22"/>
                <w:lang w:val="fr-FR"/>
              </w:rPr>
              <w:t>1</w:t>
            </w:r>
            <w:r w:rsidR="009E04A6">
              <w:rPr>
                <w:rFonts w:cstheme="minorHAnsi"/>
                <w:sz w:val="22"/>
                <w:szCs w:val="22"/>
                <w:lang w:val="fr-FR"/>
              </w:rPr>
              <w:t> </w:t>
            </w:r>
            <w:r w:rsidRPr="001A2820">
              <w:rPr>
                <w:rFonts w:cstheme="minorHAnsi"/>
                <w:sz w:val="22"/>
                <w:szCs w:val="22"/>
                <w:lang w:val="fr-FR"/>
              </w:rPr>
              <w:t>000</w:t>
            </w:r>
            <w:r w:rsidR="009E04A6">
              <w:rPr>
                <w:rFonts w:cstheme="minorHAnsi"/>
                <w:sz w:val="22"/>
                <w:szCs w:val="22"/>
                <w:lang w:val="fr-FR"/>
              </w:rPr>
              <w:t> </w:t>
            </w:r>
            <w:r w:rsidRPr="001A2820">
              <w:rPr>
                <w:rFonts w:cstheme="minorHAnsi"/>
                <w:sz w:val="22"/>
                <w:szCs w:val="22"/>
                <w:lang w:val="fr-FR"/>
              </w:rPr>
              <w:t>000</w:t>
            </w:r>
          </w:p>
        </w:tc>
      </w:tr>
      <w:tr w:rsidR="0027787C" w:rsidRPr="001A2820" w14:paraId="67434F62" w14:textId="77777777" w:rsidTr="00A5411B">
        <w:trPr>
          <w:trHeight w:val="300"/>
        </w:trPr>
        <w:tc>
          <w:tcPr>
            <w:tcW w:w="1627" w:type="dxa"/>
            <w:hideMark/>
          </w:tcPr>
          <w:p w14:paraId="3BF4E388" w14:textId="22210B32" w:rsidR="0027787C" w:rsidRPr="001A2820" w:rsidRDefault="0027787C" w:rsidP="0027787C">
            <w:pPr>
              <w:rPr>
                <w:rFonts w:cstheme="minorHAnsi"/>
                <w:sz w:val="22"/>
                <w:szCs w:val="22"/>
                <w:lang w:val="fr-FR"/>
              </w:rPr>
            </w:pPr>
            <w:r w:rsidRPr="001A2820">
              <w:rPr>
                <w:rFonts w:cstheme="minorHAnsi"/>
                <w:sz w:val="22"/>
                <w:szCs w:val="22"/>
                <w:lang w:val="fr-FR"/>
              </w:rPr>
              <w:t>Viet Nam</w:t>
            </w:r>
          </w:p>
        </w:tc>
        <w:tc>
          <w:tcPr>
            <w:tcW w:w="1671" w:type="dxa"/>
            <w:hideMark/>
          </w:tcPr>
          <w:p w14:paraId="3CC9A6C8"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1F102059"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48B5BA11" w14:textId="0AD85C70"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au Viet Nam</w:t>
            </w:r>
          </w:p>
        </w:tc>
        <w:tc>
          <w:tcPr>
            <w:tcW w:w="857" w:type="dxa"/>
            <w:hideMark/>
          </w:tcPr>
          <w:p w14:paraId="7EAFFFCE" w14:textId="10DF5C65"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40F575AD" w14:textId="61AD8692"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23B040CC" w14:textId="02505950"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3BB28882" w14:textId="02378A40" w:rsidR="0027787C" w:rsidRPr="001A2820" w:rsidRDefault="0027787C" w:rsidP="0027787C">
            <w:pPr>
              <w:jc w:val="right"/>
              <w:rPr>
                <w:rFonts w:cstheme="minorHAnsi"/>
                <w:sz w:val="22"/>
                <w:szCs w:val="22"/>
                <w:lang w:val="fr-FR"/>
              </w:rPr>
            </w:pPr>
            <w:r w:rsidRPr="001A2820">
              <w:rPr>
                <w:rFonts w:cstheme="minorHAnsi"/>
                <w:sz w:val="22"/>
                <w:szCs w:val="22"/>
                <w:lang w:val="fr-FR"/>
              </w:rPr>
              <w:t>500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4B2BB81F" w14:textId="7332262B" w:rsidR="0027787C" w:rsidRPr="001A2820" w:rsidRDefault="0027787C" w:rsidP="0027787C">
            <w:pPr>
              <w:jc w:val="right"/>
              <w:rPr>
                <w:rFonts w:cstheme="minorHAnsi"/>
                <w:sz w:val="22"/>
                <w:szCs w:val="22"/>
                <w:lang w:val="fr-FR"/>
              </w:rPr>
            </w:pPr>
            <w:r w:rsidRPr="001A2820">
              <w:rPr>
                <w:rFonts w:cstheme="minorHAnsi"/>
                <w:sz w:val="22"/>
                <w:szCs w:val="22"/>
                <w:lang w:val="fr-FR"/>
              </w:rPr>
              <w:t>47</w:t>
            </w:r>
            <w:r w:rsidR="009E04A6">
              <w:rPr>
                <w:rFonts w:cstheme="minorHAnsi"/>
                <w:sz w:val="22"/>
                <w:szCs w:val="22"/>
                <w:lang w:val="fr-FR"/>
              </w:rPr>
              <w:t> </w:t>
            </w:r>
            <w:r w:rsidRPr="001A2820">
              <w:rPr>
                <w:rFonts w:cstheme="minorHAnsi"/>
                <w:sz w:val="22"/>
                <w:szCs w:val="22"/>
                <w:lang w:val="fr-FR"/>
              </w:rPr>
              <w:t>000</w:t>
            </w:r>
          </w:p>
        </w:tc>
      </w:tr>
      <w:tr w:rsidR="0027787C" w:rsidRPr="001A2820" w14:paraId="18FD4CC3" w14:textId="77777777" w:rsidTr="00A5411B">
        <w:trPr>
          <w:trHeight w:val="600"/>
        </w:trPr>
        <w:tc>
          <w:tcPr>
            <w:tcW w:w="1627" w:type="dxa"/>
            <w:hideMark/>
          </w:tcPr>
          <w:p w14:paraId="1C493F71" w14:textId="3AE60EF2" w:rsidR="0027787C" w:rsidRPr="001A2820" w:rsidRDefault="0027787C" w:rsidP="0027787C">
            <w:pPr>
              <w:rPr>
                <w:rFonts w:cstheme="minorHAnsi"/>
                <w:sz w:val="22"/>
                <w:szCs w:val="22"/>
                <w:lang w:val="fr-FR"/>
              </w:rPr>
            </w:pPr>
            <w:r w:rsidRPr="001A2820">
              <w:rPr>
                <w:rFonts w:cstheme="minorHAnsi"/>
                <w:sz w:val="22"/>
                <w:szCs w:val="22"/>
                <w:lang w:val="fr-FR"/>
              </w:rPr>
              <w:t>Yémen</w:t>
            </w:r>
          </w:p>
        </w:tc>
        <w:tc>
          <w:tcPr>
            <w:tcW w:w="1671" w:type="dxa"/>
            <w:hideMark/>
          </w:tcPr>
          <w:p w14:paraId="4113878D"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2543FA3A" w14:textId="77777777" w:rsidR="0027787C" w:rsidRPr="001A2820" w:rsidRDefault="0027787C" w:rsidP="0027787C">
            <w:pPr>
              <w:rPr>
                <w:rFonts w:cstheme="minorHAnsi"/>
                <w:sz w:val="22"/>
                <w:szCs w:val="22"/>
                <w:lang w:val="fr-FR"/>
              </w:rPr>
            </w:pPr>
            <w:r w:rsidRPr="001A2820">
              <w:rPr>
                <w:rFonts w:cstheme="minorHAnsi"/>
                <w:sz w:val="22"/>
                <w:szCs w:val="22"/>
                <w:lang w:val="fr-FR"/>
              </w:rPr>
              <w:t>P</w:t>
            </w:r>
          </w:p>
        </w:tc>
        <w:tc>
          <w:tcPr>
            <w:tcW w:w="3751" w:type="dxa"/>
            <w:hideMark/>
          </w:tcPr>
          <w:p w14:paraId="3BE339EB" w14:textId="7392A29C" w:rsidR="0027787C" w:rsidRPr="001A2820" w:rsidRDefault="0027787C" w:rsidP="0027787C">
            <w:pPr>
              <w:rPr>
                <w:rFonts w:cstheme="minorHAnsi"/>
                <w:sz w:val="22"/>
                <w:szCs w:val="22"/>
                <w:lang w:val="fr-FR"/>
              </w:rPr>
            </w:pPr>
            <w:r w:rsidRPr="001A2820">
              <w:rPr>
                <w:rFonts w:cstheme="minorHAnsi"/>
                <w:sz w:val="22"/>
                <w:szCs w:val="22"/>
                <w:lang w:val="fr-FR"/>
              </w:rPr>
              <w:t>Évaluation initiale de la Convention de Minamata en République du Yémen</w:t>
            </w:r>
          </w:p>
        </w:tc>
        <w:tc>
          <w:tcPr>
            <w:tcW w:w="857" w:type="dxa"/>
            <w:hideMark/>
          </w:tcPr>
          <w:p w14:paraId="1731C4B7" w14:textId="640511D6" w:rsidR="0027787C" w:rsidRPr="001A2820" w:rsidRDefault="00F47184" w:rsidP="0027787C">
            <w:pPr>
              <w:rPr>
                <w:rFonts w:cstheme="minorHAnsi"/>
                <w:sz w:val="22"/>
                <w:szCs w:val="22"/>
                <w:lang w:val="fr-FR"/>
              </w:rPr>
            </w:pPr>
            <w:r>
              <w:rPr>
                <w:rFonts w:cstheme="minorHAnsi"/>
                <w:sz w:val="22"/>
                <w:szCs w:val="22"/>
                <w:lang w:val="fr-FR"/>
              </w:rPr>
              <w:t>FEM-5</w:t>
            </w:r>
          </w:p>
        </w:tc>
        <w:tc>
          <w:tcPr>
            <w:tcW w:w="889" w:type="dxa"/>
            <w:hideMark/>
          </w:tcPr>
          <w:p w14:paraId="6B5459E0" w14:textId="66046C5D" w:rsidR="0027787C" w:rsidRPr="001A2820" w:rsidRDefault="0027787C" w:rsidP="0027787C">
            <w:pPr>
              <w:rPr>
                <w:rFonts w:cstheme="minorHAnsi"/>
                <w:sz w:val="22"/>
                <w:szCs w:val="22"/>
                <w:lang w:val="fr-FR"/>
              </w:rPr>
            </w:pPr>
            <w:r w:rsidRPr="001A2820">
              <w:rPr>
                <w:rFonts w:cstheme="minorHAnsi"/>
                <w:sz w:val="22"/>
                <w:szCs w:val="22"/>
                <w:lang w:val="fr-FR"/>
              </w:rPr>
              <w:t>AH</w:t>
            </w:r>
          </w:p>
        </w:tc>
        <w:tc>
          <w:tcPr>
            <w:tcW w:w="1157" w:type="dxa"/>
            <w:hideMark/>
          </w:tcPr>
          <w:p w14:paraId="1E08C576" w14:textId="23DC9526" w:rsidR="0027787C" w:rsidRPr="001A2820" w:rsidRDefault="0027787C" w:rsidP="0027787C">
            <w:pPr>
              <w:rPr>
                <w:rFonts w:cstheme="minorHAnsi"/>
                <w:sz w:val="22"/>
                <w:szCs w:val="22"/>
                <w:lang w:val="fr-FR"/>
              </w:rPr>
            </w:pPr>
            <w:r w:rsidRPr="001A2820">
              <w:rPr>
                <w:rFonts w:cstheme="minorHAnsi"/>
                <w:sz w:val="22"/>
                <w:szCs w:val="22"/>
                <w:lang w:val="fr-FR"/>
              </w:rPr>
              <w:t>ONUDI</w:t>
            </w:r>
          </w:p>
        </w:tc>
        <w:tc>
          <w:tcPr>
            <w:tcW w:w="1498" w:type="dxa"/>
            <w:hideMark/>
          </w:tcPr>
          <w:p w14:paraId="518C06AC" w14:textId="20F1F19B" w:rsidR="0027787C" w:rsidRPr="001A2820" w:rsidRDefault="0027787C" w:rsidP="0027787C">
            <w:pPr>
              <w:jc w:val="right"/>
              <w:rPr>
                <w:rFonts w:cstheme="minorHAnsi"/>
                <w:sz w:val="22"/>
                <w:szCs w:val="22"/>
                <w:lang w:val="fr-FR"/>
              </w:rPr>
            </w:pPr>
            <w:r w:rsidRPr="001A2820">
              <w:rPr>
                <w:rFonts w:cstheme="minorHAnsi"/>
                <w:sz w:val="22"/>
                <w:szCs w:val="22"/>
                <w:lang w:val="fr-FR"/>
              </w:rPr>
              <w:t>200</w:t>
            </w:r>
            <w:r w:rsidR="009E04A6">
              <w:rPr>
                <w:rFonts w:cstheme="minorHAnsi"/>
                <w:sz w:val="22"/>
                <w:szCs w:val="22"/>
                <w:lang w:val="fr-FR"/>
              </w:rPr>
              <w:t> </w:t>
            </w:r>
            <w:r w:rsidRPr="001A2820">
              <w:rPr>
                <w:rFonts w:cstheme="minorHAnsi"/>
                <w:sz w:val="22"/>
                <w:szCs w:val="22"/>
                <w:lang w:val="fr-FR"/>
              </w:rPr>
              <w:t>000</w:t>
            </w:r>
          </w:p>
        </w:tc>
        <w:tc>
          <w:tcPr>
            <w:tcW w:w="1592" w:type="dxa"/>
            <w:hideMark/>
          </w:tcPr>
          <w:p w14:paraId="03E8E747" w14:textId="12300970" w:rsidR="0027787C" w:rsidRPr="001A2820" w:rsidRDefault="0027787C" w:rsidP="0027787C">
            <w:pPr>
              <w:jc w:val="right"/>
              <w:rPr>
                <w:rFonts w:cstheme="minorHAnsi"/>
                <w:sz w:val="22"/>
                <w:szCs w:val="22"/>
                <w:lang w:val="fr-FR"/>
              </w:rPr>
            </w:pPr>
            <w:r w:rsidRPr="001A2820">
              <w:rPr>
                <w:rFonts w:cstheme="minorHAnsi"/>
                <w:sz w:val="22"/>
                <w:szCs w:val="22"/>
                <w:lang w:val="fr-FR"/>
              </w:rPr>
              <w:t>50</w:t>
            </w:r>
            <w:r w:rsidR="009E04A6">
              <w:rPr>
                <w:rFonts w:cstheme="minorHAnsi"/>
                <w:sz w:val="22"/>
                <w:szCs w:val="22"/>
                <w:lang w:val="fr-FR"/>
              </w:rPr>
              <w:t> </w:t>
            </w:r>
            <w:r w:rsidRPr="001A2820">
              <w:rPr>
                <w:rFonts w:cstheme="minorHAnsi"/>
                <w:sz w:val="22"/>
                <w:szCs w:val="22"/>
                <w:lang w:val="fr-FR"/>
              </w:rPr>
              <w:t>200</w:t>
            </w:r>
          </w:p>
        </w:tc>
      </w:tr>
      <w:tr w:rsidR="0027787C" w:rsidRPr="001A2820" w14:paraId="2BB953BD" w14:textId="77777777" w:rsidTr="00A5411B">
        <w:trPr>
          <w:trHeight w:val="300"/>
        </w:trPr>
        <w:tc>
          <w:tcPr>
            <w:tcW w:w="1627" w:type="dxa"/>
            <w:hideMark/>
          </w:tcPr>
          <w:p w14:paraId="487690A2"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671" w:type="dxa"/>
            <w:hideMark/>
          </w:tcPr>
          <w:p w14:paraId="07976EBF"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463" w:type="dxa"/>
            <w:hideMark/>
          </w:tcPr>
          <w:p w14:paraId="57804B55"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3751" w:type="dxa"/>
            <w:hideMark/>
          </w:tcPr>
          <w:p w14:paraId="6FD6F3B0"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857" w:type="dxa"/>
            <w:hideMark/>
          </w:tcPr>
          <w:p w14:paraId="244F91CA" w14:textId="482B3F5A" w:rsidR="0027787C" w:rsidRPr="001A2820" w:rsidRDefault="002B094E" w:rsidP="0027787C">
            <w:pPr>
              <w:rPr>
                <w:rFonts w:cstheme="minorHAnsi"/>
                <w:sz w:val="22"/>
                <w:szCs w:val="22"/>
                <w:lang w:val="fr-FR"/>
              </w:rPr>
            </w:pPr>
            <w:r w:rsidRPr="001A2820">
              <w:rPr>
                <w:rFonts w:cstheme="minorHAnsi"/>
                <w:sz w:val="22"/>
                <w:szCs w:val="22"/>
                <w:lang w:val="fr-FR"/>
              </w:rPr>
              <w:t> </w:t>
            </w:r>
          </w:p>
        </w:tc>
        <w:tc>
          <w:tcPr>
            <w:tcW w:w="889" w:type="dxa"/>
            <w:hideMark/>
          </w:tcPr>
          <w:p w14:paraId="1B98A6C3" w14:textId="77777777" w:rsidR="0027787C" w:rsidRPr="001A2820" w:rsidRDefault="0027787C" w:rsidP="0027787C">
            <w:pPr>
              <w:rPr>
                <w:rFonts w:cstheme="minorHAnsi"/>
                <w:sz w:val="22"/>
                <w:szCs w:val="22"/>
                <w:lang w:val="fr-FR"/>
              </w:rPr>
            </w:pPr>
            <w:r w:rsidRPr="001A2820">
              <w:rPr>
                <w:rFonts w:cstheme="minorHAnsi"/>
                <w:sz w:val="22"/>
                <w:szCs w:val="22"/>
                <w:lang w:val="fr-FR"/>
              </w:rPr>
              <w:t> </w:t>
            </w:r>
          </w:p>
        </w:tc>
        <w:tc>
          <w:tcPr>
            <w:tcW w:w="1157" w:type="dxa"/>
            <w:hideMark/>
          </w:tcPr>
          <w:p w14:paraId="4A42390B" w14:textId="77777777" w:rsidR="0027787C" w:rsidRPr="001A2820" w:rsidRDefault="0027787C" w:rsidP="0027787C">
            <w:pPr>
              <w:rPr>
                <w:rFonts w:cstheme="minorHAnsi"/>
                <w:sz w:val="22"/>
                <w:szCs w:val="22"/>
                <w:lang w:val="fr-FR"/>
              </w:rPr>
            </w:pPr>
            <w:r w:rsidRPr="001A2820">
              <w:rPr>
                <w:rFonts w:cstheme="minorHAnsi"/>
                <w:sz w:val="22"/>
                <w:szCs w:val="22"/>
                <w:lang w:val="fr-FR"/>
              </w:rPr>
              <w:t>Total</w:t>
            </w:r>
          </w:p>
        </w:tc>
        <w:tc>
          <w:tcPr>
            <w:tcW w:w="1498" w:type="dxa"/>
            <w:hideMark/>
          </w:tcPr>
          <w:p w14:paraId="6993294B" w14:textId="6ED4DF85" w:rsidR="0027787C" w:rsidRPr="001A2820" w:rsidRDefault="0027787C" w:rsidP="0027787C">
            <w:pPr>
              <w:jc w:val="right"/>
              <w:rPr>
                <w:rFonts w:cstheme="minorHAnsi"/>
                <w:sz w:val="22"/>
                <w:szCs w:val="22"/>
                <w:lang w:val="fr-FR"/>
              </w:rPr>
            </w:pPr>
            <w:r w:rsidRPr="001A2820">
              <w:rPr>
                <w:rFonts w:cstheme="minorHAnsi"/>
                <w:sz w:val="22"/>
                <w:szCs w:val="22"/>
                <w:lang w:val="fr-FR"/>
              </w:rPr>
              <w:t>164</w:t>
            </w:r>
            <w:r w:rsidR="00AD02E6">
              <w:rPr>
                <w:rFonts w:cstheme="minorHAnsi"/>
                <w:sz w:val="22"/>
                <w:szCs w:val="22"/>
                <w:lang w:val="fr-FR"/>
              </w:rPr>
              <w:t> </w:t>
            </w:r>
            <w:r w:rsidRPr="001A2820">
              <w:rPr>
                <w:rFonts w:cstheme="minorHAnsi"/>
                <w:sz w:val="22"/>
                <w:szCs w:val="22"/>
                <w:lang w:val="fr-FR"/>
              </w:rPr>
              <w:t>963</w:t>
            </w:r>
            <w:r w:rsidR="009E04A6">
              <w:rPr>
                <w:rFonts w:cstheme="minorHAnsi"/>
                <w:sz w:val="22"/>
                <w:szCs w:val="22"/>
                <w:lang w:val="fr-FR"/>
              </w:rPr>
              <w:t> </w:t>
            </w:r>
            <w:r w:rsidRPr="001A2820">
              <w:rPr>
                <w:rFonts w:cstheme="minorHAnsi"/>
                <w:sz w:val="22"/>
                <w:szCs w:val="22"/>
                <w:lang w:val="fr-FR"/>
              </w:rPr>
              <w:t>620</w:t>
            </w:r>
          </w:p>
        </w:tc>
        <w:tc>
          <w:tcPr>
            <w:tcW w:w="1592" w:type="dxa"/>
            <w:hideMark/>
          </w:tcPr>
          <w:p w14:paraId="4DA41B54" w14:textId="2B28446A" w:rsidR="0027787C" w:rsidRPr="001A2820" w:rsidRDefault="0027787C" w:rsidP="0027787C">
            <w:pPr>
              <w:jc w:val="right"/>
              <w:rPr>
                <w:rFonts w:cstheme="minorHAnsi"/>
                <w:sz w:val="22"/>
                <w:szCs w:val="22"/>
                <w:lang w:val="fr-FR"/>
              </w:rPr>
            </w:pPr>
            <w:r w:rsidRPr="001A2820">
              <w:rPr>
                <w:rFonts w:cstheme="minorHAnsi"/>
                <w:sz w:val="22"/>
                <w:szCs w:val="22"/>
                <w:lang w:val="fr-FR"/>
              </w:rPr>
              <w:t>609</w:t>
            </w:r>
            <w:r w:rsidR="00AD02E6">
              <w:rPr>
                <w:rFonts w:cstheme="minorHAnsi"/>
                <w:sz w:val="22"/>
                <w:szCs w:val="22"/>
                <w:lang w:val="fr-FR"/>
              </w:rPr>
              <w:t> </w:t>
            </w:r>
            <w:r w:rsidRPr="001A2820">
              <w:rPr>
                <w:rFonts w:cstheme="minorHAnsi"/>
                <w:sz w:val="22"/>
                <w:szCs w:val="22"/>
                <w:lang w:val="fr-FR"/>
              </w:rPr>
              <w:t>859</w:t>
            </w:r>
            <w:r w:rsidR="00AD02E6">
              <w:rPr>
                <w:rFonts w:cstheme="minorHAnsi"/>
                <w:sz w:val="22"/>
                <w:szCs w:val="22"/>
                <w:lang w:val="fr-FR"/>
              </w:rPr>
              <w:t> </w:t>
            </w:r>
            <w:r w:rsidRPr="001A2820">
              <w:rPr>
                <w:rFonts w:cstheme="minorHAnsi"/>
                <w:sz w:val="22"/>
                <w:szCs w:val="22"/>
                <w:lang w:val="fr-FR"/>
              </w:rPr>
              <w:t>694</w:t>
            </w:r>
          </w:p>
        </w:tc>
      </w:tr>
    </w:tbl>
    <w:p w14:paraId="2C9B76E8" w14:textId="77777777" w:rsidR="00E953EE" w:rsidRPr="001A2820" w:rsidRDefault="00E953EE" w:rsidP="002F7012">
      <w:pPr>
        <w:pStyle w:val="Normal-pool"/>
        <w:rPr>
          <w:lang w:val="fr-FR"/>
        </w:rPr>
      </w:pPr>
    </w:p>
    <w:p w14:paraId="6F241B13" w14:textId="77777777" w:rsidR="00C66DAD" w:rsidRPr="001A2820" w:rsidRDefault="00C66DAD">
      <w:pPr>
        <w:tabs>
          <w:tab w:val="clear" w:pos="1247"/>
          <w:tab w:val="clear" w:pos="1814"/>
          <w:tab w:val="clear" w:pos="2381"/>
          <w:tab w:val="clear" w:pos="2948"/>
          <w:tab w:val="clear" w:pos="3515"/>
        </w:tabs>
        <w:rPr>
          <w:bCs/>
          <w:lang w:val="fr-FR"/>
        </w:rPr>
      </w:pPr>
      <w:r w:rsidRPr="001A2820">
        <w:rPr>
          <w:bCs/>
          <w:lang w:val="fr-FR"/>
        </w:rPr>
        <w:br w:type="page"/>
      </w:r>
    </w:p>
    <w:p w14:paraId="206B2CA8" w14:textId="77777777" w:rsidR="00260668" w:rsidRPr="001A2820" w:rsidRDefault="00260668" w:rsidP="000A1CC4">
      <w:pPr>
        <w:pStyle w:val="ZZAnxheader"/>
        <w:rPr>
          <w:lang w:val="fr-FR"/>
        </w:rPr>
        <w:sectPr w:rsidR="00260668" w:rsidRPr="001A2820" w:rsidSect="00260668">
          <w:headerReference w:type="even" r:id="rId24"/>
          <w:headerReference w:type="default" r:id="rId25"/>
          <w:headerReference w:type="first" r:id="rId26"/>
          <w:footerReference w:type="first" r:id="rId27"/>
          <w:type w:val="continuous"/>
          <w:pgSz w:w="16840" w:h="11907" w:orient="landscape" w:code="9"/>
          <w:pgMar w:top="1418" w:right="907" w:bottom="992" w:left="1418" w:header="539" w:footer="975" w:gutter="0"/>
          <w:cols w:space="539"/>
          <w:titlePg/>
          <w:docGrid w:linePitch="360"/>
        </w:sectPr>
      </w:pPr>
    </w:p>
    <w:p w14:paraId="572F99B8" w14:textId="25B7E813" w:rsidR="00C66DAD" w:rsidRPr="001A2820" w:rsidRDefault="00C66DAD" w:rsidP="000A1CC4">
      <w:pPr>
        <w:pStyle w:val="ZZAnxheader"/>
        <w:rPr>
          <w:lang w:val="fr-FR"/>
        </w:rPr>
      </w:pPr>
      <w:r w:rsidRPr="001A2820">
        <w:rPr>
          <w:lang w:val="fr-FR"/>
        </w:rPr>
        <w:lastRenderedPageBreak/>
        <w:t>Annex</w:t>
      </w:r>
      <w:r w:rsidR="000A52AE" w:rsidRPr="001A2820">
        <w:rPr>
          <w:lang w:val="fr-FR"/>
        </w:rPr>
        <w:t>e </w:t>
      </w:r>
      <w:r w:rsidRPr="001A2820">
        <w:rPr>
          <w:lang w:val="fr-FR"/>
        </w:rPr>
        <w:t xml:space="preserve">II </w:t>
      </w:r>
    </w:p>
    <w:p w14:paraId="5828FE63" w14:textId="40149E33" w:rsidR="00CE62B0" w:rsidRPr="001A2820" w:rsidRDefault="00CE62B0" w:rsidP="000A1CC4">
      <w:pPr>
        <w:pStyle w:val="ZZAnxtitle"/>
        <w:rPr>
          <w:lang w:val="fr-FR"/>
        </w:rPr>
      </w:pPr>
      <w:r w:rsidRPr="001A2820">
        <w:rPr>
          <w:lang w:val="fr-FR"/>
        </w:rPr>
        <w:t>Information</w:t>
      </w:r>
      <w:r w:rsidR="000A52AE" w:rsidRPr="001A2820">
        <w:rPr>
          <w:lang w:val="fr-FR"/>
        </w:rPr>
        <w:t>s fournies par le Programme international spécifique conformément à l’</w:t>
      </w:r>
      <w:r w:rsidR="00353807" w:rsidRPr="001A2820">
        <w:rPr>
          <w:lang w:val="fr-FR"/>
        </w:rPr>
        <w:t>a</w:t>
      </w:r>
      <w:r w:rsidRPr="001A2820">
        <w:rPr>
          <w:lang w:val="fr-FR"/>
        </w:rPr>
        <w:t>rticle</w:t>
      </w:r>
      <w:r w:rsidR="00011BB5">
        <w:rPr>
          <w:lang w:val="fr-FR"/>
        </w:rPr>
        <w:t> </w:t>
      </w:r>
      <w:r w:rsidRPr="001A2820">
        <w:rPr>
          <w:lang w:val="fr-FR"/>
        </w:rPr>
        <w:t xml:space="preserve">13 </w:t>
      </w:r>
      <w:r w:rsidR="000A52AE" w:rsidRPr="001A2820">
        <w:rPr>
          <w:lang w:val="fr-FR"/>
        </w:rPr>
        <w:t>de la Convention de</w:t>
      </w:r>
      <w:r w:rsidRPr="001A2820">
        <w:rPr>
          <w:lang w:val="fr-FR"/>
        </w:rPr>
        <w:t xml:space="preserve"> Minamata </w:t>
      </w:r>
      <w:r w:rsidR="002C107E">
        <w:rPr>
          <w:lang w:val="fr-FR"/>
        </w:rPr>
        <w:t>sur le </w:t>
      </w:r>
      <w:r w:rsidR="000A52AE" w:rsidRPr="001A2820">
        <w:rPr>
          <w:lang w:val="fr-FR"/>
        </w:rPr>
        <w:t>mercure</w:t>
      </w:r>
      <w:r w:rsidRPr="001A2820">
        <w:rPr>
          <w:lang w:val="fr-FR"/>
        </w:rPr>
        <w:t xml:space="preserve"> (9</w:t>
      </w:r>
      <w:r w:rsidR="000A52AE" w:rsidRPr="001A2820">
        <w:rPr>
          <w:lang w:val="fr-FR"/>
        </w:rPr>
        <w:t> août </w:t>
      </w:r>
      <w:r w:rsidRPr="001A2820">
        <w:rPr>
          <w:lang w:val="fr-FR"/>
        </w:rPr>
        <w:t>2019)</w:t>
      </w:r>
    </w:p>
    <w:p w14:paraId="37B3EDF0" w14:textId="77777777" w:rsidR="00CE62B0" w:rsidRPr="001A2820" w:rsidRDefault="00493097" w:rsidP="0025781D">
      <w:pPr>
        <w:pStyle w:val="CH2"/>
        <w:rPr>
          <w:lang w:val="fr-FR"/>
        </w:rPr>
      </w:pPr>
      <w:r w:rsidRPr="001A2820">
        <w:rPr>
          <w:lang w:val="fr-FR"/>
        </w:rPr>
        <w:tab/>
        <w:t>1.</w:t>
      </w:r>
      <w:r w:rsidRPr="001A2820">
        <w:rPr>
          <w:lang w:val="fr-FR"/>
        </w:rPr>
        <w:tab/>
      </w:r>
      <w:r w:rsidR="00CE62B0" w:rsidRPr="001A2820">
        <w:rPr>
          <w:lang w:val="fr-FR"/>
        </w:rPr>
        <w:t>Introduction</w:t>
      </w:r>
    </w:p>
    <w:p w14:paraId="0CBBDF17" w14:textId="2691562A" w:rsidR="00CE62B0" w:rsidRPr="001A2820" w:rsidRDefault="000A52AE" w:rsidP="0025781D">
      <w:pPr>
        <w:pStyle w:val="Normalnumber"/>
        <w:numPr>
          <w:ilvl w:val="0"/>
          <w:numId w:val="5"/>
        </w:numPr>
        <w:rPr>
          <w:lang w:val="fr-FR"/>
        </w:rPr>
      </w:pPr>
      <w:r w:rsidRPr="001A2820">
        <w:rPr>
          <w:lang w:val="fr-FR"/>
        </w:rPr>
        <w:t xml:space="preserve">Au paragraphe 5 de son article 13, la Convention de Minamata </w:t>
      </w:r>
      <w:r w:rsidR="002C107E">
        <w:rPr>
          <w:lang w:val="fr-FR"/>
        </w:rPr>
        <w:t>institue un mécanisme destiné à </w:t>
      </w:r>
      <w:r w:rsidRPr="001A2820">
        <w:rPr>
          <w:lang w:val="fr-FR"/>
        </w:rPr>
        <w:t>fournir en temps voulu des ressources financières adéquates et prévisibles pour aider les Parties qui sont des pays en développement ou des pays à économie en transition dans la mise en œuvre de leurs obligations au titre de la Convention</w:t>
      </w:r>
      <w:r w:rsidR="00CE62B0" w:rsidRPr="001A2820">
        <w:rPr>
          <w:lang w:val="fr-FR"/>
        </w:rPr>
        <w:t xml:space="preserve">. </w:t>
      </w:r>
    </w:p>
    <w:p w14:paraId="1E6A3319" w14:textId="2D0137B6" w:rsidR="00CE62B0" w:rsidRPr="001A2820" w:rsidRDefault="00366F1C" w:rsidP="0025781D">
      <w:pPr>
        <w:pStyle w:val="Normalnumber"/>
        <w:numPr>
          <w:ilvl w:val="0"/>
          <w:numId w:val="5"/>
        </w:numPr>
        <w:rPr>
          <w:lang w:val="fr-FR"/>
        </w:rPr>
      </w:pPr>
      <w:r w:rsidRPr="001A2820">
        <w:rPr>
          <w:lang w:val="fr-FR"/>
        </w:rPr>
        <w:t>Le paragraphe 6 de l’article 13 inclut dans le mécanisme un programme international spécifique visant à soutenir le renforcement des capacités et l’assistance technique</w:t>
      </w:r>
      <w:r w:rsidR="00CE62B0" w:rsidRPr="001A2820">
        <w:rPr>
          <w:lang w:val="fr-FR"/>
        </w:rPr>
        <w:t xml:space="preserve">. </w:t>
      </w:r>
      <w:r w:rsidRPr="001A2820">
        <w:rPr>
          <w:lang w:val="fr-FR"/>
        </w:rPr>
        <w:t>En outre, le p</w:t>
      </w:r>
      <w:r w:rsidR="00CE62B0" w:rsidRPr="001A2820">
        <w:rPr>
          <w:lang w:val="fr-FR"/>
        </w:rPr>
        <w:t>aragraph</w:t>
      </w:r>
      <w:r w:rsidRPr="001A2820">
        <w:rPr>
          <w:lang w:val="fr-FR"/>
        </w:rPr>
        <w:t>e </w:t>
      </w:r>
      <w:r w:rsidR="00CE62B0" w:rsidRPr="001A2820">
        <w:rPr>
          <w:lang w:val="fr-FR"/>
        </w:rPr>
        <w:t xml:space="preserve">9 </w:t>
      </w:r>
      <w:r w:rsidRPr="001A2820">
        <w:rPr>
          <w:lang w:val="fr-FR"/>
        </w:rPr>
        <w:t>de l’</w:t>
      </w:r>
      <w:r w:rsidR="00CE62B0" w:rsidRPr="001A2820">
        <w:rPr>
          <w:lang w:val="fr-FR"/>
        </w:rPr>
        <w:t>article</w:t>
      </w:r>
      <w:r w:rsidRPr="001A2820">
        <w:rPr>
          <w:lang w:val="fr-FR"/>
        </w:rPr>
        <w:t> </w:t>
      </w:r>
      <w:r w:rsidR="00CE62B0" w:rsidRPr="001A2820">
        <w:rPr>
          <w:lang w:val="fr-FR"/>
        </w:rPr>
        <w:t xml:space="preserve">13 </w:t>
      </w:r>
      <w:r w:rsidRPr="001A2820">
        <w:rPr>
          <w:lang w:val="fr-FR"/>
        </w:rPr>
        <w:t>stipule que le Programme sera placé sous la direction de la Conférence des Parties à laquelle il rendra compte</w:t>
      </w:r>
      <w:r w:rsidR="00CE62B0" w:rsidRPr="001A2820">
        <w:rPr>
          <w:lang w:val="fr-FR"/>
        </w:rPr>
        <w:t xml:space="preserve">. </w:t>
      </w:r>
    </w:p>
    <w:p w14:paraId="6B371355" w14:textId="2D063917" w:rsidR="00CE62B0" w:rsidRPr="001A2820" w:rsidRDefault="00366F1C" w:rsidP="0025781D">
      <w:pPr>
        <w:pStyle w:val="Normalnumber"/>
        <w:numPr>
          <w:ilvl w:val="0"/>
          <w:numId w:val="5"/>
        </w:numPr>
        <w:rPr>
          <w:lang w:val="fr-FR"/>
        </w:rPr>
      </w:pPr>
      <w:r w:rsidRPr="001A2820">
        <w:rPr>
          <w:lang w:val="fr-FR"/>
        </w:rPr>
        <w:t>À sa première réunion, en septembre </w:t>
      </w:r>
      <w:r w:rsidR="00CE62B0" w:rsidRPr="001A2820">
        <w:rPr>
          <w:lang w:val="fr-FR"/>
        </w:rPr>
        <w:t xml:space="preserve">2017, </w:t>
      </w:r>
      <w:r w:rsidRPr="001A2820">
        <w:rPr>
          <w:lang w:val="fr-FR"/>
        </w:rPr>
        <w:t>la Conférence des Parties a décidé dans la décision </w:t>
      </w:r>
      <w:r w:rsidR="00CE62B0" w:rsidRPr="001A2820">
        <w:rPr>
          <w:lang w:val="fr-FR"/>
        </w:rPr>
        <w:t>MC-1/6</w:t>
      </w:r>
      <w:r w:rsidRPr="001A2820">
        <w:rPr>
          <w:lang w:val="fr-FR"/>
        </w:rPr>
        <w:t> </w:t>
      </w:r>
      <w:r w:rsidR="00CE62B0" w:rsidRPr="001A2820">
        <w:rPr>
          <w:lang w:val="fr-FR"/>
        </w:rPr>
        <w:t xml:space="preserve">: </w:t>
      </w:r>
    </w:p>
    <w:p w14:paraId="3AED8822" w14:textId="4F3413AA" w:rsidR="00CE62B0" w:rsidRPr="001A2820" w:rsidRDefault="00F61E2E" w:rsidP="00366F1C">
      <w:pPr>
        <w:pStyle w:val="Normalnumber"/>
        <w:numPr>
          <w:ilvl w:val="1"/>
          <w:numId w:val="8"/>
        </w:numPr>
        <w:rPr>
          <w:lang w:val="fr-FR"/>
        </w:rPr>
      </w:pPr>
      <w:r w:rsidRPr="001A2820">
        <w:rPr>
          <w:lang w:val="fr-FR"/>
        </w:rPr>
        <w:t xml:space="preserve">Que </w:t>
      </w:r>
      <w:r w:rsidR="00366F1C" w:rsidRPr="001A2820">
        <w:rPr>
          <w:lang w:val="fr-FR"/>
        </w:rPr>
        <w:t>le</w:t>
      </w:r>
      <w:r w:rsidR="00CE62B0" w:rsidRPr="001A2820">
        <w:rPr>
          <w:lang w:val="fr-FR"/>
        </w:rPr>
        <w:t xml:space="preserve"> Programme </w:t>
      </w:r>
      <w:r w:rsidR="00366F1C" w:rsidRPr="001A2820">
        <w:rPr>
          <w:lang w:val="fr-FR"/>
        </w:rPr>
        <w:t xml:space="preserve">serait accueilli </w:t>
      </w:r>
      <w:r w:rsidR="003B261B" w:rsidRPr="001A2820">
        <w:rPr>
          <w:lang w:val="fr-FR"/>
        </w:rPr>
        <w:t xml:space="preserve">par le </w:t>
      </w:r>
      <w:r w:rsidR="00E1234C">
        <w:rPr>
          <w:lang w:val="fr-FR"/>
        </w:rPr>
        <w:t>PNUE</w:t>
      </w:r>
      <w:r w:rsidR="003B261B" w:rsidRPr="001A2820">
        <w:rPr>
          <w:lang w:val="fr-FR"/>
        </w:rPr>
        <w:t xml:space="preserve"> et que son Directeur exécutif assurerait un appui administratif, en affectant des ressources humaines et autres, par l’intermédiaire du secrétariat de la Convention de Minamata </w:t>
      </w:r>
      <w:r w:rsidR="00CE62B0" w:rsidRPr="001A2820">
        <w:rPr>
          <w:lang w:val="fr-FR"/>
        </w:rPr>
        <w:t>(annex</w:t>
      </w:r>
      <w:r w:rsidR="003B261B" w:rsidRPr="001A2820">
        <w:rPr>
          <w:lang w:val="fr-FR"/>
        </w:rPr>
        <w:t>e </w:t>
      </w:r>
      <w:r w:rsidR="00CE62B0" w:rsidRPr="001A2820">
        <w:rPr>
          <w:lang w:val="fr-FR"/>
        </w:rPr>
        <w:t>I)</w:t>
      </w:r>
      <w:r w:rsidR="003B261B" w:rsidRPr="001A2820">
        <w:rPr>
          <w:lang w:val="fr-FR"/>
        </w:rPr>
        <w:t> </w:t>
      </w:r>
      <w:r w:rsidR="00CE62B0" w:rsidRPr="001A2820">
        <w:rPr>
          <w:lang w:val="fr-FR"/>
        </w:rPr>
        <w:t xml:space="preserve">; </w:t>
      </w:r>
    </w:p>
    <w:p w14:paraId="458C5BB0" w14:textId="77EFA9E1" w:rsidR="00CE62B0" w:rsidRPr="001A2820" w:rsidRDefault="00F61E2E" w:rsidP="002F7012">
      <w:pPr>
        <w:pStyle w:val="Normalnumber"/>
        <w:numPr>
          <w:ilvl w:val="1"/>
          <w:numId w:val="8"/>
        </w:numPr>
        <w:rPr>
          <w:lang w:val="fr-FR"/>
        </w:rPr>
      </w:pPr>
      <w:r w:rsidRPr="001A2820">
        <w:rPr>
          <w:lang w:val="fr-FR"/>
        </w:rPr>
        <w:t xml:space="preserve">De </w:t>
      </w:r>
      <w:r w:rsidR="003B261B" w:rsidRPr="001A2820">
        <w:rPr>
          <w:lang w:val="fr-FR"/>
        </w:rPr>
        <w:t>fournir des orientations</w:t>
      </w:r>
      <w:r w:rsidR="00CE62B0" w:rsidRPr="001A2820">
        <w:rPr>
          <w:lang w:val="fr-FR"/>
        </w:rPr>
        <w:t xml:space="preserve"> </w:t>
      </w:r>
      <w:r w:rsidR="003B261B" w:rsidRPr="001A2820">
        <w:rPr>
          <w:lang w:val="fr-FR"/>
        </w:rPr>
        <w:t xml:space="preserve">concernant le fonctionnement du Programme </w:t>
      </w:r>
      <w:r w:rsidR="00CE62B0" w:rsidRPr="001A2820">
        <w:rPr>
          <w:lang w:val="fr-FR"/>
        </w:rPr>
        <w:t>(annex</w:t>
      </w:r>
      <w:r w:rsidR="003B261B" w:rsidRPr="001A2820">
        <w:rPr>
          <w:lang w:val="fr-FR"/>
        </w:rPr>
        <w:t>e </w:t>
      </w:r>
      <w:r w:rsidR="00CE62B0" w:rsidRPr="001A2820">
        <w:rPr>
          <w:lang w:val="fr-FR"/>
        </w:rPr>
        <w:t>I)</w:t>
      </w:r>
      <w:r w:rsidR="003B261B" w:rsidRPr="001A2820">
        <w:rPr>
          <w:lang w:val="fr-FR"/>
        </w:rPr>
        <w:t>, notamment concernant la portée, les conditions d’octroi des ressources, le fonctionnement et les ressources </w:t>
      </w:r>
      <w:r w:rsidR="00CE62B0" w:rsidRPr="001A2820">
        <w:rPr>
          <w:lang w:val="fr-FR"/>
        </w:rPr>
        <w:t xml:space="preserve">; </w:t>
      </w:r>
    </w:p>
    <w:p w14:paraId="74389B34" w14:textId="07CEC69B" w:rsidR="000F5522" w:rsidRPr="001A2820" w:rsidRDefault="00F61E2E" w:rsidP="002F7012">
      <w:pPr>
        <w:pStyle w:val="Normalnumber"/>
        <w:numPr>
          <w:ilvl w:val="1"/>
          <w:numId w:val="8"/>
        </w:numPr>
        <w:rPr>
          <w:lang w:val="fr-FR"/>
        </w:rPr>
      </w:pPr>
      <w:r w:rsidRPr="001A2820">
        <w:rPr>
          <w:lang w:val="fr-FR"/>
        </w:rPr>
        <w:t>Que</w:t>
      </w:r>
      <w:r w:rsidR="003B261B" w:rsidRPr="001A2820">
        <w:rPr>
          <w:lang w:val="fr-FR"/>
        </w:rPr>
        <w:t>, s’agissant de la durée</w:t>
      </w:r>
      <w:r w:rsidR="00CE62B0" w:rsidRPr="001A2820">
        <w:rPr>
          <w:lang w:val="fr-FR"/>
        </w:rPr>
        <w:t xml:space="preserve"> (annex</w:t>
      </w:r>
      <w:r w:rsidR="003B261B" w:rsidRPr="001A2820">
        <w:rPr>
          <w:lang w:val="fr-FR"/>
        </w:rPr>
        <w:t>e </w:t>
      </w:r>
      <w:r w:rsidR="00CE62B0" w:rsidRPr="001A2820">
        <w:rPr>
          <w:lang w:val="fr-FR"/>
        </w:rPr>
        <w:t>I)</w:t>
      </w:r>
      <w:r w:rsidR="003B261B" w:rsidRPr="001A2820">
        <w:rPr>
          <w:lang w:val="fr-FR"/>
        </w:rPr>
        <w:t>, le</w:t>
      </w:r>
      <w:r w:rsidR="00CE62B0" w:rsidRPr="001A2820">
        <w:rPr>
          <w:lang w:val="fr-FR"/>
        </w:rPr>
        <w:t xml:space="preserve"> Programme </w:t>
      </w:r>
      <w:r w:rsidR="003B261B" w:rsidRPr="001A2820">
        <w:rPr>
          <w:lang w:val="fr-FR"/>
        </w:rPr>
        <w:t>serait</w:t>
      </w:r>
      <w:r w:rsidR="00CE62B0" w:rsidRPr="001A2820">
        <w:rPr>
          <w:lang w:val="fr-FR"/>
        </w:rPr>
        <w:t xml:space="preserve"> </w:t>
      </w:r>
      <w:r w:rsidR="003B261B" w:rsidRPr="001A2820">
        <w:rPr>
          <w:lang w:val="fr-FR"/>
        </w:rPr>
        <w:t>ouvert aux contributions volontaires et aux demandes d’aide pour une période de 10 ans à compte</w:t>
      </w:r>
      <w:r w:rsidR="002C107E">
        <w:rPr>
          <w:lang w:val="fr-FR"/>
        </w:rPr>
        <w:t>r de la date de création de son </w:t>
      </w:r>
      <w:r w:rsidR="003B261B" w:rsidRPr="001A2820">
        <w:rPr>
          <w:lang w:val="fr-FR"/>
        </w:rPr>
        <w:t>fonds d’affectation spécial</w:t>
      </w:r>
      <w:r w:rsidR="00693667">
        <w:rPr>
          <w:lang w:val="fr-FR"/>
        </w:rPr>
        <w:t>e</w:t>
      </w:r>
      <w:r w:rsidR="003B261B" w:rsidRPr="001A2820">
        <w:rPr>
          <w:lang w:val="fr-FR"/>
        </w:rPr>
        <w:t xml:space="preserve"> </w:t>
      </w:r>
      <w:r w:rsidR="00CE62B0" w:rsidRPr="001A2820">
        <w:rPr>
          <w:lang w:val="fr-FR"/>
        </w:rPr>
        <w:t>(</w:t>
      </w:r>
      <w:r w:rsidR="000E71B2" w:rsidRPr="001A2820">
        <w:rPr>
          <w:lang w:val="fr-FR"/>
        </w:rPr>
        <w:t>la Conférence des Parties peut néanmoins décider de prolonger cette période, sans toutefois dépasser sept ans supplémentaires, compte tenu du processus d’examen décrit au paragraphe 11 de l’article 13</w:t>
      </w:r>
      <w:r w:rsidR="00A810E6" w:rsidRPr="001A2820">
        <w:rPr>
          <w:lang w:val="fr-FR"/>
        </w:rPr>
        <w:t>)</w:t>
      </w:r>
      <w:r w:rsidR="000E71B2" w:rsidRPr="001A2820">
        <w:rPr>
          <w:lang w:val="fr-FR"/>
        </w:rPr>
        <w:t> </w:t>
      </w:r>
      <w:r w:rsidR="00CE62B0" w:rsidRPr="001A2820">
        <w:rPr>
          <w:lang w:val="fr-FR"/>
        </w:rPr>
        <w:t xml:space="preserve">; </w:t>
      </w:r>
      <w:r w:rsidR="000E71B2" w:rsidRPr="001A2820">
        <w:rPr>
          <w:lang w:val="fr-FR"/>
        </w:rPr>
        <w:t>et</w:t>
      </w:r>
    </w:p>
    <w:p w14:paraId="6CACD028" w14:textId="36114A19" w:rsidR="00CE62B0" w:rsidRPr="001A2820" w:rsidRDefault="00F61E2E" w:rsidP="002F7012">
      <w:pPr>
        <w:pStyle w:val="Normalnumber"/>
        <w:numPr>
          <w:ilvl w:val="1"/>
          <w:numId w:val="8"/>
        </w:numPr>
        <w:rPr>
          <w:lang w:val="fr-FR"/>
        </w:rPr>
      </w:pPr>
      <w:r w:rsidRPr="001A2820">
        <w:rPr>
          <w:lang w:val="fr-FR"/>
        </w:rPr>
        <w:t xml:space="preserve">Du </w:t>
      </w:r>
      <w:r w:rsidR="000E71B2" w:rsidRPr="001A2820">
        <w:rPr>
          <w:lang w:val="fr-FR"/>
        </w:rPr>
        <w:t>mandat du Programme</w:t>
      </w:r>
      <w:r w:rsidR="00CE62B0" w:rsidRPr="001A2820">
        <w:rPr>
          <w:lang w:val="fr-FR"/>
        </w:rPr>
        <w:t xml:space="preserve"> (annex</w:t>
      </w:r>
      <w:r w:rsidR="000E71B2" w:rsidRPr="001A2820">
        <w:rPr>
          <w:lang w:val="fr-FR"/>
        </w:rPr>
        <w:t>e </w:t>
      </w:r>
      <w:r w:rsidR="00CE62B0" w:rsidRPr="001A2820">
        <w:rPr>
          <w:lang w:val="fr-FR"/>
        </w:rPr>
        <w:t xml:space="preserve">II), </w:t>
      </w:r>
      <w:r w:rsidR="000E71B2" w:rsidRPr="001A2820">
        <w:rPr>
          <w:lang w:val="fr-FR"/>
        </w:rPr>
        <w:t>notamment en ce qui concerne </w:t>
      </w:r>
      <w:r w:rsidR="00CE62B0" w:rsidRPr="001A2820">
        <w:rPr>
          <w:lang w:val="fr-FR"/>
        </w:rPr>
        <w:t xml:space="preserve">: </w:t>
      </w:r>
    </w:p>
    <w:p w14:paraId="3CBA8A9D" w14:textId="459E6236" w:rsidR="00CE62B0" w:rsidRPr="001A2820" w:rsidRDefault="00C00B11" w:rsidP="002F7012">
      <w:pPr>
        <w:pStyle w:val="Normalnumber"/>
        <w:numPr>
          <w:ilvl w:val="2"/>
          <w:numId w:val="9"/>
        </w:numPr>
        <w:rPr>
          <w:lang w:val="fr-FR"/>
        </w:rPr>
      </w:pPr>
      <w:r>
        <w:rPr>
          <w:lang w:val="fr-FR"/>
        </w:rPr>
        <w:t>L</w:t>
      </w:r>
      <w:r w:rsidR="000E71B2" w:rsidRPr="001A2820">
        <w:rPr>
          <w:lang w:val="fr-FR"/>
        </w:rPr>
        <w:t>e Conseil d’administration du Programme</w:t>
      </w:r>
      <w:r w:rsidR="00CE62B0" w:rsidRPr="001A2820">
        <w:rPr>
          <w:lang w:val="fr-FR"/>
        </w:rPr>
        <w:t xml:space="preserve">, </w:t>
      </w:r>
    </w:p>
    <w:p w14:paraId="5B647B15" w14:textId="379F49FC" w:rsidR="00CE62B0" w:rsidRPr="001A2820" w:rsidRDefault="00C00B11" w:rsidP="002F7012">
      <w:pPr>
        <w:pStyle w:val="Normalnumber"/>
        <w:numPr>
          <w:ilvl w:val="2"/>
          <w:numId w:val="9"/>
        </w:numPr>
        <w:rPr>
          <w:lang w:val="fr-FR"/>
        </w:rPr>
      </w:pPr>
      <w:r>
        <w:rPr>
          <w:lang w:val="fr-FR"/>
        </w:rPr>
        <w:t>L</w:t>
      </w:r>
      <w:r w:rsidR="000E71B2" w:rsidRPr="001A2820">
        <w:rPr>
          <w:lang w:val="fr-FR"/>
        </w:rPr>
        <w:t>es procédures de présélection, d’évaluation et d’approbation des projets</w:t>
      </w:r>
      <w:r w:rsidR="00CE62B0" w:rsidRPr="001A2820">
        <w:rPr>
          <w:lang w:val="fr-FR"/>
        </w:rPr>
        <w:t xml:space="preserve">, </w:t>
      </w:r>
    </w:p>
    <w:p w14:paraId="38D2AA7F" w14:textId="3C24A2E3" w:rsidR="00CE62B0" w:rsidRPr="001A2820" w:rsidRDefault="00C00B11" w:rsidP="002F7012">
      <w:pPr>
        <w:pStyle w:val="Normalnumber"/>
        <w:numPr>
          <w:ilvl w:val="2"/>
          <w:numId w:val="9"/>
        </w:numPr>
        <w:rPr>
          <w:lang w:val="fr-FR"/>
        </w:rPr>
      </w:pPr>
      <w:r>
        <w:rPr>
          <w:lang w:val="fr-FR"/>
        </w:rPr>
        <w:t>L</w:t>
      </w:r>
      <w:r w:rsidR="000E71B2" w:rsidRPr="001A2820">
        <w:rPr>
          <w:lang w:val="fr-FR"/>
        </w:rPr>
        <w:t xml:space="preserve">’appui administratif au </w:t>
      </w:r>
      <w:r w:rsidR="00CE62B0" w:rsidRPr="001A2820">
        <w:rPr>
          <w:lang w:val="fr-FR"/>
        </w:rPr>
        <w:t xml:space="preserve">Programme, </w:t>
      </w:r>
    </w:p>
    <w:p w14:paraId="04E3AA20" w14:textId="2A7AD299" w:rsidR="00CE62B0" w:rsidRPr="001A2820" w:rsidRDefault="00C00B11" w:rsidP="002F7012">
      <w:pPr>
        <w:pStyle w:val="Normalnumber"/>
        <w:numPr>
          <w:ilvl w:val="2"/>
          <w:numId w:val="9"/>
        </w:numPr>
        <w:rPr>
          <w:lang w:val="fr-FR"/>
        </w:rPr>
      </w:pPr>
      <w:r>
        <w:rPr>
          <w:lang w:val="fr-FR"/>
        </w:rPr>
        <w:t>L</w:t>
      </w:r>
      <w:r w:rsidR="000E71B2" w:rsidRPr="001A2820">
        <w:rPr>
          <w:lang w:val="fr-FR"/>
        </w:rPr>
        <w:t>es résultats attendus</w:t>
      </w:r>
      <w:r w:rsidR="00CE62B0" w:rsidRPr="001A2820">
        <w:rPr>
          <w:lang w:val="fr-FR"/>
        </w:rPr>
        <w:t xml:space="preserve">, </w:t>
      </w:r>
      <w:r w:rsidR="000E71B2" w:rsidRPr="001A2820">
        <w:rPr>
          <w:lang w:val="fr-FR"/>
        </w:rPr>
        <w:t>et</w:t>
      </w:r>
      <w:r w:rsidR="00CE62B0" w:rsidRPr="001A2820">
        <w:rPr>
          <w:lang w:val="fr-FR"/>
        </w:rPr>
        <w:t xml:space="preserve"> </w:t>
      </w:r>
    </w:p>
    <w:p w14:paraId="2D0234E4" w14:textId="798BD9E4" w:rsidR="00CE62B0" w:rsidRPr="001A2820" w:rsidRDefault="00C00B11" w:rsidP="002F7012">
      <w:pPr>
        <w:pStyle w:val="Normalnumber"/>
        <w:numPr>
          <w:ilvl w:val="2"/>
          <w:numId w:val="9"/>
        </w:numPr>
        <w:rPr>
          <w:lang w:val="fr-FR"/>
        </w:rPr>
      </w:pPr>
      <w:r>
        <w:rPr>
          <w:lang w:val="fr-FR"/>
        </w:rPr>
        <w:t>L</w:t>
      </w:r>
      <w:r w:rsidR="000E71B2" w:rsidRPr="001A2820">
        <w:rPr>
          <w:lang w:val="fr-FR"/>
        </w:rPr>
        <w:t>es comptes et la vérification des comptes</w:t>
      </w:r>
      <w:r w:rsidR="00CE62B0" w:rsidRPr="001A2820">
        <w:rPr>
          <w:lang w:val="fr-FR"/>
        </w:rPr>
        <w:t xml:space="preserve">. </w:t>
      </w:r>
    </w:p>
    <w:p w14:paraId="48B3C932" w14:textId="7A294BF9" w:rsidR="00CE62B0" w:rsidRPr="001A2820" w:rsidRDefault="000E71B2" w:rsidP="0025781D">
      <w:pPr>
        <w:pStyle w:val="Normalnumber"/>
        <w:numPr>
          <w:ilvl w:val="0"/>
          <w:numId w:val="5"/>
        </w:numPr>
        <w:rPr>
          <w:lang w:val="fr-FR"/>
        </w:rPr>
      </w:pPr>
      <w:r w:rsidRPr="001A2820">
        <w:rPr>
          <w:lang w:val="fr-FR"/>
        </w:rPr>
        <w:t>À sa deux</w:t>
      </w:r>
      <w:r w:rsidR="001214BF">
        <w:rPr>
          <w:lang w:val="fr-FR"/>
        </w:rPr>
        <w:t>ième </w:t>
      </w:r>
      <w:r w:rsidRPr="001A2820">
        <w:rPr>
          <w:lang w:val="fr-FR"/>
        </w:rPr>
        <w:t>réunion, en novembre </w:t>
      </w:r>
      <w:r w:rsidR="00CE62B0" w:rsidRPr="001A2820">
        <w:rPr>
          <w:lang w:val="fr-FR"/>
        </w:rPr>
        <w:t xml:space="preserve">2018, </w:t>
      </w:r>
      <w:r w:rsidR="00F0397C" w:rsidRPr="001A2820">
        <w:rPr>
          <w:lang w:val="fr-FR"/>
        </w:rPr>
        <w:t>la Conférence des P</w:t>
      </w:r>
      <w:r w:rsidR="002C107E">
        <w:rPr>
          <w:lang w:val="fr-FR"/>
        </w:rPr>
        <w:t>arties a confirmé que seuls les </w:t>
      </w:r>
      <w:r w:rsidR="00F0397C" w:rsidRPr="001A2820">
        <w:rPr>
          <w:lang w:val="fr-FR"/>
        </w:rPr>
        <w:t xml:space="preserve">États parties </w:t>
      </w:r>
      <w:r w:rsidR="00504607">
        <w:rPr>
          <w:lang w:val="fr-FR"/>
        </w:rPr>
        <w:t>pouvaient</w:t>
      </w:r>
      <w:r w:rsidR="00F0397C" w:rsidRPr="001A2820">
        <w:rPr>
          <w:lang w:val="fr-FR"/>
        </w:rPr>
        <w:t xml:space="preserve"> prétendre à un appui du Programme et que les membres</w:t>
      </w:r>
      <w:r w:rsidR="00C3358D" w:rsidRPr="001A2820">
        <w:rPr>
          <w:lang w:val="fr-FR"/>
        </w:rPr>
        <w:t xml:space="preserve"> du Conseil d’administration d</w:t>
      </w:r>
      <w:r w:rsidR="00504607">
        <w:rPr>
          <w:lang w:val="fr-FR"/>
        </w:rPr>
        <w:t>evai</w:t>
      </w:r>
      <w:r w:rsidR="00C3358D" w:rsidRPr="001A2820">
        <w:rPr>
          <w:lang w:val="fr-FR"/>
        </w:rPr>
        <w:t>ent être nommés par les Parties</w:t>
      </w:r>
      <w:r w:rsidR="00CE62B0" w:rsidRPr="001A2820">
        <w:rPr>
          <w:lang w:val="fr-FR"/>
        </w:rPr>
        <w:t xml:space="preserve"> (UNEP/MC/COP.2/19</w:t>
      </w:r>
      <w:r w:rsidR="00C3358D" w:rsidRPr="001A2820">
        <w:rPr>
          <w:lang w:val="fr-FR"/>
        </w:rPr>
        <w:t>,</w:t>
      </w:r>
      <w:r w:rsidR="00CE62B0" w:rsidRPr="001A2820">
        <w:rPr>
          <w:lang w:val="fr-FR"/>
        </w:rPr>
        <w:t xml:space="preserve"> paragraph</w:t>
      </w:r>
      <w:r w:rsidR="00C3358D" w:rsidRPr="001A2820">
        <w:rPr>
          <w:lang w:val="fr-FR"/>
        </w:rPr>
        <w:t>e </w:t>
      </w:r>
      <w:r w:rsidR="00CE62B0" w:rsidRPr="001A2820">
        <w:rPr>
          <w:lang w:val="fr-FR"/>
        </w:rPr>
        <w:t>103</w:t>
      </w:r>
      <w:r w:rsidR="002C107E">
        <w:rPr>
          <w:lang w:val="fr-FR"/>
        </w:rPr>
        <w:t xml:space="preserve"> et </w:t>
      </w:r>
      <w:r w:rsidR="00C3358D" w:rsidRPr="001A2820">
        <w:rPr>
          <w:lang w:val="fr-FR"/>
        </w:rPr>
        <w:t>a</w:t>
      </w:r>
      <w:r w:rsidR="00CE62B0" w:rsidRPr="001A2820">
        <w:rPr>
          <w:lang w:val="fr-FR"/>
        </w:rPr>
        <w:t>nnex</w:t>
      </w:r>
      <w:r w:rsidR="00C3358D" w:rsidRPr="001A2820">
        <w:rPr>
          <w:lang w:val="fr-FR"/>
        </w:rPr>
        <w:t>e </w:t>
      </w:r>
      <w:r w:rsidR="00CE62B0" w:rsidRPr="001A2820">
        <w:rPr>
          <w:lang w:val="fr-FR"/>
        </w:rPr>
        <w:t xml:space="preserve">II </w:t>
      </w:r>
      <w:r w:rsidR="00C3358D" w:rsidRPr="001A2820">
        <w:rPr>
          <w:lang w:val="fr-FR"/>
        </w:rPr>
        <w:t>contenant la décision </w:t>
      </w:r>
      <w:r w:rsidR="00CE62B0" w:rsidRPr="001A2820">
        <w:rPr>
          <w:lang w:val="fr-FR"/>
        </w:rPr>
        <w:t>MC-1/</w:t>
      </w:r>
      <w:r w:rsidR="00C3358D" w:rsidRPr="001A2820">
        <w:rPr>
          <w:lang w:val="fr-FR"/>
        </w:rPr>
        <w:t>1</w:t>
      </w:r>
      <w:r w:rsidR="00CE62B0" w:rsidRPr="001A2820">
        <w:rPr>
          <w:lang w:val="fr-FR"/>
        </w:rPr>
        <w:t xml:space="preserve">6 </w:t>
      </w:r>
      <w:r w:rsidR="00C3358D" w:rsidRPr="001A2820">
        <w:rPr>
          <w:lang w:val="fr-FR"/>
        </w:rPr>
        <w:t>telle que finalisée par</w:t>
      </w:r>
      <w:r w:rsidR="002C107E">
        <w:rPr>
          <w:lang w:val="fr-FR"/>
        </w:rPr>
        <w:t xml:space="preserve"> la Conférence des Parties à sa </w:t>
      </w:r>
      <w:r w:rsidR="00C3358D" w:rsidRPr="001A2820">
        <w:rPr>
          <w:lang w:val="fr-FR"/>
        </w:rPr>
        <w:t>deuxième réunion</w:t>
      </w:r>
      <w:r w:rsidR="00CE62B0" w:rsidRPr="001A2820">
        <w:rPr>
          <w:lang w:val="fr-FR"/>
        </w:rPr>
        <w:t>).</w:t>
      </w:r>
    </w:p>
    <w:p w14:paraId="2F33C9C8" w14:textId="23520246" w:rsidR="00CE62B0" w:rsidRPr="001A2820" w:rsidRDefault="00493097" w:rsidP="0025781D">
      <w:pPr>
        <w:pStyle w:val="CH2"/>
        <w:rPr>
          <w:lang w:val="fr-FR"/>
        </w:rPr>
      </w:pPr>
      <w:r w:rsidRPr="001A2820">
        <w:rPr>
          <w:lang w:val="fr-FR"/>
        </w:rPr>
        <w:tab/>
        <w:t>2.</w:t>
      </w:r>
      <w:r w:rsidRPr="001A2820">
        <w:rPr>
          <w:lang w:val="fr-FR"/>
        </w:rPr>
        <w:tab/>
      </w:r>
      <w:r w:rsidR="00CE62B0" w:rsidRPr="001A2820">
        <w:rPr>
          <w:lang w:val="fr-FR"/>
        </w:rPr>
        <w:t>Op</w:t>
      </w:r>
      <w:r w:rsidR="00CB6730" w:rsidRPr="001A2820">
        <w:rPr>
          <w:lang w:val="fr-FR"/>
        </w:rPr>
        <w:t>é</w:t>
      </w:r>
      <w:r w:rsidR="00CE62B0" w:rsidRPr="001A2820">
        <w:rPr>
          <w:lang w:val="fr-FR"/>
        </w:rPr>
        <w:t>ratio</w:t>
      </w:r>
      <w:r w:rsidR="00CB6730" w:rsidRPr="001A2820">
        <w:rPr>
          <w:lang w:val="fr-FR"/>
        </w:rPr>
        <w:t>n</w:t>
      </w:r>
      <w:r w:rsidR="00CE62B0" w:rsidRPr="001A2820">
        <w:rPr>
          <w:lang w:val="fr-FR"/>
        </w:rPr>
        <w:t xml:space="preserve">nalisation </w:t>
      </w:r>
      <w:r w:rsidR="00CB6730" w:rsidRPr="001A2820">
        <w:rPr>
          <w:lang w:val="fr-FR"/>
        </w:rPr>
        <w:t>du Programme international spécifique</w:t>
      </w:r>
    </w:p>
    <w:p w14:paraId="70D0B853" w14:textId="5DCA3CCE" w:rsidR="00CE62B0" w:rsidRPr="001A2820" w:rsidRDefault="00CB6730" w:rsidP="0025781D">
      <w:pPr>
        <w:pStyle w:val="Normalnumber"/>
        <w:numPr>
          <w:ilvl w:val="0"/>
          <w:numId w:val="5"/>
        </w:numPr>
        <w:rPr>
          <w:lang w:val="fr-FR"/>
        </w:rPr>
      </w:pPr>
      <w:r w:rsidRPr="001A2820">
        <w:rPr>
          <w:lang w:val="fr-FR"/>
        </w:rPr>
        <w:t>Comme demandé par la Conférence des Parties dans sa décision </w:t>
      </w:r>
      <w:r w:rsidR="009236B3" w:rsidRPr="001A2820">
        <w:rPr>
          <w:lang w:val="fr-FR"/>
        </w:rPr>
        <w:t xml:space="preserve">MC-1/6, </w:t>
      </w:r>
      <w:r w:rsidRPr="001A2820">
        <w:rPr>
          <w:lang w:val="fr-FR"/>
        </w:rPr>
        <w:t xml:space="preserve">le Directeur exécutif du </w:t>
      </w:r>
      <w:r w:rsidR="00E1234C">
        <w:rPr>
          <w:lang w:val="fr-FR"/>
        </w:rPr>
        <w:t>PNUE</w:t>
      </w:r>
      <w:r w:rsidRPr="001A2820">
        <w:rPr>
          <w:lang w:val="fr-FR"/>
        </w:rPr>
        <w:t xml:space="preserve"> a créé le Fonds d’affectation spéciale</w:t>
      </w:r>
      <w:r w:rsidR="009E7B27" w:rsidRPr="001A2820">
        <w:rPr>
          <w:lang w:val="fr-FR"/>
        </w:rPr>
        <w:t xml:space="preserve"> particulier</w:t>
      </w:r>
      <w:r w:rsidR="00CE62B0" w:rsidRPr="001A2820">
        <w:rPr>
          <w:lang w:val="fr-FR"/>
        </w:rPr>
        <w:t xml:space="preserve"> </w:t>
      </w:r>
      <w:r w:rsidR="009E7B27" w:rsidRPr="001A2820">
        <w:rPr>
          <w:lang w:val="fr-FR"/>
        </w:rPr>
        <w:t>destiné à</w:t>
      </w:r>
      <w:r w:rsidRPr="001A2820">
        <w:rPr>
          <w:lang w:val="fr-FR"/>
        </w:rPr>
        <w:t xml:space="preserve"> recevoir les contributions volontaires </w:t>
      </w:r>
      <w:r w:rsidR="009E7B27" w:rsidRPr="001A2820">
        <w:rPr>
          <w:lang w:val="fr-FR"/>
        </w:rPr>
        <w:t>pour le Programme durant une période de 10 ans</w:t>
      </w:r>
      <w:r w:rsidR="00CE62B0" w:rsidRPr="001A2820">
        <w:rPr>
          <w:lang w:val="fr-FR"/>
        </w:rPr>
        <w:t>.</w:t>
      </w:r>
      <w:r w:rsidR="009E7B27" w:rsidRPr="001A2820">
        <w:rPr>
          <w:lang w:val="fr-FR"/>
        </w:rPr>
        <w:t xml:space="preserve"> Le Fonds d’affectation spéciale est opérationnel</w:t>
      </w:r>
      <w:r w:rsidR="00A76976" w:rsidRPr="001A2820">
        <w:rPr>
          <w:lang w:val="fr-FR"/>
        </w:rPr>
        <w:t xml:space="preserve"> à compter du </w:t>
      </w:r>
      <w:r w:rsidR="00CE62B0" w:rsidRPr="001A2820">
        <w:rPr>
          <w:lang w:val="fr-FR"/>
        </w:rPr>
        <w:t>1</w:t>
      </w:r>
      <w:r w:rsidR="00A76976" w:rsidRPr="001A2820">
        <w:rPr>
          <w:vertAlign w:val="superscript"/>
          <w:lang w:val="fr-FR"/>
        </w:rPr>
        <w:t>er</w:t>
      </w:r>
      <w:r w:rsidR="00A76976" w:rsidRPr="001A2820">
        <w:rPr>
          <w:lang w:val="fr-FR"/>
        </w:rPr>
        <w:t> janvier </w:t>
      </w:r>
      <w:r w:rsidR="00CE62B0" w:rsidRPr="001A2820">
        <w:rPr>
          <w:lang w:val="fr-FR"/>
        </w:rPr>
        <w:t xml:space="preserve">2018 (UNEP/MC/COP.2/9, </w:t>
      </w:r>
      <w:r w:rsidR="009E7B27" w:rsidRPr="001A2820">
        <w:rPr>
          <w:lang w:val="fr-FR"/>
        </w:rPr>
        <w:t>Rapport global sur le Programme international spécifique visant à soutenir le renforcement des capacités et l’assistance technique,</w:t>
      </w:r>
      <w:r w:rsidR="00CE62B0" w:rsidRPr="001A2820">
        <w:rPr>
          <w:lang w:val="fr-FR"/>
        </w:rPr>
        <w:t xml:space="preserve"> </w:t>
      </w:r>
      <w:r w:rsidR="009E7B27" w:rsidRPr="001A2820">
        <w:rPr>
          <w:lang w:val="fr-FR"/>
        </w:rPr>
        <w:t>et</w:t>
      </w:r>
      <w:r w:rsidR="002C107E">
        <w:rPr>
          <w:lang w:val="fr-FR"/>
        </w:rPr>
        <w:t> </w:t>
      </w:r>
      <w:r w:rsidR="00CE62B0" w:rsidRPr="001A2820">
        <w:rPr>
          <w:lang w:val="fr-FR"/>
        </w:rPr>
        <w:t xml:space="preserve">UNEP/MC/COP.2/18, </w:t>
      </w:r>
      <w:r w:rsidR="009E7B27" w:rsidRPr="001A2820">
        <w:rPr>
          <w:lang w:val="fr-FR"/>
        </w:rPr>
        <w:t>Informations actualisées sur le programme de travail et le budget pour l’exercice biennal 2018-2019</w:t>
      </w:r>
      <w:r w:rsidR="00CE62B0" w:rsidRPr="001A2820">
        <w:rPr>
          <w:lang w:val="fr-FR"/>
        </w:rPr>
        <w:t>).</w:t>
      </w:r>
    </w:p>
    <w:p w14:paraId="123C2A9C" w14:textId="3D32A157" w:rsidR="00CE62B0" w:rsidRPr="001A2820" w:rsidRDefault="00577A03" w:rsidP="001214BF">
      <w:pPr>
        <w:pStyle w:val="Normalnumber"/>
        <w:keepNext/>
        <w:keepLines/>
        <w:numPr>
          <w:ilvl w:val="0"/>
          <w:numId w:val="5"/>
        </w:numPr>
        <w:rPr>
          <w:lang w:val="fr-FR"/>
        </w:rPr>
      </w:pPr>
      <w:r w:rsidRPr="001A2820">
        <w:rPr>
          <w:lang w:val="fr-FR"/>
        </w:rPr>
        <w:lastRenderedPageBreak/>
        <w:t>Le Conseil d’administration du Programme international spécifique a été créé au début de l’année 2018 et s’est réuni pour la première fois en mai</w:t>
      </w:r>
      <w:r w:rsidR="001A2820">
        <w:rPr>
          <w:lang w:val="fr-FR"/>
        </w:rPr>
        <w:t> </w:t>
      </w:r>
      <w:r w:rsidR="00CE62B0" w:rsidRPr="001A2820">
        <w:rPr>
          <w:lang w:val="fr-FR"/>
        </w:rPr>
        <w:t>2018 (</w:t>
      </w:r>
      <w:r w:rsidR="00504607" w:rsidRPr="00504607">
        <w:rPr>
          <w:lang w:val="fr-FR"/>
        </w:rPr>
        <w:t>UNEP/MC/SIP.GB.1/6</w:t>
      </w:r>
      <w:r w:rsidR="00504607">
        <w:rPr>
          <w:lang w:val="fr-FR"/>
        </w:rPr>
        <w:t xml:space="preserve">, </w:t>
      </w:r>
      <w:r w:rsidRPr="001A2820">
        <w:rPr>
          <w:lang w:val="fr-FR"/>
        </w:rPr>
        <w:t>Rapport de la première réunion du Conseil d’administration</w:t>
      </w:r>
      <w:r w:rsidR="00CE62B0" w:rsidRPr="001A2820">
        <w:rPr>
          <w:vertAlign w:val="superscript"/>
          <w:lang w:val="fr-FR"/>
        </w:rPr>
        <w:footnoteReference w:id="19"/>
      </w:r>
      <w:r w:rsidR="00CE62B0" w:rsidRPr="00504607">
        <w:rPr>
          <w:lang w:val="fr-FR"/>
        </w:rPr>
        <w:t>)</w:t>
      </w:r>
      <w:r w:rsidR="00CE62B0" w:rsidRPr="001A2820">
        <w:rPr>
          <w:lang w:val="fr-FR"/>
        </w:rPr>
        <w:t xml:space="preserve">. </w:t>
      </w:r>
      <w:r w:rsidRPr="001A2820">
        <w:rPr>
          <w:lang w:val="fr-FR"/>
        </w:rPr>
        <w:t>Le Conseil d’administration a adopté son</w:t>
      </w:r>
      <w:r w:rsidR="00CE62B0" w:rsidRPr="001A2820">
        <w:rPr>
          <w:lang w:val="fr-FR"/>
        </w:rPr>
        <w:t xml:space="preserve"> </w:t>
      </w:r>
      <w:r w:rsidRPr="001A2820">
        <w:rPr>
          <w:lang w:val="fr-FR"/>
        </w:rPr>
        <w:t xml:space="preserve">règlement intérieur à sa première réunion et présenté le règlement intérieur </w:t>
      </w:r>
      <w:r w:rsidR="008E3ACF">
        <w:rPr>
          <w:lang w:val="fr-FR"/>
        </w:rPr>
        <w:t xml:space="preserve">ainsi </w:t>
      </w:r>
      <w:r w:rsidRPr="001A2820">
        <w:rPr>
          <w:lang w:val="fr-FR"/>
        </w:rPr>
        <w:t>adopté à la deuxième réunion de la Conférence des Parties</w:t>
      </w:r>
      <w:r w:rsidR="00CE62B0" w:rsidRPr="001A2820">
        <w:rPr>
          <w:lang w:val="fr-FR"/>
        </w:rPr>
        <w:t xml:space="preserve">. </w:t>
      </w:r>
    </w:p>
    <w:p w14:paraId="293B7039" w14:textId="57EEF5AC" w:rsidR="00CE62B0" w:rsidRPr="001A2820" w:rsidRDefault="00577A03" w:rsidP="0025781D">
      <w:pPr>
        <w:pStyle w:val="Normalnumber"/>
        <w:numPr>
          <w:ilvl w:val="0"/>
          <w:numId w:val="5"/>
        </w:numPr>
        <w:rPr>
          <w:lang w:val="fr-FR"/>
        </w:rPr>
      </w:pPr>
      <w:r w:rsidRPr="001A2820">
        <w:rPr>
          <w:lang w:val="fr-FR"/>
        </w:rPr>
        <w:t xml:space="preserve">À la suite de la première réunion du Conseil d’administration au cours de laquelle les critères d’évaluation des demandes ont été convenus, </w:t>
      </w:r>
      <w:r w:rsidR="00C10559" w:rsidRPr="001A2820">
        <w:rPr>
          <w:lang w:val="fr-FR"/>
        </w:rPr>
        <w:t>le secrétariat a finalisé les formulaires de demande et les</w:t>
      </w:r>
      <w:r w:rsidR="00C11BEC">
        <w:rPr>
          <w:lang w:val="fr-FR"/>
        </w:rPr>
        <w:t> </w:t>
      </w:r>
      <w:r w:rsidR="00C10559" w:rsidRPr="001A2820">
        <w:rPr>
          <w:lang w:val="fr-FR"/>
        </w:rPr>
        <w:t>directives relatives à la présentation de projets</w:t>
      </w:r>
      <w:r w:rsidR="00CE62B0" w:rsidRPr="001A2820">
        <w:rPr>
          <w:lang w:val="fr-FR"/>
        </w:rPr>
        <w:t xml:space="preserve">. </w:t>
      </w:r>
      <w:r w:rsidR="00C10559" w:rsidRPr="001A2820">
        <w:rPr>
          <w:lang w:val="fr-FR"/>
        </w:rPr>
        <w:t>Le</w:t>
      </w:r>
      <w:r w:rsidR="00CE62B0" w:rsidRPr="001A2820">
        <w:rPr>
          <w:lang w:val="fr-FR"/>
        </w:rPr>
        <w:t xml:space="preserve"> </w:t>
      </w:r>
      <w:r w:rsidR="00C10559" w:rsidRPr="001A2820">
        <w:rPr>
          <w:lang w:val="fr-FR"/>
        </w:rPr>
        <w:t>premier cycle de dépôt de demandes a ensuite été ouvert du</w:t>
      </w:r>
      <w:r w:rsidR="00CE62B0" w:rsidRPr="001A2820">
        <w:rPr>
          <w:lang w:val="fr-FR"/>
        </w:rPr>
        <w:t xml:space="preserve"> 5</w:t>
      </w:r>
      <w:r w:rsidR="00C10559" w:rsidRPr="001A2820">
        <w:rPr>
          <w:lang w:val="fr-FR"/>
        </w:rPr>
        <w:t> juin </w:t>
      </w:r>
      <w:r w:rsidR="00CE62B0" w:rsidRPr="001A2820">
        <w:rPr>
          <w:lang w:val="fr-FR"/>
        </w:rPr>
        <w:t>2018</w:t>
      </w:r>
      <w:r w:rsidR="00C10559" w:rsidRPr="001A2820">
        <w:rPr>
          <w:lang w:val="fr-FR"/>
        </w:rPr>
        <w:t xml:space="preserve"> au</w:t>
      </w:r>
      <w:r w:rsidR="00CE62B0" w:rsidRPr="001A2820">
        <w:rPr>
          <w:lang w:val="fr-FR"/>
        </w:rPr>
        <w:t xml:space="preserve"> 31</w:t>
      </w:r>
      <w:r w:rsidR="00C10559" w:rsidRPr="001A2820">
        <w:rPr>
          <w:lang w:val="fr-FR"/>
        </w:rPr>
        <w:t> août</w:t>
      </w:r>
      <w:r w:rsidR="001A2820">
        <w:rPr>
          <w:lang w:val="fr-FR"/>
        </w:rPr>
        <w:t> </w:t>
      </w:r>
      <w:r w:rsidR="00CE62B0" w:rsidRPr="001A2820">
        <w:rPr>
          <w:lang w:val="fr-FR"/>
        </w:rPr>
        <w:t xml:space="preserve">2018. </w:t>
      </w:r>
      <w:r w:rsidR="00C10559" w:rsidRPr="001A2820">
        <w:rPr>
          <w:lang w:val="fr-FR"/>
        </w:rPr>
        <w:t>À la clôture de la période, 19 demandes avaient été reçues par le secrétariat</w:t>
      </w:r>
      <w:r w:rsidR="00CE62B0" w:rsidRPr="001A2820">
        <w:rPr>
          <w:lang w:val="fr-FR"/>
        </w:rPr>
        <w:t xml:space="preserve">. </w:t>
      </w:r>
      <w:r w:rsidR="00C10559" w:rsidRPr="001A2820">
        <w:rPr>
          <w:lang w:val="fr-FR"/>
        </w:rPr>
        <w:t>À sa deuxième réunion, en octobre </w:t>
      </w:r>
      <w:r w:rsidR="00CE62B0" w:rsidRPr="001A2820">
        <w:rPr>
          <w:lang w:val="fr-FR"/>
        </w:rPr>
        <w:t xml:space="preserve">2018, </w:t>
      </w:r>
      <w:r w:rsidR="00C10559" w:rsidRPr="001A2820">
        <w:rPr>
          <w:lang w:val="fr-FR"/>
        </w:rPr>
        <w:t>le Conseil d’administration a approuvé le financement de cinq projets</w:t>
      </w:r>
      <w:r w:rsidR="00CE62B0" w:rsidRPr="001A2820">
        <w:rPr>
          <w:vertAlign w:val="superscript"/>
          <w:lang w:val="fr-FR"/>
        </w:rPr>
        <w:footnoteReference w:id="20"/>
      </w:r>
      <w:r w:rsidR="00CE62B0" w:rsidRPr="001A2820">
        <w:rPr>
          <w:lang w:val="fr-FR"/>
        </w:rPr>
        <w:t xml:space="preserve"> </w:t>
      </w:r>
      <w:r w:rsidR="00C10559" w:rsidRPr="001A2820">
        <w:rPr>
          <w:lang w:val="fr-FR"/>
        </w:rPr>
        <w:t>sur la base des orientations de la Conférence des Parties, des évaluations réalisées par le secrétariat et des contributions reçues par le Fonds d’affe</w:t>
      </w:r>
      <w:r w:rsidR="00C11BEC">
        <w:rPr>
          <w:lang w:val="fr-FR"/>
        </w:rPr>
        <w:t>ctation spéciale particulier au </w:t>
      </w:r>
      <w:r w:rsidR="00C10559" w:rsidRPr="001A2820">
        <w:rPr>
          <w:lang w:val="fr-FR"/>
        </w:rPr>
        <w:t>moment de la réunion</w:t>
      </w:r>
      <w:r w:rsidR="00CE62B0" w:rsidRPr="001A2820">
        <w:rPr>
          <w:lang w:val="fr-FR"/>
        </w:rPr>
        <w:t xml:space="preserve"> (</w:t>
      </w:r>
      <w:r w:rsidR="004C1121" w:rsidRPr="004C1121">
        <w:rPr>
          <w:lang w:val="fr-FR"/>
        </w:rPr>
        <w:t>UNEP/MC/SIP.GB.3/2</w:t>
      </w:r>
      <w:r w:rsidR="004C1121">
        <w:rPr>
          <w:lang w:val="fr-FR"/>
        </w:rPr>
        <w:t xml:space="preserve">, </w:t>
      </w:r>
      <w:r w:rsidR="00113BA7" w:rsidRPr="001A2820">
        <w:rPr>
          <w:lang w:val="fr-FR"/>
        </w:rPr>
        <w:t>Rapport de la deuxième réunion du Conseil d’administration</w:t>
      </w:r>
      <w:r w:rsidR="00CE62B0" w:rsidRPr="001A2820">
        <w:rPr>
          <w:vertAlign w:val="superscript"/>
          <w:lang w:val="fr-FR"/>
        </w:rPr>
        <w:footnoteReference w:id="21"/>
      </w:r>
      <w:r w:rsidR="00CE62B0" w:rsidRPr="001A2820">
        <w:rPr>
          <w:lang w:val="fr-FR"/>
        </w:rPr>
        <w:t xml:space="preserve">). </w:t>
      </w:r>
    </w:p>
    <w:p w14:paraId="684D1478" w14:textId="2B3999F4" w:rsidR="00CE62B0" w:rsidRPr="001A2820" w:rsidRDefault="000C3A24" w:rsidP="0025781D">
      <w:pPr>
        <w:pStyle w:val="Normalnumber"/>
        <w:numPr>
          <w:ilvl w:val="0"/>
          <w:numId w:val="5"/>
        </w:numPr>
        <w:rPr>
          <w:lang w:val="fr-FR"/>
        </w:rPr>
      </w:pPr>
      <w:r w:rsidRPr="001A2820">
        <w:rPr>
          <w:lang w:val="fr-FR"/>
        </w:rPr>
        <w:t xml:space="preserve">Après un examen des informations </w:t>
      </w:r>
      <w:r w:rsidR="008E3ACF">
        <w:rPr>
          <w:lang w:val="fr-FR"/>
        </w:rPr>
        <w:t>relatives au</w:t>
      </w:r>
      <w:r w:rsidR="008E3ACF" w:rsidRPr="008E3ACF">
        <w:rPr>
          <w:lang w:val="fr-FR"/>
        </w:rPr>
        <w:t xml:space="preserve"> premier cycle </w:t>
      </w:r>
      <w:r w:rsidRPr="001A2820">
        <w:rPr>
          <w:lang w:val="fr-FR"/>
        </w:rPr>
        <w:t xml:space="preserve">fournies en retour par les Parties </w:t>
      </w:r>
      <w:r w:rsidR="008E3ACF">
        <w:rPr>
          <w:lang w:val="fr-FR"/>
        </w:rPr>
        <w:t xml:space="preserve">et </w:t>
      </w:r>
      <w:r w:rsidRPr="001A2820">
        <w:rPr>
          <w:lang w:val="fr-FR"/>
        </w:rPr>
        <w:t xml:space="preserve">des enseignements acquis </w:t>
      </w:r>
      <w:r w:rsidR="008E3ACF" w:rsidRPr="008E3ACF">
        <w:rPr>
          <w:lang w:val="fr-FR"/>
        </w:rPr>
        <w:t xml:space="preserve">ainsi que </w:t>
      </w:r>
      <w:r w:rsidRPr="001A2820">
        <w:rPr>
          <w:lang w:val="fr-FR"/>
        </w:rPr>
        <w:t>des observations du Conseil d’administration</w:t>
      </w:r>
      <w:r w:rsidR="00C11BEC">
        <w:rPr>
          <w:lang w:val="fr-FR"/>
        </w:rPr>
        <w:t xml:space="preserve"> et du secrétariat à </w:t>
      </w:r>
      <w:r w:rsidRPr="001A2820">
        <w:rPr>
          <w:lang w:val="fr-FR"/>
        </w:rPr>
        <w:t>sa troisième réunion</w:t>
      </w:r>
      <w:r w:rsidR="00CE62B0" w:rsidRPr="001A2820">
        <w:rPr>
          <w:lang w:val="fr-FR"/>
        </w:rPr>
        <w:t xml:space="preserve"> (</w:t>
      </w:r>
      <w:r w:rsidRPr="001A2820">
        <w:rPr>
          <w:lang w:val="fr-FR"/>
        </w:rPr>
        <w:t>février </w:t>
      </w:r>
      <w:r w:rsidR="00CE62B0" w:rsidRPr="001A2820">
        <w:rPr>
          <w:lang w:val="fr-FR"/>
        </w:rPr>
        <w:t>2019</w:t>
      </w:r>
      <w:r w:rsidR="00CE62B0" w:rsidRPr="001A2820">
        <w:rPr>
          <w:vertAlign w:val="superscript"/>
          <w:lang w:val="fr-FR"/>
        </w:rPr>
        <w:footnoteReference w:id="22"/>
      </w:r>
      <w:r w:rsidR="00CE62B0" w:rsidRPr="001A2820">
        <w:rPr>
          <w:lang w:val="fr-FR"/>
        </w:rPr>
        <w:t xml:space="preserve">), </w:t>
      </w:r>
      <w:r w:rsidRPr="001A2820">
        <w:rPr>
          <w:lang w:val="fr-FR"/>
        </w:rPr>
        <w:t>le</w:t>
      </w:r>
      <w:r w:rsidR="00CE62B0" w:rsidRPr="001A2820">
        <w:rPr>
          <w:lang w:val="fr-FR"/>
        </w:rPr>
        <w:t xml:space="preserve"> </w:t>
      </w:r>
      <w:r w:rsidR="009058EB" w:rsidRPr="001A2820">
        <w:rPr>
          <w:lang w:val="fr-FR"/>
        </w:rPr>
        <w:t>secr</w:t>
      </w:r>
      <w:r w:rsidRPr="001A2820">
        <w:rPr>
          <w:lang w:val="fr-FR"/>
        </w:rPr>
        <w:t>é</w:t>
      </w:r>
      <w:r w:rsidR="009058EB" w:rsidRPr="001A2820">
        <w:rPr>
          <w:lang w:val="fr-FR"/>
        </w:rPr>
        <w:t>tariat</w:t>
      </w:r>
      <w:r w:rsidR="00CE62B0" w:rsidRPr="001A2820">
        <w:rPr>
          <w:lang w:val="fr-FR"/>
        </w:rPr>
        <w:t xml:space="preserve"> </w:t>
      </w:r>
      <w:r w:rsidRPr="001A2820">
        <w:rPr>
          <w:lang w:val="fr-FR"/>
        </w:rPr>
        <w:t>a finalisé la version révisée des formulaires de demande et des directives relatives à la présentation de projets</w:t>
      </w:r>
      <w:r w:rsidR="00CE62B0" w:rsidRPr="001A2820">
        <w:rPr>
          <w:lang w:val="fr-FR"/>
        </w:rPr>
        <w:t>.</w:t>
      </w:r>
      <w:r w:rsidRPr="001A2820">
        <w:rPr>
          <w:lang w:val="fr-FR"/>
        </w:rPr>
        <w:t xml:space="preserve"> Le deuxième</w:t>
      </w:r>
      <w:r w:rsidR="00CE62B0" w:rsidRPr="001A2820">
        <w:rPr>
          <w:lang w:val="fr-FR"/>
        </w:rPr>
        <w:t xml:space="preserve"> </w:t>
      </w:r>
      <w:r w:rsidRPr="001A2820">
        <w:rPr>
          <w:lang w:val="fr-FR"/>
        </w:rPr>
        <w:t>cycle de dépôt de demandes a ensuite été ouvert du</w:t>
      </w:r>
      <w:r w:rsidR="00CE62B0" w:rsidRPr="001A2820">
        <w:rPr>
          <w:lang w:val="fr-FR"/>
        </w:rPr>
        <w:t xml:space="preserve"> 5</w:t>
      </w:r>
      <w:r w:rsidRPr="001A2820">
        <w:rPr>
          <w:lang w:val="fr-FR"/>
        </w:rPr>
        <w:t xml:space="preserve"> mars au </w:t>
      </w:r>
      <w:r w:rsidR="00CE62B0" w:rsidRPr="001A2820">
        <w:rPr>
          <w:lang w:val="fr-FR"/>
        </w:rPr>
        <w:t>14</w:t>
      </w:r>
      <w:r w:rsidRPr="001A2820">
        <w:rPr>
          <w:lang w:val="fr-FR"/>
        </w:rPr>
        <w:t> juin </w:t>
      </w:r>
      <w:r w:rsidR="00CE62B0" w:rsidRPr="001A2820">
        <w:rPr>
          <w:lang w:val="fr-FR"/>
        </w:rPr>
        <w:t xml:space="preserve">2019. </w:t>
      </w:r>
      <w:r w:rsidRPr="001A2820">
        <w:rPr>
          <w:lang w:val="fr-FR"/>
        </w:rPr>
        <w:t>À la clôture de la période</w:t>
      </w:r>
      <w:r w:rsidR="00CE62B0" w:rsidRPr="001A2820">
        <w:rPr>
          <w:lang w:val="fr-FR"/>
        </w:rPr>
        <w:t xml:space="preserve">, </w:t>
      </w:r>
      <w:r w:rsidRPr="001A2820">
        <w:rPr>
          <w:lang w:val="fr-FR"/>
        </w:rPr>
        <w:t>20 demandes avaient été reçues par le secrétariat</w:t>
      </w:r>
      <w:r w:rsidR="00CE62B0" w:rsidRPr="001A2820">
        <w:rPr>
          <w:lang w:val="fr-FR"/>
        </w:rPr>
        <w:t>.</w:t>
      </w:r>
      <w:r w:rsidR="00686934" w:rsidRPr="001A2820">
        <w:rPr>
          <w:lang w:val="fr-FR"/>
        </w:rPr>
        <w:t xml:space="preserve"> Le Conseil d’administration devrait se réunir en septembre 2019 pour prendre des décisions concernant ces demandes, sur la base des orientations de la Conférence des Parties, des évaluations réalisées par le secrétariat</w:t>
      </w:r>
      <w:r w:rsidR="00CE62B0" w:rsidRPr="001A2820">
        <w:rPr>
          <w:lang w:val="fr-FR"/>
        </w:rPr>
        <w:t xml:space="preserve"> </w:t>
      </w:r>
      <w:r w:rsidR="00686934" w:rsidRPr="001A2820">
        <w:rPr>
          <w:lang w:val="fr-FR"/>
        </w:rPr>
        <w:t xml:space="preserve">et des contributions reçues par le Fonds d’affectation spéciale particulier </w:t>
      </w:r>
      <w:r w:rsidR="008E3ACF">
        <w:rPr>
          <w:lang w:val="fr-FR"/>
        </w:rPr>
        <w:t xml:space="preserve">jusqu’à la date </w:t>
      </w:r>
      <w:r w:rsidR="00686934" w:rsidRPr="001A2820">
        <w:rPr>
          <w:lang w:val="fr-FR"/>
        </w:rPr>
        <w:t>de la réunion</w:t>
      </w:r>
      <w:r w:rsidR="00CE62B0" w:rsidRPr="001A2820">
        <w:rPr>
          <w:lang w:val="fr-FR"/>
        </w:rPr>
        <w:t xml:space="preserve">. </w:t>
      </w:r>
    </w:p>
    <w:p w14:paraId="701730A8" w14:textId="5BB9E725" w:rsidR="00CE62B0" w:rsidRPr="001A2820" w:rsidRDefault="00A43EC3" w:rsidP="0025781D">
      <w:pPr>
        <w:pStyle w:val="Normalnumber"/>
        <w:numPr>
          <w:ilvl w:val="0"/>
          <w:numId w:val="5"/>
        </w:numPr>
        <w:rPr>
          <w:lang w:val="fr-FR"/>
        </w:rPr>
      </w:pPr>
      <w:r w:rsidRPr="001A2820">
        <w:rPr>
          <w:lang w:val="fr-FR"/>
        </w:rPr>
        <w:t xml:space="preserve">À la suite de l’approbation des cinq projets pour le premier cycle </w:t>
      </w:r>
      <w:r w:rsidR="00CE62B0" w:rsidRPr="001A2820">
        <w:rPr>
          <w:lang w:val="fr-FR"/>
        </w:rPr>
        <w:t>(2018)</w:t>
      </w:r>
      <w:r w:rsidRPr="001A2820">
        <w:rPr>
          <w:lang w:val="fr-FR"/>
        </w:rPr>
        <w:t>, le secréta</w:t>
      </w:r>
      <w:r w:rsidR="00C11BEC">
        <w:rPr>
          <w:lang w:val="fr-FR"/>
        </w:rPr>
        <w:t>riat a </w:t>
      </w:r>
      <w:r w:rsidRPr="001A2820">
        <w:rPr>
          <w:lang w:val="fr-FR"/>
        </w:rPr>
        <w:t xml:space="preserve">entamé, au cours du dernier trimestre de 2018, les travaux administratifs et programmatiques </w:t>
      </w:r>
      <w:r w:rsidR="008E3ACF">
        <w:rPr>
          <w:lang w:val="fr-FR"/>
        </w:rPr>
        <w:t xml:space="preserve">de </w:t>
      </w:r>
      <w:r w:rsidRPr="001A2820">
        <w:rPr>
          <w:lang w:val="fr-FR"/>
        </w:rPr>
        <w:t>finalis</w:t>
      </w:r>
      <w:r w:rsidR="008E3ACF">
        <w:rPr>
          <w:lang w:val="fr-FR"/>
        </w:rPr>
        <w:t>ation du</w:t>
      </w:r>
      <w:r w:rsidRPr="001A2820">
        <w:rPr>
          <w:lang w:val="fr-FR"/>
        </w:rPr>
        <w:t xml:space="preserve"> plan de mise en œuvre concernant ces projets en collaboration avec les gouvernements concernés</w:t>
      </w:r>
      <w:r w:rsidR="00CE62B0" w:rsidRPr="001A2820">
        <w:rPr>
          <w:lang w:val="fr-FR"/>
        </w:rPr>
        <w:t>.</w:t>
      </w:r>
      <w:r w:rsidRPr="001A2820">
        <w:rPr>
          <w:lang w:val="fr-FR"/>
        </w:rPr>
        <w:t xml:space="preserve"> Après la</w:t>
      </w:r>
      <w:r w:rsidR="00CE62B0" w:rsidRPr="001A2820">
        <w:rPr>
          <w:lang w:val="fr-FR"/>
        </w:rPr>
        <w:t xml:space="preserve"> finalisation </w:t>
      </w:r>
      <w:r w:rsidRPr="001A2820">
        <w:rPr>
          <w:lang w:val="fr-FR"/>
        </w:rPr>
        <w:t xml:space="preserve">du plan de mise en œuvre en collaboration avec les gouvernements concernés, le secrétariat a </w:t>
      </w:r>
      <w:r w:rsidR="00163114" w:rsidRPr="001A2820">
        <w:rPr>
          <w:lang w:val="fr-FR"/>
        </w:rPr>
        <w:t>établi</w:t>
      </w:r>
      <w:r w:rsidRPr="001A2820">
        <w:rPr>
          <w:lang w:val="fr-FR"/>
        </w:rPr>
        <w:t xml:space="preserve"> les accords juridiques</w:t>
      </w:r>
      <w:r w:rsidR="00163114" w:rsidRPr="001A2820">
        <w:rPr>
          <w:lang w:val="fr-FR"/>
        </w:rPr>
        <w:t xml:space="preserve"> pour signature par les gouvernements et le </w:t>
      </w:r>
      <w:r w:rsidR="00E1234C">
        <w:rPr>
          <w:lang w:val="fr-FR"/>
        </w:rPr>
        <w:t>PNUE</w:t>
      </w:r>
      <w:r w:rsidR="00163114" w:rsidRPr="001A2820">
        <w:rPr>
          <w:lang w:val="fr-FR"/>
        </w:rPr>
        <w:t xml:space="preserve">, représenté par le secrétariat de la Convention de Minamata, afin </w:t>
      </w:r>
      <w:r w:rsidR="004C1121">
        <w:rPr>
          <w:lang w:val="fr-FR"/>
        </w:rPr>
        <w:t>que</w:t>
      </w:r>
      <w:r w:rsidR="00163114" w:rsidRPr="001A2820">
        <w:rPr>
          <w:lang w:val="fr-FR"/>
        </w:rPr>
        <w:t xml:space="preserve"> le décaissement des fonds</w:t>
      </w:r>
      <w:r w:rsidR="004C1121">
        <w:rPr>
          <w:lang w:val="fr-FR"/>
        </w:rPr>
        <w:t xml:space="preserve"> puisse commencer</w:t>
      </w:r>
      <w:r w:rsidR="00CE62B0" w:rsidRPr="001A2820">
        <w:rPr>
          <w:lang w:val="fr-FR"/>
        </w:rPr>
        <w:t>.</w:t>
      </w:r>
      <w:r w:rsidR="00163114" w:rsidRPr="001A2820">
        <w:rPr>
          <w:lang w:val="fr-FR"/>
        </w:rPr>
        <w:t xml:space="preserve"> Au</w:t>
      </w:r>
      <w:r w:rsidR="00CE62B0" w:rsidRPr="001A2820">
        <w:rPr>
          <w:lang w:val="fr-FR"/>
        </w:rPr>
        <w:t xml:space="preserve"> 9</w:t>
      </w:r>
      <w:r w:rsidR="00163114" w:rsidRPr="001A2820">
        <w:rPr>
          <w:lang w:val="fr-FR"/>
        </w:rPr>
        <w:t> août </w:t>
      </w:r>
      <w:r w:rsidR="00CE62B0" w:rsidRPr="001A2820">
        <w:rPr>
          <w:lang w:val="fr-FR"/>
        </w:rPr>
        <w:t xml:space="preserve">2019, </w:t>
      </w:r>
      <w:r w:rsidR="00163114" w:rsidRPr="001A2820">
        <w:rPr>
          <w:lang w:val="fr-FR"/>
        </w:rPr>
        <w:t>quatre accords juridiques avaient été conclus et le décaissement des fonds avait commencé pour ces quatre projets</w:t>
      </w:r>
      <w:r w:rsidR="00CE62B0" w:rsidRPr="001A2820">
        <w:rPr>
          <w:lang w:val="fr-FR"/>
        </w:rPr>
        <w:t xml:space="preserve">. </w:t>
      </w:r>
      <w:r w:rsidR="00163114" w:rsidRPr="001A2820">
        <w:rPr>
          <w:lang w:val="fr-FR"/>
        </w:rPr>
        <w:t>Un accord juridique est en cours de signature</w:t>
      </w:r>
      <w:r w:rsidR="00CE62B0" w:rsidRPr="001A2820">
        <w:rPr>
          <w:lang w:val="fr-FR"/>
        </w:rPr>
        <w:t>.</w:t>
      </w:r>
      <w:r w:rsidR="00832445">
        <w:rPr>
          <w:lang w:val="fr-FR"/>
        </w:rPr>
        <w:t xml:space="preserve"> Pour </w:t>
      </w:r>
      <w:r w:rsidR="00163114" w:rsidRPr="001A2820">
        <w:rPr>
          <w:lang w:val="fr-FR"/>
        </w:rPr>
        <w:t>chacun des projets, des résumés de deux pages ont été élaborés à des fins de partage et de communication des informations</w:t>
      </w:r>
      <w:r w:rsidR="00CE62B0" w:rsidRPr="001A2820">
        <w:rPr>
          <w:vertAlign w:val="superscript"/>
          <w:lang w:val="fr-FR"/>
        </w:rPr>
        <w:footnoteReference w:id="23"/>
      </w:r>
      <w:r w:rsidR="00163114" w:rsidRPr="001A2820">
        <w:rPr>
          <w:lang w:val="fr-FR"/>
        </w:rPr>
        <w:t>. La durée de la mise en œuvre des projets est de trois ans maximum</w:t>
      </w:r>
      <w:r w:rsidR="00CE62B0" w:rsidRPr="001A2820">
        <w:rPr>
          <w:lang w:val="fr-FR"/>
        </w:rPr>
        <w:t>.</w:t>
      </w:r>
      <w:r w:rsidR="00163114" w:rsidRPr="001A2820">
        <w:rPr>
          <w:lang w:val="fr-FR"/>
        </w:rPr>
        <w:t xml:space="preserve"> Le secrétariat est responsable du décaissement des fonds</w:t>
      </w:r>
      <w:r w:rsidR="00832445">
        <w:rPr>
          <w:lang w:val="fr-FR"/>
        </w:rPr>
        <w:t xml:space="preserve"> sous réserve du respect du </w:t>
      </w:r>
      <w:r w:rsidR="00423117" w:rsidRPr="001A2820">
        <w:rPr>
          <w:lang w:val="fr-FR"/>
        </w:rPr>
        <w:t>calendrier convenu pour l’établissement des rapports, du suivi global</w:t>
      </w:r>
      <w:r w:rsidR="00832445">
        <w:rPr>
          <w:lang w:val="fr-FR"/>
        </w:rPr>
        <w:t xml:space="preserve"> des progrès des projets devant </w:t>
      </w:r>
      <w:r w:rsidR="00423117" w:rsidRPr="001A2820">
        <w:rPr>
          <w:lang w:val="fr-FR"/>
        </w:rPr>
        <w:t>faire l’objet de rapports à l’intention du Conseil d’administration ainsi que de l’établissement de rapports finals et de la clôture des projets à la fin du cycle des projets</w:t>
      </w:r>
      <w:r w:rsidR="00CE62B0" w:rsidRPr="001A2820">
        <w:rPr>
          <w:lang w:val="fr-FR"/>
        </w:rPr>
        <w:t xml:space="preserve">. </w:t>
      </w:r>
    </w:p>
    <w:p w14:paraId="44B2A0E8" w14:textId="479D6113" w:rsidR="00CE62B0" w:rsidRPr="001A2820" w:rsidRDefault="0025781D" w:rsidP="0025781D">
      <w:pPr>
        <w:pStyle w:val="CH2"/>
        <w:rPr>
          <w:lang w:val="fr-FR"/>
        </w:rPr>
      </w:pPr>
      <w:r w:rsidRPr="001A2820">
        <w:rPr>
          <w:lang w:val="fr-FR"/>
        </w:rPr>
        <w:tab/>
        <w:t>3.</w:t>
      </w:r>
      <w:r w:rsidRPr="001A2820">
        <w:rPr>
          <w:lang w:val="fr-FR"/>
        </w:rPr>
        <w:tab/>
      </w:r>
      <w:r w:rsidR="00464D32" w:rsidRPr="001A2820">
        <w:rPr>
          <w:lang w:val="fr-FR"/>
        </w:rPr>
        <w:t>Niveau de financement</w:t>
      </w:r>
    </w:p>
    <w:p w14:paraId="13D3B223" w14:textId="2DE08A0E" w:rsidR="00CE62B0" w:rsidRPr="001A2820" w:rsidRDefault="00915CB7" w:rsidP="0025781D">
      <w:pPr>
        <w:pStyle w:val="Normalnumber"/>
        <w:numPr>
          <w:ilvl w:val="0"/>
          <w:numId w:val="5"/>
        </w:numPr>
        <w:rPr>
          <w:lang w:val="fr-FR"/>
        </w:rPr>
      </w:pPr>
      <w:r>
        <w:rPr>
          <w:lang w:val="fr-FR"/>
        </w:rPr>
        <w:t>Pour le premier </w:t>
      </w:r>
      <w:r w:rsidR="00464D32" w:rsidRPr="001A2820">
        <w:rPr>
          <w:lang w:val="fr-FR"/>
        </w:rPr>
        <w:t>cycle</w:t>
      </w:r>
      <w:r w:rsidR="00CE62B0" w:rsidRPr="001A2820">
        <w:rPr>
          <w:lang w:val="fr-FR"/>
        </w:rPr>
        <w:t xml:space="preserve"> (2018),</w:t>
      </w:r>
      <w:r w:rsidR="00464D32" w:rsidRPr="001A2820">
        <w:rPr>
          <w:lang w:val="fr-FR"/>
        </w:rPr>
        <w:t xml:space="preserve"> </w:t>
      </w:r>
      <w:r w:rsidR="00CE62B0" w:rsidRPr="001A2820">
        <w:rPr>
          <w:lang w:val="fr-FR"/>
        </w:rPr>
        <w:t>1</w:t>
      </w:r>
      <w:r w:rsidR="00464D32" w:rsidRPr="001A2820">
        <w:rPr>
          <w:lang w:val="fr-FR"/>
        </w:rPr>
        <w:t> </w:t>
      </w:r>
      <w:r w:rsidR="00CE62B0" w:rsidRPr="001A2820">
        <w:rPr>
          <w:lang w:val="fr-FR"/>
        </w:rPr>
        <w:t>281</w:t>
      </w:r>
      <w:r w:rsidR="00464D32" w:rsidRPr="001A2820">
        <w:rPr>
          <w:lang w:val="fr-FR"/>
        </w:rPr>
        <w:t> </w:t>
      </w:r>
      <w:r w:rsidR="00CE62B0" w:rsidRPr="001A2820">
        <w:rPr>
          <w:lang w:val="fr-FR"/>
        </w:rPr>
        <w:t>448</w:t>
      </w:r>
      <w:r w:rsidR="00464D32" w:rsidRPr="001A2820">
        <w:rPr>
          <w:lang w:val="fr-FR"/>
        </w:rPr>
        <w:t> dollars ont été reçus de l’Allemagne, de l’</w:t>
      </w:r>
      <w:r w:rsidR="00CE62B0" w:rsidRPr="001A2820">
        <w:rPr>
          <w:lang w:val="fr-FR"/>
        </w:rPr>
        <w:t>Au</w:t>
      </w:r>
      <w:r w:rsidR="00464D32" w:rsidRPr="001A2820">
        <w:rPr>
          <w:lang w:val="fr-FR"/>
        </w:rPr>
        <w:t>triche</w:t>
      </w:r>
      <w:r w:rsidR="00CE62B0" w:rsidRPr="001A2820">
        <w:rPr>
          <w:lang w:val="fr-FR"/>
        </w:rPr>
        <w:t>,</w:t>
      </w:r>
      <w:r w:rsidR="00464D32" w:rsidRPr="001A2820">
        <w:rPr>
          <w:lang w:val="fr-FR"/>
        </w:rPr>
        <w:t xml:space="preserve"> du</w:t>
      </w:r>
      <w:r w:rsidR="00832445">
        <w:rPr>
          <w:lang w:val="fr-FR"/>
        </w:rPr>
        <w:t> </w:t>
      </w:r>
      <w:r w:rsidR="00CE62B0" w:rsidRPr="001A2820">
        <w:rPr>
          <w:lang w:val="fr-FR"/>
        </w:rPr>
        <w:t>D</w:t>
      </w:r>
      <w:r w:rsidR="00464D32" w:rsidRPr="001A2820">
        <w:rPr>
          <w:lang w:val="fr-FR"/>
        </w:rPr>
        <w:t>a</w:t>
      </w:r>
      <w:r w:rsidR="00CE62B0" w:rsidRPr="001A2820">
        <w:rPr>
          <w:lang w:val="fr-FR"/>
        </w:rPr>
        <w:t>n</w:t>
      </w:r>
      <w:r w:rsidR="00464D32" w:rsidRPr="001A2820">
        <w:rPr>
          <w:lang w:val="fr-FR"/>
        </w:rPr>
        <w:t>e</w:t>
      </w:r>
      <w:r w:rsidR="00CE62B0" w:rsidRPr="001A2820">
        <w:rPr>
          <w:lang w:val="fr-FR"/>
        </w:rPr>
        <w:t xml:space="preserve">mark, </w:t>
      </w:r>
      <w:r w:rsidR="00464D32" w:rsidRPr="001A2820">
        <w:rPr>
          <w:lang w:val="fr-FR"/>
        </w:rPr>
        <w:t>des États-Unis d’Amérique, de la Norvège</w:t>
      </w:r>
      <w:r w:rsidR="00CE62B0" w:rsidRPr="001A2820">
        <w:rPr>
          <w:lang w:val="fr-FR"/>
        </w:rPr>
        <w:t>,</w:t>
      </w:r>
      <w:r w:rsidR="00464D32" w:rsidRPr="001A2820">
        <w:rPr>
          <w:lang w:val="fr-FR"/>
        </w:rPr>
        <w:t xml:space="preserve"> des Pays-Bas, du Royaume-Uni et</w:t>
      </w:r>
      <w:r w:rsidR="00CE62B0" w:rsidRPr="001A2820">
        <w:rPr>
          <w:lang w:val="fr-FR"/>
        </w:rPr>
        <w:t xml:space="preserve"> </w:t>
      </w:r>
      <w:r w:rsidR="00832445">
        <w:rPr>
          <w:lang w:val="fr-FR"/>
        </w:rPr>
        <w:t>de la </w:t>
      </w:r>
      <w:r w:rsidR="00464D32" w:rsidRPr="001A2820">
        <w:rPr>
          <w:lang w:val="fr-FR"/>
        </w:rPr>
        <w:t>Suède</w:t>
      </w:r>
      <w:r w:rsidR="00CE62B0" w:rsidRPr="001A2820">
        <w:rPr>
          <w:lang w:val="fr-FR"/>
        </w:rPr>
        <w:t xml:space="preserve">. </w:t>
      </w:r>
    </w:p>
    <w:p w14:paraId="3B6591A0" w14:textId="14DC60D9" w:rsidR="00CE62B0" w:rsidRPr="001A2820" w:rsidRDefault="00915CB7" w:rsidP="0025781D">
      <w:pPr>
        <w:pStyle w:val="Normalnumber"/>
        <w:numPr>
          <w:ilvl w:val="0"/>
          <w:numId w:val="5"/>
        </w:numPr>
        <w:rPr>
          <w:lang w:val="fr-FR"/>
        </w:rPr>
      </w:pPr>
      <w:r>
        <w:rPr>
          <w:lang w:val="fr-FR"/>
        </w:rPr>
        <w:t>Pour le deuxième </w:t>
      </w:r>
      <w:r w:rsidR="00464D32" w:rsidRPr="001A2820">
        <w:rPr>
          <w:lang w:val="fr-FR"/>
        </w:rPr>
        <w:t>cycle</w:t>
      </w:r>
      <w:r w:rsidR="00CE62B0" w:rsidRPr="001A2820">
        <w:rPr>
          <w:lang w:val="fr-FR"/>
        </w:rPr>
        <w:t xml:space="preserve"> (2019), 2</w:t>
      </w:r>
      <w:r w:rsidR="00464D32" w:rsidRPr="001A2820">
        <w:rPr>
          <w:lang w:val="fr-FR"/>
        </w:rPr>
        <w:t> </w:t>
      </w:r>
      <w:r w:rsidR="00CE62B0" w:rsidRPr="001A2820">
        <w:rPr>
          <w:lang w:val="fr-FR"/>
        </w:rPr>
        <w:t>414</w:t>
      </w:r>
      <w:r w:rsidR="00464D32" w:rsidRPr="001A2820">
        <w:rPr>
          <w:lang w:val="fr-FR"/>
        </w:rPr>
        <w:t> </w:t>
      </w:r>
      <w:r w:rsidR="00CE62B0" w:rsidRPr="001A2820">
        <w:rPr>
          <w:lang w:val="fr-FR"/>
        </w:rPr>
        <w:t>413</w:t>
      </w:r>
      <w:r w:rsidR="00464D32" w:rsidRPr="001A2820">
        <w:rPr>
          <w:lang w:val="fr-FR"/>
        </w:rPr>
        <w:t> dollars ont été annoncés et</w:t>
      </w:r>
      <w:r w:rsidR="00CE62B0" w:rsidRPr="001A2820">
        <w:rPr>
          <w:lang w:val="fr-FR"/>
        </w:rPr>
        <w:t>/o</w:t>
      </w:r>
      <w:r w:rsidR="00464D32" w:rsidRPr="001A2820">
        <w:rPr>
          <w:lang w:val="fr-FR"/>
        </w:rPr>
        <w:t>u</w:t>
      </w:r>
      <w:r w:rsidR="00CE62B0" w:rsidRPr="001A2820">
        <w:rPr>
          <w:lang w:val="fr-FR"/>
        </w:rPr>
        <w:t xml:space="preserve"> </w:t>
      </w:r>
      <w:r w:rsidR="00464D32" w:rsidRPr="001A2820">
        <w:rPr>
          <w:lang w:val="fr-FR"/>
        </w:rPr>
        <w:t>versés au</w:t>
      </w:r>
      <w:r w:rsidR="00CE62B0" w:rsidRPr="001A2820">
        <w:rPr>
          <w:lang w:val="fr-FR"/>
        </w:rPr>
        <w:t xml:space="preserve"> 31</w:t>
      </w:r>
      <w:r w:rsidR="00464D32" w:rsidRPr="001A2820">
        <w:rPr>
          <w:lang w:val="fr-FR"/>
        </w:rPr>
        <w:t> juillet </w:t>
      </w:r>
      <w:r w:rsidR="00CE62B0" w:rsidRPr="001A2820">
        <w:rPr>
          <w:lang w:val="fr-FR"/>
        </w:rPr>
        <w:t xml:space="preserve">2019. </w:t>
      </w:r>
      <w:r w:rsidR="00464D32" w:rsidRPr="001A2820">
        <w:rPr>
          <w:lang w:val="fr-FR"/>
        </w:rPr>
        <w:t>Les donateurs sont l’Allemagne, l’</w:t>
      </w:r>
      <w:r w:rsidR="00CE62B0" w:rsidRPr="001A2820">
        <w:rPr>
          <w:lang w:val="fr-FR"/>
        </w:rPr>
        <w:t>Au</w:t>
      </w:r>
      <w:r w:rsidR="00464D32" w:rsidRPr="001A2820">
        <w:rPr>
          <w:lang w:val="fr-FR"/>
        </w:rPr>
        <w:t>triche</w:t>
      </w:r>
      <w:r w:rsidR="00CE62B0" w:rsidRPr="001A2820">
        <w:rPr>
          <w:lang w:val="fr-FR"/>
        </w:rPr>
        <w:t xml:space="preserve">, </w:t>
      </w:r>
      <w:r w:rsidR="00464D32" w:rsidRPr="001A2820">
        <w:rPr>
          <w:lang w:val="fr-FR"/>
        </w:rPr>
        <w:t xml:space="preserve">le </w:t>
      </w:r>
      <w:r w:rsidR="00CE62B0" w:rsidRPr="001A2820">
        <w:rPr>
          <w:lang w:val="fr-FR"/>
        </w:rPr>
        <w:t>D</w:t>
      </w:r>
      <w:r w:rsidR="00464D32" w:rsidRPr="001A2820">
        <w:rPr>
          <w:lang w:val="fr-FR"/>
        </w:rPr>
        <w:t>ane</w:t>
      </w:r>
      <w:r w:rsidR="00CE62B0" w:rsidRPr="001A2820">
        <w:rPr>
          <w:lang w:val="fr-FR"/>
        </w:rPr>
        <w:t xml:space="preserve">mark, </w:t>
      </w:r>
      <w:r w:rsidR="00464D32" w:rsidRPr="001A2820">
        <w:rPr>
          <w:lang w:val="fr-FR"/>
        </w:rPr>
        <w:t>les États-Unis d’Amérique, la Norvège</w:t>
      </w:r>
      <w:r w:rsidR="00CE62B0" w:rsidRPr="001A2820">
        <w:rPr>
          <w:lang w:val="fr-FR"/>
        </w:rPr>
        <w:t xml:space="preserve">, </w:t>
      </w:r>
      <w:r w:rsidR="00464D32" w:rsidRPr="001A2820">
        <w:rPr>
          <w:lang w:val="fr-FR"/>
        </w:rPr>
        <w:t>les Pays-Bas, le Royaume-Uni, la Suède et</w:t>
      </w:r>
      <w:r w:rsidR="00CE62B0" w:rsidRPr="001A2820">
        <w:rPr>
          <w:lang w:val="fr-FR"/>
        </w:rPr>
        <w:t xml:space="preserve"> </w:t>
      </w:r>
      <w:r w:rsidR="00464D32" w:rsidRPr="001A2820">
        <w:rPr>
          <w:lang w:val="fr-FR"/>
        </w:rPr>
        <w:t>la Suisse</w:t>
      </w:r>
      <w:r w:rsidR="00CE62B0" w:rsidRPr="001A2820">
        <w:rPr>
          <w:lang w:val="fr-FR"/>
        </w:rPr>
        <w:t xml:space="preserve">. </w:t>
      </w:r>
    </w:p>
    <w:p w14:paraId="429087B5" w14:textId="00D3F014" w:rsidR="00CE62B0" w:rsidRPr="001A2820" w:rsidRDefault="00464D32" w:rsidP="0025781D">
      <w:pPr>
        <w:pStyle w:val="Normalnumber"/>
        <w:numPr>
          <w:ilvl w:val="0"/>
          <w:numId w:val="5"/>
        </w:numPr>
        <w:rPr>
          <w:lang w:val="fr-FR"/>
        </w:rPr>
      </w:pPr>
      <w:r w:rsidRPr="001A2820">
        <w:rPr>
          <w:lang w:val="fr-FR"/>
        </w:rPr>
        <w:t>Le montant an</w:t>
      </w:r>
      <w:r w:rsidR="00915CB7">
        <w:rPr>
          <w:lang w:val="fr-FR"/>
        </w:rPr>
        <w:t>noncé et versé pour le deuxième </w:t>
      </w:r>
      <w:r w:rsidRPr="001A2820">
        <w:rPr>
          <w:lang w:val="fr-FR"/>
        </w:rPr>
        <w:t>cycle</w:t>
      </w:r>
      <w:r w:rsidR="00CE62B0" w:rsidRPr="001A2820">
        <w:rPr>
          <w:lang w:val="fr-FR"/>
        </w:rPr>
        <w:t xml:space="preserve"> (2019) </w:t>
      </w:r>
      <w:r w:rsidRPr="001A2820">
        <w:rPr>
          <w:lang w:val="fr-FR"/>
        </w:rPr>
        <w:t>es</w:t>
      </w:r>
      <w:r w:rsidR="00832445">
        <w:rPr>
          <w:lang w:val="fr-FR"/>
        </w:rPr>
        <w:t>t près du double du montant qui </w:t>
      </w:r>
      <w:r w:rsidRPr="001A2820">
        <w:rPr>
          <w:lang w:val="fr-FR"/>
        </w:rPr>
        <w:t>était disponible pour le premier cycle</w:t>
      </w:r>
      <w:r w:rsidR="00CE62B0" w:rsidRPr="001A2820">
        <w:rPr>
          <w:lang w:val="fr-FR"/>
        </w:rPr>
        <w:t>,</w:t>
      </w:r>
      <w:r w:rsidRPr="001A2820">
        <w:rPr>
          <w:lang w:val="fr-FR"/>
        </w:rPr>
        <w:t xml:space="preserve"> ce qui</w:t>
      </w:r>
      <w:r w:rsidR="00CE62B0" w:rsidRPr="001A2820">
        <w:rPr>
          <w:lang w:val="fr-FR"/>
        </w:rPr>
        <w:t xml:space="preserve"> </w:t>
      </w:r>
      <w:r w:rsidRPr="001A2820">
        <w:rPr>
          <w:lang w:val="fr-FR"/>
        </w:rPr>
        <w:t>indique une confian</w:t>
      </w:r>
      <w:r w:rsidR="00360C98">
        <w:rPr>
          <w:lang w:val="fr-FR"/>
        </w:rPr>
        <w:t>ce élevée des donateurs dans le </w:t>
      </w:r>
      <w:r w:rsidRPr="001A2820">
        <w:rPr>
          <w:lang w:val="fr-FR"/>
        </w:rPr>
        <w:t>Programme</w:t>
      </w:r>
      <w:r w:rsidR="00CE62B0" w:rsidRPr="001A2820">
        <w:rPr>
          <w:lang w:val="fr-FR"/>
        </w:rPr>
        <w:t xml:space="preserve">. </w:t>
      </w:r>
    </w:p>
    <w:p w14:paraId="3DB309C3" w14:textId="6C0F1932" w:rsidR="00CE62B0" w:rsidRPr="001A2820" w:rsidRDefault="00B404FB" w:rsidP="00915CB7">
      <w:pPr>
        <w:pStyle w:val="Normalnumber"/>
        <w:keepNext/>
        <w:keepLines/>
        <w:numPr>
          <w:ilvl w:val="0"/>
          <w:numId w:val="5"/>
        </w:numPr>
        <w:rPr>
          <w:lang w:val="fr-FR"/>
        </w:rPr>
      </w:pPr>
      <w:r w:rsidRPr="001A2820">
        <w:rPr>
          <w:lang w:val="fr-FR"/>
        </w:rPr>
        <w:lastRenderedPageBreak/>
        <w:t>En plus des</w:t>
      </w:r>
      <w:r w:rsidR="00CE62B0" w:rsidRPr="001A2820">
        <w:rPr>
          <w:lang w:val="fr-FR"/>
        </w:rPr>
        <w:t xml:space="preserve"> </w:t>
      </w:r>
      <w:r w:rsidRPr="001A2820">
        <w:rPr>
          <w:lang w:val="fr-FR"/>
        </w:rPr>
        <w:t>subventions octroyées aux gouvernements dont le projet a été retenu, les dépenses liées au fonctionnement du Programme international spécifique</w:t>
      </w:r>
      <w:r w:rsidR="00CE62B0" w:rsidRPr="001A2820">
        <w:rPr>
          <w:lang w:val="fr-FR"/>
        </w:rPr>
        <w:t>,</w:t>
      </w:r>
      <w:r w:rsidRPr="001A2820">
        <w:rPr>
          <w:lang w:val="fr-FR"/>
        </w:rPr>
        <w:t xml:space="preserve"> y compr</w:t>
      </w:r>
      <w:r w:rsidR="00631A4B">
        <w:rPr>
          <w:lang w:val="fr-FR"/>
        </w:rPr>
        <w:t>is le coût de réunions, doivent </w:t>
      </w:r>
      <w:r w:rsidRPr="001A2820">
        <w:rPr>
          <w:lang w:val="fr-FR"/>
        </w:rPr>
        <w:t>également être financées au moyen de contributions volontair</w:t>
      </w:r>
      <w:r w:rsidR="00631A4B">
        <w:rPr>
          <w:lang w:val="fr-FR"/>
        </w:rPr>
        <w:t>es reçues pour le Programme par </w:t>
      </w:r>
      <w:r w:rsidRPr="001A2820">
        <w:rPr>
          <w:lang w:val="fr-FR"/>
        </w:rPr>
        <w:t>le Fonds d’affectation spéciale particulier</w:t>
      </w:r>
      <w:r w:rsidR="00CE62B0" w:rsidRPr="001A2820">
        <w:rPr>
          <w:lang w:val="fr-FR"/>
        </w:rPr>
        <w:t xml:space="preserve"> (</w:t>
      </w:r>
      <w:r w:rsidRPr="001A2820">
        <w:rPr>
          <w:lang w:val="fr-FR"/>
        </w:rPr>
        <w:t>décision </w:t>
      </w:r>
      <w:r w:rsidR="00CE62B0" w:rsidRPr="001A2820">
        <w:rPr>
          <w:lang w:val="fr-FR"/>
        </w:rPr>
        <w:t>MC-1/6, annex</w:t>
      </w:r>
      <w:r w:rsidRPr="001A2820">
        <w:rPr>
          <w:lang w:val="fr-FR"/>
        </w:rPr>
        <w:t>e </w:t>
      </w:r>
      <w:r w:rsidR="00CE62B0" w:rsidRPr="001A2820">
        <w:rPr>
          <w:lang w:val="fr-FR"/>
        </w:rPr>
        <w:t xml:space="preserve">II). </w:t>
      </w:r>
    </w:p>
    <w:p w14:paraId="188A63F8" w14:textId="711D1876" w:rsidR="00CE62B0" w:rsidRPr="001A2820" w:rsidRDefault="00EF7EE5" w:rsidP="0025781D">
      <w:pPr>
        <w:pStyle w:val="Normalnumber"/>
        <w:numPr>
          <w:ilvl w:val="0"/>
          <w:numId w:val="5"/>
        </w:numPr>
        <w:rPr>
          <w:lang w:val="fr-FR"/>
        </w:rPr>
      </w:pPr>
      <w:r w:rsidRPr="001A2820">
        <w:rPr>
          <w:lang w:val="fr-FR"/>
        </w:rPr>
        <w:t xml:space="preserve">Il convient également de noter que, malgré l’augmentation importante des ressources disponibles dans le Fonds d’affectation spéciale particulier pour le deuxième cycle, les ressources disponibles pour chaque cycle ne représentaient que la moitié du montant </w:t>
      </w:r>
      <w:r w:rsidR="0002576A">
        <w:rPr>
          <w:lang w:val="fr-FR"/>
        </w:rPr>
        <w:t>des</w:t>
      </w:r>
      <w:r w:rsidRPr="001A2820">
        <w:rPr>
          <w:lang w:val="fr-FR"/>
        </w:rPr>
        <w:t xml:space="preserve"> demandes reçues</w:t>
      </w:r>
      <w:r w:rsidR="00CE62B0" w:rsidRPr="001A2820">
        <w:rPr>
          <w:lang w:val="fr-FR"/>
        </w:rPr>
        <w:t>.</w:t>
      </w:r>
      <w:r w:rsidR="00631A4B">
        <w:rPr>
          <w:lang w:val="fr-FR"/>
        </w:rPr>
        <w:t xml:space="preserve"> Pour </w:t>
      </w:r>
      <w:r w:rsidRPr="001A2820">
        <w:rPr>
          <w:lang w:val="fr-FR"/>
        </w:rPr>
        <w:t xml:space="preserve">le deuxième cycle, le montant total </w:t>
      </w:r>
      <w:r w:rsidR="0002576A">
        <w:rPr>
          <w:lang w:val="fr-FR"/>
        </w:rPr>
        <w:t>des</w:t>
      </w:r>
      <w:r w:rsidRPr="001A2820">
        <w:rPr>
          <w:lang w:val="fr-FR"/>
        </w:rPr>
        <w:t xml:space="preserve"> vingt demandes reçues s’élève à </w:t>
      </w:r>
      <w:r w:rsidR="00CE62B0" w:rsidRPr="001A2820">
        <w:rPr>
          <w:lang w:val="fr-FR"/>
        </w:rPr>
        <w:t>4</w:t>
      </w:r>
      <w:r w:rsidRPr="001A2820">
        <w:rPr>
          <w:lang w:val="fr-FR"/>
        </w:rPr>
        <w:t> </w:t>
      </w:r>
      <w:r w:rsidR="00CE62B0" w:rsidRPr="001A2820">
        <w:rPr>
          <w:lang w:val="fr-FR"/>
        </w:rPr>
        <w:t>284</w:t>
      </w:r>
      <w:r w:rsidRPr="001A2820">
        <w:rPr>
          <w:lang w:val="fr-FR"/>
        </w:rPr>
        <w:t> </w:t>
      </w:r>
      <w:r w:rsidR="00CE62B0" w:rsidRPr="001A2820">
        <w:rPr>
          <w:lang w:val="fr-FR"/>
        </w:rPr>
        <w:t>393</w:t>
      </w:r>
      <w:r w:rsidRPr="001A2820">
        <w:rPr>
          <w:lang w:val="fr-FR"/>
        </w:rPr>
        <w:t> dollars</w:t>
      </w:r>
      <w:r w:rsidR="00CE62B0" w:rsidRPr="001A2820">
        <w:rPr>
          <w:lang w:val="fr-FR"/>
        </w:rPr>
        <w:t>.</w:t>
      </w:r>
    </w:p>
    <w:p w14:paraId="1029EAAD" w14:textId="2C8B59E2" w:rsidR="00CE62B0" w:rsidRPr="001A2820" w:rsidRDefault="00F75233" w:rsidP="0025781D">
      <w:pPr>
        <w:pStyle w:val="Normalnumber"/>
        <w:numPr>
          <w:ilvl w:val="0"/>
          <w:numId w:val="5"/>
        </w:numPr>
        <w:rPr>
          <w:lang w:val="fr-FR"/>
        </w:rPr>
      </w:pPr>
      <w:r w:rsidRPr="001A2820">
        <w:rPr>
          <w:lang w:val="fr-FR"/>
        </w:rPr>
        <w:t>Conformément aux orientations fournies</w:t>
      </w:r>
      <w:r w:rsidR="00CE62B0" w:rsidRPr="001A2820">
        <w:rPr>
          <w:lang w:val="fr-FR"/>
        </w:rPr>
        <w:t xml:space="preserve"> (</w:t>
      </w:r>
      <w:r w:rsidRPr="001A2820">
        <w:rPr>
          <w:lang w:val="fr-FR"/>
        </w:rPr>
        <w:t>décision </w:t>
      </w:r>
      <w:r w:rsidR="00CE62B0" w:rsidRPr="001A2820">
        <w:rPr>
          <w:lang w:val="fr-FR"/>
        </w:rPr>
        <w:t>MC-1/6, annex</w:t>
      </w:r>
      <w:r w:rsidRPr="001A2820">
        <w:rPr>
          <w:lang w:val="fr-FR"/>
        </w:rPr>
        <w:t>e </w:t>
      </w:r>
      <w:r w:rsidR="00CE62B0" w:rsidRPr="001A2820">
        <w:rPr>
          <w:lang w:val="fr-FR"/>
        </w:rPr>
        <w:t>I</w:t>
      </w:r>
      <w:r w:rsidR="0002576A">
        <w:rPr>
          <w:lang w:val="fr-FR"/>
        </w:rPr>
        <w:t>)</w:t>
      </w:r>
      <w:r w:rsidRPr="001A2820">
        <w:rPr>
          <w:lang w:val="fr-FR"/>
        </w:rPr>
        <w:t>, les ressources pour le Programme englobent les contributions de ressources en espèces, en nature et en connaissances spécialisées</w:t>
      </w:r>
      <w:r w:rsidR="00CE62B0" w:rsidRPr="001A2820">
        <w:rPr>
          <w:lang w:val="fr-FR"/>
        </w:rPr>
        <w:t xml:space="preserve">. </w:t>
      </w:r>
      <w:r w:rsidRPr="001A2820">
        <w:rPr>
          <w:lang w:val="fr-FR"/>
        </w:rPr>
        <w:t>Ces contributions devraient être encouragées auprès de nombreuses sources, notamment l’ensemble des Parties à la Convention de Minamata ayant les moyens d’apporter une contribution, ainsi que d’autres parties prenantes concernées, notamment les gouve</w:t>
      </w:r>
      <w:r w:rsidR="00631A4B">
        <w:rPr>
          <w:lang w:val="fr-FR"/>
        </w:rPr>
        <w:t>rnements, le secteur privé, les </w:t>
      </w:r>
      <w:r w:rsidRPr="001A2820">
        <w:rPr>
          <w:lang w:val="fr-FR"/>
        </w:rPr>
        <w:t>fondations, les organisations non gouvernementales, les organisat</w:t>
      </w:r>
      <w:r w:rsidR="00631A4B">
        <w:rPr>
          <w:lang w:val="fr-FR"/>
        </w:rPr>
        <w:t>ions intergouvernementales, les </w:t>
      </w:r>
      <w:r w:rsidRPr="001A2820">
        <w:rPr>
          <w:lang w:val="fr-FR"/>
        </w:rPr>
        <w:t>universités et d’autres types d’acteurs de la société civile</w:t>
      </w:r>
      <w:r w:rsidR="00CE62B0" w:rsidRPr="001A2820">
        <w:rPr>
          <w:lang w:val="fr-FR"/>
        </w:rPr>
        <w:t xml:space="preserve">. </w:t>
      </w:r>
      <w:r w:rsidR="005736B2" w:rsidRPr="001A2820">
        <w:rPr>
          <w:lang w:val="fr-FR"/>
        </w:rPr>
        <w:t>De plus</w:t>
      </w:r>
      <w:r w:rsidR="00CE62B0" w:rsidRPr="001A2820">
        <w:rPr>
          <w:lang w:val="fr-FR"/>
        </w:rPr>
        <w:t xml:space="preserve">, </w:t>
      </w:r>
      <w:r w:rsidR="005736B2" w:rsidRPr="001A2820">
        <w:rPr>
          <w:lang w:val="fr-FR"/>
        </w:rPr>
        <w:t xml:space="preserve">une stratégie de </w:t>
      </w:r>
      <w:r w:rsidR="00365D02">
        <w:rPr>
          <w:lang w:val="fr-FR"/>
        </w:rPr>
        <w:t>mobilisation de</w:t>
      </w:r>
      <w:r w:rsidR="005736B2" w:rsidRPr="001A2820">
        <w:rPr>
          <w:lang w:val="fr-FR"/>
        </w:rPr>
        <w:t xml:space="preserve"> ressources aux fins du Programme devrait être élaborée par le secrétariat, en consultation avec le Conseil d’administration</w:t>
      </w:r>
      <w:r w:rsidR="0002576A">
        <w:rPr>
          <w:lang w:val="fr-FR"/>
        </w:rPr>
        <w:t>,</w:t>
      </w:r>
      <w:r w:rsidR="005736B2" w:rsidRPr="001A2820">
        <w:rPr>
          <w:lang w:val="fr-FR"/>
        </w:rPr>
        <w:t xml:space="preserve"> en vue d’atteindre l’objectif de la Convention et d’attirer un large éventail de donateurs</w:t>
      </w:r>
      <w:r w:rsidR="00CE62B0" w:rsidRPr="001A2820">
        <w:rPr>
          <w:lang w:val="fr-FR"/>
        </w:rPr>
        <w:t xml:space="preserve">. </w:t>
      </w:r>
      <w:r w:rsidR="005736B2" w:rsidRPr="001A2820">
        <w:rPr>
          <w:lang w:val="fr-FR"/>
        </w:rPr>
        <w:t>Le secrétariat a élaboré un document intitulé</w:t>
      </w:r>
      <w:r w:rsidR="00CE62B0" w:rsidRPr="001A2820">
        <w:rPr>
          <w:lang w:val="fr-FR"/>
        </w:rPr>
        <w:t xml:space="preserve"> </w:t>
      </w:r>
      <w:r w:rsidR="005736B2" w:rsidRPr="001A2820">
        <w:rPr>
          <w:lang w:val="fr-FR"/>
        </w:rPr>
        <w:t>« </w:t>
      </w:r>
      <w:r w:rsidR="00CE62B0" w:rsidRPr="001A2820">
        <w:rPr>
          <w:lang w:val="fr-FR"/>
        </w:rPr>
        <w:t>Elements for a Resource Mobilization Strategy for the Specific International Programme</w:t>
      </w:r>
      <w:r w:rsidR="005736B2" w:rsidRPr="001A2820">
        <w:rPr>
          <w:lang w:val="fr-FR"/>
        </w:rPr>
        <w:t xml:space="preserve"> » (« Éléments pour une stratégie de </w:t>
      </w:r>
      <w:r w:rsidR="00365D02">
        <w:rPr>
          <w:lang w:val="fr-FR"/>
        </w:rPr>
        <w:t>mobilisation de</w:t>
      </w:r>
      <w:r w:rsidR="005736B2" w:rsidRPr="001A2820">
        <w:rPr>
          <w:lang w:val="fr-FR"/>
        </w:rPr>
        <w:t xml:space="preserve"> ressources aux fins du Programme international spécifique »), afin que le Conseil d’administration l’examine à sa première réunion </w:t>
      </w:r>
      <w:r w:rsidR="00CE62B0" w:rsidRPr="001A2820">
        <w:rPr>
          <w:lang w:val="fr-FR"/>
        </w:rPr>
        <w:t>(</w:t>
      </w:r>
      <w:r w:rsidR="005736B2" w:rsidRPr="001A2820">
        <w:rPr>
          <w:lang w:val="fr-FR"/>
        </w:rPr>
        <w:t>mai </w:t>
      </w:r>
      <w:r w:rsidR="00CE62B0" w:rsidRPr="001A2820">
        <w:rPr>
          <w:lang w:val="fr-FR"/>
        </w:rPr>
        <w:t xml:space="preserve">2018). </w:t>
      </w:r>
      <w:r w:rsidR="005736B2" w:rsidRPr="001A2820">
        <w:rPr>
          <w:lang w:val="fr-FR"/>
        </w:rPr>
        <w:t>Le Conseil d’administration a longuement débattu de cette question à l’occasion de ses</w:t>
      </w:r>
      <w:r w:rsidR="005251CB" w:rsidRPr="001A2820">
        <w:rPr>
          <w:lang w:val="fr-FR"/>
        </w:rPr>
        <w:t xml:space="preserve"> première, deuxième et troisième réunions </w:t>
      </w:r>
      <w:r w:rsidR="00CE62B0" w:rsidRPr="001A2820">
        <w:rPr>
          <w:lang w:val="fr-FR"/>
        </w:rPr>
        <w:t>(</w:t>
      </w:r>
      <w:r w:rsidR="005251CB" w:rsidRPr="001A2820">
        <w:rPr>
          <w:lang w:val="fr-FR"/>
        </w:rPr>
        <w:t>voir les différents rapports</w:t>
      </w:r>
      <w:r w:rsidR="00CE62B0" w:rsidRPr="001A2820">
        <w:rPr>
          <w:lang w:val="fr-FR"/>
        </w:rPr>
        <w:t xml:space="preserve">). </w:t>
      </w:r>
      <w:r w:rsidR="005251CB" w:rsidRPr="001A2820">
        <w:rPr>
          <w:lang w:val="fr-FR"/>
        </w:rPr>
        <w:t>À de multiples occasions et à nouveau lors de sa troisième réunion, le Conseil d’administration a réitéré ses remerciements aux donateurs pour leurs contributions au Programme international spécifique</w:t>
      </w:r>
      <w:r w:rsidR="00CE62B0" w:rsidRPr="001A2820">
        <w:rPr>
          <w:lang w:val="fr-FR"/>
        </w:rPr>
        <w:t>.</w:t>
      </w:r>
      <w:r w:rsidR="005251CB" w:rsidRPr="001A2820">
        <w:rPr>
          <w:lang w:val="fr-FR"/>
        </w:rPr>
        <w:t xml:space="preserve"> Tout en reconnaissant que le Programme était limité dans le temps </w:t>
      </w:r>
      <w:r w:rsidR="00CE62B0" w:rsidRPr="001A2820">
        <w:rPr>
          <w:lang w:val="fr-FR"/>
        </w:rPr>
        <w:t>(</w:t>
      </w:r>
      <w:r w:rsidR="00631A4B">
        <w:rPr>
          <w:lang w:val="fr-FR"/>
        </w:rPr>
        <w:t>voir </w:t>
      </w:r>
      <w:r w:rsidR="005251CB" w:rsidRPr="001A2820">
        <w:rPr>
          <w:lang w:val="fr-FR"/>
        </w:rPr>
        <w:t>l’alinéa c) du paragraphe </w:t>
      </w:r>
      <w:r w:rsidR="00CE62B0" w:rsidRPr="001A2820">
        <w:rPr>
          <w:lang w:val="fr-FR"/>
        </w:rPr>
        <w:t>3</w:t>
      </w:r>
      <w:r w:rsidR="005251CB" w:rsidRPr="001A2820">
        <w:rPr>
          <w:lang w:val="fr-FR"/>
        </w:rPr>
        <w:t xml:space="preserve"> ci-dessus</w:t>
      </w:r>
      <w:r w:rsidR="00CE62B0" w:rsidRPr="001A2820">
        <w:rPr>
          <w:lang w:val="fr-FR"/>
        </w:rPr>
        <w:t xml:space="preserve">), </w:t>
      </w:r>
      <w:r w:rsidR="005251CB" w:rsidRPr="001A2820">
        <w:rPr>
          <w:lang w:val="fr-FR"/>
        </w:rPr>
        <w:t>le Conseil d’administration a conclu</w:t>
      </w:r>
      <w:r w:rsidR="008E3ACF">
        <w:rPr>
          <w:lang w:val="fr-FR"/>
        </w:rPr>
        <w:t> </w:t>
      </w:r>
      <w:r w:rsidR="00CE62B0" w:rsidRPr="001A2820">
        <w:rPr>
          <w:lang w:val="fr-FR"/>
        </w:rPr>
        <w:t xml:space="preserve">: </w:t>
      </w:r>
    </w:p>
    <w:p w14:paraId="331CB090" w14:textId="3FF1CAEE" w:rsidR="00CE62B0" w:rsidRPr="001A2820" w:rsidRDefault="008E3ACF" w:rsidP="005251CB">
      <w:pPr>
        <w:pStyle w:val="Normalnumber"/>
        <w:numPr>
          <w:ilvl w:val="1"/>
          <w:numId w:val="7"/>
        </w:numPr>
        <w:rPr>
          <w:lang w:val="fr-FR"/>
        </w:rPr>
      </w:pPr>
      <w:r>
        <w:rPr>
          <w:lang w:val="fr-FR"/>
        </w:rPr>
        <w:t>Qu’</w:t>
      </w:r>
      <w:r w:rsidR="005251CB" w:rsidRPr="001A2820">
        <w:rPr>
          <w:lang w:val="fr-FR"/>
        </w:rPr>
        <w:t>il était important d’adopter des approches réalistes et par étapes pour la mobilisation de ressources aux fins du Programme </w:t>
      </w:r>
      <w:r w:rsidR="00CE62B0" w:rsidRPr="001A2820">
        <w:rPr>
          <w:lang w:val="fr-FR"/>
        </w:rPr>
        <w:t>;</w:t>
      </w:r>
    </w:p>
    <w:p w14:paraId="6EAE4340" w14:textId="270E3CFC" w:rsidR="00CE62B0" w:rsidRPr="001A2820" w:rsidRDefault="008E3ACF" w:rsidP="002F7012">
      <w:pPr>
        <w:pStyle w:val="Normalnumber"/>
        <w:numPr>
          <w:ilvl w:val="1"/>
          <w:numId w:val="7"/>
        </w:numPr>
        <w:rPr>
          <w:lang w:val="fr-FR"/>
        </w:rPr>
      </w:pPr>
      <w:r>
        <w:rPr>
          <w:lang w:val="fr-FR"/>
        </w:rPr>
        <w:t>Qu’</w:t>
      </w:r>
      <w:r w:rsidR="005251CB" w:rsidRPr="001A2820">
        <w:rPr>
          <w:lang w:val="fr-FR"/>
        </w:rPr>
        <w:t>il était impératif de montrer aux donateurs la valeur de leur investissement dans le</w:t>
      </w:r>
      <w:r w:rsidR="00CE62B0" w:rsidRPr="001A2820">
        <w:rPr>
          <w:lang w:val="fr-FR"/>
        </w:rPr>
        <w:t xml:space="preserve"> Programme, </w:t>
      </w:r>
      <w:r w:rsidR="005251CB" w:rsidRPr="001A2820">
        <w:rPr>
          <w:lang w:val="fr-FR"/>
        </w:rPr>
        <w:t xml:space="preserve">de conserver leur appui et </w:t>
      </w:r>
      <w:r w:rsidR="00C0792E" w:rsidRPr="001A2820">
        <w:rPr>
          <w:lang w:val="fr-FR"/>
        </w:rPr>
        <w:t>d’encourager de nouveaux donateurs à devenir contributeurs </w:t>
      </w:r>
      <w:r w:rsidR="00CE62B0" w:rsidRPr="001A2820">
        <w:rPr>
          <w:lang w:val="fr-FR"/>
        </w:rPr>
        <w:t>;</w:t>
      </w:r>
    </w:p>
    <w:p w14:paraId="2E56DE45" w14:textId="4D1DA76A" w:rsidR="00CE62B0" w:rsidRPr="001A2820" w:rsidRDefault="008E3ACF" w:rsidP="002F7012">
      <w:pPr>
        <w:pStyle w:val="Normalnumber"/>
        <w:numPr>
          <w:ilvl w:val="1"/>
          <w:numId w:val="7"/>
        </w:numPr>
        <w:rPr>
          <w:lang w:val="fr-FR"/>
        </w:rPr>
      </w:pPr>
      <w:r>
        <w:rPr>
          <w:lang w:val="fr-FR"/>
        </w:rPr>
        <w:t>Qu’</w:t>
      </w:r>
      <w:r w:rsidR="00C0792E" w:rsidRPr="001A2820">
        <w:rPr>
          <w:lang w:val="fr-FR"/>
        </w:rPr>
        <w:t xml:space="preserve">il existait six sources </w:t>
      </w:r>
      <w:r w:rsidR="00365D02">
        <w:rPr>
          <w:lang w:val="fr-FR"/>
        </w:rPr>
        <w:t>auprès desquelles</w:t>
      </w:r>
      <w:r w:rsidR="00C0792E" w:rsidRPr="001A2820">
        <w:rPr>
          <w:lang w:val="fr-FR"/>
        </w:rPr>
        <w:t xml:space="preserve"> les pays en développement </w:t>
      </w:r>
      <w:r w:rsidR="00365D02">
        <w:rPr>
          <w:lang w:val="fr-FR"/>
        </w:rPr>
        <w:t>pouvaient se procurer un appui pour</w:t>
      </w:r>
      <w:r w:rsidR="00C0792E" w:rsidRPr="001A2820">
        <w:rPr>
          <w:lang w:val="fr-FR"/>
        </w:rPr>
        <w:t xml:space="preserve"> la mise en œuvre</w:t>
      </w:r>
      <w:r w:rsidR="00CE62B0" w:rsidRPr="001A2820">
        <w:rPr>
          <w:vertAlign w:val="superscript"/>
          <w:lang w:val="fr-FR"/>
        </w:rPr>
        <w:footnoteReference w:id="24"/>
      </w:r>
      <w:r w:rsidR="00C0792E" w:rsidRPr="001A2820">
        <w:rPr>
          <w:lang w:val="fr-FR"/>
        </w:rPr>
        <w:t>,</w:t>
      </w:r>
      <w:r w:rsidR="00CE62B0" w:rsidRPr="001A2820">
        <w:rPr>
          <w:lang w:val="fr-FR"/>
        </w:rPr>
        <w:t xml:space="preserve"> </w:t>
      </w:r>
      <w:r w:rsidR="00C0792E" w:rsidRPr="001A2820">
        <w:rPr>
          <w:lang w:val="fr-FR"/>
        </w:rPr>
        <w:t>et</w:t>
      </w:r>
    </w:p>
    <w:p w14:paraId="5599C5D2" w14:textId="05AC597D" w:rsidR="00CE62B0" w:rsidRPr="001A2820" w:rsidRDefault="008E3ACF" w:rsidP="002F7012">
      <w:pPr>
        <w:pStyle w:val="Normalnumber"/>
        <w:numPr>
          <w:ilvl w:val="1"/>
          <w:numId w:val="7"/>
        </w:numPr>
        <w:rPr>
          <w:lang w:val="fr-FR"/>
        </w:rPr>
      </w:pPr>
      <w:r>
        <w:rPr>
          <w:lang w:val="fr-FR"/>
        </w:rPr>
        <w:t>Qu’</w:t>
      </w:r>
      <w:r w:rsidR="00C0792E" w:rsidRPr="001A2820">
        <w:rPr>
          <w:lang w:val="fr-FR"/>
        </w:rPr>
        <w:t>à court terme, le secrétariat devait</w:t>
      </w:r>
      <w:r w:rsidR="00CE62B0" w:rsidRPr="001A2820">
        <w:rPr>
          <w:lang w:val="fr-FR"/>
        </w:rPr>
        <w:t xml:space="preserve"> </w:t>
      </w:r>
      <w:r w:rsidR="00C0792E" w:rsidRPr="001A2820">
        <w:rPr>
          <w:lang w:val="fr-FR"/>
        </w:rPr>
        <w:t>se concentrer sur quelques voies d’action concrètes pour appuyer la mobilisation de ressources par le biais d’une communication stratégique</w:t>
      </w:r>
      <w:r w:rsidR="00CE62B0" w:rsidRPr="001A2820">
        <w:rPr>
          <w:lang w:val="fr-FR"/>
        </w:rPr>
        <w:t>.</w:t>
      </w:r>
    </w:p>
    <w:p w14:paraId="0746F171" w14:textId="572038EF" w:rsidR="00CE62B0" w:rsidRPr="001A2820" w:rsidRDefault="0025781D" w:rsidP="0025781D">
      <w:pPr>
        <w:pStyle w:val="CH2"/>
        <w:rPr>
          <w:lang w:val="fr-FR"/>
        </w:rPr>
      </w:pPr>
      <w:r w:rsidRPr="001A2820">
        <w:rPr>
          <w:lang w:val="fr-FR"/>
        </w:rPr>
        <w:tab/>
        <w:t>4.</w:t>
      </w:r>
      <w:r w:rsidRPr="001A2820">
        <w:rPr>
          <w:lang w:val="fr-FR"/>
        </w:rPr>
        <w:tab/>
      </w:r>
      <w:r w:rsidR="00C0792E" w:rsidRPr="001A2820">
        <w:rPr>
          <w:lang w:val="fr-FR"/>
        </w:rPr>
        <w:t>Orientations fournies par la Conférence des Parties</w:t>
      </w:r>
    </w:p>
    <w:p w14:paraId="47A941F5" w14:textId="76D35C52" w:rsidR="00CE62B0" w:rsidRPr="001A2820" w:rsidRDefault="00C0792E" w:rsidP="0025781D">
      <w:pPr>
        <w:pStyle w:val="Normalnumber"/>
        <w:numPr>
          <w:ilvl w:val="0"/>
          <w:numId w:val="5"/>
        </w:numPr>
        <w:rPr>
          <w:lang w:val="fr-FR"/>
        </w:rPr>
      </w:pPr>
      <w:r w:rsidRPr="001A2820">
        <w:rPr>
          <w:lang w:val="fr-FR"/>
        </w:rPr>
        <w:t>Les orientations fournies par la Conférence des Parties sur</w:t>
      </w:r>
      <w:r w:rsidR="00CE62B0" w:rsidRPr="001A2820">
        <w:rPr>
          <w:lang w:val="fr-FR"/>
        </w:rPr>
        <w:t xml:space="preserve"> </w:t>
      </w:r>
      <w:r w:rsidRPr="001A2820">
        <w:rPr>
          <w:lang w:val="fr-FR"/>
        </w:rPr>
        <w:t xml:space="preserve">la portée, les conditions d’octroi des ressources, le fonctionnement et les ressources </w:t>
      </w:r>
      <w:r w:rsidR="00CE62B0" w:rsidRPr="001A2820">
        <w:rPr>
          <w:lang w:val="fr-FR"/>
        </w:rPr>
        <w:t>(</w:t>
      </w:r>
      <w:r w:rsidRPr="001A2820">
        <w:rPr>
          <w:lang w:val="fr-FR"/>
        </w:rPr>
        <w:t>décision </w:t>
      </w:r>
      <w:r w:rsidR="00CE62B0" w:rsidRPr="001A2820">
        <w:rPr>
          <w:lang w:val="fr-FR"/>
        </w:rPr>
        <w:t>MC-1/6</w:t>
      </w:r>
      <w:r w:rsidR="00122E65" w:rsidRPr="001A2820">
        <w:rPr>
          <w:lang w:val="fr-FR"/>
        </w:rPr>
        <w:t>,</w:t>
      </w:r>
      <w:r w:rsidR="00CE62B0" w:rsidRPr="001A2820">
        <w:rPr>
          <w:lang w:val="fr-FR"/>
        </w:rPr>
        <w:t xml:space="preserve"> annex</w:t>
      </w:r>
      <w:r w:rsidR="00122E65" w:rsidRPr="001A2820">
        <w:rPr>
          <w:lang w:val="fr-FR"/>
        </w:rPr>
        <w:t>e </w:t>
      </w:r>
      <w:r w:rsidR="00CE62B0" w:rsidRPr="001A2820">
        <w:rPr>
          <w:lang w:val="fr-FR"/>
        </w:rPr>
        <w:t xml:space="preserve">I) </w:t>
      </w:r>
      <w:r w:rsidR="00122E65" w:rsidRPr="001A2820">
        <w:rPr>
          <w:lang w:val="fr-FR"/>
        </w:rPr>
        <w:t>sont claires et utiles</w:t>
      </w:r>
      <w:r w:rsidR="00CE62B0" w:rsidRPr="001A2820">
        <w:rPr>
          <w:lang w:val="fr-FR"/>
        </w:rPr>
        <w:t>.</w:t>
      </w:r>
    </w:p>
    <w:p w14:paraId="43543FE7" w14:textId="5EB36D4A" w:rsidR="00CE62B0" w:rsidRPr="001A2820" w:rsidRDefault="00122E65" w:rsidP="0025781D">
      <w:pPr>
        <w:pStyle w:val="Normalnumber"/>
        <w:numPr>
          <w:ilvl w:val="0"/>
          <w:numId w:val="5"/>
        </w:numPr>
        <w:rPr>
          <w:lang w:val="fr-FR"/>
        </w:rPr>
      </w:pPr>
      <w:r w:rsidRPr="001A2820">
        <w:rPr>
          <w:lang w:val="fr-FR"/>
        </w:rPr>
        <w:t>Le Conseil d’administration</w:t>
      </w:r>
      <w:r w:rsidR="00CE62B0" w:rsidRPr="001A2820">
        <w:rPr>
          <w:lang w:val="fr-FR"/>
        </w:rPr>
        <w:t xml:space="preserve"> </w:t>
      </w:r>
      <w:r w:rsidRPr="001A2820">
        <w:rPr>
          <w:lang w:val="fr-FR"/>
        </w:rPr>
        <w:t>supervise le fonctionnement du Programme international spécifique et met en œuvre les orientations reçues</w:t>
      </w:r>
      <w:r w:rsidR="00CE62B0" w:rsidRPr="001A2820">
        <w:rPr>
          <w:lang w:val="fr-FR"/>
        </w:rPr>
        <w:t>.</w:t>
      </w:r>
      <w:r w:rsidRPr="001A2820">
        <w:rPr>
          <w:lang w:val="fr-FR"/>
        </w:rPr>
        <w:t xml:space="preserve"> Les orientations et le mandat fournis par la Conférence des Parties ont été intégrés dans le règlement intérieur qui a été adopté par le Conseil d’administration</w:t>
      </w:r>
      <w:r w:rsidR="00CE62B0" w:rsidRPr="001A2820">
        <w:rPr>
          <w:lang w:val="fr-FR"/>
        </w:rPr>
        <w:t>,</w:t>
      </w:r>
      <w:r w:rsidRPr="001A2820">
        <w:rPr>
          <w:lang w:val="fr-FR"/>
        </w:rPr>
        <w:t xml:space="preserve"> ainsi que les critères d’évaluation convenus et un cadre pour la prise de décisions</w:t>
      </w:r>
      <w:r w:rsidR="00CE62B0" w:rsidRPr="001A2820">
        <w:rPr>
          <w:lang w:val="fr-FR"/>
        </w:rPr>
        <w:t>.</w:t>
      </w:r>
      <w:r w:rsidR="00631A4B">
        <w:rPr>
          <w:lang w:val="fr-FR"/>
        </w:rPr>
        <w:t xml:space="preserve"> Le </w:t>
      </w:r>
      <w:r w:rsidRPr="001A2820">
        <w:rPr>
          <w:lang w:val="fr-FR"/>
        </w:rPr>
        <w:t>Conseil d’administration veille à ce que le Programme</w:t>
      </w:r>
      <w:r w:rsidR="00381F6A">
        <w:rPr>
          <w:lang w:val="fr-FR"/>
        </w:rPr>
        <w:t xml:space="preserve"> soit impulsé par les pays,</w:t>
      </w:r>
      <w:r w:rsidRPr="001A2820">
        <w:rPr>
          <w:lang w:val="fr-FR"/>
        </w:rPr>
        <w:t xml:space="preserve"> </w:t>
      </w:r>
      <w:r w:rsidR="00207FB4" w:rsidRPr="001A2820">
        <w:rPr>
          <w:lang w:val="fr-FR"/>
        </w:rPr>
        <w:t>assure une certaine complémentarité et évite les doubles emplois avec d’autres arrangements existants dans le cadre des activités de renforcement des capacités et d’assistance technique</w:t>
      </w:r>
      <w:r w:rsidR="00A50F90" w:rsidRPr="001A2820">
        <w:rPr>
          <w:lang w:val="fr-FR"/>
        </w:rPr>
        <w:t xml:space="preserve">, </w:t>
      </w:r>
      <w:r w:rsidR="00207FB4" w:rsidRPr="001A2820">
        <w:rPr>
          <w:lang w:val="fr-FR"/>
        </w:rPr>
        <w:t xml:space="preserve">mette à profit les enseignements tirés </w:t>
      </w:r>
      <w:r w:rsidR="00A50F90" w:rsidRPr="001A2820">
        <w:rPr>
          <w:lang w:val="fr-FR"/>
        </w:rPr>
        <w:t xml:space="preserve">et </w:t>
      </w:r>
      <w:r w:rsidR="00207FB4" w:rsidRPr="001A2820">
        <w:rPr>
          <w:lang w:val="fr-FR"/>
        </w:rPr>
        <w:t>tienne compte de la méthode intégrée de financement de la gestion rationnelle des produits chimiques et des déchets, en ce qu’elle présente un intérêt pour la mise en œuvre de la Convention</w:t>
      </w:r>
      <w:r w:rsidR="00CE62B0" w:rsidRPr="001A2820">
        <w:rPr>
          <w:lang w:val="fr-FR"/>
        </w:rPr>
        <w:t xml:space="preserve">. </w:t>
      </w:r>
    </w:p>
    <w:p w14:paraId="122449FA" w14:textId="0044C9F9" w:rsidR="0025781D" w:rsidRPr="001A2820" w:rsidRDefault="00207FB4" w:rsidP="0025781D">
      <w:pPr>
        <w:pStyle w:val="Normalnumber"/>
        <w:rPr>
          <w:lang w:val="fr-FR"/>
        </w:rPr>
      </w:pPr>
      <w:r w:rsidRPr="001A2820">
        <w:rPr>
          <w:lang w:val="fr-FR"/>
        </w:rPr>
        <w:lastRenderedPageBreak/>
        <w:t>Le Conseil d’administration et le secrétariat se sont attachés, en pa</w:t>
      </w:r>
      <w:r w:rsidR="00883282">
        <w:rPr>
          <w:lang w:val="fr-FR"/>
        </w:rPr>
        <w:t>rticulier, à éviter les doubles </w:t>
      </w:r>
      <w:r w:rsidRPr="001A2820">
        <w:rPr>
          <w:lang w:val="fr-FR"/>
        </w:rPr>
        <w:t>emplois et les chevauchements avec d’autres arrangements existants</w:t>
      </w:r>
      <w:r w:rsidR="00CE62B0" w:rsidRPr="001A2820">
        <w:rPr>
          <w:lang w:val="fr-FR"/>
        </w:rPr>
        <w:t>.</w:t>
      </w:r>
      <w:r w:rsidR="00883282">
        <w:rPr>
          <w:lang w:val="fr-FR"/>
        </w:rPr>
        <w:t xml:space="preserve"> Des représentants du </w:t>
      </w:r>
      <w:r w:rsidRPr="001A2820">
        <w:rPr>
          <w:lang w:val="fr-FR"/>
        </w:rPr>
        <w:t>FEM et du</w:t>
      </w:r>
      <w:r w:rsidR="00883282">
        <w:rPr>
          <w:lang w:val="fr-FR"/>
        </w:rPr>
        <w:t> </w:t>
      </w:r>
      <w:r w:rsidR="00156004" w:rsidRPr="001A2820">
        <w:rPr>
          <w:lang w:val="fr-FR"/>
        </w:rPr>
        <w:t>Programme spécial d’appui au renforcement des institutions ont contribué aux évaluations des d</w:t>
      </w:r>
      <w:r w:rsidR="00915CB7">
        <w:rPr>
          <w:lang w:val="fr-FR"/>
        </w:rPr>
        <w:t>emandes des premier et deuxième </w:t>
      </w:r>
      <w:r w:rsidR="00156004" w:rsidRPr="001A2820">
        <w:rPr>
          <w:lang w:val="fr-FR"/>
        </w:rPr>
        <w:t>cycles</w:t>
      </w:r>
      <w:r w:rsidR="00CE62B0" w:rsidRPr="001A2820">
        <w:rPr>
          <w:lang w:val="fr-FR"/>
        </w:rPr>
        <w:t xml:space="preserve">, </w:t>
      </w:r>
      <w:r w:rsidR="00156004" w:rsidRPr="001A2820">
        <w:rPr>
          <w:lang w:val="fr-FR"/>
        </w:rPr>
        <w:t>afin d’assurer une certaine complémentarité des projets et d’éviter le chevauchement des financements</w:t>
      </w:r>
      <w:r w:rsidR="00CE62B0" w:rsidRPr="001A2820">
        <w:rPr>
          <w:lang w:val="fr-FR"/>
        </w:rPr>
        <w:t xml:space="preserve">. </w:t>
      </w:r>
      <w:r w:rsidR="00156004" w:rsidRPr="001A2820">
        <w:rPr>
          <w:lang w:val="fr-FR"/>
        </w:rPr>
        <w:t>À l’</w:t>
      </w:r>
      <w:r w:rsidR="00CE62B0" w:rsidRPr="001A2820">
        <w:rPr>
          <w:lang w:val="fr-FR"/>
        </w:rPr>
        <w:t xml:space="preserve">invitation </w:t>
      </w:r>
      <w:r w:rsidR="00156004" w:rsidRPr="001A2820">
        <w:rPr>
          <w:lang w:val="fr-FR"/>
        </w:rPr>
        <w:t>du Conseil d’administration, ils ont également participé à la deuxième réunion</w:t>
      </w:r>
      <w:r w:rsidR="00C164B5" w:rsidRPr="001A2820">
        <w:rPr>
          <w:lang w:val="fr-FR"/>
        </w:rPr>
        <w:t xml:space="preserve"> </w:t>
      </w:r>
      <w:r w:rsidR="00156004" w:rsidRPr="001A2820">
        <w:rPr>
          <w:lang w:val="fr-FR"/>
        </w:rPr>
        <w:t>en qualité d’observateurs</w:t>
      </w:r>
      <w:r w:rsidR="00CE62B0" w:rsidRPr="001A2820">
        <w:rPr>
          <w:lang w:val="fr-FR"/>
        </w:rPr>
        <w:t>.</w:t>
      </w:r>
      <w:r w:rsidR="0025781D" w:rsidRPr="001A2820">
        <w:rPr>
          <w:lang w:val="fr-FR"/>
        </w:rPr>
        <w:t xml:space="preserve"> </w:t>
      </w:r>
    </w:p>
    <w:p w14:paraId="1536B31F" w14:textId="5A4F6A01" w:rsidR="00CE62B0" w:rsidRPr="001A2820" w:rsidRDefault="00CB2F46" w:rsidP="0025781D">
      <w:pPr>
        <w:pStyle w:val="Normalnumber"/>
        <w:rPr>
          <w:rFonts w:asciiTheme="majorBidi" w:hAnsiTheme="majorBidi" w:cstheme="majorBidi"/>
          <w:sz w:val="24"/>
          <w:szCs w:val="24"/>
          <w:lang w:val="fr-FR"/>
        </w:rPr>
      </w:pPr>
      <w:r w:rsidRPr="001A2820">
        <w:rPr>
          <w:lang w:val="fr-FR"/>
        </w:rPr>
        <w:t>Le Conseil d’administration et le secrétariat se sont également attachés à rassembler</w:t>
      </w:r>
      <w:r w:rsidR="00381F6A">
        <w:rPr>
          <w:lang w:val="fr-FR"/>
        </w:rPr>
        <w:t>,</w:t>
      </w:r>
      <w:r w:rsidR="00381F6A" w:rsidRPr="00381F6A">
        <w:rPr>
          <w:lang w:val="fr-FR"/>
        </w:rPr>
        <w:t xml:space="preserve"> dans le cadre de l’évaluation technique et programmatique des demandes</w:t>
      </w:r>
      <w:r w:rsidR="00381F6A">
        <w:rPr>
          <w:lang w:val="fr-FR"/>
        </w:rPr>
        <w:t>,</w:t>
      </w:r>
      <w:r w:rsidR="001F26A8" w:rsidRPr="001A2820">
        <w:rPr>
          <w:lang w:val="fr-FR"/>
        </w:rPr>
        <w:t xml:space="preserve"> les compétences requises au sein du secrétariat de la Convention de Minamata et auprès d’organisations gouvernementales internationales concernées. Des représentants du FEM</w:t>
      </w:r>
      <w:r w:rsidR="00CE62B0" w:rsidRPr="001A2820">
        <w:rPr>
          <w:lang w:val="fr-FR"/>
        </w:rPr>
        <w:t xml:space="preserve"> (</w:t>
      </w:r>
      <w:r w:rsidR="001F26A8" w:rsidRPr="001A2820">
        <w:rPr>
          <w:lang w:val="fr-FR"/>
        </w:rPr>
        <w:t>en</w:t>
      </w:r>
      <w:r w:rsidR="00CE62B0" w:rsidRPr="001A2820">
        <w:rPr>
          <w:lang w:val="fr-FR"/>
        </w:rPr>
        <w:t xml:space="preserve"> 2018 </w:t>
      </w:r>
      <w:r w:rsidR="001F26A8" w:rsidRPr="001A2820">
        <w:rPr>
          <w:lang w:val="fr-FR"/>
        </w:rPr>
        <w:t>et</w:t>
      </w:r>
      <w:r w:rsidR="00CE62B0" w:rsidRPr="001A2820">
        <w:rPr>
          <w:lang w:val="fr-FR"/>
        </w:rPr>
        <w:t xml:space="preserve"> 2019), </w:t>
      </w:r>
      <w:r w:rsidR="001F26A8" w:rsidRPr="001A2820">
        <w:rPr>
          <w:lang w:val="fr-FR"/>
        </w:rPr>
        <w:t xml:space="preserve">du Programme spécial d’appui au renforcement des institutions </w:t>
      </w:r>
      <w:r w:rsidR="00CE62B0" w:rsidRPr="001A2820">
        <w:rPr>
          <w:lang w:val="fr-FR"/>
        </w:rPr>
        <w:t>(</w:t>
      </w:r>
      <w:r w:rsidR="001F26A8" w:rsidRPr="001A2820">
        <w:rPr>
          <w:lang w:val="fr-FR"/>
        </w:rPr>
        <w:t>e</w:t>
      </w:r>
      <w:r w:rsidR="00CE62B0" w:rsidRPr="001A2820">
        <w:rPr>
          <w:lang w:val="fr-FR"/>
        </w:rPr>
        <w:t xml:space="preserve">n 2018 </w:t>
      </w:r>
      <w:r w:rsidR="001F26A8" w:rsidRPr="001A2820">
        <w:rPr>
          <w:lang w:val="fr-FR"/>
        </w:rPr>
        <w:t>et</w:t>
      </w:r>
      <w:r w:rsidR="00CE62B0" w:rsidRPr="001A2820">
        <w:rPr>
          <w:lang w:val="fr-FR"/>
        </w:rPr>
        <w:t xml:space="preserve"> 2019)</w:t>
      </w:r>
      <w:r w:rsidR="001F26A8" w:rsidRPr="001A2820">
        <w:rPr>
          <w:lang w:val="fr-FR"/>
        </w:rPr>
        <w:t xml:space="preserve"> et du</w:t>
      </w:r>
      <w:r w:rsidR="00CE62B0" w:rsidRPr="001A2820">
        <w:rPr>
          <w:lang w:val="fr-FR"/>
        </w:rPr>
        <w:t xml:space="preserve"> </w:t>
      </w:r>
      <w:r w:rsidR="001F26A8" w:rsidRPr="001A2820">
        <w:rPr>
          <w:lang w:val="fr-FR"/>
        </w:rPr>
        <w:t xml:space="preserve">Partenariat mondial sur le mercure </w:t>
      </w:r>
      <w:r w:rsidR="00CE62B0" w:rsidRPr="001A2820">
        <w:rPr>
          <w:lang w:val="fr-FR"/>
        </w:rPr>
        <w:t>(</w:t>
      </w:r>
      <w:r w:rsidR="001F26A8" w:rsidRPr="001A2820">
        <w:rPr>
          <w:lang w:val="fr-FR"/>
        </w:rPr>
        <w:t>e</w:t>
      </w:r>
      <w:r w:rsidR="00CE62B0" w:rsidRPr="001A2820">
        <w:rPr>
          <w:lang w:val="fr-FR"/>
        </w:rPr>
        <w:t xml:space="preserve">n 2019) </w:t>
      </w:r>
      <w:r w:rsidR="00883282">
        <w:rPr>
          <w:lang w:val="fr-FR"/>
        </w:rPr>
        <w:t>ont </w:t>
      </w:r>
      <w:r w:rsidR="001F26A8" w:rsidRPr="001A2820">
        <w:rPr>
          <w:lang w:val="fr-FR"/>
        </w:rPr>
        <w:t xml:space="preserve">été consultés </w:t>
      </w:r>
      <w:r w:rsidR="00B04FB5" w:rsidRPr="001A2820">
        <w:rPr>
          <w:lang w:val="fr-FR"/>
        </w:rPr>
        <w:t>sur leurs connaissances techniques et autres e</w:t>
      </w:r>
      <w:r w:rsidR="00883282">
        <w:rPr>
          <w:lang w:val="fr-FR"/>
        </w:rPr>
        <w:t>n rapport avec l’évaluation des </w:t>
      </w:r>
      <w:r w:rsidR="00B04FB5" w:rsidRPr="001A2820">
        <w:rPr>
          <w:lang w:val="fr-FR"/>
        </w:rPr>
        <w:t>demandes</w:t>
      </w:r>
      <w:r w:rsidR="00CE62B0" w:rsidRPr="001A2820">
        <w:rPr>
          <w:lang w:val="fr-FR"/>
        </w:rPr>
        <w:t>.</w:t>
      </w:r>
    </w:p>
    <w:p w14:paraId="6E8261AF" w14:textId="24F3BD4D" w:rsidR="00CE62B0" w:rsidRPr="001A2820" w:rsidRDefault="0025781D" w:rsidP="0025781D">
      <w:pPr>
        <w:pStyle w:val="CH2"/>
        <w:rPr>
          <w:lang w:val="fr-FR"/>
        </w:rPr>
      </w:pPr>
      <w:r w:rsidRPr="001A2820">
        <w:rPr>
          <w:lang w:val="fr-FR"/>
        </w:rPr>
        <w:tab/>
        <w:t>5.</w:t>
      </w:r>
      <w:r w:rsidRPr="001A2820">
        <w:rPr>
          <w:lang w:val="fr-FR"/>
        </w:rPr>
        <w:tab/>
      </w:r>
      <w:r w:rsidR="00B04FB5" w:rsidRPr="001A2820">
        <w:rPr>
          <w:lang w:val="fr-FR"/>
        </w:rPr>
        <w:t>Efficacité du Programme et sa capacité à répondre aux besoins en évolution des Parties qui sont des pays en développement et des pays à économie en transition</w:t>
      </w:r>
      <w:r w:rsidR="00CE62B0" w:rsidRPr="001A2820">
        <w:rPr>
          <w:lang w:val="fr-FR"/>
        </w:rPr>
        <w:t xml:space="preserve">, </w:t>
      </w:r>
      <w:r w:rsidR="00B04FB5" w:rsidRPr="001A2820">
        <w:rPr>
          <w:lang w:val="fr-FR"/>
        </w:rPr>
        <w:t>et enseignements tirés</w:t>
      </w:r>
    </w:p>
    <w:p w14:paraId="1AEA63F9" w14:textId="60D3AFEB" w:rsidR="00CE62B0" w:rsidRPr="001A2820" w:rsidRDefault="00B04FB5" w:rsidP="0025781D">
      <w:pPr>
        <w:pStyle w:val="Normalnumber"/>
        <w:numPr>
          <w:ilvl w:val="0"/>
          <w:numId w:val="5"/>
        </w:numPr>
        <w:rPr>
          <w:lang w:val="fr-FR"/>
        </w:rPr>
      </w:pPr>
      <w:r w:rsidRPr="001A2820">
        <w:rPr>
          <w:lang w:val="fr-FR"/>
        </w:rPr>
        <w:t>Conformément à la décision </w:t>
      </w:r>
      <w:r w:rsidR="00CE62B0" w:rsidRPr="001A2820">
        <w:rPr>
          <w:lang w:val="fr-FR"/>
        </w:rPr>
        <w:t>MC-1/6</w:t>
      </w:r>
      <w:r w:rsidRPr="001A2820">
        <w:rPr>
          <w:lang w:val="fr-FR"/>
        </w:rPr>
        <w:t>,</w:t>
      </w:r>
      <w:r w:rsidR="00CE62B0" w:rsidRPr="001A2820">
        <w:rPr>
          <w:lang w:val="fr-FR"/>
        </w:rPr>
        <w:t xml:space="preserve"> </w:t>
      </w:r>
      <w:r w:rsidRPr="001A2820">
        <w:rPr>
          <w:lang w:val="fr-FR"/>
        </w:rPr>
        <w:t>les résultats attendus du Programme international spécifique sont définis comme suit </w:t>
      </w:r>
      <w:r w:rsidR="00CE62B0" w:rsidRPr="001A2820">
        <w:rPr>
          <w:lang w:val="fr-FR"/>
        </w:rPr>
        <w:t xml:space="preserve">: </w:t>
      </w:r>
      <w:r w:rsidR="00B365DD">
        <w:rPr>
          <w:i/>
          <w:lang w:val="fr-FR"/>
        </w:rPr>
        <w:t>l</w:t>
      </w:r>
      <w:r w:rsidRPr="001A2820">
        <w:rPr>
          <w:i/>
          <w:lang w:val="fr-FR"/>
        </w:rPr>
        <w:t>’appui apporté aux fins du renforcement des capacités et de</w:t>
      </w:r>
      <w:r w:rsidR="00883282">
        <w:rPr>
          <w:i/>
          <w:lang w:val="fr-FR"/>
        </w:rPr>
        <w:t xml:space="preserve"> l’assistance technique par le P</w:t>
      </w:r>
      <w:r w:rsidRPr="001A2820">
        <w:rPr>
          <w:i/>
          <w:lang w:val="fr-FR"/>
        </w:rPr>
        <w:t>rogramme international spécifique devrait améliorer la capacité des Parties qui sont des pays en développement ou à économie en transition à mettre en œuvre leurs obligations conventionnelles</w:t>
      </w:r>
      <w:r w:rsidR="00CE62B0" w:rsidRPr="001A2820">
        <w:rPr>
          <w:lang w:val="fr-FR"/>
        </w:rPr>
        <w:t>.</w:t>
      </w:r>
    </w:p>
    <w:p w14:paraId="2D0A026D" w14:textId="0F5DF218" w:rsidR="00CE62B0" w:rsidRPr="001A2820" w:rsidRDefault="00B04FB5" w:rsidP="0025781D">
      <w:pPr>
        <w:pStyle w:val="Normalnumber"/>
        <w:rPr>
          <w:lang w:val="fr-FR"/>
        </w:rPr>
      </w:pPr>
      <w:r w:rsidRPr="001A2820">
        <w:rPr>
          <w:lang w:val="fr-FR"/>
        </w:rPr>
        <w:t xml:space="preserve">Il convient de noter que, </w:t>
      </w:r>
      <w:r w:rsidR="00B365DD">
        <w:rPr>
          <w:lang w:val="fr-FR"/>
        </w:rPr>
        <w:t xml:space="preserve">dans la mesure où </w:t>
      </w:r>
      <w:r w:rsidRPr="001A2820">
        <w:rPr>
          <w:lang w:val="fr-FR"/>
        </w:rPr>
        <w:t>les disposi</w:t>
      </w:r>
      <w:r w:rsidR="00915CB7">
        <w:rPr>
          <w:lang w:val="fr-FR"/>
        </w:rPr>
        <w:t>tions en matière d’accueil, les </w:t>
      </w:r>
      <w:r w:rsidRPr="001A2820">
        <w:rPr>
          <w:lang w:val="fr-FR"/>
        </w:rPr>
        <w:t>orientations relatives au fonctionnement et à la durée ainsi que le mandat du Programme n’</w:t>
      </w:r>
      <w:r w:rsidR="00B365DD">
        <w:rPr>
          <w:lang w:val="fr-FR"/>
        </w:rPr>
        <w:t>ont</w:t>
      </w:r>
      <w:r w:rsidR="00915CB7">
        <w:rPr>
          <w:lang w:val="fr-FR"/>
        </w:rPr>
        <w:t xml:space="preserve"> été adoptés qu’à la première </w:t>
      </w:r>
      <w:r w:rsidRPr="001A2820">
        <w:rPr>
          <w:lang w:val="fr-FR"/>
        </w:rPr>
        <w:t xml:space="preserve">réunion de la Conférence des Parties en septembre 2017 </w:t>
      </w:r>
      <w:r w:rsidR="00CE62B0" w:rsidRPr="001A2820">
        <w:rPr>
          <w:lang w:val="fr-FR"/>
        </w:rPr>
        <w:t>(</w:t>
      </w:r>
      <w:r w:rsidRPr="001A2820">
        <w:rPr>
          <w:lang w:val="fr-FR"/>
        </w:rPr>
        <w:t>décision </w:t>
      </w:r>
      <w:r w:rsidR="00CE62B0" w:rsidRPr="001A2820">
        <w:rPr>
          <w:lang w:val="fr-FR"/>
        </w:rPr>
        <w:t xml:space="preserve">MC-1/6), </w:t>
      </w:r>
      <w:r w:rsidRPr="001A2820">
        <w:rPr>
          <w:lang w:val="fr-FR"/>
        </w:rPr>
        <w:t>et malgré l’opérationnalisation rapide</w:t>
      </w:r>
      <w:r w:rsidR="0048301A" w:rsidRPr="001A2820">
        <w:rPr>
          <w:lang w:val="fr-FR"/>
        </w:rPr>
        <w:t xml:space="preserve"> </w:t>
      </w:r>
      <w:r w:rsidR="00365D02">
        <w:rPr>
          <w:lang w:val="fr-FR"/>
        </w:rPr>
        <w:t>entreprise</w:t>
      </w:r>
      <w:r w:rsidR="0048301A" w:rsidRPr="001A2820">
        <w:rPr>
          <w:lang w:val="fr-FR"/>
        </w:rPr>
        <w:t xml:space="preserve"> après cette décision par le Conseil d’administration et le secrétariat (voir ci-dessus), le Programme est opérationnel depuis seulement 18 mois</w:t>
      </w:r>
      <w:r w:rsidR="00CE62B0" w:rsidRPr="001A2820">
        <w:rPr>
          <w:lang w:val="fr-FR"/>
        </w:rPr>
        <w:t>.</w:t>
      </w:r>
      <w:r w:rsidR="00883282">
        <w:rPr>
          <w:lang w:val="fr-FR"/>
        </w:rPr>
        <w:t xml:space="preserve"> Le </w:t>
      </w:r>
      <w:r w:rsidR="00915CB7">
        <w:rPr>
          <w:lang w:val="fr-FR"/>
        </w:rPr>
        <w:t>Programme a clos le premier </w:t>
      </w:r>
      <w:r w:rsidR="0048301A" w:rsidRPr="001A2820">
        <w:rPr>
          <w:lang w:val="fr-FR"/>
        </w:rPr>
        <w:t xml:space="preserve">cycle de dépôt de demandes en </w:t>
      </w:r>
      <w:r w:rsidR="00CE62B0" w:rsidRPr="001A2820">
        <w:rPr>
          <w:lang w:val="fr-FR"/>
        </w:rPr>
        <w:t xml:space="preserve">2018 </w:t>
      </w:r>
      <w:r w:rsidR="00883282">
        <w:rPr>
          <w:lang w:val="fr-FR"/>
        </w:rPr>
        <w:t>et clôturera le deuxième en </w:t>
      </w:r>
      <w:r w:rsidR="0048301A" w:rsidRPr="001A2820">
        <w:rPr>
          <w:lang w:val="fr-FR"/>
        </w:rPr>
        <w:t>septembre </w:t>
      </w:r>
      <w:r w:rsidR="00CE62B0" w:rsidRPr="001A2820">
        <w:rPr>
          <w:lang w:val="fr-FR"/>
        </w:rPr>
        <w:t xml:space="preserve">2019. </w:t>
      </w:r>
      <w:r w:rsidR="0048301A" w:rsidRPr="001A2820">
        <w:rPr>
          <w:lang w:val="fr-FR"/>
        </w:rPr>
        <w:t>La mise en œuvre de quatre des cinq</w:t>
      </w:r>
      <w:r w:rsidR="00E23920">
        <w:rPr>
          <w:lang w:val="fr-FR"/>
        </w:rPr>
        <w:t> </w:t>
      </w:r>
      <w:r w:rsidR="0048301A" w:rsidRPr="001A2820">
        <w:rPr>
          <w:lang w:val="fr-FR"/>
        </w:rPr>
        <w:t>projets app</w:t>
      </w:r>
      <w:r w:rsidR="00883282">
        <w:rPr>
          <w:lang w:val="fr-FR"/>
        </w:rPr>
        <w:t>rouvés dans le cadre du premier </w:t>
      </w:r>
      <w:r w:rsidR="0048301A" w:rsidRPr="001A2820">
        <w:rPr>
          <w:lang w:val="fr-FR"/>
        </w:rPr>
        <w:t xml:space="preserve">cycle </w:t>
      </w:r>
      <w:r w:rsidR="00915CB7">
        <w:rPr>
          <w:lang w:val="fr-FR"/>
        </w:rPr>
        <w:t>a commencé au cours du deuxième </w:t>
      </w:r>
      <w:r w:rsidR="0048301A" w:rsidRPr="001A2820">
        <w:rPr>
          <w:lang w:val="fr-FR"/>
        </w:rPr>
        <w:t xml:space="preserve">trimestre de </w:t>
      </w:r>
      <w:r w:rsidR="00CE62B0" w:rsidRPr="001A2820">
        <w:rPr>
          <w:lang w:val="fr-FR"/>
        </w:rPr>
        <w:t>2019</w:t>
      </w:r>
      <w:r w:rsidR="00E95868">
        <w:rPr>
          <w:lang w:val="fr-FR"/>
        </w:rPr>
        <w:t xml:space="preserve"> (l</w:t>
      </w:r>
      <w:r w:rsidR="00883282">
        <w:rPr>
          <w:lang w:val="fr-FR"/>
        </w:rPr>
        <w:t>a mise en œuvre du cinquième </w:t>
      </w:r>
      <w:r w:rsidR="0048301A" w:rsidRPr="001A2820">
        <w:rPr>
          <w:lang w:val="fr-FR"/>
        </w:rPr>
        <w:t xml:space="preserve">projet </w:t>
      </w:r>
      <w:r w:rsidR="00E95868">
        <w:rPr>
          <w:lang w:val="fr-FR"/>
        </w:rPr>
        <w:t>devant</w:t>
      </w:r>
      <w:r w:rsidR="0048301A" w:rsidRPr="001A2820">
        <w:rPr>
          <w:lang w:val="fr-FR"/>
        </w:rPr>
        <w:t xml:space="preserve"> débuter à la</w:t>
      </w:r>
      <w:r w:rsidR="00AD77A8" w:rsidRPr="001A2820">
        <w:rPr>
          <w:lang w:val="fr-FR"/>
        </w:rPr>
        <w:t xml:space="preserve"> </w:t>
      </w:r>
      <w:r w:rsidR="0048301A" w:rsidRPr="001A2820">
        <w:rPr>
          <w:lang w:val="fr-FR"/>
        </w:rPr>
        <w:t>signature de l’accord juridique</w:t>
      </w:r>
      <w:r w:rsidR="00E95868">
        <w:rPr>
          <w:lang w:val="fr-FR"/>
        </w:rPr>
        <w:t>)</w:t>
      </w:r>
      <w:r w:rsidR="0048301A" w:rsidRPr="001A2820">
        <w:rPr>
          <w:lang w:val="fr-FR"/>
        </w:rPr>
        <w:t>.</w:t>
      </w:r>
      <w:r w:rsidR="00CE62B0" w:rsidRPr="001A2820">
        <w:rPr>
          <w:lang w:val="fr-FR"/>
        </w:rPr>
        <w:t xml:space="preserve"> </w:t>
      </w:r>
      <w:r w:rsidR="00365D02">
        <w:rPr>
          <w:lang w:val="fr-FR"/>
        </w:rPr>
        <w:t>L</w:t>
      </w:r>
      <w:r w:rsidR="00AD77A8" w:rsidRPr="001A2820">
        <w:rPr>
          <w:lang w:val="fr-FR"/>
        </w:rPr>
        <w:t xml:space="preserve">a durée des projets approuvés </w:t>
      </w:r>
      <w:r w:rsidR="00365D02">
        <w:rPr>
          <w:lang w:val="fr-FR"/>
        </w:rPr>
        <w:t>est</w:t>
      </w:r>
      <w:r w:rsidR="00AD77A8" w:rsidRPr="001A2820">
        <w:rPr>
          <w:lang w:val="fr-FR"/>
        </w:rPr>
        <w:t xml:space="preserve"> d’environ trois ans</w:t>
      </w:r>
      <w:r w:rsidR="00365D02">
        <w:rPr>
          <w:lang w:val="fr-FR"/>
        </w:rPr>
        <w:t xml:space="preserve"> et</w:t>
      </w:r>
      <w:r w:rsidR="00AD77A8" w:rsidRPr="001A2820">
        <w:rPr>
          <w:lang w:val="fr-FR"/>
        </w:rPr>
        <w:t xml:space="preserve"> les rapports finals des projets du premier cycle ne sont attendus qu’à la clôture des</w:t>
      </w:r>
      <w:r w:rsidR="00CE62B0" w:rsidRPr="001A2820">
        <w:rPr>
          <w:lang w:val="fr-FR"/>
        </w:rPr>
        <w:t xml:space="preserve"> </w:t>
      </w:r>
      <w:r w:rsidR="00AD77A8" w:rsidRPr="001A2820">
        <w:rPr>
          <w:lang w:val="fr-FR"/>
        </w:rPr>
        <w:t>comptes définitifs</w:t>
      </w:r>
      <w:r w:rsidR="00CE62B0" w:rsidRPr="001A2820">
        <w:rPr>
          <w:lang w:val="fr-FR"/>
        </w:rPr>
        <w:t xml:space="preserve">. </w:t>
      </w:r>
      <w:r w:rsidR="00365D02">
        <w:rPr>
          <w:lang w:val="fr-FR"/>
        </w:rPr>
        <w:t>L</w:t>
      </w:r>
      <w:r w:rsidR="00AD77A8" w:rsidRPr="001A2820">
        <w:rPr>
          <w:lang w:val="fr-FR"/>
        </w:rPr>
        <w:t>e Conseil d’administra</w:t>
      </w:r>
      <w:r w:rsidR="00915CB7">
        <w:rPr>
          <w:lang w:val="fr-FR"/>
        </w:rPr>
        <w:t>tion a</w:t>
      </w:r>
      <w:r w:rsidR="00365D02">
        <w:rPr>
          <w:lang w:val="fr-FR"/>
        </w:rPr>
        <w:t xml:space="preserve">, en conséquence, </w:t>
      </w:r>
      <w:r w:rsidR="00915CB7">
        <w:rPr>
          <w:lang w:val="fr-FR"/>
        </w:rPr>
        <w:t>conclu qu’à ce stade, il </w:t>
      </w:r>
      <w:r w:rsidR="00AD77A8" w:rsidRPr="001A2820">
        <w:rPr>
          <w:lang w:val="fr-FR"/>
        </w:rPr>
        <w:t>était prématuré d’évaluer l’efficacité du Programme ou sa capacité à répondre aux besoins en évolution des Parties qui sont des pays en développement et des pays à économie en transition seulement sur la base de 18 mois de fonctionnement, au-delà des informations factuelles figurant dans la présente note et ses annexes</w:t>
      </w:r>
      <w:r w:rsidR="00CE62B0" w:rsidRPr="001A2820">
        <w:rPr>
          <w:lang w:val="fr-FR"/>
        </w:rPr>
        <w:t xml:space="preserve">. </w:t>
      </w:r>
    </w:p>
    <w:p w14:paraId="740BE790" w14:textId="2B5A4236" w:rsidR="00CE62B0" w:rsidRPr="001A2820" w:rsidRDefault="00AD77A8" w:rsidP="0025781D">
      <w:pPr>
        <w:pStyle w:val="Normalnumber"/>
        <w:rPr>
          <w:lang w:val="fr-FR"/>
        </w:rPr>
      </w:pPr>
      <w:r w:rsidRPr="001A2820">
        <w:rPr>
          <w:lang w:val="fr-FR"/>
        </w:rPr>
        <w:t>À des fins d’information, deux diagrammes sont fournis dans l’annexe I de la présente note concernant les demandes reçues pour le premier cycle</w:t>
      </w:r>
      <w:r w:rsidR="00CE62B0" w:rsidRPr="001A2820">
        <w:rPr>
          <w:lang w:val="fr-FR"/>
        </w:rPr>
        <w:t xml:space="preserve"> (2018), </w:t>
      </w:r>
      <w:r w:rsidRPr="001A2820">
        <w:rPr>
          <w:lang w:val="fr-FR"/>
        </w:rPr>
        <w:t xml:space="preserve">et deux autres diagrammes dans l’annexe II concernant les </w:t>
      </w:r>
      <w:r w:rsidR="007E7028">
        <w:rPr>
          <w:lang w:val="fr-FR"/>
        </w:rPr>
        <w:t>demandes reçues pour le deuxième </w:t>
      </w:r>
      <w:r w:rsidRPr="001A2820">
        <w:rPr>
          <w:lang w:val="fr-FR"/>
        </w:rPr>
        <w:t>cycle</w:t>
      </w:r>
      <w:r w:rsidR="00CE62B0" w:rsidRPr="001A2820">
        <w:rPr>
          <w:lang w:val="fr-FR"/>
        </w:rPr>
        <w:t xml:space="preserve"> (2019). </w:t>
      </w:r>
      <w:r w:rsidRPr="001A2820">
        <w:rPr>
          <w:lang w:val="fr-FR"/>
        </w:rPr>
        <w:t>Des</w:t>
      </w:r>
      <w:r w:rsidR="00CE62B0" w:rsidRPr="001A2820">
        <w:rPr>
          <w:lang w:val="fr-FR"/>
        </w:rPr>
        <w:t xml:space="preserve"> information</w:t>
      </w:r>
      <w:r w:rsidRPr="001A2820">
        <w:rPr>
          <w:lang w:val="fr-FR"/>
        </w:rPr>
        <w:t>s supplémentaires sont contenues dans le document</w:t>
      </w:r>
      <w:r w:rsidR="00CE62B0" w:rsidRPr="001A2820">
        <w:rPr>
          <w:lang w:val="fr-FR"/>
        </w:rPr>
        <w:t xml:space="preserve"> UNEP/MC/COP3/10</w:t>
      </w:r>
      <w:r w:rsidR="00025BC9" w:rsidRPr="001A2820">
        <w:rPr>
          <w:lang w:val="fr-FR"/>
        </w:rPr>
        <w:t xml:space="preserve"> (Rapport global sur le Programme international spécifique visant à soutenir le renforcement des capacités et l’assistance technique) et le document</w:t>
      </w:r>
      <w:r w:rsidR="00CE62B0" w:rsidRPr="001A2820">
        <w:rPr>
          <w:lang w:val="fr-FR"/>
        </w:rPr>
        <w:t xml:space="preserve"> UNEP/MC/COP</w:t>
      </w:r>
      <w:r w:rsidR="00025BC9" w:rsidRPr="001A2820">
        <w:rPr>
          <w:lang w:val="fr-FR"/>
        </w:rPr>
        <w:t>.</w:t>
      </w:r>
      <w:r w:rsidR="00CE62B0" w:rsidRPr="001A2820">
        <w:rPr>
          <w:lang w:val="fr-FR"/>
        </w:rPr>
        <w:t xml:space="preserve">3/10/Add.1 </w:t>
      </w:r>
      <w:r w:rsidR="00025BC9" w:rsidRPr="001A2820">
        <w:rPr>
          <w:lang w:val="fr-FR"/>
        </w:rPr>
        <w:t>(Rapport de la troisième réunion du Conseil d’administration du Programme international spécifique visant à soutenir le renforcement des capacités et l’assistance technique)</w:t>
      </w:r>
      <w:r w:rsidR="00CE62B0" w:rsidRPr="001A2820">
        <w:rPr>
          <w:lang w:val="fr-FR"/>
        </w:rPr>
        <w:t>.</w:t>
      </w:r>
    </w:p>
    <w:p w14:paraId="07BF6299" w14:textId="2B88623B" w:rsidR="00CE62B0" w:rsidRPr="001A2820" w:rsidRDefault="0015482A" w:rsidP="0025781D">
      <w:pPr>
        <w:pStyle w:val="Normalnumber"/>
        <w:rPr>
          <w:lang w:val="fr-FR"/>
        </w:rPr>
      </w:pPr>
      <w:r>
        <w:rPr>
          <w:lang w:val="fr-FR"/>
        </w:rPr>
        <w:t>C</w:t>
      </w:r>
      <w:r w:rsidR="00DC5C44" w:rsidRPr="001A2820">
        <w:rPr>
          <w:lang w:val="fr-FR"/>
        </w:rPr>
        <w:t>oncernant l’efficacité du Programme</w:t>
      </w:r>
      <w:r>
        <w:rPr>
          <w:lang w:val="fr-FR"/>
        </w:rPr>
        <w:t>,</w:t>
      </w:r>
      <w:r w:rsidR="00DC5C44" w:rsidRPr="001A2820">
        <w:rPr>
          <w:lang w:val="fr-FR"/>
        </w:rPr>
        <w:t xml:space="preserve"> </w:t>
      </w:r>
      <w:r>
        <w:rPr>
          <w:lang w:val="fr-FR"/>
        </w:rPr>
        <w:t>s</w:t>
      </w:r>
      <w:r w:rsidR="00DC5C44" w:rsidRPr="001A2820">
        <w:rPr>
          <w:lang w:val="fr-FR"/>
        </w:rPr>
        <w:t>es 18</w:t>
      </w:r>
      <w:r w:rsidR="00E95868">
        <w:rPr>
          <w:lang w:val="fr-FR"/>
        </w:rPr>
        <w:t> </w:t>
      </w:r>
      <w:r w:rsidR="00DC5C44" w:rsidRPr="001A2820">
        <w:rPr>
          <w:lang w:val="fr-FR"/>
        </w:rPr>
        <w:t xml:space="preserve">mois de fonctionnement </w:t>
      </w:r>
      <w:r>
        <w:rPr>
          <w:lang w:val="fr-FR"/>
        </w:rPr>
        <w:t>ont permis de constater</w:t>
      </w:r>
      <w:r w:rsidR="00DC5C44" w:rsidRPr="001A2820">
        <w:rPr>
          <w:lang w:val="fr-FR"/>
        </w:rPr>
        <w:t xml:space="preserve"> la nécessité de disposer d’un effectif de secrétariat adéquat</w:t>
      </w:r>
      <w:r w:rsidR="0031016F" w:rsidRPr="001A2820">
        <w:rPr>
          <w:lang w:val="fr-FR"/>
        </w:rPr>
        <w:t xml:space="preserve"> permettant d’appuyer les travaux du Conseil d’administration et de fournir la gamme complète des service</w:t>
      </w:r>
      <w:r w:rsidR="00843180">
        <w:rPr>
          <w:lang w:val="fr-FR"/>
        </w:rPr>
        <w:t>s de secrétariat nécessaires au </w:t>
      </w:r>
      <w:r w:rsidR="0031016F" w:rsidRPr="001A2820">
        <w:rPr>
          <w:lang w:val="fr-FR"/>
        </w:rPr>
        <w:t>fonctionnement du Programme, notamment</w:t>
      </w:r>
      <w:r w:rsidR="00365D02">
        <w:rPr>
          <w:lang w:val="fr-FR"/>
        </w:rPr>
        <w:t xml:space="preserve"> </w:t>
      </w:r>
      <w:r>
        <w:rPr>
          <w:lang w:val="fr-FR"/>
        </w:rPr>
        <w:t xml:space="preserve">dans les domaines </w:t>
      </w:r>
      <w:r w:rsidR="00365D02">
        <w:rPr>
          <w:lang w:val="fr-FR"/>
        </w:rPr>
        <w:t>suivants</w:t>
      </w:r>
      <w:r w:rsidR="0031016F" w:rsidRPr="001A2820">
        <w:rPr>
          <w:lang w:val="fr-FR"/>
        </w:rPr>
        <w:t> </w:t>
      </w:r>
      <w:r w:rsidR="00CE62B0" w:rsidRPr="001A2820">
        <w:rPr>
          <w:lang w:val="fr-FR"/>
        </w:rPr>
        <w:t xml:space="preserve">: </w:t>
      </w:r>
    </w:p>
    <w:p w14:paraId="54362E9E" w14:textId="3673DADB" w:rsidR="00CE62B0" w:rsidRPr="001A2820" w:rsidRDefault="00365D02" w:rsidP="00AF309B">
      <w:pPr>
        <w:pStyle w:val="Normalnumber"/>
        <w:numPr>
          <w:ilvl w:val="2"/>
          <w:numId w:val="1"/>
        </w:numPr>
        <w:tabs>
          <w:tab w:val="clear" w:pos="1247"/>
          <w:tab w:val="clear" w:pos="1814"/>
          <w:tab w:val="clear" w:pos="2381"/>
          <w:tab w:val="clear" w:pos="2948"/>
          <w:tab w:val="clear" w:pos="3515"/>
          <w:tab w:val="clear" w:pos="4082"/>
        </w:tabs>
        <w:ind w:left="2552" w:hanging="709"/>
        <w:rPr>
          <w:lang w:val="fr-FR"/>
        </w:rPr>
      </w:pPr>
      <w:r w:rsidRPr="001A2820">
        <w:rPr>
          <w:lang w:val="fr-FR"/>
        </w:rPr>
        <w:t xml:space="preserve">Gestion </w:t>
      </w:r>
      <w:r w:rsidR="00092CBF" w:rsidRPr="001A2820">
        <w:rPr>
          <w:lang w:val="fr-FR"/>
        </w:rPr>
        <w:t>d</w:t>
      </w:r>
      <w:r w:rsidR="00AF309B" w:rsidRPr="001A2820">
        <w:rPr>
          <w:lang w:val="fr-FR"/>
        </w:rPr>
        <w:t>es cycles de dépôt des demandes</w:t>
      </w:r>
      <w:r w:rsidR="00CE62B0" w:rsidRPr="001A2820">
        <w:rPr>
          <w:lang w:val="fr-FR"/>
        </w:rPr>
        <w:t xml:space="preserve">, </w:t>
      </w:r>
    </w:p>
    <w:p w14:paraId="3DA75597" w14:textId="31C97A8C" w:rsidR="00CE62B0" w:rsidRPr="001A2820" w:rsidRDefault="00365D02" w:rsidP="00AF309B">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552" w:hanging="709"/>
        <w:rPr>
          <w:lang w:val="fr-FR"/>
        </w:rPr>
      </w:pPr>
      <w:r w:rsidRPr="001A2820">
        <w:rPr>
          <w:lang w:val="fr-FR"/>
        </w:rPr>
        <w:t xml:space="preserve">Présélection </w:t>
      </w:r>
      <w:r w:rsidR="00AF309B" w:rsidRPr="001A2820">
        <w:rPr>
          <w:lang w:val="fr-FR"/>
        </w:rPr>
        <w:t>et</w:t>
      </w:r>
      <w:r w:rsidR="00CE62B0" w:rsidRPr="001A2820">
        <w:rPr>
          <w:lang w:val="fr-FR"/>
        </w:rPr>
        <w:t xml:space="preserve"> </w:t>
      </w:r>
      <w:r w:rsidR="00AF309B" w:rsidRPr="001A2820">
        <w:rPr>
          <w:lang w:val="fr-FR"/>
        </w:rPr>
        <w:t>évalu</w:t>
      </w:r>
      <w:r w:rsidR="00092CBF" w:rsidRPr="001A2820">
        <w:rPr>
          <w:lang w:val="fr-FR"/>
        </w:rPr>
        <w:t>ation d</w:t>
      </w:r>
      <w:r w:rsidR="00AF309B" w:rsidRPr="001A2820">
        <w:rPr>
          <w:lang w:val="fr-FR"/>
        </w:rPr>
        <w:t>es demandes</w:t>
      </w:r>
      <w:r w:rsidR="00CE62B0" w:rsidRPr="001A2820">
        <w:rPr>
          <w:lang w:val="fr-FR"/>
        </w:rPr>
        <w:t xml:space="preserve">, </w:t>
      </w:r>
    </w:p>
    <w:p w14:paraId="578B54CD" w14:textId="3EA362CB" w:rsidR="00CE62B0" w:rsidRPr="001A2820" w:rsidRDefault="00365D02" w:rsidP="00AF309B">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552" w:hanging="709"/>
        <w:rPr>
          <w:lang w:val="fr-FR"/>
        </w:rPr>
      </w:pPr>
      <w:r w:rsidRPr="001A2820">
        <w:rPr>
          <w:lang w:val="fr-FR"/>
        </w:rPr>
        <w:t xml:space="preserve">Mise </w:t>
      </w:r>
      <w:r w:rsidR="00AF309B" w:rsidRPr="001A2820">
        <w:rPr>
          <w:lang w:val="fr-FR"/>
        </w:rPr>
        <w:t xml:space="preserve">en œuvre </w:t>
      </w:r>
      <w:r w:rsidR="00092CBF" w:rsidRPr="001A2820">
        <w:rPr>
          <w:lang w:val="fr-FR"/>
        </w:rPr>
        <w:t>de</w:t>
      </w:r>
      <w:r w:rsidR="00AF309B" w:rsidRPr="001A2820">
        <w:rPr>
          <w:lang w:val="fr-FR"/>
        </w:rPr>
        <w:t>s décisions du Conseil d’administration</w:t>
      </w:r>
      <w:r w:rsidR="00CE62B0" w:rsidRPr="001A2820">
        <w:rPr>
          <w:lang w:val="fr-FR"/>
        </w:rPr>
        <w:t xml:space="preserve">, </w:t>
      </w:r>
    </w:p>
    <w:p w14:paraId="1741193D" w14:textId="4FB8C650" w:rsidR="00CE62B0" w:rsidRPr="001A2820" w:rsidRDefault="00365D02" w:rsidP="00AF309B">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552" w:hanging="709"/>
        <w:rPr>
          <w:lang w:val="fr-FR"/>
        </w:rPr>
      </w:pPr>
      <w:r w:rsidRPr="001A2820">
        <w:rPr>
          <w:lang w:val="fr-FR"/>
        </w:rPr>
        <w:t xml:space="preserve">Finalisation </w:t>
      </w:r>
      <w:r w:rsidR="00092CBF" w:rsidRPr="001A2820">
        <w:rPr>
          <w:lang w:val="fr-FR"/>
        </w:rPr>
        <w:t>d</w:t>
      </w:r>
      <w:r w:rsidR="00AF309B" w:rsidRPr="001A2820">
        <w:rPr>
          <w:lang w:val="fr-FR"/>
        </w:rPr>
        <w:t>es plans de mise en œuvre des projets en collaboration avec les gouvernements dont le projet a été retenu</w:t>
      </w:r>
      <w:r w:rsidR="00CE62B0" w:rsidRPr="001A2820">
        <w:rPr>
          <w:lang w:val="fr-FR"/>
        </w:rPr>
        <w:t xml:space="preserve">, </w:t>
      </w:r>
    </w:p>
    <w:p w14:paraId="27D2436D" w14:textId="6507846D" w:rsidR="00CE62B0" w:rsidRPr="007E7028" w:rsidRDefault="00365D02" w:rsidP="00572E97">
      <w:pPr>
        <w:pStyle w:val="Normalnumber"/>
        <w:keepNext/>
        <w:keepLines/>
        <w:numPr>
          <w:ilvl w:val="2"/>
          <w:numId w:val="1"/>
        </w:numPr>
        <w:tabs>
          <w:tab w:val="clear" w:pos="1134"/>
          <w:tab w:val="clear" w:pos="1247"/>
          <w:tab w:val="clear" w:pos="1814"/>
          <w:tab w:val="clear" w:pos="2381"/>
          <w:tab w:val="clear" w:pos="2948"/>
          <w:tab w:val="clear" w:pos="3515"/>
          <w:tab w:val="clear" w:pos="4082"/>
          <w:tab w:val="num" w:pos="624"/>
        </w:tabs>
        <w:ind w:left="2552" w:hanging="709"/>
        <w:rPr>
          <w:lang w:val="fr-FR"/>
        </w:rPr>
      </w:pPr>
      <w:r w:rsidRPr="007E7028">
        <w:rPr>
          <w:lang w:val="fr-FR"/>
        </w:rPr>
        <w:lastRenderedPageBreak/>
        <w:t xml:space="preserve">Suivi </w:t>
      </w:r>
      <w:r w:rsidR="00092CBF" w:rsidRPr="007E7028">
        <w:rPr>
          <w:lang w:val="fr-FR"/>
        </w:rPr>
        <w:t>d</w:t>
      </w:r>
      <w:r w:rsidR="00AF309B" w:rsidRPr="007E7028">
        <w:rPr>
          <w:lang w:val="fr-FR"/>
        </w:rPr>
        <w:t>es re</w:t>
      </w:r>
      <w:r w:rsidR="00092CBF" w:rsidRPr="007E7028">
        <w:rPr>
          <w:lang w:val="fr-FR"/>
        </w:rPr>
        <w:t>sp</w:t>
      </w:r>
      <w:r w:rsidR="00AF309B" w:rsidRPr="007E7028">
        <w:rPr>
          <w:lang w:val="fr-FR"/>
        </w:rPr>
        <w:t xml:space="preserve">onsabilités </w:t>
      </w:r>
      <w:r w:rsidR="00092CBF" w:rsidRPr="007E7028">
        <w:rPr>
          <w:lang w:val="fr-FR"/>
        </w:rPr>
        <w:t xml:space="preserve">en matière </w:t>
      </w:r>
      <w:r w:rsidR="00AF309B" w:rsidRPr="007E7028">
        <w:rPr>
          <w:lang w:val="fr-FR"/>
        </w:rPr>
        <w:t xml:space="preserve">de gestion </w:t>
      </w:r>
      <w:r w:rsidR="0015482A">
        <w:rPr>
          <w:lang w:val="fr-FR"/>
        </w:rPr>
        <w:t>pour</w:t>
      </w:r>
      <w:r w:rsidR="00092CBF" w:rsidRPr="007E7028">
        <w:rPr>
          <w:lang w:val="fr-FR"/>
        </w:rPr>
        <w:t xml:space="preserve"> chacun </w:t>
      </w:r>
      <w:r w:rsidR="00AF309B" w:rsidRPr="007E7028">
        <w:rPr>
          <w:lang w:val="fr-FR"/>
        </w:rPr>
        <w:t>des projets</w:t>
      </w:r>
      <w:r w:rsidR="00CE62B0" w:rsidRPr="007E7028">
        <w:rPr>
          <w:lang w:val="fr-FR"/>
        </w:rPr>
        <w:t xml:space="preserve"> (</w:t>
      </w:r>
      <w:r w:rsidR="00092CBF" w:rsidRPr="007E7028">
        <w:rPr>
          <w:lang w:val="fr-FR"/>
        </w:rPr>
        <w:t>gestion des fonds</w:t>
      </w:r>
      <w:r w:rsidR="00CE62B0" w:rsidRPr="007E7028">
        <w:rPr>
          <w:lang w:val="fr-FR"/>
        </w:rPr>
        <w:t xml:space="preserve">, conclusion </w:t>
      </w:r>
      <w:r w:rsidR="00092CBF" w:rsidRPr="007E7028">
        <w:rPr>
          <w:lang w:val="fr-FR"/>
        </w:rPr>
        <w:t>d’accords juridiques</w:t>
      </w:r>
      <w:r w:rsidR="00CE62B0" w:rsidRPr="007E7028">
        <w:rPr>
          <w:lang w:val="fr-FR"/>
        </w:rPr>
        <w:t>,</w:t>
      </w:r>
      <w:r w:rsidR="00092CBF" w:rsidRPr="007E7028">
        <w:rPr>
          <w:lang w:val="fr-FR"/>
        </w:rPr>
        <w:t xml:space="preserve"> décaissement périodique des fonds</w:t>
      </w:r>
      <w:r w:rsidR="00CE62B0" w:rsidRPr="007E7028">
        <w:rPr>
          <w:lang w:val="fr-FR"/>
        </w:rPr>
        <w:t xml:space="preserve">, </w:t>
      </w:r>
      <w:r w:rsidR="00092CBF" w:rsidRPr="007E7028">
        <w:rPr>
          <w:lang w:val="fr-FR"/>
        </w:rPr>
        <w:t>surveillance périodique des projets</w:t>
      </w:r>
      <w:r w:rsidR="00CE62B0" w:rsidRPr="007E7028">
        <w:rPr>
          <w:lang w:val="fr-FR"/>
        </w:rPr>
        <w:t>,</w:t>
      </w:r>
      <w:r w:rsidR="00092CBF" w:rsidRPr="007E7028">
        <w:rPr>
          <w:lang w:val="fr-FR"/>
        </w:rPr>
        <w:t xml:space="preserve"> établissement de rapports périodiques et finals</w:t>
      </w:r>
      <w:r w:rsidR="00CE62B0" w:rsidRPr="007E7028">
        <w:rPr>
          <w:lang w:val="fr-FR"/>
        </w:rPr>
        <w:t>,</w:t>
      </w:r>
      <w:r w:rsidR="00092CBF" w:rsidRPr="007E7028">
        <w:rPr>
          <w:lang w:val="fr-FR"/>
        </w:rPr>
        <w:t xml:space="preserve"> clôture des projets</w:t>
      </w:r>
      <w:r w:rsidR="00CE62B0" w:rsidRPr="007E7028">
        <w:rPr>
          <w:lang w:val="fr-FR"/>
        </w:rPr>
        <w:t xml:space="preserve">, communication </w:t>
      </w:r>
      <w:r w:rsidR="00092CBF" w:rsidRPr="007E7028">
        <w:rPr>
          <w:lang w:val="fr-FR"/>
        </w:rPr>
        <w:t>sur les projets</w:t>
      </w:r>
      <w:r w:rsidR="00CE62B0" w:rsidRPr="007E7028">
        <w:rPr>
          <w:lang w:val="fr-FR"/>
        </w:rPr>
        <w:t xml:space="preserve">, </w:t>
      </w:r>
      <w:r w:rsidR="00092CBF" w:rsidRPr="007E7028">
        <w:rPr>
          <w:lang w:val="fr-FR"/>
        </w:rPr>
        <w:t>établissement de rapports à l’intention des donateurs</w:t>
      </w:r>
      <w:r w:rsidR="00CE62B0" w:rsidRPr="007E7028">
        <w:rPr>
          <w:lang w:val="fr-FR"/>
        </w:rPr>
        <w:t>).</w:t>
      </w:r>
      <w:r w:rsidR="00CE62B0" w:rsidRPr="007E7028">
        <w:rPr>
          <w:lang w:val="fr-FR"/>
        </w:rPr>
        <w:br w:type="page"/>
      </w:r>
    </w:p>
    <w:p w14:paraId="48716312" w14:textId="0A793AAA" w:rsidR="00CE62B0" w:rsidRPr="001A2820" w:rsidRDefault="00CE62B0" w:rsidP="0025781D">
      <w:pPr>
        <w:pStyle w:val="ZZAnxheader"/>
        <w:rPr>
          <w:lang w:val="fr-FR"/>
        </w:rPr>
      </w:pPr>
      <w:r w:rsidRPr="001A2820">
        <w:rPr>
          <w:lang w:val="fr-FR"/>
        </w:rPr>
        <w:lastRenderedPageBreak/>
        <w:t>Appendi</w:t>
      </w:r>
      <w:r w:rsidR="00277124" w:rsidRPr="001A2820">
        <w:rPr>
          <w:lang w:val="fr-FR"/>
        </w:rPr>
        <w:t>ce </w:t>
      </w:r>
      <w:r w:rsidRPr="001A2820">
        <w:rPr>
          <w:lang w:val="fr-FR"/>
        </w:rPr>
        <w:t xml:space="preserve">I </w:t>
      </w:r>
      <w:r w:rsidRPr="001A2820">
        <w:rPr>
          <w:lang w:val="fr-FR"/>
        </w:rPr>
        <w:tab/>
      </w:r>
      <w:r w:rsidR="00210AB6">
        <w:rPr>
          <w:lang w:val="fr-FR"/>
        </w:rPr>
        <w:t>Premier </w:t>
      </w:r>
      <w:r w:rsidR="00277124" w:rsidRPr="001A2820">
        <w:rPr>
          <w:lang w:val="fr-FR"/>
        </w:rPr>
        <w:t>cycle</w:t>
      </w:r>
      <w:r w:rsidRPr="001A2820">
        <w:rPr>
          <w:lang w:val="fr-FR"/>
        </w:rPr>
        <w:t xml:space="preserve"> (2018)</w:t>
      </w:r>
    </w:p>
    <w:p w14:paraId="40F28567" w14:textId="6DD2A320" w:rsidR="00CE62B0" w:rsidRPr="001A2820" w:rsidRDefault="00277124" w:rsidP="0025781D">
      <w:pPr>
        <w:pStyle w:val="ZZAnxtitle"/>
        <w:rPr>
          <w:sz w:val="24"/>
          <w:szCs w:val="24"/>
          <w:lang w:val="fr-FR"/>
        </w:rPr>
      </w:pPr>
      <w:r w:rsidRPr="001A2820">
        <w:rPr>
          <w:sz w:val="24"/>
          <w:szCs w:val="24"/>
          <w:lang w:val="fr-FR"/>
        </w:rPr>
        <w:t>Demandes reçues dans le cadre du premier cycle de dépôt de demandes</w:t>
      </w:r>
      <w:r w:rsidR="00CE62B0" w:rsidRPr="001A2820">
        <w:rPr>
          <w:sz w:val="24"/>
          <w:szCs w:val="24"/>
          <w:lang w:val="fr-FR"/>
        </w:rPr>
        <w:t xml:space="preserve">, </w:t>
      </w:r>
      <w:r w:rsidRPr="001A2820">
        <w:rPr>
          <w:sz w:val="24"/>
          <w:szCs w:val="24"/>
          <w:lang w:val="fr-FR"/>
        </w:rPr>
        <w:t>par</w:t>
      </w:r>
      <w:r w:rsidR="00CE62B0" w:rsidRPr="001A2820">
        <w:rPr>
          <w:sz w:val="24"/>
          <w:szCs w:val="24"/>
          <w:lang w:val="fr-FR"/>
        </w:rPr>
        <w:t xml:space="preserve"> r</w:t>
      </w:r>
      <w:r w:rsidRPr="001A2820">
        <w:rPr>
          <w:sz w:val="24"/>
          <w:szCs w:val="24"/>
          <w:lang w:val="fr-FR"/>
        </w:rPr>
        <w:t>é</w:t>
      </w:r>
      <w:r w:rsidR="00CE62B0" w:rsidRPr="001A2820">
        <w:rPr>
          <w:sz w:val="24"/>
          <w:szCs w:val="24"/>
          <w:lang w:val="fr-FR"/>
        </w:rPr>
        <w:t>gion</w:t>
      </w:r>
    </w:p>
    <w:p w14:paraId="47B290DD" w14:textId="0BB82BC1" w:rsidR="00A71E0C" w:rsidRDefault="00CE62B0" w:rsidP="008511F6">
      <w:pPr>
        <w:pStyle w:val="NormalNonumber"/>
        <w:spacing w:after="0"/>
        <w:rPr>
          <w:rFonts w:asciiTheme="majorBidi" w:hAnsiTheme="majorBidi" w:cstheme="majorBidi"/>
          <w:sz w:val="24"/>
          <w:szCs w:val="24"/>
          <w:lang w:val="fr-FR"/>
        </w:rPr>
      </w:pPr>
      <w:r w:rsidRPr="001A2820">
        <w:rPr>
          <w:rFonts w:asciiTheme="majorBidi" w:hAnsiTheme="majorBidi" w:cstheme="majorBidi"/>
          <w:noProof/>
          <w:sz w:val="24"/>
          <w:szCs w:val="24"/>
          <w:lang w:val="fr-FR" w:eastAsia="fr-FR"/>
        </w:rPr>
        <w:drawing>
          <wp:inline distT="0" distB="0" distL="0" distR="0" wp14:anchorId="4C386FED" wp14:editId="2C2AAD1E">
            <wp:extent cx="3133725" cy="3271838"/>
            <wp:effectExtent l="0" t="0" r="9525" b="5080"/>
            <wp:docPr id="1" name="Chart 1">
              <a:extLst xmlns:a="http://schemas.openxmlformats.org/drawingml/2006/main">
                <a:ext uri="{FF2B5EF4-FFF2-40B4-BE49-F238E27FC236}">
                  <a16:creationId xmlns:a16="http://schemas.microsoft.com/office/drawing/2014/main" id="{E76AB67A-FCD9-4720-89A7-E4CD70D8E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37352F8" w14:textId="77777777" w:rsidR="00A71E0C" w:rsidRPr="001A2820" w:rsidRDefault="00A71E0C" w:rsidP="008511F6">
      <w:pPr>
        <w:pStyle w:val="NormalNonumber"/>
        <w:spacing w:after="0"/>
        <w:rPr>
          <w:rFonts w:asciiTheme="majorBidi" w:hAnsiTheme="majorBidi" w:cstheme="majorBidi"/>
          <w:sz w:val="24"/>
          <w:szCs w:val="24"/>
          <w:lang w:val="fr-FR"/>
        </w:rPr>
      </w:pPr>
    </w:p>
    <w:tbl>
      <w:tblPr>
        <w:tblStyle w:val="TableGrid"/>
        <w:tblW w:w="0" w:type="auto"/>
        <w:tblInd w:w="1247" w:type="dxa"/>
        <w:tblLook w:val="04A0" w:firstRow="1" w:lastRow="0" w:firstColumn="1" w:lastColumn="0" w:noHBand="0" w:noVBand="1"/>
      </w:tblPr>
      <w:tblGrid>
        <w:gridCol w:w="4120"/>
        <w:gridCol w:w="4120"/>
      </w:tblGrid>
      <w:tr w:rsidR="00A71E0C" w14:paraId="5EF10C18" w14:textId="77777777" w:rsidTr="00A71E0C">
        <w:tc>
          <w:tcPr>
            <w:tcW w:w="4120" w:type="dxa"/>
          </w:tcPr>
          <w:p w14:paraId="39367C96" w14:textId="6D358E23" w:rsidR="00A71E0C" w:rsidRPr="00CA419D" w:rsidRDefault="00A71E0C" w:rsidP="00FB1282">
            <w:pPr>
              <w:pStyle w:val="NormalNonumber"/>
              <w:tabs>
                <w:tab w:val="clear" w:pos="4082"/>
              </w:tabs>
              <w:spacing w:after="0"/>
              <w:ind w:left="338" w:right="-123"/>
              <w:rPr>
                <w:rFonts w:asciiTheme="majorBidi" w:hAnsiTheme="majorBidi" w:cstheme="majorBidi"/>
                <w:lang w:val="fr-FR"/>
              </w:rPr>
            </w:pPr>
            <w:r w:rsidRPr="00CA419D">
              <w:rPr>
                <w:rFonts w:asciiTheme="majorBidi" w:hAnsiTheme="majorBidi" w:cstheme="majorBidi"/>
                <w:lang w:val="fr-FR"/>
              </w:rPr>
              <w:t>Africa (5)</w:t>
            </w:r>
          </w:p>
        </w:tc>
        <w:tc>
          <w:tcPr>
            <w:tcW w:w="4120" w:type="dxa"/>
          </w:tcPr>
          <w:p w14:paraId="6B6027A6" w14:textId="239FB183" w:rsidR="00A71E0C" w:rsidRPr="00CA419D" w:rsidRDefault="00A71E0C" w:rsidP="00CA419D">
            <w:pPr>
              <w:pStyle w:val="NormalNonumber"/>
              <w:numPr>
                <w:ilvl w:val="0"/>
                <w:numId w:val="16"/>
              </w:numPr>
              <w:tabs>
                <w:tab w:val="clear" w:pos="1247"/>
                <w:tab w:val="left" w:pos="329"/>
              </w:tabs>
              <w:spacing w:after="0"/>
              <w:ind w:left="0" w:firstLine="0"/>
              <w:rPr>
                <w:rFonts w:asciiTheme="majorBidi" w:hAnsiTheme="majorBidi" w:cstheme="majorBidi"/>
                <w:lang w:val="fr-FR"/>
              </w:rPr>
            </w:pPr>
            <w:r w:rsidRPr="00CA419D">
              <w:rPr>
                <w:rFonts w:asciiTheme="majorBidi" w:hAnsiTheme="majorBidi" w:cstheme="majorBidi"/>
                <w:lang w:val="fr-FR"/>
              </w:rPr>
              <w:t>Afrique (5)</w:t>
            </w:r>
          </w:p>
          <w:p w14:paraId="7A5661C0" w14:textId="77777777" w:rsidR="00A71E0C" w:rsidRPr="00CA419D" w:rsidRDefault="00A71E0C" w:rsidP="00CA419D">
            <w:pPr>
              <w:pStyle w:val="NormalNonumber"/>
              <w:tabs>
                <w:tab w:val="clear" w:pos="1247"/>
                <w:tab w:val="left" w:pos="329"/>
              </w:tabs>
              <w:spacing w:after="0"/>
              <w:ind w:left="0" w:hanging="1201"/>
              <w:rPr>
                <w:rFonts w:asciiTheme="majorBidi" w:hAnsiTheme="majorBidi" w:cstheme="majorBidi"/>
                <w:lang w:val="fr-FR"/>
              </w:rPr>
            </w:pPr>
          </w:p>
        </w:tc>
      </w:tr>
      <w:tr w:rsidR="00A71E0C" w14:paraId="5AF18CFE" w14:textId="77777777" w:rsidTr="00A71E0C">
        <w:tc>
          <w:tcPr>
            <w:tcW w:w="4120" w:type="dxa"/>
          </w:tcPr>
          <w:p w14:paraId="6069CC9C" w14:textId="2B8C1D49" w:rsidR="00A71E0C" w:rsidRPr="00CA419D" w:rsidRDefault="00A71E0C" w:rsidP="00A71E0C">
            <w:pPr>
              <w:pStyle w:val="NormalNonumber"/>
              <w:spacing w:after="0"/>
              <w:ind w:left="338"/>
              <w:rPr>
                <w:rFonts w:asciiTheme="majorBidi" w:hAnsiTheme="majorBidi" w:cstheme="majorBidi"/>
                <w:lang w:val="fr-FR"/>
              </w:rPr>
            </w:pPr>
            <w:r w:rsidRPr="00CA419D">
              <w:rPr>
                <w:rFonts w:asciiTheme="majorBidi" w:hAnsiTheme="majorBidi" w:cstheme="majorBidi"/>
                <w:lang w:val="fr-FR"/>
              </w:rPr>
              <w:t>LAC (7)</w:t>
            </w:r>
          </w:p>
        </w:tc>
        <w:tc>
          <w:tcPr>
            <w:tcW w:w="4120" w:type="dxa"/>
          </w:tcPr>
          <w:p w14:paraId="3077EAD2" w14:textId="7F1F834D" w:rsidR="00A71E0C" w:rsidRPr="00CA419D" w:rsidRDefault="00A71E0C" w:rsidP="00CA419D">
            <w:pPr>
              <w:pStyle w:val="NormalNonumber"/>
              <w:numPr>
                <w:ilvl w:val="0"/>
                <w:numId w:val="17"/>
              </w:numPr>
              <w:tabs>
                <w:tab w:val="clear" w:pos="1247"/>
                <w:tab w:val="left" w:pos="329"/>
              </w:tabs>
              <w:spacing w:after="0"/>
              <w:ind w:left="0" w:firstLine="0"/>
              <w:rPr>
                <w:rFonts w:asciiTheme="majorBidi" w:hAnsiTheme="majorBidi" w:cstheme="majorBidi"/>
                <w:lang w:val="fr-FR"/>
              </w:rPr>
            </w:pPr>
            <w:r w:rsidRPr="00CA419D">
              <w:rPr>
                <w:rFonts w:asciiTheme="majorBidi" w:hAnsiTheme="majorBidi" w:cstheme="majorBidi"/>
                <w:lang w:val="fr-FR"/>
              </w:rPr>
              <w:t>Amérique latine et Caraïbes (7)</w:t>
            </w:r>
          </w:p>
          <w:p w14:paraId="55DB58FC" w14:textId="77777777" w:rsidR="00A71E0C" w:rsidRPr="00CA419D" w:rsidRDefault="00A71E0C" w:rsidP="00CA419D">
            <w:pPr>
              <w:pStyle w:val="NormalNonumber"/>
              <w:tabs>
                <w:tab w:val="clear" w:pos="1247"/>
                <w:tab w:val="left" w:pos="329"/>
              </w:tabs>
              <w:spacing w:after="0"/>
              <w:ind w:left="0"/>
              <w:rPr>
                <w:rFonts w:asciiTheme="majorBidi" w:hAnsiTheme="majorBidi" w:cstheme="majorBidi"/>
                <w:lang w:val="fr-FR"/>
              </w:rPr>
            </w:pPr>
          </w:p>
        </w:tc>
      </w:tr>
      <w:tr w:rsidR="00A71E0C" w14:paraId="2CD067E6" w14:textId="77777777" w:rsidTr="00A71E0C">
        <w:tc>
          <w:tcPr>
            <w:tcW w:w="4120" w:type="dxa"/>
          </w:tcPr>
          <w:p w14:paraId="7FBAD71E" w14:textId="384E85F3" w:rsidR="00A71E0C" w:rsidRPr="00CA419D" w:rsidRDefault="00A71E0C" w:rsidP="00A71E0C">
            <w:pPr>
              <w:pStyle w:val="NormalNonumber"/>
              <w:spacing w:after="0"/>
              <w:ind w:left="338"/>
              <w:rPr>
                <w:rFonts w:asciiTheme="majorBidi" w:hAnsiTheme="majorBidi" w:cstheme="majorBidi"/>
                <w:lang w:val="fr-FR"/>
              </w:rPr>
            </w:pPr>
            <w:r w:rsidRPr="00CA419D">
              <w:rPr>
                <w:rFonts w:asciiTheme="majorBidi" w:hAnsiTheme="majorBidi" w:cstheme="majorBidi"/>
                <w:lang w:val="fr-FR"/>
              </w:rPr>
              <w:t>Asia (5)</w:t>
            </w:r>
          </w:p>
        </w:tc>
        <w:tc>
          <w:tcPr>
            <w:tcW w:w="4120" w:type="dxa"/>
          </w:tcPr>
          <w:p w14:paraId="6657023B" w14:textId="2DBF2566" w:rsidR="00A71E0C" w:rsidRPr="00CA419D" w:rsidRDefault="00A71E0C" w:rsidP="00FB1282">
            <w:pPr>
              <w:pStyle w:val="NormalNonumber"/>
              <w:numPr>
                <w:ilvl w:val="0"/>
                <w:numId w:val="22"/>
              </w:numPr>
              <w:tabs>
                <w:tab w:val="clear" w:pos="1247"/>
                <w:tab w:val="left" w:pos="329"/>
              </w:tabs>
              <w:spacing w:after="0"/>
              <w:ind w:left="0" w:firstLine="0"/>
              <w:rPr>
                <w:rFonts w:asciiTheme="majorBidi" w:hAnsiTheme="majorBidi" w:cstheme="majorBidi"/>
                <w:lang w:val="fr-FR"/>
              </w:rPr>
            </w:pPr>
            <w:r w:rsidRPr="00CA419D">
              <w:rPr>
                <w:rFonts w:asciiTheme="majorBidi" w:hAnsiTheme="majorBidi" w:cstheme="majorBidi"/>
                <w:lang w:val="fr-FR"/>
              </w:rPr>
              <w:t>Asie (5)</w:t>
            </w:r>
          </w:p>
          <w:p w14:paraId="3DDB9ADA" w14:textId="77777777" w:rsidR="00A71E0C" w:rsidRPr="00CA419D" w:rsidRDefault="00A71E0C" w:rsidP="00CA419D">
            <w:pPr>
              <w:pStyle w:val="NormalNonumber"/>
              <w:tabs>
                <w:tab w:val="clear" w:pos="1247"/>
                <w:tab w:val="left" w:pos="329"/>
              </w:tabs>
              <w:spacing w:after="0"/>
              <w:ind w:left="0"/>
              <w:rPr>
                <w:rFonts w:asciiTheme="majorBidi" w:hAnsiTheme="majorBidi" w:cstheme="majorBidi"/>
                <w:lang w:val="fr-FR"/>
              </w:rPr>
            </w:pPr>
          </w:p>
        </w:tc>
      </w:tr>
      <w:tr w:rsidR="00A71E0C" w14:paraId="01724DD2" w14:textId="77777777" w:rsidTr="00A71E0C">
        <w:tc>
          <w:tcPr>
            <w:tcW w:w="4120" w:type="dxa"/>
          </w:tcPr>
          <w:p w14:paraId="522EC010" w14:textId="475AC4F9" w:rsidR="00A71E0C" w:rsidRPr="00CA419D" w:rsidRDefault="00A71E0C" w:rsidP="00A71E0C">
            <w:pPr>
              <w:pStyle w:val="NormalNonumber"/>
              <w:spacing w:after="0"/>
              <w:ind w:left="338"/>
              <w:rPr>
                <w:rFonts w:asciiTheme="majorBidi" w:hAnsiTheme="majorBidi" w:cstheme="majorBidi"/>
                <w:lang w:val="fr-FR"/>
              </w:rPr>
            </w:pPr>
            <w:r w:rsidRPr="00CA419D">
              <w:rPr>
                <w:rFonts w:asciiTheme="majorBidi" w:hAnsiTheme="majorBidi" w:cstheme="majorBidi"/>
                <w:lang w:val="fr-FR"/>
              </w:rPr>
              <w:t>CEE (2)</w:t>
            </w:r>
          </w:p>
        </w:tc>
        <w:tc>
          <w:tcPr>
            <w:tcW w:w="4120" w:type="dxa"/>
          </w:tcPr>
          <w:p w14:paraId="34D49662" w14:textId="38955F24" w:rsidR="00A71E0C" w:rsidRPr="00CA419D" w:rsidRDefault="00A71E0C" w:rsidP="00CA419D">
            <w:pPr>
              <w:pStyle w:val="NormalNonumber"/>
              <w:numPr>
                <w:ilvl w:val="0"/>
                <w:numId w:val="18"/>
              </w:numPr>
              <w:tabs>
                <w:tab w:val="clear" w:pos="1247"/>
                <w:tab w:val="left" w:pos="329"/>
              </w:tabs>
              <w:spacing w:after="0"/>
              <w:ind w:left="0" w:firstLine="0"/>
              <w:rPr>
                <w:rFonts w:asciiTheme="majorBidi" w:hAnsiTheme="majorBidi" w:cstheme="majorBidi"/>
                <w:color w:val="984806" w:themeColor="accent6" w:themeShade="80"/>
                <w:lang w:val="fr-FR"/>
              </w:rPr>
            </w:pPr>
            <w:r w:rsidRPr="00CA419D">
              <w:rPr>
                <w:rFonts w:asciiTheme="majorBidi" w:hAnsiTheme="majorBidi" w:cstheme="majorBidi"/>
                <w:lang w:val="fr-FR"/>
              </w:rPr>
              <w:t>Europe centrale et occidentale (2)</w:t>
            </w:r>
          </w:p>
          <w:p w14:paraId="668B1A06" w14:textId="77777777" w:rsidR="00A71E0C" w:rsidRPr="00CA419D" w:rsidRDefault="00A71E0C" w:rsidP="00CA419D">
            <w:pPr>
              <w:pStyle w:val="NormalNonumber"/>
              <w:tabs>
                <w:tab w:val="clear" w:pos="1247"/>
                <w:tab w:val="left" w:pos="329"/>
              </w:tabs>
              <w:spacing w:after="0"/>
              <w:ind w:left="0"/>
              <w:rPr>
                <w:rFonts w:asciiTheme="majorBidi" w:hAnsiTheme="majorBidi" w:cstheme="majorBidi"/>
                <w:lang w:val="fr-FR"/>
              </w:rPr>
            </w:pPr>
          </w:p>
        </w:tc>
      </w:tr>
    </w:tbl>
    <w:p w14:paraId="20711796" w14:textId="36DFEDCD" w:rsidR="00277124" w:rsidRPr="001A2820" w:rsidRDefault="00277124" w:rsidP="008511F6">
      <w:pPr>
        <w:pStyle w:val="NormalNonumber"/>
        <w:spacing w:after="0"/>
        <w:rPr>
          <w:rFonts w:asciiTheme="majorBidi" w:hAnsiTheme="majorBidi" w:cstheme="majorBidi"/>
          <w:sz w:val="24"/>
          <w:szCs w:val="24"/>
          <w:lang w:val="fr-FR"/>
        </w:rPr>
      </w:pPr>
    </w:p>
    <w:p w14:paraId="6B087C14" w14:textId="5B6D78F4" w:rsidR="00CE62B0" w:rsidRPr="001A2820" w:rsidRDefault="00CE62B0" w:rsidP="00CE62B0">
      <w:pPr>
        <w:pStyle w:val="CH2"/>
        <w:spacing w:after="60"/>
        <w:rPr>
          <w:rFonts w:asciiTheme="majorBidi" w:hAnsiTheme="majorBidi" w:cstheme="majorBidi"/>
          <w:lang w:val="fr-FR"/>
        </w:rPr>
      </w:pPr>
      <w:r w:rsidRPr="001A2820">
        <w:rPr>
          <w:rFonts w:asciiTheme="majorBidi" w:hAnsiTheme="majorBidi" w:cstheme="majorBidi"/>
          <w:lang w:val="fr-FR"/>
        </w:rPr>
        <w:lastRenderedPageBreak/>
        <w:tab/>
      </w:r>
      <w:r w:rsidRPr="001A2820">
        <w:rPr>
          <w:rFonts w:asciiTheme="majorBidi" w:hAnsiTheme="majorBidi" w:cstheme="majorBidi"/>
          <w:lang w:val="fr-FR"/>
        </w:rPr>
        <w:tab/>
      </w:r>
      <w:r w:rsidR="00277124" w:rsidRPr="001A2820">
        <w:rPr>
          <w:rFonts w:asciiTheme="majorBidi" w:hAnsiTheme="majorBidi" w:cstheme="majorBidi"/>
          <w:lang w:val="fr-FR"/>
        </w:rPr>
        <w:t>Demandes reçues dans le cadre du premier cycle de dépôt de demandes</w:t>
      </w:r>
      <w:r w:rsidRPr="001A2820">
        <w:rPr>
          <w:rFonts w:asciiTheme="majorBidi" w:hAnsiTheme="majorBidi" w:cstheme="majorBidi"/>
          <w:lang w:val="fr-FR"/>
        </w:rPr>
        <w:t xml:space="preserve">, </w:t>
      </w:r>
      <w:r w:rsidR="008511F6" w:rsidRPr="001A2820">
        <w:rPr>
          <w:rFonts w:asciiTheme="majorBidi" w:hAnsiTheme="majorBidi" w:cstheme="majorBidi"/>
          <w:lang w:val="fr-FR"/>
        </w:rPr>
        <w:t>en fonction du</w:t>
      </w:r>
      <w:r w:rsidR="00277124" w:rsidRPr="001A2820">
        <w:rPr>
          <w:rFonts w:asciiTheme="majorBidi" w:hAnsiTheme="majorBidi" w:cstheme="majorBidi"/>
          <w:lang w:val="fr-FR"/>
        </w:rPr>
        <w:t xml:space="preserve"> statut économique des pays</w:t>
      </w:r>
    </w:p>
    <w:p w14:paraId="3F8D09F8" w14:textId="77777777" w:rsidR="00CE62B0" w:rsidRPr="001A2820" w:rsidRDefault="00CE62B0" w:rsidP="00CE62B0">
      <w:pPr>
        <w:pStyle w:val="NormalNonumber"/>
        <w:spacing w:after="0"/>
        <w:rPr>
          <w:rFonts w:asciiTheme="majorBidi" w:hAnsiTheme="majorBidi" w:cstheme="majorBidi"/>
          <w:sz w:val="24"/>
          <w:szCs w:val="24"/>
          <w:lang w:val="fr-FR"/>
        </w:rPr>
      </w:pPr>
      <w:r w:rsidRPr="001A2820">
        <w:rPr>
          <w:rFonts w:asciiTheme="majorBidi" w:hAnsiTheme="majorBidi" w:cstheme="majorBidi"/>
          <w:noProof/>
          <w:sz w:val="24"/>
          <w:szCs w:val="24"/>
          <w:lang w:val="fr-FR" w:eastAsia="fr-FR"/>
        </w:rPr>
        <w:drawing>
          <wp:inline distT="0" distB="0" distL="0" distR="0" wp14:anchorId="7C401F74" wp14:editId="430390E3">
            <wp:extent cx="3128964" cy="3033712"/>
            <wp:effectExtent l="0" t="0" r="14605" b="14605"/>
            <wp:docPr id="4" name="Chart 4">
              <a:extLst xmlns:a="http://schemas.openxmlformats.org/drawingml/2006/main">
                <a:ext uri="{FF2B5EF4-FFF2-40B4-BE49-F238E27FC236}">
                  <a16:creationId xmlns:a16="http://schemas.microsoft.com/office/drawing/2014/main" id="{2FD997DC-DB29-4B1E-A07A-49E15520E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EDAE0FF" w14:textId="77777777" w:rsidR="00A97E24" w:rsidRDefault="00A97E24" w:rsidP="008511F6">
      <w:pPr>
        <w:pStyle w:val="Normal-pool"/>
        <w:ind w:left="1276"/>
        <w:rPr>
          <w:rFonts w:asciiTheme="majorBidi" w:hAnsiTheme="majorBidi" w:cstheme="majorBidi"/>
          <w:color w:val="17365D" w:themeColor="text2" w:themeShade="BF"/>
          <w:lang w:val="fr-FR"/>
        </w:rPr>
      </w:pPr>
    </w:p>
    <w:p w14:paraId="71C7F33B" w14:textId="77777777" w:rsidR="00A97E24" w:rsidRDefault="00A97E24" w:rsidP="008511F6">
      <w:pPr>
        <w:pStyle w:val="Normal-pool"/>
        <w:ind w:left="1276"/>
        <w:rPr>
          <w:rFonts w:asciiTheme="majorBidi" w:hAnsiTheme="majorBidi" w:cstheme="majorBidi"/>
          <w:color w:val="17365D" w:themeColor="text2" w:themeShade="BF"/>
          <w:lang w:val="fr-FR"/>
        </w:rPr>
      </w:pPr>
    </w:p>
    <w:tbl>
      <w:tblPr>
        <w:tblStyle w:val="TableGrid"/>
        <w:tblW w:w="0" w:type="auto"/>
        <w:tblInd w:w="1276" w:type="dxa"/>
        <w:tblLook w:val="04A0" w:firstRow="1" w:lastRow="0" w:firstColumn="1" w:lastColumn="0" w:noHBand="0" w:noVBand="1"/>
      </w:tblPr>
      <w:tblGrid>
        <w:gridCol w:w="1696"/>
        <w:gridCol w:w="4394"/>
      </w:tblGrid>
      <w:tr w:rsidR="00A97E24" w14:paraId="2F76589F" w14:textId="77777777" w:rsidTr="00A97E24">
        <w:tc>
          <w:tcPr>
            <w:tcW w:w="1696" w:type="dxa"/>
          </w:tcPr>
          <w:p w14:paraId="0F4256BD" w14:textId="36D91240" w:rsidR="00A97E24" w:rsidRDefault="00A97E24" w:rsidP="008511F6">
            <w:pPr>
              <w:pStyle w:val="Normal-pool"/>
              <w:rPr>
                <w:rFonts w:asciiTheme="majorBidi" w:hAnsiTheme="majorBidi" w:cstheme="majorBidi"/>
                <w:color w:val="17365D" w:themeColor="text2" w:themeShade="BF"/>
                <w:lang w:val="fr-FR"/>
              </w:rPr>
            </w:pPr>
            <w:r>
              <w:rPr>
                <w:rFonts w:asciiTheme="majorBidi" w:hAnsiTheme="majorBidi" w:cstheme="majorBidi"/>
                <w:color w:val="17365D" w:themeColor="text2" w:themeShade="BF"/>
                <w:lang w:val="fr-FR"/>
              </w:rPr>
              <w:t>DCs (11)</w:t>
            </w:r>
          </w:p>
        </w:tc>
        <w:tc>
          <w:tcPr>
            <w:tcW w:w="4394" w:type="dxa"/>
          </w:tcPr>
          <w:p w14:paraId="018BCDBA" w14:textId="1F06D8BC" w:rsidR="00A97E24" w:rsidRPr="00A97E24" w:rsidRDefault="00A97E24" w:rsidP="00A97E24">
            <w:pPr>
              <w:pStyle w:val="Normal-pool"/>
              <w:numPr>
                <w:ilvl w:val="0"/>
                <w:numId w:val="18"/>
              </w:numPr>
              <w:tabs>
                <w:tab w:val="clear" w:pos="1247"/>
                <w:tab w:val="left" w:pos="-58"/>
                <w:tab w:val="left" w:pos="219"/>
                <w:tab w:val="left" w:pos="486"/>
              </w:tabs>
              <w:ind w:left="-58" w:hanging="18"/>
              <w:rPr>
                <w:rFonts w:asciiTheme="majorBidi" w:hAnsiTheme="majorBidi" w:cstheme="majorBidi"/>
                <w:lang w:val="fr-FR"/>
              </w:rPr>
            </w:pPr>
            <w:r w:rsidRPr="00A97E24">
              <w:rPr>
                <w:rFonts w:asciiTheme="majorBidi" w:hAnsiTheme="majorBidi" w:cstheme="majorBidi"/>
                <w:lang w:val="fr-FR"/>
              </w:rPr>
              <w:t>Pays développés (11)</w:t>
            </w:r>
          </w:p>
          <w:p w14:paraId="7F064AF3" w14:textId="77777777" w:rsidR="00A97E24" w:rsidRPr="00A97E24" w:rsidRDefault="00A97E24" w:rsidP="00A97E24">
            <w:pPr>
              <w:pStyle w:val="Normal-pool"/>
              <w:tabs>
                <w:tab w:val="clear" w:pos="1247"/>
                <w:tab w:val="left" w:pos="-58"/>
                <w:tab w:val="left" w:pos="219"/>
                <w:tab w:val="left" w:pos="486"/>
              </w:tabs>
              <w:ind w:left="-58" w:hanging="18"/>
              <w:rPr>
                <w:rFonts w:asciiTheme="majorBidi" w:hAnsiTheme="majorBidi" w:cstheme="majorBidi"/>
                <w:color w:val="0070C0"/>
                <w:lang w:val="fr-FR"/>
              </w:rPr>
            </w:pPr>
          </w:p>
        </w:tc>
      </w:tr>
      <w:tr w:rsidR="00A97E24" w14:paraId="012EFCBF" w14:textId="77777777" w:rsidTr="00A97E24">
        <w:tc>
          <w:tcPr>
            <w:tcW w:w="1696" w:type="dxa"/>
          </w:tcPr>
          <w:p w14:paraId="6A32877A" w14:textId="35350322" w:rsidR="00A97E24" w:rsidRDefault="00A97E24" w:rsidP="008511F6">
            <w:pPr>
              <w:pStyle w:val="Normal-pool"/>
              <w:rPr>
                <w:rFonts w:asciiTheme="majorBidi" w:hAnsiTheme="majorBidi" w:cstheme="majorBidi"/>
                <w:color w:val="17365D" w:themeColor="text2" w:themeShade="BF"/>
                <w:lang w:val="fr-FR"/>
              </w:rPr>
            </w:pPr>
            <w:r>
              <w:rPr>
                <w:rFonts w:asciiTheme="majorBidi" w:hAnsiTheme="majorBidi" w:cstheme="majorBidi"/>
                <w:color w:val="17365D" w:themeColor="text2" w:themeShade="BF"/>
                <w:lang w:val="fr-FR"/>
              </w:rPr>
              <w:t>LDCs (4)</w:t>
            </w:r>
          </w:p>
        </w:tc>
        <w:tc>
          <w:tcPr>
            <w:tcW w:w="4394" w:type="dxa"/>
          </w:tcPr>
          <w:p w14:paraId="26322E8D" w14:textId="41A0C0E1" w:rsidR="00A97E24" w:rsidRPr="00A97E24" w:rsidRDefault="00A97E24" w:rsidP="00A97E24">
            <w:pPr>
              <w:pStyle w:val="Normal-pool"/>
              <w:numPr>
                <w:ilvl w:val="0"/>
                <w:numId w:val="19"/>
              </w:numPr>
              <w:tabs>
                <w:tab w:val="clear" w:pos="1247"/>
                <w:tab w:val="left" w:pos="-58"/>
                <w:tab w:val="left" w:pos="219"/>
                <w:tab w:val="left" w:pos="486"/>
              </w:tabs>
              <w:ind w:left="-58" w:hanging="18"/>
              <w:rPr>
                <w:rFonts w:asciiTheme="majorBidi" w:hAnsiTheme="majorBidi" w:cstheme="majorBidi"/>
                <w:lang w:val="fr-FR"/>
              </w:rPr>
            </w:pPr>
            <w:r w:rsidRPr="00A97E24">
              <w:rPr>
                <w:rFonts w:asciiTheme="majorBidi" w:hAnsiTheme="majorBidi" w:cstheme="majorBidi"/>
                <w:lang w:val="fr-FR"/>
              </w:rPr>
              <w:t>Pays les moins avancés (4)</w:t>
            </w:r>
          </w:p>
          <w:p w14:paraId="2F844A9C" w14:textId="77777777" w:rsidR="00A97E24" w:rsidRDefault="00A97E24" w:rsidP="00A97E24">
            <w:pPr>
              <w:pStyle w:val="Normal-pool"/>
              <w:tabs>
                <w:tab w:val="clear" w:pos="1247"/>
                <w:tab w:val="left" w:pos="-58"/>
                <w:tab w:val="left" w:pos="219"/>
                <w:tab w:val="left" w:pos="486"/>
              </w:tabs>
              <w:ind w:left="-58" w:hanging="18"/>
              <w:rPr>
                <w:rFonts w:asciiTheme="majorBidi" w:hAnsiTheme="majorBidi" w:cstheme="majorBidi"/>
                <w:color w:val="17365D" w:themeColor="text2" w:themeShade="BF"/>
                <w:lang w:val="fr-FR"/>
              </w:rPr>
            </w:pPr>
          </w:p>
        </w:tc>
      </w:tr>
      <w:tr w:rsidR="00A97E24" w:rsidRPr="00CF6A23" w14:paraId="57F357AF" w14:textId="77777777" w:rsidTr="00A97E24">
        <w:tc>
          <w:tcPr>
            <w:tcW w:w="1696" w:type="dxa"/>
          </w:tcPr>
          <w:p w14:paraId="02A2D61A" w14:textId="0CE4A978" w:rsidR="00A97E24" w:rsidRDefault="00A97E24" w:rsidP="008511F6">
            <w:pPr>
              <w:pStyle w:val="Normal-pool"/>
              <w:rPr>
                <w:rFonts w:asciiTheme="majorBidi" w:hAnsiTheme="majorBidi" w:cstheme="majorBidi"/>
                <w:color w:val="17365D" w:themeColor="text2" w:themeShade="BF"/>
                <w:lang w:val="fr-FR"/>
              </w:rPr>
            </w:pPr>
            <w:r>
              <w:rPr>
                <w:rFonts w:asciiTheme="majorBidi" w:hAnsiTheme="majorBidi" w:cstheme="majorBidi"/>
                <w:color w:val="17365D" w:themeColor="text2" w:themeShade="BF"/>
                <w:lang w:val="fr-FR"/>
              </w:rPr>
              <w:t>SIDS (2)</w:t>
            </w:r>
          </w:p>
        </w:tc>
        <w:tc>
          <w:tcPr>
            <w:tcW w:w="4394" w:type="dxa"/>
          </w:tcPr>
          <w:p w14:paraId="45FCF592" w14:textId="54CCDFCA" w:rsidR="00A97E24" w:rsidRPr="00A97E24" w:rsidRDefault="00A97E24" w:rsidP="00A97E24">
            <w:pPr>
              <w:pStyle w:val="ListParagraph"/>
              <w:numPr>
                <w:ilvl w:val="0"/>
                <w:numId w:val="20"/>
              </w:numPr>
              <w:tabs>
                <w:tab w:val="clear" w:pos="1247"/>
                <w:tab w:val="left" w:pos="-58"/>
                <w:tab w:val="left" w:pos="219"/>
                <w:tab w:val="left" w:pos="486"/>
              </w:tabs>
              <w:ind w:left="-58" w:hanging="18"/>
              <w:rPr>
                <w:rFonts w:asciiTheme="majorBidi" w:hAnsiTheme="majorBidi" w:cstheme="majorBidi"/>
                <w:lang w:val="fr-FR"/>
              </w:rPr>
            </w:pPr>
            <w:r w:rsidRPr="00FB1282">
              <w:rPr>
                <w:rFonts w:asciiTheme="majorBidi" w:hAnsiTheme="majorBidi" w:cstheme="majorBidi"/>
                <w:lang w:val="fr-FR"/>
              </w:rPr>
              <w:t>Petits États insulaires en développement (2)</w:t>
            </w:r>
          </w:p>
          <w:p w14:paraId="3BFC4517" w14:textId="77777777" w:rsidR="00A97E24" w:rsidRDefault="00A97E24" w:rsidP="00A97E24">
            <w:pPr>
              <w:pStyle w:val="Normal-pool"/>
              <w:tabs>
                <w:tab w:val="clear" w:pos="1247"/>
                <w:tab w:val="left" w:pos="-58"/>
                <w:tab w:val="left" w:pos="219"/>
                <w:tab w:val="left" w:pos="486"/>
              </w:tabs>
              <w:ind w:left="-58" w:hanging="18"/>
              <w:rPr>
                <w:rFonts w:asciiTheme="majorBidi" w:hAnsiTheme="majorBidi" w:cstheme="majorBidi"/>
                <w:color w:val="17365D" w:themeColor="text2" w:themeShade="BF"/>
                <w:lang w:val="fr-FR"/>
              </w:rPr>
            </w:pPr>
          </w:p>
        </w:tc>
      </w:tr>
      <w:tr w:rsidR="00A97E24" w:rsidRPr="00CF6A23" w14:paraId="1D3C4F30" w14:textId="77777777" w:rsidTr="00A97E24">
        <w:tc>
          <w:tcPr>
            <w:tcW w:w="1696" w:type="dxa"/>
          </w:tcPr>
          <w:p w14:paraId="2D77BB61" w14:textId="4A667E8E" w:rsidR="00A97E24" w:rsidRDefault="00A97E24" w:rsidP="008511F6">
            <w:pPr>
              <w:pStyle w:val="Normal-pool"/>
              <w:rPr>
                <w:rFonts w:asciiTheme="majorBidi" w:hAnsiTheme="majorBidi" w:cstheme="majorBidi"/>
                <w:color w:val="17365D" w:themeColor="text2" w:themeShade="BF"/>
                <w:lang w:val="fr-FR"/>
              </w:rPr>
            </w:pPr>
            <w:r>
              <w:rPr>
                <w:rFonts w:asciiTheme="majorBidi" w:hAnsiTheme="majorBidi" w:cstheme="majorBidi"/>
                <w:color w:val="17365D" w:themeColor="text2" w:themeShade="BF"/>
                <w:lang w:val="fr-FR"/>
              </w:rPr>
              <w:t>CEITs (2)</w:t>
            </w:r>
          </w:p>
        </w:tc>
        <w:tc>
          <w:tcPr>
            <w:tcW w:w="4394" w:type="dxa"/>
          </w:tcPr>
          <w:p w14:paraId="655C33CE" w14:textId="279B27C4" w:rsidR="00A97E24" w:rsidRDefault="00A97E24" w:rsidP="00A97E24">
            <w:pPr>
              <w:pStyle w:val="Normal-pool"/>
              <w:numPr>
                <w:ilvl w:val="0"/>
                <w:numId w:val="21"/>
              </w:numPr>
              <w:tabs>
                <w:tab w:val="left" w:pos="-58"/>
                <w:tab w:val="left" w:pos="219"/>
                <w:tab w:val="left" w:pos="486"/>
              </w:tabs>
              <w:ind w:left="-58" w:hanging="18"/>
              <w:rPr>
                <w:rFonts w:asciiTheme="majorBidi" w:hAnsiTheme="majorBidi" w:cstheme="majorBidi"/>
                <w:color w:val="17365D" w:themeColor="text2" w:themeShade="BF"/>
                <w:lang w:val="fr-FR"/>
              </w:rPr>
            </w:pPr>
            <w:r w:rsidRPr="00FB1282">
              <w:rPr>
                <w:rFonts w:asciiTheme="majorBidi" w:hAnsiTheme="majorBidi" w:cstheme="majorBidi"/>
                <w:lang w:val="fr-FR"/>
              </w:rPr>
              <w:t>Pays à économie en transition (2)</w:t>
            </w:r>
          </w:p>
        </w:tc>
      </w:tr>
    </w:tbl>
    <w:p w14:paraId="502E601A" w14:textId="77777777" w:rsidR="00A97E24" w:rsidRDefault="00A97E24" w:rsidP="008511F6">
      <w:pPr>
        <w:pStyle w:val="Normal-pool"/>
        <w:ind w:left="1276"/>
        <w:rPr>
          <w:rFonts w:asciiTheme="majorBidi" w:hAnsiTheme="majorBidi" w:cstheme="majorBidi"/>
          <w:color w:val="17365D" w:themeColor="text2" w:themeShade="BF"/>
          <w:lang w:val="fr-FR"/>
        </w:rPr>
      </w:pPr>
    </w:p>
    <w:p w14:paraId="2614C027" w14:textId="38EEF10A" w:rsidR="00CE62B0" w:rsidRPr="001A2820" w:rsidRDefault="00CE62B0" w:rsidP="008511F6">
      <w:pPr>
        <w:ind w:left="1276"/>
        <w:rPr>
          <w:rFonts w:asciiTheme="majorBidi" w:hAnsiTheme="majorBidi" w:cstheme="majorBidi"/>
          <w:sz w:val="24"/>
          <w:szCs w:val="24"/>
          <w:lang w:val="fr-FR"/>
        </w:rPr>
      </w:pPr>
      <w:r w:rsidRPr="001A2820">
        <w:rPr>
          <w:rFonts w:asciiTheme="majorBidi" w:hAnsiTheme="majorBidi" w:cstheme="majorBidi"/>
          <w:sz w:val="24"/>
          <w:szCs w:val="24"/>
          <w:lang w:val="fr-FR"/>
        </w:rPr>
        <w:br w:type="page"/>
      </w:r>
    </w:p>
    <w:p w14:paraId="051C5AC8" w14:textId="7FB74023" w:rsidR="00CE62B0" w:rsidRPr="001A2820" w:rsidRDefault="00CE62B0" w:rsidP="0025781D">
      <w:pPr>
        <w:pStyle w:val="ZZAnxheader"/>
        <w:spacing w:after="240"/>
        <w:rPr>
          <w:lang w:val="fr-FR"/>
        </w:rPr>
      </w:pPr>
      <w:r w:rsidRPr="001A2820">
        <w:rPr>
          <w:lang w:val="fr-FR"/>
        </w:rPr>
        <w:lastRenderedPageBreak/>
        <w:t>Appendi</w:t>
      </w:r>
      <w:r w:rsidR="003F35F3" w:rsidRPr="001A2820">
        <w:rPr>
          <w:lang w:val="fr-FR"/>
        </w:rPr>
        <w:t>ce </w:t>
      </w:r>
      <w:r w:rsidRPr="001A2820">
        <w:rPr>
          <w:lang w:val="fr-FR"/>
        </w:rPr>
        <w:t xml:space="preserve">II </w:t>
      </w:r>
      <w:r w:rsidRPr="001A2820">
        <w:rPr>
          <w:lang w:val="fr-FR"/>
        </w:rPr>
        <w:tab/>
      </w:r>
      <w:r w:rsidR="003F35F3" w:rsidRPr="001A2820">
        <w:rPr>
          <w:lang w:val="fr-FR"/>
        </w:rPr>
        <w:t>Deuxième cycle</w:t>
      </w:r>
      <w:r w:rsidRPr="001A2820">
        <w:rPr>
          <w:lang w:val="fr-FR"/>
        </w:rPr>
        <w:t xml:space="preserve"> (2019)</w:t>
      </w:r>
    </w:p>
    <w:p w14:paraId="2BD3707E" w14:textId="77777777" w:rsidR="00CE62B0" w:rsidRPr="001A2820" w:rsidRDefault="00CE62B0" w:rsidP="0025781D">
      <w:pPr>
        <w:pStyle w:val="NormalNonumber"/>
        <w:spacing w:after="240"/>
        <w:rPr>
          <w:rFonts w:asciiTheme="majorBidi" w:hAnsiTheme="majorBidi" w:cstheme="majorBidi"/>
          <w:sz w:val="24"/>
          <w:szCs w:val="24"/>
          <w:lang w:val="fr-FR"/>
        </w:rPr>
      </w:pPr>
      <w:r w:rsidRPr="001A2820">
        <w:rPr>
          <w:rFonts w:asciiTheme="majorBidi" w:hAnsiTheme="majorBidi" w:cstheme="majorBidi"/>
          <w:noProof/>
          <w:sz w:val="24"/>
          <w:szCs w:val="24"/>
          <w:lang w:val="fr-FR" w:eastAsia="fr-FR"/>
        </w:rPr>
        <w:drawing>
          <wp:inline distT="0" distB="0" distL="0" distR="0" wp14:anchorId="7ADA3618" wp14:editId="205A2A8F">
            <wp:extent cx="3081487" cy="3199551"/>
            <wp:effectExtent l="0" t="0" r="5080" b="1270"/>
            <wp:docPr id="5" name="Picture 1">
              <a:extLst xmlns:a="http://schemas.openxmlformats.org/drawingml/2006/main">
                <a:ext uri="{FF2B5EF4-FFF2-40B4-BE49-F238E27FC236}">
                  <a16:creationId xmlns:a16="http://schemas.microsoft.com/office/drawing/2014/main" id="{3A65767B-F7A4-4D24-B5BF-4DED3E897F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A65767B-F7A4-4D24-B5BF-4DED3E897FFB}"/>
                        </a:ext>
                      </a:extLst>
                    </pic:cNvPr>
                    <pic:cNvPicPr>
                      <a:picLocks noChangeAspect="1"/>
                    </pic:cNvPicPr>
                  </pic:nvPicPr>
                  <pic:blipFill>
                    <a:blip r:embed="rId30"/>
                    <a:stretch>
                      <a:fillRect/>
                    </a:stretch>
                  </pic:blipFill>
                  <pic:spPr>
                    <a:xfrm>
                      <a:off x="0" y="0"/>
                      <a:ext cx="3106879" cy="3225916"/>
                    </a:xfrm>
                    <a:prstGeom prst="rect">
                      <a:avLst/>
                    </a:prstGeom>
                  </pic:spPr>
                </pic:pic>
              </a:graphicData>
            </a:graphic>
          </wp:inline>
        </w:drawing>
      </w:r>
      <w:r w:rsidRPr="001A2820">
        <w:rPr>
          <w:rFonts w:asciiTheme="majorBidi" w:hAnsiTheme="majorBidi" w:cstheme="majorBidi"/>
          <w:noProof/>
          <w:sz w:val="24"/>
          <w:szCs w:val="24"/>
          <w:lang w:val="fr-FR" w:eastAsia="fr-FR"/>
        </w:rPr>
        <w:drawing>
          <wp:inline distT="0" distB="0" distL="0" distR="0" wp14:anchorId="3E1F82E5" wp14:editId="59ED67F4">
            <wp:extent cx="3096298" cy="2948099"/>
            <wp:effectExtent l="0" t="0" r="8890" b="5080"/>
            <wp:docPr id="3" name="Picture 2">
              <a:extLst xmlns:a="http://schemas.openxmlformats.org/drawingml/2006/main">
                <a:ext uri="{FF2B5EF4-FFF2-40B4-BE49-F238E27FC236}">
                  <a16:creationId xmlns:a16="http://schemas.microsoft.com/office/drawing/2014/main" id="{F186F7DF-42AC-4233-8394-BA37E762DF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186F7DF-42AC-4233-8394-BA37E762DFB4}"/>
                        </a:ext>
                      </a:extLst>
                    </pic:cNvPr>
                    <pic:cNvPicPr>
                      <a:picLocks noChangeAspect="1"/>
                    </pic:cNvPicPr>
                  </pic:nvPicPr>
                  <pic:blipFill>
                    <a:blip r:embed="rId31"/>
                    <a:stretch>
                      <a:fillRect/>
                    </a:stretch>
                  </pic:blipFill>
                  <pic:spPr>
                    <a:xfrm>
                      <a:off x="0" y="0"/>
                      <a:ext cx="3151576" cy="3000732"/>
                    </a:xfrm>
                    <a:prstGeom prst="rect">
                      <a:avLst/>
                    </a:prstGeom>
                  </pic:spPr>
                </pic:pic>
              </a:graphicData>
            </a:graphic>
          </wp:inline>
        </w:drawing>
      </w:r>
    </w:p>
    <w:tbl>
      <w:tblPr>
        <w:tblStyle w:val="TableGrid"/>
        <w:tblW w:w="0" w:type="auto"/>
        <w:tblLook w:val="04A0" w:firstRow="1" w:lastRow="0" w:firstColumn="1" w:lastColumn="0" w:noHBand="0" w:noVBand="1"/>
      </w:tblPr>
      <w:tblGrid>
        <w:gridCol w:w="4743"/>
        <w:gridCol w:w="4744"/>
      </w:tblGrid>
      <w:tr w:rsidR="009420F7" w14:paraId="509D599C" w14:textId="77777777" w:rsidTr="009420F7">
        <w:tc>
          <w:tcPr>
            <w:tcW w:w="4743" w:type="dxa"/>
          </w:tcPr>
          <w:p w14:paraId="0ACB7692" w14:textId="755E5AD4" w:rsidR="009420F7" w:rsidRPr="008949DE" w:rsidRDefault="009420F7" w:rsidP="00CE62B0">
            <w:pPr>
              <w:rPr>
                <w:rFonts w:asciiTheme="majorBidi" w:hAnsiTheme="majorBidi" w:cstheme="majorBidi"/>
                <w:b/>
                <w:lang w:val="en-US"/>
              </w:rPr>
            </w:pPr>
            <w:r w:rsidRPr="008949DE">
              <w:rPr>
                <w:rFonts w:asciiTheme="majorBidi" w:hAnsiTheme="majorBidi" w:cstheme="majorBidi"/>
                <w:b/>
                <w:lang w:val="en-US"/>
              </w:rPr>
              <w:t>Number of applications by region</w:t>
            </w:r>
          </w:p>
        </w:tc>
        <w:tc>
          <w:tcPr>
            <w:tcW w:w="4744" w:type="dxa"/>
          </w:tcPr>
          <w:p w14:paraId="7E37829A" w14:textId="77777777" w:rsidR="009420F7" w:rsidRPr="00EF2D76" w:rsidRDefault="009420F7" w:rsidP="009420F7">
            <w:pPr>
              <w:rPr>
                <w:rFonts w:asciiTheme="majorBidi" w:hAnsiTheme="majorBidi" w:cstheme="majorBidi"/>
                <w:b/>
                <w:lang w:val="fr-FR"/>
              </w:rPr>
            </w:pPr>
            <w:r w:rsidRPr="00EF2D76">
              <w:rPr>
                <w:rFonts w:asciiTheme="majorBidi" w:hAnsiTheme="majorBidi" w:cstheme="majorBidi"/>
                <w:b/>
                <w:lang w:val="fr-FR"/>
              </w:rPr>
              <w:t>Nombre de demandes par région</w:t>
            </w:r>
          </w:p>
          <w:p w14:paraId="3A9065C7" w14:textId="77777777" w:rsidR="009420F7" w:rsidRDefault="009420F7" w:rsidP="00CE62B0">
            <w:pPr>
              <w:rPr>
                <w:rFonts w:asciiTheme="majorBidi" w:hAnsiTheme="majorBidi" w:cstheme="majorBidi"/>
                <w:b/>
                <w:lang w:val="fr-FR"/>
              </w:rPr>
            </w:pPr>
          </w:p>
        </w:tc>
      </w:tr>
      <w:tr w:rsidR="009420F7" w14:paraId="1A05E3BD" w14:textId="77777777" w:rsidTr="009420F7">
        <w:tc>
          <w:tcPr>
            <w:tcW w:w="4743" w:type="dxa"/>
          </w:tcPr>
          <w:p w14:paraId="3F83991A" w14:textId="1615922D" w:rsidR="009420F7" w:rsidRDefault="009420F7" w:rsidP="00CE62B0">
            <w:pPr>
              <w:rPr>
                <w:rFonts w:asciiTheme="majorBidi" w:hAnsiTheme="majorBidi" w:cstheme="majorBidi"/>
                <w:b/>
                <w:lang w:val="fr-FR"/>
              </w:rPr>
            </w:pPr>
            <w:r>
              <w:rPr>
                <w:rFonts w:asciiTheme="majorBidi" w:hAnsiTheme="majorBidi" w:cstheme="majorBidi"/>
                <w:b/>
                <w:lang w:val="fr-FR"/>
              </w:rPr>
              <w:t>Africa</w:t>
            </w:r>
            <w:r w:rsidR="00275915">
              <w:rPr>
                <w:rFonts w:asciiTheme="majorBidi" w:hAnsiTheme="majorBidi" w:cstheme="majorBidi"/>
                <w:b/>
                <w:lang w:val="fr-FR"/>
              </w:rPr>
              <w:t xml:space="preserve"> (10)</w:t>
            </w:r>
          </w:p>
        </w:tc>
        <w:tc>
          <w:tcPr>
            <w:tcW w:w="4744" w:type="dxa"/>
          </w:tcPr>
          <w:p w14:paraId="50FAD90C" w14:textId="4585BF23" w:rsidR="009420F7" w:rsidRPr="009420F7" w:rsidRDefault="009420F7" w:rsidP="00955DBA">
            <w:pPr>
              <w:pStyle w:val="ListParagraph"/>
              <w:numPr>
                <w:ilvl w:val="0"/>
                <w:numId w:val="23"/>
              </w:numPr>
              <w:tabs>
                <w:tab w:val="clear" w:pos="1247"/>
                <w:tab w:val="left" w:pos="390"/>
              </w:tabs>
              <w:ind w:left="0" w:firstLine="0"/>
              <w:rPr>
                <w:rFonts w:asciiTheme="majorBidi" w:hAnsiTheme="majorBidi" w:cstheme="majorBidi"/>
                <w:color w:val="76923C" w:themeColor="accent3" w:themeShade="BF"/>
                <w:lang w:val="fr-FR"/>
              </w:rPr>
            </w:pPr>
            <w:r w:rsidRPr="00275915">
              <w:rPr>
                <w:rFonts w:asciiTheme="majorBidi" w:hAnsiTheme="majorBidi" w:cstheme="majorBidi"/>
                <w:lang w:val="fr-FR"/>
              </w:rPr>
              <w:t>Afrique</w:t>
            </w:r>
            <w:r w:rsidR="00275915">
              <w:rPr>
                <w:rFonts w:asciiTheme="majorBidi" w:hAnsiTheme="majorBidi" w:cstheme="majorBidi"/>
                <w:lang w:val="fr-FR"/>
              </w:rPr>
              <w:t xml:space="preserve"> (10)</w:t>
            </w:r>
          </w:p>
          <w:p w14:paraId="369555B5" w14:textId="77777777" w:rsidR="009420F7" w:rsidRDefault="009420F7" w:rsidP="00955DBA">
            <w:pPr>
              <w:tabs>
                <w:tab w:val="clear" w:pos="1247"/>
                <w:tab w:val="left" w:pos="390"/>
              </w:tabs>
              <w:rPr>
                <w:rFonts w:asciiTheme="majorBidi" w:hAnsiTheme="majorBidi" w:cstheme="majorBidi"/>
                <w:b/>
                <w:lang w:val="fr-FR"/>
              </w:rPr>
            </w:pPr>
          </w:p>
        </w:tc>
      </w:tr>
      <w:tr w:rsidR="009420F7" w14:paraId="48B77962" w14:textId="77777777" w:rsidTr="009420F7">
        <w:tc>
          <w:tcPr>
            <w:tcW w:w="4743" w:type="dxa"/>
          </w:tcPr>
          <w:p w14:paraId="6EFE7B1C" w14:textId="707E8499" w:rsidR="009420F7" w:rsidRDefault="009420F7" w:rsidP="00CE62B0">
            <w:pPr>
              <w:rPr>
                <w:rFonts w:asciiTheme="majorBidi" w:hAnsiTheme="majorBidi" w:cstheme="majorBidi"/>
                <w:b/>
                <w:lang w:val="fr-FR"/>
              </w:rPr>
            </w:pPr>
            <w:r>
              <w:rPr>
                <w:rFonts w:asciiTheme="majorBidi" w:hAnsiTheme="majorBidi" w:cstheme="majorBidi"/>
                <w:b/>
                <w:lang w:val="fr-FR"/>
              </w:rPr>
              <w:t>Asia Pacific</w:t>
            </w:r>
            <w:r w:rsidR="00275915">
              <w:rPr>
                <w:rFonts w:asciiTheme="majorBidi" w:hAnsiTheme="majorBidi" w:cstheme="majorBidi"/>
                <w:b/>
                <w:lang w:val="fr-FR"/>
              </w:rPr>
              <w:t xml:space="preserve"> (5)</w:t>
            </w:r>
          </w:p>
        </w:tc>
        <w:tc>
          <w:tcPr>
            <w:tcW w:w="4744" w:type="dxa"/>
          </w:tcPr>
          <w:p w14:paraId="78E92E7D" w14:textId="2915D0D4" w:rsidR="009420F7" w:rsidRPr="009420F7" w:rsidRDefault="009420F7" w:rsidP="00955DBA">
            <w:pPr>
              <w:pStyle w:val="ListParagraph"/>
              <w:numPr>
                <w:ilvl w:val="0"/>
                <w:numId w:val="23"/>
              </w:numPr>
              <w:tabs>
                <w:tab w:val="clear" w:pos="1247"/>
                <w:tab w:val="left" w:pos="390"/>
              </w:tabs>
              <w:ind w:left="0" w:firstLine="0"/>
              <w:rPr>
                <w:rFonts w:asciiTheme="majorBidi" w:hAnsiTheme="majorBidi" w:cstheme="majorBidi"/>
                <w:color w:val="0070C0"/>
                <w:lang w:val="fr-FR"/>
              </w:rPr>
            </w:pPr>
            <w:r w:rsidRPr="00275915">
              <w:rPr>
                <w:rFonts w:asciiTheme="majorBidi" w:hAnsiTheme="majorBidi" w:cstheme="majorBidi"/>
                <w:lang w:val="fr-FR"/>
              </w:rPr>
              <w:t>Asie-Pacifique</w:t>
            </w:r>
            <w:r w:rsidR="00275915">
              <w:rPr>
                <w:rFonts w:asciiTheme="majorBidi" w:hAnsiTheme="majorBidi" w:cstheme="majorBidi"/>
                <w:lang w:val="fr-FR"/>
              </w:rPr>
              <w:t xml:space="preserve"> (5)</w:t>
            </w:r>
          </w:p>
          <w:p w14:paraId="33C5DCE1" w14:textId="77777777" w:rsidR="009420F7" w:rsidRDefault="009420F7" w:rsidP="00955DBA">
            <w:pPr>
              <w:tabs>
                <w:tab w:val="clear" w:pos="1247"/>
                <w:tab w:val="left" w:pos="390"/>
              </w:tabs>
              <w:rPr>
                <w:rFonts w:asciiTheme="majorBidi" w:hAnsiTheme="majorBidi" w:cstheme="majorBidi"/>
                <w:b/>
                <w:lang w:val="fr-FR"/>
              </w:rPr>
            </w:pPr>
          </w:p>
        </w:tc>
      </w:tr>
      <w:tr w:rsidR="009420F7" w:rsidRPr="009420F7" w14:paraId="5428C423" w14:textId="77777777" w:rsidTr="009420F7">
        <w:tc>
          <w:tcPr>
            <w:tcW w:w="4743" w:type="dxa"/>
          </w:tcPr>
          <w:p w14:paraId="41B86FAE" w14:textId="3C4DF8D8" w:rsidR="009420F7" w:rsidRDefault="009420F7" w:rsidP="00CE62B0">
            <w:pPr>
              <w:rPr>
                <w:rFonts w:asciiTheme="majorBidi" w:hAnsiTheme="majorBidi" w:cstheme="majorBidi"/>
                <w:b/>
                <w:lang w:val="fr-FR"/>
              </w:rPr>
            </w:pPr>
            <w:r>
              <w:rPr>
                <w:rFonts w:asciiTheme="majorBidi" w:hAnsiTheme="majorBidi" w:cstheme="majorBidi"/>
                <w:b/>
                <w:lang w:val="fr-FR"/>
              </w:rPr>
              <w:t>LAC</w:t>
            </w:r>
            <w:r w:rsidR="00275915">
              <w:rPr>
                <w:rFonts w:asciiTheme="majorBidi" w:hAnsiTheme="majorBidi" w:cstheme="majorBidi"/>
                <w:b/>
                <w:lang w:val="fr-FR"/>
              </w:rPr>
              <w:t xml:space="preserve"> (4)</w:t>
            </w:r>
          </w:p>
        </w:tc>
        <w:tc>
          <w:tcPr>
            <w:tcW w:w="4744" w:type="dxa"/>
          </w:tcPr>
          <w:p w14:paraId="484E390A" w14:textId="3B2958D3" w:rsidR="009420F7" w:rsidRPr="009420F7" w:rsidRDefault="009420F7" w:rsidP="00955DBA">
            <w:pPr>
              <w:pStyle w:val="ListParagraph"/>
              <w:numPr>
                <w:ilvl w:val="0"/>
                <w:numId w:val="23"/>
              </w:numPr>
              <w:tabs>
                <w:tab w:val="clear" w:pos="1247"/>
                <w:tab w:val="left" w:pos="390"/>
              </w:tabs>
              <w:ind w:left="0" w:firstLine="0"/>
              <w:rPr>
                <w:rFonts w:asciiTheme="majorBidi" w:hAnsiTheme="majorBidi" w:cstheme="majorBidi"/>
                <w:color w:val="FFC000"/>
                <w:lang w:val="fr-FR"/>
              </w:rPr>
            </w:pPr>
            <w:r w:rsidRPr="00275915">
              <w:rPr>
                <w:rFonts w:asciiTheme="majorBidi" w:hAnsiTheme="majorBidi" w:cstheme="majorBidi"/>
                <w:lang w:val="fr-FR"/>
              </w:rPr>
              <w:t>Amérique latine et Caraïbes</w:t>
            </w:r>
            <w:r w:rsidR="00275915">
              <w:rPr>
                <w:rFonts w:asciiTheme="majorBidi" w:hAnsiTheme="majorBidi" w:cstheme="majorBidi"/>
                <w:lang w:val="fr-FR"/>
              </w:rPr>
              <w:t xml:space="preserve"> (4)</w:t>
            </w:r>
          </w:p>
          <w:p w14:paraId="5BA14033" w14:textId="77777777" w:rsidR="009420F7" w:rsidRPr="009420F7" w:rsidRDefault="009420F7" w:rsidP="00955DBA">
            <w:pPr>
              <w:tabs>
                <w:tab w:val="clear" w:pos="1247"/>
                <w:tab w:val="left" w:pos="390"/>
              </w:tabs>
              <w:rPr>
                <w:rFonts w:asciiTheme="majorBidi" w:hAnsiTheme="majorBidi" w:cstheme="majorBidi"/>
                <w:b/>
                <w:color w:val="FFC000"/>
                <w:lang w:val="fr-FR"/>
              </w:rPr>
            </w:pPr>
          </w:p>
        </w:tc>
      </w:tr>
      <w:tr w:rsidR="009420F7" w14:paraId="1D20830D" w14:textId="77777777" w:rsidTr="009420F7">
        <w:tc>
          <w:tcPr>
            <w:tcW w:w="4743" w:type="dxa"/>
          </w:tcPr>
          <w:p w14:paraId="3AF943DD" w14:textId="13C19FE3" w:rsidR="009420F7" w:rsidRDefault="009420F7" w:rsidP="00CE62B0">
            <w:pPr>
              <w:rPr>
                <w:rFonts w:asciiTheme="majorBidi" w:hAnsiTheme="majorBidi" w:cstheme="majorBidi"/>
                <w:b/>
                <w:lang w:val="fr-FR"/>
              </w:rPr>
            </w:pPr>
            <w:r>
              <w:rPr>
                <w:rFonts w:asciiTheme="majorBidi" w:hAnsiTheme="majorBidi" w:cstheme="majorBidi"/>
                <w:b/>
                <w:lang w:val="fr-FR"/>
              </w:rPr>
              <w:t>CEE</w:t>
            </w:r>
            <w:r w:rsidR="00275915">
              <w:rPr>
                <w:rFonts w:asciiTheme="majorBidi" w:hAnsiTheme="majorBidi" w:cstheme="majorBidi"/>
                <w:b/>
                <w:lang w:val="fr-FR"/>
              </w:rPr>
              <w:t xml:space="preserve"> (1)</w:t>
            </w:r>
          </w:p>
        </w:tc>
        <w:tc>
          <w:tcPr>
            <w:tcW w:w="4744" w:type="dxa"/>
          </w:tcPr>
          <w:p w14:paraId="07AD4443" w14:textId="74991F81" w:rsidR="009420F7" w:rsidRPr="00955DBA" w:rsidRDefault="009420F7" w:rsidP="00955DBA">
            <w:pPr>
              <w:pStyle w:val="ListParagraph"/>
              <w:numPr>
                <w:ilvl w:val="0"/>
                <w:numId w:val="23"/>
              </w:numPr>
              <w:tabs>
                <w:tab w:val="clear" w:pos="1247"/>
                <w:tab w:val="left" w:pos="390"/>
              </w:tabs>
              <w:ind w:left="0" w:firstLine="0"/>
              <w:rPr>
                <w:rFonts w:asciiTheme="majorBidi" w:hAnsiTheme="majorBidi" w:cstheme="majorBidi"/>
                <w:b/>
                <w:lang w:val="fr-FR"/>
              </w:rPr>
            </w:pPr>
            <w:r w:rsidRPr="00275915">
              <w:rPr>
                <w:rFonts w:asciiTheme="majorBidi" w:hAnsiTheme="majorBidi" w:cstheme="majorBidi"/>
                <w:lang w:val="fr-FR"/>
              </w:rPr>
              <w:t>Europe centrale et occidentale</w:t>
            </w:r>
            <w:r w:rsidR="00275915">
              <w:rPr>
                <w:rFonts w:asciiTheme="majorBidi" w:hAnsiTheme="majorBidi" w:cstheme="majorBidi"/>
                <w:lang w:val="fr-FR"/>
              </w:rPr>
              <w:t xml:space="preserve"> (1)</w:t>
            </w:r>
          </w:p>
        </w:tc>
      </w:tr>
    </w:tbl>
    <w:p w14:paraId="0015A47E" w14:textId="5B150CC6" w:rsidR="00955DBA" w:rsidRDefault="00955DBA" w:rsidP="00CE62B0">
      <w:pPr>
        <w:rPr>
          <w:rFonts w:asciiTheme="majorBidi" w:hAnsiTheme="majorBidi" w:cstheme="majorBidi"/>
          <w:b/>
          <w:lang w:val="fr-FR"/>
        </w:rPr>
      </w:pPr>
    </w:p>
    <w:p w14:paraId="5197FEB1" w14:textId="77777777" w:rsidR="00955DBA" w:rsidRDefault="00955DBA">
      <w:pPr>
        <w:tabs>
          <w:tab w:val="clear" w:pos="1247"/>
          <w:tab w:val="clear" w:pos="1814"/>
          <w:tab w:val="clear" w:pos="2381"/>
          <w:tab w:val="clear" w:pos="2948"/>
          <w:tab w:val="clear" w:pos="3515"/>
        </w:tabs>
        <w:rPr>
          <w:rFonts w:asciiTheme="majorBidi" w:hAnsiTheme="majorBidi" w:cstheme="majorBidi"/>
          <w:b/>
          <w:lang w:val="fr-FR"/>
        </w:rPr>
      </w:pPr>
      <w:r>
        <w:rPr>
          <w:rFonts w:asciiTheme="majorBidi" w:hAnsiTheme="majorBidi" w:cstheme="majorBidi"/>
          <w:b/>
          <w:lang w:val="fr-FR"/>
        </w:rPr>
        <w:br w:type="page"/>
      </w:r>
    </w:p>
    <w:p w14:paraId="1AF8EFD2" w14:textId="77777777" w:rsidR="009420F7" w:rsidRDefault="009420F7" w:rsidP="00CE62B0">
      <w:pPr>
        <w:rPr>
          <w:rFonts w:asciiTheme="majorBidi" w:hAnsiTheme="majorBidi" w:cstheme="majorBidi"/>
          <w:b/>
          <w:lang w:val="fr-FR"/>
        </w:rPr>
      </w:pPr>
    </w:p>
    <w:tbl>
      <w:tblPr>
        <w:tblStyle w:val="TableGrid"/>
        <w:tblW w:w="0" w:type="auto"/>
        <w:tblLook w:val="04A0" w:firstRow="1" w:lastRow="0" w:firstColumn="1" w:lastColumn="0" w:noHBand="0" w:noVBand="1"/>
      </w:tblPr>
      <w:tblGrid>
        <w:gridCol w:w="4743"/>
        <w:gridCol w:w="4744"/>
      </w:tblGrid>
      <w:tr w:rsidR="00955DBA" w:rsidRPr="00CF6A23" w14:paraId="6CCC0611" w14:textId="77777777" w:rsidTr="00955DBA">
        <w:tc>
          <w:tcPr>
            <w:tcW w:w="4743" w:type="dxa"/>
          </w:tcPr>
          <w:p w14:paraId="41C2380D" w14:textId="18AF6B1E" w:rsidR="00955DBA" w:rsidRPr="008949DE" w:rsidRDefault="00955DBA" w:rsidP="00CE62B0">
            <w:pPr>
              <w:rPr>
                <w:rFonts w:asciiTheme="majorBidi" w:hAnsiTheme="majorBidi" w:cstheme="majorBidi"/>
                <w:b/>
                <w:sz w:val="24"/>
                <w:szCs w:val="24"/>
                <w:lang w:val="en-US"/>
              </w:rPr>
            </w:pPr>
            <w:r w:rsidRPr="008949DE">
              <w:rPr>
                <w:rFonts w:asciiTheme="majorBidi" w:hAnsiTheme="majorBidi" w:cstheme="majorBidi"/>
                <w:b/>
                <w:sz w:val="24"/>
                <w:szCs w:val="24"/>
                <w:lang w:val="en-US"/>
              </w:rPr>
              <w:t>Number of applications by economic status</w:t>
            </w:r>
          </w:p>
        </w:tc>
        <w:tc>
          <w:tcPr>
            <w:tcW w:w="4744" w:type="dxa"/>
          </w:tcPr>
          <w:p w14:paraId="6B2B362F" w14:textId="77777777" w:rsidR="00955DBA" w:rsidRDefault="00955DBA" w:rsidP="00CE62B0">
            <w:pPr>
              <w:rPr>
                <w:rFonts w:asciiTheme="majorBidi" w:hAnsiTheme="majorBidi" w:cstheme="majorBidi"/>
                <w:b/>
                <w:sz w:val="24"/>
                <w:szCs w:val="24"/>
                <w:lang w:val="fr-FR"/>
              </w:rPr>
            </w:pPr>
            <w:r w:rsidRPr="00FE744D">
              <w:rPr>
                <w:rFonts w:asciiTheme="majorBidi" w:hAnsiTheme="majorBidi" w:cstheme="majorBidi"/>
                <w:b/>
                <w:sz w:val="24"/>
                <w:szCs w:val="24"/>
                <w:lang w:val="fr-FR"/>
              </w:rPr>
              <w:t>Nombre de demandes en fonction du statut économique</w:t>
            </w:r>
          </w:p>
          <w:p w14:paraId="52ED185A" w14:textId="5023095E" w:rsidR="00282B64" w:rsidRDefault="00282B64" w:rsidP="00CE62B0">
            <w:pPr>
              <w:rPr>
                <w:rFonts w:asciiTheme="majorBidi" w:hAnsiTheme="majorBidi" w:cstheme="majorBidi"/>
                <w:b/>
                <w:sz w:val="24"/>
                <w:szCs w:val="24"/>
                <w:lang w:val="fr-FR"/>
              </w:rPr>
            </w:pPr>
          </w:p>
        </w:tc>
      </w:tr>
      <w:tr w:rsidR="00955DBA" w14:paraId="53C3053C" w14:textId="77777777" w:rsidTr="00955DBA">
        <w:tc>
          <w:tcPr>
            <w:tcW w:w="4743" w:type="dxa"/>
          </w:tcPr>
          <w:p w14:paraId="6A119E0E" w14:textId="79FAE25F" w:rsidR="00955DBA" w:rsidRDefault="00AD7E03" w:rsidP="00CE62B0">
            <w:pPr>
              <w:rPr>
                <w:rFonts w:asciiTheme="majorBidi" w:hAnsiTheme="majorBidi" w:cstheme="majorBidi"/>
                <w:b/>
                <w:sz w:val="24"/>
                <w:szCs w:val="24"/>
                <w:lang w:val="fr-FR"/>
              </w:rPr>
            </w:pPr>
            <w:r>
              <w:rPr>
                <w:rFonts w:asciiTheme="majorBidi" w:hAnsiTheme="majorBidi" w:cstheme="majorBidi"/>
                <w:b/>
                <w:sz w:val="24"/>
                <w:szCs w:val="24"/>
                <w:lang w:val="fr-FR"/>
              </w:rPr>
              <w:t>DCs</w:t>
            </w:r>
            <w:r w:rsidR="00D4635A">
              <w:rPr>
                <w:rFonts w:asciiTheme="majorBidi" w:hAnsiTheme="majorBidi" w:cstheme="majorBidi"/>
                <w:b/>
                <w:sz w:val="24"/>
                <w:szCs w:val="24"/>
                <w:lang w:val="fr-FR"/>
              </w:rPr>
              <w:t xml:space="preserve"> (11)</w:t>
            </w:r>
          </w:p>
        </w:tc>
        <w:tc>
          <w:tcPr>
            <w:tcW w:w="4744" w:type="dxa"/>
          </w:tcPr>
          <w:p w14:paraId="61775575" w14:textId="36738169" w:rsidR="00955DBA" w:rsidRPr="00AD7E03" w:rsidRDefault="00955DBA" w:rsidP="00AD7E03">
            <w:pPr>
              <w:pStyle w:val="ListParagraph"/>
              <w:numPr>
                <w:ilvl w:val="0"/>
                <w:numId w:val="23"/>
              </w:numPr>
              <w:tabs>
                <w:tab w:val="left" w:pos="390"/>
              </w:tabs>
              <w:ind w:left="-35" w:firstLine="0"/>
              <w:rPr>
                <w:rFonts w:asciiTheme="majorBidi" w:hAnsiTheme="majorBidi" w:cstheme="majorBidi"/>
                <w:color w:val="0070C0"/>
                <w:lang w:val="fr-FR"/>
              </w:rPr>
            </w:pPr>
            <w:r w:rsidRPr="00750B4D">
              <w:rPr>
                <w:rFonts w:asciiTheme="majorBidi" w:hAnsiTheme="majorBidi" w:cstheme="majorBidi"/>
                <w:lang w:val="fr-FR"/>
              </w:rPr>
              <w:t>Pays développés</w:t>
            </w:r>
            <w:r w:rsidR="00AC3003">
              <w:rPr>
                <w:rFonts w:asciiTheme="majorBidi" w:hAnsiTheme="majorBidi" w:cstheme="majorBidi"/>
                <w:lang w:val="fr-FR"/>
              </w:rPr>
              <w:t xml:space="preserve"> (11)</w:t>
            </w:r>
          </w:p>
          <w:p w14:paraId="40E95DDF" w14:textId="7987954B" w:rsidR="00282B64" w:rsidRDefault="00282B64" w:rsidP="00955DBA">
            <w:pPr>
              <w:rPr>
                <w:rFonts w:asciiTheme="majorBidi" w:hAnsiTheme="majorBidi" w:cstheme="majorBidi"/>
                <w:b/>
                <w:sz w:val="24"/>
                <w:szCs w:val="24"/>
                <w:lang w:val="fr-FR"/>
              </w:rPr>
            </w:pPr>
          </w:p>
        </w:tc>
      </w:tr>
      <w:tr w:rsidR="00955DBA" w14:paraId="0334C9B2" w14:textId="77777777" w:rsidTr="00955DBA">
        <w:tc>
          <w:tcPr>
            <w:tcW w:w="4743" w:type="dxa"/>
          </w:tcPr>
          <w:p w14:paraId="7BACA4BC" w14:textId="4D9D88D3" w:rsidR="00955DBA" w:rsidRDefault="00AD7E03" w:rsidP="00CE62B0">
            <w:pPr>
              <w:rPr>
                <w:rFonts w:asciiTheme="majorBidi" w:hAnsiTheme="majorBidi" w:cstheme="majorBidi"/>
                <w:b/>
                <w:sz w:val="24"/>
                <w:szCs w:val="24"/>
                <w:lang w:val="fr-FR"/>
              </w:rPr>
            </w:pPr>
            <w:r>
              <w:rPr>
                <w:rFonts w:asciiTheme="majorBidi" w:hAnsiTheme="majorBidi" w:cstheme="majorBidi"/>
                <w:b/>
                <w:sz w:val="24"/>
                <w:szCs w:val="24"/>
                <w:lang w:val="fr-FR"/>
              </w:rPr>
              <w:t>LDCs</w:t>
            </w:r>
            <w:r w:rsidR="00D4635A">
              <w:rPr>
                <w:rFonts w:asciiTheme="majorBidi" w:hAnsiTheme="majorBidi" w:cstheme="majorBidi"/>
                <w:b/>
                <w:sz w:val="24"/>
                <w:szCs w:val="24"/>
                <w:lang w:val="fr-FR"/>
              </w:rPr>
              <w:t xml:space="preserve"> (6)</w:t>
            </w:r>
          </w:p>
        </w:tc>
        <w:tc>
          <w:tcPr>
            <w:tcW w:w="4744" w:type="dxa"/>
          </w:tcPr>
          <w:p w14:paraId="15BBB5F3" w14:textId="4BCA3C5D" w:rsidR="00955DBA" w:rsidRPr="00AD7E03" w:rsidRDefault="00955DBA" w:rsidP="00AD7E03">
            <w:pPr>
              <w:pStyle w:val="ListParagraph"/>
              <w:numPr>
                <w:ilvl w:val="0"/>
                <w:numId w:val="23"/>
              </w:numPr>
              <w:tabs>
                <w:tab w:val="left" w:pos="390"/>
              </w:tabs>
              <w:ind w:left="-35" w:firstLine="0"/>
              <w:rPr>
                <w:rFonts w:asciiTheme="majorBidi" w:hAnsiTheme="majorBidi" w:cstheme="majorBidi"/>
                <w:color w:val="E36C0A" w:themeColor="accent6" w:themeShade="BF"/>
                <w:lang w:val="fr-FR"/>
              </w:rPr>
            </w:pPr>
            <w:r w:rsidRPr="00750B4D">
              <w:rPr>
                <w:rFonts w:asciiTheme="majorBidi" w:hAnsiTheme="majorBidi" w:cstheme="majorBidi"/>
                <w:lang w:val="fr-FR"/>
              </w:rPr>
              <w:t>Pays les moins avancés</w:t>
            </w:r>
            <w:r w:rsidR="00AC3003">
              <w:rPr>
                <w:rFonts w:asciiTheme="majorBidi" w:hAnsiTheme="majorBidi" w:cstheme="majorBidi"/>
                <w:lang w:val="fr-FR"/>
              </w:rPr>
              <w:t xml:space="preserve"> (6)</w:t>
            </w:r>
          </w:p>
          <w:p w14:paraId="2938CD9D" w14:textId="4F8E00A6" w:rsidR="00282B64" w:rsidRDefault="00282B64" w:rsidP="00955DBA">
            <w:pPr>
              <w:rPr>
                <w:rFonts w:asciiTheme="majorBidi" w:hAnsiTheme="majorBidi" w:cstheme="majorBidi"/>
                <w:b/>
                <w:sz w:val="24"/>
                <w:szCs w:val="24"/>
                <w:lang w:val="fr-FR"/>
              </w:rPr>
            </w:pPr>
          </w:p>
        </w:tc>
      </w:tr>
      <w:tr w:rsidR="00955DBA" w:rsidRPr="00CF6A23" w14:paraId="7BA8E82D" w14:textId="77777777" w:rsidTr="00955DBA">
        <w:tc>
          <w:tcPr>
            <w:tcW w:w="4743" w:type="dxa"/>
          </w:tcPr>
          <w:p w14:paraId="1B2A53FC" w14:textId="4C1D55C1" w:rsidR="00955DBA" w:rsidRDefault="00AD7E03" w:rsidP="00CE62B0">
            <w:pPr>
              <w:rPr>
                <w:rFonts w:asciiTheme="majorBidi" w:hAnsiTheme="majorBidi" w:cstheme="majorBidi"/>
                <w:b/>
                <w:sz w:val="24"/>
                <w:szCs w:val="24"/>
                <w:lang w:val="fr-FR"/>
              </w:rPr>
            </w:pPr>
            <w:r>
              <w:rPr>
                <w:rFonts w:asciiTheme="majorBidi" w:hAnsiTheme="majorBidi" w:cstheme="majorBidi"/>
                <w:b/>
                <w:sz w:val="24"/>
                <w:szCs w:val="24"/>
                <w:lang w:val="fr-FR"/>
              </w:rPr>
              <w:t>SIDS</w:t>
            </w:r>
            <w:r w:rsidR="00D4635A">
              <w:rPr>
                <w:rFonts w:asciiTheme="majorBidi" w:hAnsiTheme="majorBidi" w:cstheme="majorBidi"/>
                <w:b/>
                <w:sz w:val="24"/>
                <w:szCs w:val="24"/>
                <w:lang w:val="fr-FR"/>
              </w:rPr>
              <w:t xml:space="preserve"> (2)</w:t>
            </w:r>
          </w:p>
        </w:tc>
        <w:tc>
          <w:tcPr>
            <w:tcW w:w="4744" w:type="dxa"/>
          </w:tcPr>
          <w:p w14:paraId="7BC2FCCC" w14:textId="0B60DD57" w:rsidR="00955DBA" w:rsidRPr="00AD7E03" w:rsidRDefault="00955DBA" w:rsidP="00AD7E03">
            <w:pPr>
              <w:pStyle w:val="ListParagraph"/>
              <w:numPr>
                <w:ilvl w:val="0"/>
                <w:numId w:val="23"/>
              </w:numPr>
              <w:tabs>
                <w:tab w:val="left" w:pos="390"/>
              </w:tabs>
              <w:ind w:left="-35" w:firstLine="0"/>
              <w:rPr>
                <w:rFonts w:asciiTheme="majorBidi" w:hAnsiTheme="majorBidi" w:cstheme="majorBidi"/>
                <w:color w:val="948A54" w:themeColor="background2" w:themeShade="80"/>
                <w:lang w:val="fr-FR"/>
              </w:rPr>
            </w:pPr>
            <w:r w:rsidRPr="00750B4D">
              <w:rPr>
                <w:rFonts w:asciiTheme="majorBidi" w:hAnsiTheme="majorBidi" w:cstheme="majorBidi"/>
                <w:lang w:val="fr-FR"/>
              </w:rPr>
              <w:t>Petits États insulaires en développement</w:t>
            </w:r>
            <w:r w:rsidR="00AC3003">
              <w:rPr>
                <w:rFonts w:asciiTheme="majorBidi" w:hAnsiTheme="majorBidi" w:cstheme="majorBidi"/>
                <w:lang w:val="fr-FR"/>
              </w:rPr>
              <w:t xml:space="preserve"> (2)</w:t>
            </w:r>
          </w:p>
          <w:p w14:paraId="41E4A55E" w14:textId="35FB10DF" w:rsidR="00282B64" w:rsidRDefault="00282B64" w:rsidP="00955DBA">
            <w:pPr>
              <w:rPr>
                <w:rFonts w:asciiTheme="majorBidi" w:hAnsiTheme="majorBidi" w:cstheme="majorBidi"/>
                <w:b/>
                <w:sz w:val="24"/>
                <w:szCs w:val="24"/>
                <w:lang w:val="fr-FR"/>
              </w:rPr>
            </w:pPr>
          </w:p>
        </w:tc>
      </w:tr>
      <w:tr w:rsidR="00955DBA" w:rsidRPr="00CF6A23" w14:paraId="396A1BC0" w14:textId="77777777" w:rsidTr="00955DBA">
        <w:tc>
          <w:tcPr>
            <w:tcW w:w="4743" w:type="dxa"/>
          </w:tcPr>
          <w:p w14:paraId="19E00F2B" w14:textId="6DB2F885" w:rsidR="00955DBA" w:rsidRDefault="00AD7E03" w:rsidP="00CE62B0">
            <w:pPr>
              <w:rPr>
                <w:rFonts w:asciiTheme="majorBidi" w:hAnsiTheme="majorBidi" w:cstheme="majorBidi"/>
                <w:b/>
                <w:sz w:val="24"/>
                <w:szCs w:val="24"/>
                <w:lang w:val="fr-FR"/>
              </w:rPr>
            </w:pPr>
            <w:r>
              <w:rPr>
                <w:rFonts w:asciiTheme="majorBidi" w:hAnsiTheme="majorBidi" w:cstheme="majorBidi"/>
                <w:b/>
                <w:sz w:val="24"/>
                <w:szCs w:val="24"/>
                <w:lang w:val="fr-FR"/>
              </w:rPr>
              <w:t>CEITs</w:t>
            </w:r>
            <w:r w:rsidR="00D4635A">
              <w:rPr>
                <w:rFonts w:asciiTheme="majorBidi" w:hAnsiTheme="majorBidi" w:cstheme="majorBidi"/>
                <w:b/>
                <w:sz w:val="24"/>
                <w:szCs w:val="24"/>
                <w:lang w:val="fr-FR"/>
              </w:rPr>
              <w:t xml:space="preserve"> (1)</w:t>
            </w:r>
          </w:p>
        </w:tc>
        <w:tc>
          <w:tcPr>
            <w:tcW w:w="4744" w:type="dxa"/>
          </w:tcPr>
          <w:p w14:paraId="55D7FB7D" w14:textId="17EC3D00" w:rsidR="00955DBA" w:rsidRPr="00AD7E03" w:rsidRDefault="00955DBA" w:rsidP="00AD7E03">
            <w:pPr>
              <w:pStyle w:val="ListParagraph"/>
              <w:numPr>
                <w:ilvl w:val="0"/>
                <w:numId w:val="23"/>
              </w:numPr>
              <w:tabs>
                <w:tab w:val="left" w:pos="390"/>
              </w:tabs>
              <w:ind w:left="-35" w:firstLine="35"/>
              <w:rPr>
                <w:rFonts w:asciiTheme="majorBidi" w:hAnsiTheme="majorBidi" w:cstheme="majorBidi"/>
                <w:color w:val="FFC000"/>
                <w:lang w:val="fr-FR"/>
              </w:rPr>
            </w:pPr>
            <w:r w:rsidRPr="00750B4D">
              <w:rPr>
                <w:rFonts w:asciiTheme="majorBidi" w:hAnsiTheme="majorBidi" w:cstheme="majorBidi"/>
                <w:lang w:val="fr-FR"/>
              </w:rPr>
              <w:t>Pays à économie en transition</w:t>
            </w:r>
            <w:r w:rsidR="00AC3003">
              <w:rPr>
                <w:rFonts w:asciiTheme="majorBidi" w:hAnsiTheme="majorBidi" w:cstheme="majorBidi"/>
                <w:lang w:val="fr-FR"/>
              </w:rPr>
              <w:t xml:space="preserve"> (1)</w:t>
            </w:r>
          </w:p>
          <w:p w14:paraId="43B2B22C" w14:textId="46F8E78E" w:rsidR="00282B64" w:rsidRDefault="00282B64" w:rsidP="00CE62B0">
            <w:pPr>
              <w:rPr>
                <w:rFonts w:asciiTheme="majorBidi" w:hAnsiTheme="majorBidi" w:cstheme="majorBidi"/>
                <w:b/>
                <w:sz w:val="24"/>
                <w:szCs w:val="24"/>
                <w:lang w:val="fr-FR"/>
              </w:rPr>
            </w:pPr>
          </w:p>
        </w:tc>
      </w:tr>
    </w:tbl>
    <w:p w14:paraId="5907418F" w14:textId="1526601D" w:rsidR="003F35F3" w:rsidRPr="00EF2D76" w:rsidRDefault="003F35F3" w:rsidP="003F35F3">
      <w:pPr>
        <w:rPr>
          <w:rFonts w:asciiTheme="majorBidi" w:hAnsiTheme="majorBidi" w:cstheme="majorBidi"/>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8"/>
      </w:tblGrid>
      <w:tr w:rsidR="005A0DA8" w:rsidRPr="00CF6A23" w14:paraId="0553E25C" w14:textId="77777777" w:rsidTr="005A0DA8">
        <w:tc>
          <w:tcPr>
            <w:tcW w:w="1897" w:type="dxa"/>
          </w:tcPr>
          <w:p w14:paraId="10251A90" w14:textId="77777777" w:rsidR="005A0DA8" w:rsidRPr="001A2820" w:rsidRDefault="005A0DA8" w:rsidP="000A1CC4">
            <w:pPr>
              <w:pStyle w:val="Normal-pool"/>
              <w:spacing w:before="520"/>
              <w:rPr>
                <w:lang w:val="fr-FR"/>
              </w:rPr>
            </w:pPr>
          </w:p>
        </w:tc>
        <w:tc>
          <w:tcPr>
            <w:tcW w:w="1898" w:type="dxa"/>
          </w:tcPr>
          <w:p w14:paraId="7A78BF68" w14:textId="77777777" w:rsidR="005A0DA8" w:rsidRPr="001A2820" w:rsidRDefault="005A0DA8" w:rsidP="000A1CC4">
            <w:pPr>
              <w:pStyle w:val="Normal-pool"/>
              <w:spacing w:before="520"/>
              <w:rPr>
                <w:lang w:val="fr-FR"/>
              </w:rPr>
            </w:pPr>
          </w:p>
        </w:tc>
      </w:tr>
    </w:tbl>
    <w:p w14:paraId="7E1F9459" w14:textId="519AA318" w:rsidR="000A1CC4" w:rsidRPr="001A2820" w:rsidRDefault="005A0DA8" w:rsidP="005A0DA8">
      <w:pPr>
        <w:pStyle w:val="Normal-pool"/>
        <w:jc w:val="center"/>
        <w:rPr>
          <w:lang w:val="fr-FR"/>
        </w:rPr>
      </w:pPr>
      <w:r>
        <w:rPr>
          <w:lang w:val="fr-FR"/>
        </w:rPr>
        <w:t>_____________________</w:t>
      </w:r>
    </w:p>
    <w:sectPr w:rsidR="000A1CC4" w:rsidRPr="001A2820" w:rsidSect="00572E97">
      <w:headerReference w:type="even" r:id="rId32"/>
      <w:headerReference w:type="default" r:id="rId33"/>
      <w:headerReference w:type="first" r:id="rId34"/>
      <w:pgSz w:w="11907" w:h="16840" w:code="9"/>
      <w:pgMar w:top="907" w:right="992" w:bottom="1134"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860CE" w14:textId="77777777" w:rsidR="00210722" w:rsidRDefault="00210722">
      <w:r>
        <w:separator/>
      </w:r>
    </w:p>
  </w:endnote>
  <w:endnote w:type="continuationSeparator" w:id="0">
    <w:p w14:paraId="6A9E6EF7" w14:textId="77777777" w:rsidR="00210722" w:rsidRDefault="0021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689502"/>
      <w:docPartObj>
        <w:docPartGallery w:val="Page Numbers (Bottom of Page)"/>
        <w:docPartUnique/>
      </w:docPartObj>
    </w:sdtPr>
    <w:sdtEndPr>
      <w:rPr>
        <w:noProof/>
      </w:rPr>
    </w:sdtEndPr>
    <w:sdtContent>
      <w:p w14:paraId="0A5E2B91" w14:textId="60CFD4C1" w:rsidR="008949DE" w:rsidRDefault="008949DE" w:rsidP="00C75B4C">
        <w:pPr>
          <w:pStyle w:val="Footer-pool"/>
        </w:pPr>
        <w:r>
          <w:fldChar w:fldCharType="begin"/>
        </w:r>
        <w:r>
          <w:instrText xml:space="preserve"> PAGE   \* MERGEFORMAT </w:instrText>
        </w:r>
        <w:r>
          <w:fldChar w:fldCharType="separate"/>
        </w:r>
        <w:r w:rsidR="00A46FC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46081"/>
      <w:docPartObj>
        <w:docPartGallery w:val="Page Numbers (Bottom of Page)"/>
        <w:docPartUnique/>
      </w:docPartObj>
    </w:sdtPr>
    <w:sdtEndPr>
      <w:rPr>
        <w:noProof/>
      </w:rPr>
    </w:sdtEndPr>
    <w:sdtContent>
      <w:p w14:paraId="21174EB6" w14:textId="4F9D5438" w:rsidR="008949DE" w:rsidRPr="00C75B4C" w:rsidRDefault="008949DE" w:rsidP="00C75B4C">
        <w:pPr>
          <w:pStyle w:val="Footer-pool"/>
          <w:jc w:val="right"/>
        </w:pPr>
        <w:r>
          <w:fldChar w:fldCharType="begin"/>
        </w:r>
        <w:r>
          <w:instrText xml:space="preserve"> PAGE   \* MERGEFORMAT </w:instrText>
        </w:r>
        <w:r>
          <w:fldChar w:fldCharType="separate"/>
        </w:r>
        <w:r w:rsidR="00A46FC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1831" w14:textId="0924584E" w:rsidR="008949DE" w:rsidRDefault="008949DE" w:rsidP="00314D43">
    <w:pPr>
      <w:pStyle w:val="Normal-pool"/>
    </w:pPr>
    <w:r>
      <w:t>K1903772</w:t>
    </w:r>
    <w:r>
      <w:tab/>
    </w:r>
    <w:r w:rsidR="00CF6A23">
      <w:t>30</w:t>
    </w:r>
    <w:r>
      <w:t>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5BF82" w14:textId="369AE3C6" w:rsidR="008949DE" w:rsidRDefault="008949DE" w:rsidP="000A1CC4">
    <w:pPr>
      <w:pStyle w:val="Footer"/>
    </w:pPr>
    <w:r>
      <w:rPr>
        <w:rStyle w:val="PageNumber"/>
      </w:rPr>
      <w:fldChar w:fldCharType="begin"/>
    </w:r>
    <w:r>
      <w:rPr>
        <w:rStyle w:val="PageNumber"/>
      </w:rPr>
      <w:instrText xml:space="preserve"> PAGE </w:instrText>
    </w:r>
    <w:r>
      <w:rPr>
        <w:rStyle w:val="PageNumber"/>
      </w:rPr>
      <w:fldChar w:fldCharType="separate"/>
    </w:r>
    <w:r w:rsidR="00A46FC6">
      <w:rPr>
        <w:rStyle w:val="PageNumber"/>
        <w:noProof/>
      </w:rPr>
      <w:t>20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65B18" w14:textId="0AA81792" w:rsidR="008949DE" w:rsidRDefault="008949DE" w:rsidP="000A1CC4">
    <w:pPr>
      <w:pStyle w:val="Footer"/>
      <w:jc w:val="right"/>
    </w:pPr>
    <w:r w:rsidRPr="0046461D">
      <w:rPr>
        <w:rStyle w:val="PageNumber"/>
      </w:rPr>
      <w:fldChar w:fldCharType="begin"/>
    </w:r>
    <w:r w:rsidRPr="0046461D">
      <w:rPr>
        <w:rStyle w:val="PageNumber"/>
      </w:rPr>
      <w:instrText xml:space="preserve"> PAGE </w:instrText>
    </w:r>
    <w:r w:rsidRPr="0046461D">
      <w:rPr>
        <w:rStyle w:val="PageNumber"/>
      </w:rPr>
      <w:fldChar w:fldCharType="separate"/>
    </w:r>
    <w:r w:rsidR="00A46FC6">
      <w:rPr>
        <w:rStyle w:val="PageNumber"/>
        <w:noProof/>
      </w:rPr>
      <w:t>19</w:t>
    </w:r>
    <w:r w:rsidRPr="0046461D">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331722"/>
      <w:docPartObj>
        <w:docPartGallery w:val="Page Numbers (Bottom of Page)"/>
        <w:docPartUnique/>
      </w:docPartObj>
    </w:sdtPr>
    <w:sdtEndPr>
      <w:rPr>
        <w:noProof/>
      </w:rPr>
    </w:sdtEndPr>
    <w:sdtContent>
      <w:p w14:paraId="1CD593B1" w14:textId="6DF7A226" w:rsidR="008949DE" w:rsidRDefault="008949DE" w:rsidP="005E4496">
        <w:pPr>
          <w:pStyle w:val="Footer-pool"/>
          <w:jc w:val="right"/>
        </w:pPr>
        <w:r>
          <w:fldChar w:fldCharType="begin"/>
        </w:r>
        <w:r>
          <w:instrText xml:space="preserve"> PAGE   \* MERGEFORMAT </w:instrText>
        </w:r>
        <w:r>
          <w:fldChar w:fldCharType="separate"/>
        </w:r>
        <w:r w:rsidR="00A46FC6">
          <w:rPr>
            <w:noProof/>
          </w:rPr>
          <w:t>5</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290081"/>
      <w:docPartObj>
        <w:docPartGallery w:val="Page Numbers (Bottom of Page)"/>
        <w:docPartUnique/>
      </w:docPartObj>
    </w:sdtPr>
    <w:sdtEndPr>
      <w:rPr>
        <w:noProof/>
      </w:rPr>
    </w:sdtEndPr>
    <w:sdtContent>
      <w:p w14:paraId="3B3CCCF9" w14:textId="3BFE2552" w:rsidR="008949DE" w:rsidRDefault="008949DE" w:rsidP="00260668">
        <w:pPr>
          <w:pStyle w:val="Footer-pool"/>
        </w:pPr>
        <w:r>
          <w:fldChar w:fldCharType="begin"/>
        </w:r>
        <w:r>
          <w:instrText xml:space="preserve"> PAGE   \* MERGEFORMAT </w:instrText>
        </w:r>
        <w:r>
          <w:fldChar w:fldCharType="separate"/>
        </w:r>
        <w:r w:rsidR="00A46FC6">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C3230" w14:textId="77777777" w:rsidR="00210722" w:rsidRPr="00493097" w:rsidRDefault="00210722" w:rsidP="00493097">
      <w:pPr>
        <w:spacing w:before="60"/>
        <w:ind w:left="624"/>
        <w:rPr>
          <w:sz w:val="18"/>
          <w:szCs w:val="18"/>
        </w:rPr>
      </w:pPr>
      <w:r w:rsidRPr="00493097">
        <w:rPr>
          <w:sz w:val="18"/>
          <w:szCs w:val="18"/>
        </w:rPr>
        <w:separator/>
      </w:r>
    </w:p>
  </w:footnote>
  <w:footnote w:type="continuationSeparator" w:id="0">
    <w:p w14:paraId="3213DEDF" w14:textId="77777777" w:rsidR="00210722" w:rsidRDefault="00210722">
      <w:r>
        <w:continuationSeparator/>
      </w:r>
    </w:p>
  </w:footnote>
  <w:footnote w:id="1">
    <w:p w14:paraId="64D35957" w14:textId="6D844DA4" w:rsidR="008949DE" w:rsidRPr="006C1D13" w:rsidRDefault="008949DE" w:rsidP="00493097">
      <w:pPr>
        <w:tabs>
          <w:tab w:val="left" w:pos="624"/>
        </w:tabs>
        <w:spacing w:before="20" w:after="40"/>
        <w:ind w:left="1247"/>
        <w:rPr>
          <w:sz w:val="18"/>
          <w:szCs w:val="18"/>
          <w:lang w:val="fr-FR"/>
        </w:rPr>
      </w:pPr>
      <w:r w:rsidRPr="006C1D13">
        <w:rPr>
          <w:sz w:val="18"/>
          <w:szCs w:val="18"/>
          <w:lang w:val="fr-FR"/>
        </w:rPr>
        <w:t>* UNEP/MC/COP.</w:t>
      </w:r>
      <w:r>
        <w:rPr>
          <w:sz w:val="18"/>
          <w:szCs w:val="18"/>
          <w:lang w:val="fr-FR"/>
        </w:rPr>
        <w:t>3</w:t>
      </w:r>
      <w:r w:rsidRPr="006C1D13">
        <w:rPr>
          <w:sz w:val="18"/>
          <w:szCs w:val="18"/>
          <w:lang w:val="fr-FR"/>
        </w:rPr>
        <w:t>/1.</w:t>
      </w:r>
    </w:p>
  </w:footnote>
  <w:footnote w:id="2">
    <w:p w14:paraId="669ACB0A" w14:textId="0733BA8F" w:rsidR="008949DE" w:rsidRPr="006C1D13" w:rsidRDefault="008949DE" w:rsidP="0032612A">
      <w:pPr>
        <w:pStyle w:val="FootnoteText"/>
        <w:rPr>
          <w:szCs w:val="18"/>
        </w:rPr>
      </w:pPr>
      <w:r w:rsidRPr="006C1D13">
        <w:rPr>
          <w:rStyle w:val="FootnoteReference"/>
          <w:sz w:val="18"/>
        </w:rPr>
        <w:footnoteRef/>
      </w:r>
      <w:r w:rsidRPr="006C1D13">
        <w:rPr>
          <w:szCs w:val="18"/>
        </w:rPr>
        <w:t xml:space="preserve"> Compte-rendu conjoint des </w:t>
      </w:r>
      <w:r>
        <w:rPr>
          <w:szCs w:val="18"/>
        </w:rPr>
        <w:t>p</w:t>
      </w:r>
      <w:r w:rsidRPr="006C1D13">
        <w:rPr>
          <w:szCs w:val="18"/>
        </w:rPr>
        <w:t>résidents de la cinquante-sixième réunion du Conseil du FEM, décision sur le point 15 de l’ordre du jour. Disponible à l’adresse https://www.gefieo.org/sites/default/files/ieo/council-documents/files/c-56-joint-summary-chairs.pdf.</w:t>
      </w:r>
    </w:p>
  </w:footnote>
  <w:footnote w:id="3">
    <w:p w14:paraId="5EE4F541" w14:textId="77777777" w:rsidR="008949DE" w:rsidRPr="006C1D13" w:rsidRDefault="008949DE" w:rsidP="00493097">
      <w:pPr>
        <w:pStyle w:val="FootnoteText"/>
        <w:tabs>
          <w:tab w:val="left" w:pos="624"/>
        </w:tabs>
        <w:rPr>
          <w:szCs w:val="18"/>
        </w:rPr>
      </w:pPr>
      <w:r w:rsidRPr="006C1D13">
        <w:rPr>
          <w:rStyle w:val="FootnoteReference"/>
          <w:sz w:val="18"/>
        </w:rPr>
        <w:footnoteRef/>
      </w:r>
      <w:r w:rsidRPr="006C1D13">
        <w:rPr>
          <w:szCs w:val="18"/>
        </w:rPr>
        <w:t xml:space="preserve"> http://www.gefieo.org/.</w:t>
      </w:r>
    </w:p>
  </w:footnote>
  <w:footnote w:id="4">
    <w:p w14:paraId="10A1A7F7" w14:textId="60B24F89" w:rsidR="008949DE" w:rsidRPr="006C1D13" w:rsidRDefault="008949DE" w:rsidP="00493097">
      <w:pPr>
        <w:pStyle w:val="FootnoteText"/>
        <w:tabs>
          <w:tab w:val="left" w:pos="624"/>
        </w:tabs>
        <w:rPr>
          <w:szCs w:val="18"/>
        </w:rPr>
      </w:pPr>
      <w:r w:rsidRPr="006C1D13">
        <w:rPr>
          <w:rStyle w:val="FootnoteReference"/>
          <w:sz w:val="18"/>
        </w:rPr>
        <w:footnoteRef/>
      </w:r>
      <w:r w:rsidRPr="006C1D13">
        <w:rPr>
          <w:szCs w:val="18"/>
        </w:rPr>
        <w:t xml:space="preserve"> </w:t>
      </w:r>
      <w:r>
        <w:rPr>
          <w:szCs w:val="18"/>
        </w:rPr>
        <w:t>Ventilation par région </w:t>
      </w:r>
      <w:r w:rsidRPr="006C1D13">
        <w:rPr>
          <w:szCs w:val="18"/>
        </w:rPr>
        <w:t>: Afri</w:t>
      </w:r>
      <w:r>
        <w:rPr>
          <w:szCs w:val="18"/>
        </w:rPr>
        <w:t>que </w:t>
      </w:r>
      <w:r w:rsidRPr="006C1D13">
        <w:rPr>
          <w:szCs w:val="18"/>
        </w:rPr>
        <w:t>: B</w:t>
      </w:r>
      <w:r>
        <w:rPr>
          <w:szCs w:val="18"/>
        </w:rPr>
        <w:t>é</w:t>
      </w:r>
      <w:r w:rsidRPr="006C1D13">
        <w:rPr>
          <w:szCs w:val="18"/>
        </w:rPr>
        <w:t xml:space="preserve">nin </w:t>
      </w:r>
      <w:r>
        <w:rPr>
          <w:szCs w:val="18"/>
        </w:rPr>
        <w:t>et</w:t>
      </w:r>
      <w:r w:rsidRPr="006C1D13">
        <w:rPr>
          <w:szCs w:val="18"/>
        </w:rPr>
        <w:t xml:space="preserve"> Lesotho</w:t>
      </w:r>
      <w:r>
        <w:rPr>
          <w:szCs w:val="18"/>
        </w:rPr>
        <w:t> </w:t>
      </w:r>
      <w:r w:rsidRPr="006C1D13">
        <w:rPr>
          <w:szCs w:val="18"/>
        </w:rPr>
        <w:t>; Asi</w:t>
      </w:r>
      <w:r>
        <w:rPr>
          <w:szCs w:val="18"/>
        </w:rPr>
        <w:t>e</w:t>
      </w:r>
      <w:r w:rsidRPr="006C1D13">
        <w:rPr>
          <w:szCs w:val="18"/>
        </w:rPr>
        <w:t>-Pacifi</w:t>
      </w:r>
      <w:r>
        <w:rPr>
          <w:szCs w:val="18"/>
        </w:rPr>
        <w:t>que </w:t>
      </w:r>
      <w:r w:rsidRPr="006C1D13">
        <w:rPr>
          <w:szCs w:val="18"/>
        </w:rPr>
        <w:t xml:space="preserve">: </w:t>
      </w:r>
      <w:r w:rsidRPr="00F24454">
        <w:rPr>
          <w:szCs w:val="18"/>
        </w:rPr>
        <w:t>République islamique d</w:t>
      </w:r>
      <w:r>
        <w:rPr>
          <w:szCs w:val="18"/>
        </w:rPr>
        <w:t>’</w:t>
      </w:r>
      <w:r w:rsidRPr="00F24454">
        <w:rPr>
          <w:szCs w:val="18"/>
        </w:rPr>
        <w:t>Iran</w:t>
      </w:r>
      <w:r>
        <w:rPr>
          <w:szCs w:val="18"/>
        </w:rPr>
        <w:t> </w:t>
      </w:r>
      <w:r w:rsidRPr="006C1D13">
        <w:rPr>
          <w:szCs w:val="18"/>
        </w:rPr>
        <w:t xml:space="preserve">; </w:t>
      </w:r>
      <w:r>
        <w:rPr>
          <w:szCs w:val="18"/>
        </w:rPr>
        <w:t>Europe centrale et orientale </w:t>
      </w:r>
      <w:r w:rsidRPr="006C1D13">
        <w:rPr>
          <w:szCs w:val="18"/>
        </w:rPr>
        <w:t>: Arm</w:t>
      </w:r>
      <w:r>
        <w:rPr>
          <w:szCs w:val="18"/>
        </w:rPr>
        <w:t>é</w:t>
      </w:r>
      <w:r w:rsidRPr="006C1D13">
        <w:rPr>
          <w:szCs w:val="18"/>
        </w:rPr>
        <w:t>ni</w:t>
      </w:r>
      <w:r>
        <w:rPr>
          <w:szCs w:val="18"/>
        </w:rPr>
        <w:t>e </w:t>
      </w:r>
      <w:r w:rsidRPr="006C1D13">
        <w:rPr>
          <w:szCs w:val="18"/>
        </w:rPr>
        <w:t xml:space="preserve">; </w:t>
      </w:r>
      <w:r>
        <w:rPr>
          <w:szCs w:val="18"/>
        </w:rPr>
        <w:t>Amérique latine et Caraïbes </w:t>
      </w:r>
      <w:r w:rsidRPr="006C1D13">
        <w:rPr>
          <w:szCs w:val="18"/>
        </w:rPr>
        <w:t>: Argentin</w:t>
      </w:r>
      <w:r>
        <w:rPr>
          <w:szCs w:val="18"/>
        </w:rPr>
        <w:t>e</w:t>
      </w:r>
      <w:r w:rsidRPr="006C1D13">
        <w:rPr>
          <w:szCs w:val="18"/>
        </w:rPr>
        <w:t>.</w:t>
      </w:r>
    </w:p>
  </w:footnote>
  <w:footnote w:id="5">
    <w:p w14:paraId="3D2696C9" w14:textId="03057E2C" w:rsidR="008949DE" w:rsidRPr="006C1D13" w:rsidRDefault="008949DE" w:rsidP="00992BA8">
      <w:pPr>
        <w:pStyle w:val="FootnoteText"/>
        <w:tabs>
          <w:tab w:val="left" w:pos="624"/>
        </w:tabs>
        <w:rPr>
          <w:szCs w:val="18"/>
        </w:rPr>
      </w:pPr>
      <w:r w:rsidRPr="006C1D13">
        <w:rPr>
          <w:rStyle w:val="FootnoteReference"/>
          <w:sz w:val="18"/>
        </w:rPr>
        <w:footnoteRef/>
      </w:r>
      <w:r w:rsidRPr="006C1D13">
        <w:rPr>
          <w:szCs w:val="18"/>
        </w:rPr>
        <w:t xml:space="preserve"> </w:t>
      </w:r>
      <w:hyperlink r:id="rId1" w:history="1">
        <w:r w:rsidRPr="006C1D13">
          <w:rPr>
            <w:szCs w:val="18"/>
          </w:rPr>
          <w:t>http://www.mercuryconvention.org/Implementation/SpecificInternationalProgramme/tabid/6334/language/en-US/Default.aspx</w:t>
        </w:r>
      </w:hyperlink>
      <w:r w:rsidRPr="006C1D13">
        <w:rPr>
          <w:szCs w:val="18"/>
        </w:rPr>
        <w:t>.</w:t>
      </w:r>
      <w:r w:rsidRPr="006C1D13" w:rsidDel="00D45B7D">
        <w:rPr>
          <w:rStyle w:val="Hyperlink"/>
          <w:sz w:val="18"/>
          <w:szCs w:val="18"/>
        </w:rPr>
        <w:t xml:space="preserve"> </w:t>
      </w:r>
    </w:p>
  </w:footnote>
  <w:footnote w:id="6">
    <w:p w14:paraId="41CE2D4A" w14:textId="77777777" w:rsidR="008949DE" w:rsidRPr="00425FEC" w:rsidRDefault="008949DE" w:rsidP="00E474B7">
      <w:pPr>
        <w:pStyle w:val="FootnoteText"/>
        <w:rPr>
          <w:szCs w:val="18"/>
          <w:lang w:val="en-US"/>
        </w:rPr>
      </w:pPr>
      <w:r w:rsidRPr="006C1D13">
        <w:rPr>
          <w:rStyle w:val="FootnoteReference"/>
        </w:rPr>
        <w:footnoteRef/>
      </w:r>
      <w:r w:rsidRPr="00425FEC">
        <w:rPr>
          <w:szCs w:val="18"/>
          <w:lang w:val="en-US"/>
        </w:rPr>
        <w:t xml:space="preserve"> UNEP/MC/COP.2/INF/3 - Report of the Global Environment Facility to the Conference of the Parties to the Minamata Convention on Mercury at its second meeting.</w:t>
      </w:r>
    </w:p>
  </w:footnote>
  <w:footnote w:id="7">
    <w:p w14:paraId="4E1636D5" w14:textId="4FF01DEB" w:rsidR="008949DE" w:rsidRPr="00425FEC" w:rsidRDefault="008949DE" w:rsidP="00E474B7">
      <w:pPr>
        <w:pStyle w:val="FootnoteText"/>
        <w:spacing w:before="0"/>
        <w:rPr>
          <w:szCs w:val="18"/>
          <w:lang w:val="en-US"/>
        </w:rPr>
      </w:pPr>
      <w:r w:rsidRPr="006C1D13">
        <w:rPr>
          <w:rStyle w:val="FootnoteReference"/>
        </w:rPr>
        <w:footnoteRef/>
      </w:r>
      <w:r w:rsidRPr="00425FEC">
        <w:rPr>
          <w:szCs w:val="18"/>
          <w:lang w:val="en-US"/>
        </w:rPr>
        <w:t xml:space="preserve"> GEF, 2014, </w:t>
      </w:r>
      <w:hyperlink r:id="rId2" w:history="1">
        <w:r w:rsidR="003527E7" w:rsidRPr="003527E7">
          <w:rPr>
            <w:rStyle w:val="Hyperlink"/>
            <w:sz w:val="18"/>
            <w:lang w:val="en-GB"/>
          </w:rPr>
          <w:t>Initial Guidelines for Enabling Activities for the Minamata Convention on Mercury</w:t>
        </w:r>
      </w:hyperlink>
      <w:r w:rsidRPr="00425FEC">
        <w:rPr>
          <w:szCs w:val="18"/>
          <w:lang w:val="en-US"/>
        </w:rPr>
        <w:t>, Council Document, GEF/C.45/Inf.05/Rev.01.</w:t>
      </w:r>
    </w:p>
  </w:footnote>
  <w:footnote w:id="8">
    <w:p w14:paraId="521D1972" w14:textId="35778F9A" w:rsidR="008949DE" w:rsidRPr="006C1D13" w:rsidRDefault="008949DE" w:rsidP="00E474B7">
      <w:pPr>
        <w:pStyle w:val="FootnoteText"/>
      </w:pPr>
      <w:r w:rsidRPr="006C1D13">
        <w:rPr>
          <w:rStyle w:val="FootnoteReference"/>
        </w:rPr>
        <w:footnoteRef/>
      </w:r>
      <w:r w:rsidRPr="006C1D13">
        <w:t xml:space="preserve"> </w:t>
      </w:r>
      <w:r>
        <w:t>Jusqu’au 15 mai </w:t>
      </w:r>
      <w:r w:rsidRPr="006C1D13">
        <w:t xml:space="preserve">2019, </w:t>
      </w:r>
      <w:r>
        <w:t xml:space="preserve">l’appui fourni par le FEM </w:t>
      </w:r>
      <w:r w:rsidRPr="00046347">
        <w:t xml:space="preserve">dans le cadre de </w:t>
      </w:r>
      <w:r>
        <w:t>FEM-5, FEM-6 et FEM-7</w:t>
      </w:r>
      <w:r w:rsidRPr="00046347">
        <w:t>, a perm</w:t>
      </w:r>
      <w:r>
        <w:t>is</w:t>
      </w:r>
      <w:r w:rsidRPr="00046347">
        <w:t xml:space="preserve"> à 11</w:t>
      </w:r>
      <w:r>
        <w:t>1 </w:t>
      </w:r>
      <w:r w:rsidRPr="00046347">
        <w:t>pays de procéder à des évaluations initiales au titre de la Convention de Minamata et à 3</w:t>
      </w:r>
      <w:r>
        <w:t>4 </w:t>
      </w:r>
      <w:r w:rsidRPr="00046347">
        <w:t>pays d’établir leurs plans d’action nationaux concernant l’extraction minière artisanale et à petite échelle d’or</w:t>
      </w:r>
      <w:r w:rsidRPr="006C1D13">
        <w:t>.</w:t>
      </w:r>
      <w:r>
        <w:t xml:space="preserve"> Sur les 111 </w:t>
      </w:r>
      <w:r w:rsidRPr="00046347">
        <w:t>évaluations initiales</w:t>
      </w:r>
      <w:r>
        <w:t xml:space="preserve"> financées à ce jour, </w:t>
      </w:r>
      <w:r w:rsidRPr="006C1D13">
        <w:t>17</w:t>
      </w:r>
      <w:r>
        <w:t> sont pour des pays non-signataires et non-parties, 33 pour des pays signataires mais non-parties</w:t>
      </w:r>
      <w:r w:rsidRPr="006C1D13">
        <w:t>, 45</w:t>
      </w:r>
      <w:r>
        <w:t> pour des pays signataires et Parties et 16 pour des pays non-signataires mais Parties</w:t>
      </w:r>
      <w:r w:rsidRPr="006C1D13">
        <w:t xml:space="preserve">. </w:t>
      </w:r>
      <w:r>
        <w:t>Sur les 34 </w:t>
      </w:r>
      <w:r w:rsidRPr="00352FF7">
        <w:t xml:space="preserve">plans d’action nationaux </w:t>
      </w:r>
      <w:r>
        <w:t>financés, 18 sont pour des pays signataires et Parties, 9 pour des pays signataires mais non-parties, 4 pour des pays non-signataires mais Parties et 3 pour des pays non-signataires et non-parties</w:t>
      </w:r>
      <w:r w:rsidRPr="006C1D13">
        <w:t xml:space="preserve">. </w:t>
      </w:r>
      <w:r>
        <w:t xml:space="preserve">Au total, </w:t>
      </w:r>
      <w:r w:rsidRPr="006C1D13">
        <w:t>18</w:t>
      </w:r>
      <w:r>
        <w:t xml:space="preserve"> pays devront ratifier la Convention </w:t>
      </w:r>
      <w:r w:rsidRPr="00352FF7">
        <w:t xml:space="preserve">pour pouvoir prétendre à un financement </w:t>
      </w:r>
      <w:r>
        <w:t>de leurs </w:t>
      </w:r>
      <w:r w:rsidRPr="00352FF7">
        <w:t>évaluations initiales au titre de la Convention de Minamata</w:t>
      </w:r>
      <w:r w:rsidRPr="006C1D13">
        <w:t>.</w:t>
      </w:r>
    </w:p>
  </w:footnote>
  <w:footnote w:id="9">
    <w:p w14:paraId="0650056B" w14:textId="77777777" w:rsidR="008949DE" w:rsidRPr="00425FEC" w:rsidRDefault="008949DE" w:rsidP="00E474B7">
      <w:pPr>
        <w:pStyle w:val="FootnoteText"/>
        <w:spacing w:before="0"/>
        <w:rPr>
          <w:szCs w:val="18"/>
          <w:lang w:val="en-US"/>
        </w:rPr>
      </w:pPr>
      <w:r w:rsidRPr="00046347">
        <w:rPr>
          <w:rStyle w:val="FootnoteReference"/>
          <w:sz w:val="18"/>
        </w:rPr>
        <w:footnoteRef/>
      </w:r>
      <w:r w:rsidRPr="00425FEC">
        <w:rPr>
          <w:szCs w:val="18"/>
          <w:lang w:val="en-US"/>
        </w:rPr>
        <w:t xml:space="preserve"> GEF, 2018, </w:t>
      </w:r>
      <w:hyperlink r:id="rId3" w:history="1">
        <w:r w:rsidRPr="00425FEC">
          <w:rPr>
            <w:rStyle w:val="Hyperlink"/>
            <w:sz w:val="18"/>
            <w:szCs w:val="18"/>
            <w:lang w:val="en-US"/>
          </w:rPr>
          <w:t>Report On The Seventh Replenishment Of The GEF Trust Fund</w:t>
        </w:r>
      </w:hyperlink>
      <w:r w:rsidRPr="00425FEC">
        <w:rPr>
          <w:szCs w:val="18"/>
          <w:lang w:val="en-US"/>
        </w:rPr>
        <w:t>, Council Document GEF/A.6/05/Rev.01.</w:t>
      </w:r>
    </w:p>
  </w:footnote>
  <w:footnote w:id="10">
    <w:p w14:paraId="19F74D94" w14:textId="1D4B7A4D" w:rsidR="008949DE" w:rsidRPr="006C1D13" w:rsidRDefault="008949DE" w:rsidP="00E953EE">
      <w:pPr>
        <w:pStyle w:val="FootnoteText"/>
        <w:rPr>
          <w:szCs w:val="18"/>
        </w:rPr>
      </w:pPr>
      <w:r w:rsidRPr="006C1D13">
        <w:rPr>
          <w:rStyle w:val="FootnoteReference"/>
        </w:rPr>
        <w:footnoteRef/>
      </w:r>
      <w:r w:rsidRPr="006C1D13">
        <w:rPr>
          <w:szCs w:val="18"/>
        </w:rPr>
        <w:t xml:space="preserve"> UNEP(DTIE)/Hg/INC.6/24, </w:t>
      </w:r>
      <w:hyperlink r:id="rId4" w:history="1">
        <w:r w:rsidRPr="00425FEC">
          <w:rPr>
            <w:rStyle w:val="Hyperlink"/>
            <w:sz w:val="18"/>
          </w:rPr>
          <w:t>http://www.mercuryconvention.org/Portals/11/documents/meetings/inc6/French/6_24_f_report.pdf</w:t>
        </w:r>
      </w:hyperlink>
      <w:r w:rsidRPr="006C1D13">
        <w:rPr>
          <w:szCs w:val="18"/>
        </w:rPr>
        <w:t xml:space="preserve"> </w:t>
      </w:r>
    </w:p>
  </w:footnote>
  <w:footnote w:id="11">
    <w:p w14:paraId="3F67E6D4" w14:textId="221B703F" w:rsidR="008949DE" w:rsidRPr="006C1D13" w:rsidRDefault="008949DE" w:rsidP="00E953EE">
      <w:pPr>
        <w:pStyle w:val="FootnoteText"/>
        <w:spacing w:before="0"/>
        <w:rPr>
          <w:szCs w:val="18"/>
        </w:rPr>
      </w:pPr>
      <w:r w:rsidRPr="006C1D13">
        <w:rPr>
          <w:rStyle w:val="FootnoteReference"/>
        </w:rPr>
        <w:footnoteRef/>
      </w:r>
      <w:r w:rsidRPr="006C1D13">
        <w:rPr>
          <w:szCs w:val="18"/>
        </w:rPr>
        <w:t xml:space="preserve"> UNEP(DTIE)/Hg/CONF/4, </w:t>
      </w:r>
      <w:r w:rsidRPr="001A042A">
        <w:t>http://www.mercuryconvention.org/Portals/11/documents/meetings/dipcon/french/CONF_4_final%20act_f.pdf</w:t>
      </w:r>
      <w:r w:rsidRPr="006C1D13">
        <w:rPr>
          <w:szCs w:val="18"/>
        </w:rPr>
        <w:t xml:space="preserve"> </w:t>
      </w:r>
    </w:p>
  </w:footnote>
  <w:footnote w:id="12">
    <w:p w14:paraId="100F3879" w14:textId="34FB6989" w:rsidR="008949DE" w:rsidRPr="006C1D13" w:rsidRDefault="008949DE" w:rsidP="00E953EE">
      <w:pPr>
        <w:pStyle w:val="FootnoteText"/>
        <w:spacing w:before="0"/>
        <w:rPr>
          <w:szCs w:val="18"/>
        </w:rPr>
      </w:pPr>
      <w:r w:rsidRPr="006C1D13">
        <w:rPr>
          <w:rStyle w:val="FootnoteReference"/>
        </w:rPr>
        <w:footnoteRef/>
      </w:r>
      <w:r w:rsidRPr="006C1D13">
        <w:rPr>
          <w:szCs w:val="18"/>
        </w:rPr>
        <w:t xml:space="preserve"> </w:t>
      </w:r>
      <w:r w:rsidRPr="00A028BB">
        <w:rPr>
          <w:szCs w:val="18"/>
        </w:rPr>
        <w:t>UNEP(DTIE)/Hg/INC.6/24, http://www.mercuryconvention.org/Portals/11/documents/meetings/inc6/French/6_24_f_report.pdf</w:t>
      </w:r>
      <w:r w:rsidRPr="006C1D13">
        <w:rPr>
          <w:szCs w:val="18"/>
        </w:rPr>
        <w:t xml:space="preserve"> </w:t>
      </w:r>
    </w:p>
  </w:footnote>
  <w:footnote w:id="13">
    <w:p w14:paraId="32F62B30" w14:textId="3C9A13EF" w:rsidR="008949DE" w:rsidRPr="00425FEC" w:rsidRDefault="008949DE" w:rsidP="00E953EE">
      <w:pPr>
        <w:pStyle w:val="FootnoteText"/>
        <w:spacing w:before="0"/>
        <w:rPr>
          <w:lang w:val="en-US"/>
        </w:rPr>
      </w:pPr>
      <w:r w:rsidRPr="006C1D13">
        <w:rPr>
          <w:rStyle w:val="FootnoteReference"/>
        </w:rPr>
        <w:footnoteRef/>
      </w:r>
      <w:r w:rsidRPr="00425FEC">
        <w:rPr>
          <w:szCs w:val="18"/>
          <w:lang w:val="en-US"/>
        </w:rPr>
        <w:t xml:space="preserve"> GEF/A.5/09, https://www.thegef.org/sites/default/files/council-meeting-documents/2014003691FREfre003_Amendments_to_the_Instrument_1.pdf</w:t>
      </w:r>
      <w:r w:rsidRPr="00425FEC">
        <w:rPr>
          <w:lang w:val="en-US"/>
        </w:rPr>
        <w:t xml:space="preserve"> </w:t>
      </w:r>
    </w:p>
  </w:footnote>
  <w:footnote w:id="14">
    <w:p w14:paraId="28E390E1" w14:textId="4C7A9A55" w:rsidR="008949DE" w:rsidRPr="006C1D13" w:rsidRDefault="008949DE" w:rsidP="00E953EE">
      <w:pPr>
        <w:pStyle w:val="FootnoteText"/>
      </w:pPr>
      <w:r w:rsidRPr="006C1D13">
        <w:rPr>
          <w:rStyle w:val="FootnoteReference"/>
        </w:rPr>
        <w:footnoteRef/>
      </w:r>
      <w:r w:rsidRPr="006C1D13">
        <w:t xml:space="preserve"> </w:t>
      </w:r>
      <w:r>
        <w:t>AH</w:t>
      </w:r>
      <w:r w:rsidRPr="006C1D13">
        <w:t xml:space="preserve"> – </w:t>
      </w:r>
      <w:r>
        <w:t>Activités habilitantes</w:t>
      </w:r>
      <w:r w:rsidRPr="006C1D13">
        <w:t xml:space="preserve">, </w:t>
      </w:r>
      <w:r>
        <w:t>PME</w:t>
      </w:r>
      <w:r w:rsidRPr="006C1D13">
        <w:t xml:space="preserve"> – </w:t>
      </w:r>
      <w:r>
        <w:t>Projets de moyenne envergure</w:t>
      </w:r>
      <w:r w:rsidRPr="006C1D13">
        <w:t xml:space="preserve"> (projets </w:t>
      </w:r>
      <w:r>
        <w:t>de moins de</w:t>
      </w:r>
      <w:r w:rsidRPr="006C1D13">
        <w:t xml:space="preserve"> 2</w:t>
      </w:r>
      <w:r>
        <w:t> millions de dollars</w:t>
      </w:r>
      <w:r w:rsidRPr="006C1D13">
        <w:t xml:space="preserve">), </w:t>
      </w:r>
      <w:r>
        <w:t>PGE</w:t>
      </w:r>
      <w:r w:rsidRPr="006C1D13">
        <w:t xml:space="preserve"> – </w:t>
      </w:r>
      <w:r>
        <w:t>Projets de grande envergure</w:t>
      </w:r>
      <w:r w:rsidRPr="006C1D13">
        <w:t xml:space="preserve"> (</w:t>
      </w:r>
      <w:r>
        <w:t>p</w:t>
      </w:r>
      <w:r w:rsidRPr="006C1D13">
        <w:t>rojets</w:t>
      </w:r>
      <w:r>
        <w:t xml:space="preserve"> de plus de </w:t>
      </w:r>
      <w:r w:rsidRPr="006C1D13">
        <w:t>2</w:t>
      </w:r>
      <w:r>
        <w:t> millions de dollars</w:t>
      </w:r>
      <w:r w:rsidRPr="006C1D13">
        <w:t xml:space="preserve">), </w:t>
      </w:r>
      <w:r>
        <w:t>DCP</w:t>
      </w:r>
      <w:r w:rsidRPr="006C1D13">
        <w:t xml:space="preserve"> –Document</w:t>
      </w:r>
      <w:r>
        <w:t xml:space="preserve"> cadre de programme</w:t>
      </w:r>
      <w:r w:rsidRPr="006C1D13">
        <w:t xml:space="preserve"> </w:t>
      </w:r>
      <w:r>
        <w:t>pour les approches programmatiques</w:t>
      </w:r>
    </w:p>
  </w:footnote>
  <w:footnote w:id="15">
    <w:p w14:paraId="3D39C34F" w14:textId="0F6DD9C8" w:rsidR="008949DE" w:rsidRPr="006C1D13" w:rsidRDefault="008949DE" w:rsidP="00E953EE">
      <w:pPr>
        <w:pStyle w:val="FootnoteText"/>
        <w:spacing w:before="0"/>
        <w:rPr>
          <w:szCs w:val="18"/>
        </w:rPr>
      </w:pPr>
      <w:r w:rsidRPr="006C1D13">
        <w:rPr>
          <w:rStyle w:val="FootnoteReference"/>
        </w:rPr>
        <w:footnoteRef/>
      </w:r>
      <w:r w:rsidRPr="006C1D13">
        <w:rPr>
          <w:szCs w:val="18"/>
        </w:rPr>
        <w:t xml:space="preserve"> </w:t>
      </w:r>
      <w:r>
        <w:rPr>
          <w:szCs w:val="18"/>
        </w:rPr>
        <w:t>Il s’agit uniquement de la subvention du FEM,</w:t>
      </w:r>
      <w:r w:rsidRPr="006C1D13">
        <w:rPr>
          <w:szCs w:val="18"/>
        </w:rPr>
        <w:t xml:space="preserve"> </w:t>
      </w:r>
      <w:r>
        <w:rPr>
          <w:szCs w:val="18"/>
        </w:rPr>
        <w:t>à l’exclusion de la subvention pour la préparation du projet et des</w:t>
      </w:r>
      <w:r w:rsidRPr="006C1D13">
        <w:rPr>
          <w:szCs w:val="18"/>
        </w:rPr>
        <w:t xml:space="preserve"> </w:t>
      </w:r>
      <w:r>
        <w:rPr>
          <w:szCs w:val="18"/>
        </w:rPr>
        <w:t>frais d’agence</w:t>
      </w:r>
      <w:r w:rsidRPr="006C1D13">
        <w:rPr>
          <w:szCs w:val="18"/>
        </w:rPr>
        <w:t>.</w:t>
      </w:r>
    </w:p>
  </w:footnote>
  <w:footnote w:id="16">
    <w:p w14:paraId="6C0670AF" w14:textId="09FF0E2D" w:rsidR="008949DE" w:rsidRPr="006C1D13" w:rsidRDefault="008949DE" w:rsidP="00E953EE">
      <w:pPr>
        <w:pStyle w:val="FootnoteText"/>
        <w:spacing w:before="0"/>
        <w:rPr>
          <w:szCs w:val="18"/>
        </w:rPr>
      </w:pPr>
      <w:r w:rsidRPr="006C1D13">
        <w:rPr>
          <w:rStyle w:val="FootnoteReference"/>
        </w:rPr>
        <w:footnoteRef/>
      </w:r>
      <w:r w:rsidRPr="006C1D13">
        <w:rPr>
          <w:szCs w:val="18"/>
        </w:rPr>
        <w:t xml:space="preserve"> </w:t>
      </w:r>
      <w:r>
        <w:rPr>
          <w:szCs w:val="18"/>
        </w:rPr>
        <w:t>D correspond au domaine d’intervention des produits chimiques et des déchets.</w:t>
      </w:r>
    </w:p>
  </w:footnote>
  <w:footnote w:id="17">
    <w:p w14:paraId="4E1DD240" w14:textId="0AD6D095" w:rsidR="008949DE" w:rsidRPr="006C1D13" w:rsidRDefault="008949DE" w:rsidP="00E953EE">
      <w:pPr>
        <w:pStyle w:val="FootnoteText"/>
        <w:spacing w:before="0"/>
      </w:pPr>
      <w:r w:rsidRPr="006C1D13">
        <w:rPr>
          <w:rStyle w:val="FootnoteReference"/>
        </w:rPr>
        <w:footnoteRef/>
      </w:r>
      <w:r w:rsidRPr="006C1D13">
        <w:rPr>
          <w:szCs w:val="18"/>
        </w:rPr>
        <w:t xml:space="preserve"> P </w:t>
      </w:r>
      <w:r>
        <w:rPr>
          <w:szCs w:val="18"/>
        </w:rPr>
        <w:t>correspond au domaine d’intervention des polluants organiques persistants, qui existait jusqu’à la fin de FEM-5</w:t>
      </w:r>
      <w:r w:rsidRPr="006C1D13">
        <w:rPr>
          <w:szCs w:val="18"/>
        </w:rPr>
        <w:t xml:space="preserve">. </w:t>
      </w:r>
      <w:r>
        <w:rPr>
          <w:szCs w:val="18"/>
        </w:rPr>
        <w:t>Le domaine d’intervention des polluants organiques persistants a été remplacé par le domaine d’intervention des produits chimiques et des déchets à la suite d’une modification de l’Instrument</w:t>
      </w:r>
      <w:r w:rsidRPr="006C1D13">
        <w:rPr>
          <w:szCs w:val="18"/>
        </w:rPr>
        <w:t xml:space="preserve"> </w:t>
      </w:r>
      <w:r>
        <w:rPr>
          <w:szCs w:val="18"/>
        </w:rPr>
        <w:t>du FEM effectuée à la cinquième Assemblée du FEM en mai </w:t>
      </w:r>
      <w:r w:rsidRPr="006C1D13">
        <w:rPr>
          <w:szCs w:val="18"/>
        </w:rPr>
        <w:t>2014.</w:t>
      </w:r>
    </w:p>
  </w:footnote>
  <w:footnote w:id="18">
    <w:p w14:paraId="6917B1A5" w14:textId="21BB6527" w:rsidR="008949DE" w:rsidRPr="006C1D13" w:rsidRDefault="008949DE" w:rsidP="00E953EE">
      <w:pPr>
        <w:pStyle w:val="FootnoteText"/>
      </w:pPr>
      <w:r w:rsidRPr="006C1D13">
        <w:rPr>
          <w:rStyle w:val="FootnoteReference"/>
        </w:rPr>
        <w:footnoteRef/>
      </w:r>
      <w:r w:rsidRPr="006C1D13">
        <w:t xml:space="preserve"> </w:t>
      </w:r>
      <w:r>
        <w:t>DIM</w:t>
      </w:r>
      <w:r w:rsidRPr="006C1D13">
        <w:t xml:space="preserve"> – </w:t>
      </w:r>
      <w:r>
        <w:t>P</w:t>
      </w:r>
      <w:r w:rsidRPr="007D1CEF">
        <w:t xml:space="preserve">rojets </w:t>
      </w:r>
      <w:r>
        <w:t xml:space="preserve">à </w:t>
      </w:r>
      <w:r w:rsidRPr="007D1CEF">
        <w:t xml:space="preserve">domaines </w:t>
      </w:r>
      <w:r>
        <w:t>d’intervention multiples</w:t>
      </w:r>
      <w:r w:rsidRPr="006C1D13">
        <w:t xml:space="preserve">, </w:t>
      </w:r>
      <w:r>
        <w:t xml:space="preserve">à savoir des projets qui traitent de multiples priorités de domaines d’intervention du FEM dans le cadre du même projet </w:t>
      </w:r>
    </w:p>
  </w:footnote>
  <w:footnote w:id="19">
    <w:p w14:paraId="0C736208" w14:textId="77777777" w:rsidR="008949DE" w:rsidRPr="006C1D13" w:rsidRDefault="008949DE" w:rsidP="00493097">
      <w:pPr>
        <w:pStyle w:val="FootnoteText"/>
        <w:tabs>
          <w:tab w:val="clear" w:pos="1247"/>
          <w:tab w:val="left" w:pos="284"/>
          <w:tab w:val="left" w:pos="624"/>
        </w:tabs>
        <w:rPr>
          <w:szCs w:val="18"/>
        </w:rPr>
      </w:pPr>
      <w:r w:rsidRPr="006C1D13">
        <w:rPr>
          <w:rStyle w:val="FootnoteReference"/>
          <w:sz w:val="18"/>
        </w:rPr>
        <w:footnoteRef/>
      </w:r>
      <w:r w:rsidRPr="006C1D13">
        <w:rPr>
          <w:szCs w:val="18"/>
        </w:rPr>
        <w:t xml:space="preserve"> http://www.mercuryconvention.org/Portals/11/documents/SIP/SIP.1_6Report.pdf</w:t>
      </w:r>
    </w:p>
  </w:footnote>
  <w:footnote w:id="20">
    <w:p w14:paraId="41848B8C" w14:textId="7E0ABC14" w:rsidR="008949DE" w:rsidRPr="006C1D13" w:rsidRDefault="008949DE" w:rsidP="00493097">
      <w:pPr>
        <w:pStyle w:val="FootnoteText"/>
        <w:tabs>
          <w:tab w:val="clear" w:pos="1247"/>
          <w:tab w:val="left" w:pos="624"/>
        </w:tabs>
        <w:rPr>
          <w:szCs w:val="18"/>
        </w:rPr>
      </w:pPr>
      <w:r w:rsidRPr="006C1D13">
        <w:rPr>
          <w:rStyle w:val="FootnoteReference"/>
          <w:sz w:val="18"/>
        </w:rPr>
        <w:footnoteRef/>
      </w:r>
      <w:r w:rsidRPr="006C1D13">
        <w:rPr>
          <w:szCs w:val="18"/>
        </w:rPr>
        <w:t xml:space="preserve"> </w:t>
      </w:r>
      <w:r w:rsidRPr="00E40C92">
        <w:rPr>
          <w:szCs w:val="18"/>
        </w:rPr>
        <w:t>Ventilation par région</w:t>
      </w:r>
      <w:r>
        <w:rPr>
          <w:szCs w:val="18"/>
        </w:rPr>
        <w:t> </w:t>
      </w:r>
      <w:r w:rsidRPr="00E40C92">
        <w:rPr>
          <w:szCs w:val="18"/>
        </w:rPr>
        <w:t>: Afrique</w:t>
      </w:r>
      <w:r>
        <w:rPr>
          <w:szCs w:val="18"/>
        </w:rPr>
        <w:t> </w:t>
      </w:r>
      <w:r w:rsidRPr="00E40C92">
        <w:rPr>
          <w:szCs w:val="18"/>
        </w:rPr>
        <w:t>: Bénin et Lesotho</w:t>
      </w:r>
      <w:r>
        <w:rPr>
          <w:szCs w:val="18"/>
        </w:rPr>
        <w:t> </w:t>
      </w:r>
      <w:r w:rsidRPr="00E40C92">
        <w:rPr>
          <w:szCs w:val="18"/>
        </w:rPr>
        <w:t>; Asie-Pacifique</w:t>
      </w:r>
      <w:r>
        <w:rPr>
          <w:szCs w:val="18"/>
        </w:rPr>
        <w:t> </w:t>
      </w:r>
      <w:r w:rsidRPr="00E40C92">
        <w:rPr>
          <w:szCs w:val="18"/>
        </w:rPr>
        <w:t>: Iran</w:t>
      </w:r>
      <w:r>
        <w:rPr>
          <w:szCs w:val="18"/>
        </w:rPr>
        <w:t> </w:t>
      </w:r>
      <w:r w:rsidRPr="00E40C92">
        <w:rPr>
          <w:szCs w:val="18"/>
        </w:rPr>
        <w:t>; Europe centrale et orientale</w:t>
      </w:r>
      <w:r>
        <w:rPr>
          <w:szCs w:val="18"/>
        </w:rPr>
        <w:t> </w:t>
      </w:r>
      <w:r w:rsidRPr="00E40C92">
        <w:rPr>
          <w:szCs w:val="18"/>
        </w:rPr>
        <w:t>: Arménie</w:t>
      </w:r>
      <w:r>
        <w:rPr>
          <w:szCs w:val="18"/>
        </w:rPr>
        <w:t> </w:t>
      </w:r>
      <w:r w:rsidRPr="00E40C92">
        <w:rPr>
          <w:szCs w:val="18"/>
        </w:rPr>
        <w:t>; Amérique latine et Caraïbes</w:t>
      </w:r>
      <w:r>
        <w:rPr>
          <w:szCs w:val="18"/>
        </w:rPr>
        <w:t> </w:t>
      </w:r>
      <w:r w:rsidRPr="00E40C92">
        <w:rPr>
          <w:szCs w:val="18"/>
        </w:rPr>
        <w:t>: Argentine</w:t>
      </w:r>
      <w:r w:rsidRPr="006C1D13">
        <w:rPr>
          <w:szCs w:val="18"/>
        </w:rPr>
        <w:t>.</w:t>
      </w:r>
    </w:p>
  </w:footnote>
  <w:footnote w:id="21">
    <w:p w14:paraId="14EA4E02" w14:textId="77777777" w:rsidR="008949DE" w:rsidRPr="006C1D13" w:rsidRDefault="008949DE" w:rsidP="00493097">
      <w:pPr>
        <w:pStyle w:val="FootnoteText"/>
        <w:tabs>
          <w:tab w:val="clear" w:pos="1247"/>
          <w:tab w:val="left" w:pos="284"/>
          <w:tab w:val="left" w:pos="624"/>
        </w:tabs>
        <w:rPr>
          <w:szCs w:val="18"/>
        </w:rPr>
      </w:pPr>
      <w:r w:rsidRPr="006C1D13">
        <w:rPr>
          <w:rStyle w:val="FootnoteReference"/>
          <w:sz w:val="18"/>
        </w:rPr>
        <w:footnoteRef/>
      </w:r>
      <w:r w:rsidRPr="006C1D13">
        <w:rPr>
          <w:szCs w:val="18"/>
        </w:rPr>
        <w:t xml:space="preserve"> http://www.mercuryconvention.org/Portals/11/documents/SIP/SIP.GB.3.2_Report_Second_Meeting.pdf</w:t>
      </w:r>
    </w:p>
  </w:footnote>
  <w:footnote w:id="22">
    <w:p w14:paraId="7BBF5586" w14:textId="20A2F8D9" w:rsidR="008949DE" w:rsidRPr="006C1D13" w:rsidRDefault="008949DE" w:rsidP="00493097">
      <w:pPr>
        <w:pStyle w:val="FootnoteText"/>
        <w:tabs>
          <w:tab w:val="clear" w:pos="1247"/>
          <w:tab w:val="left" w:pos="284"/>
          <w:tab w:val="left" w:pos="624"/>
        </w:tabs>
        <w:rPr>
          <w:szCs w:val="18"/>
        </w:rPr>
      </w:pPr>
      <w:r w:rsidRPr="006C1D13">
        <w:rPr>
          <w:rStyle w:val="FootnoteReference"/>
          <w:sz w:val="18"/>
        </w:rPr>
        <w:footnoteRef/>
      </w:r>
      <w:r w:rsidRPr="006C1D13">
        <w:rPr>
          <w:szCs w:val="18"/>
        </w:rPr>
        <w:t xml:space="preserve"> UNEP/MC/COP</w:t>
      </w:r>
      <w:r>
        <w:rPr>
          <w:szCs w:val="18"/>
        </w:rPr>
        <w:t>.</w:t>
      </w:r>
      <w:r w:rsidRPr="006C1D13">
        <w:rPr>
          <w:szCs w:val="18"/>
        </w:rPr>
        <w:t>3/10/Add.1</w:t>
      </w:r>
      <w:r>
        <w:rPr>
          <w:szCs w:val="18"/>
        </w:rPr>
        <w:t>,</w:t>
      </w:r>
      <w:r w:rsidRPr="006C1D13">
        <w:rPr>
          <w:szCs w:val="18"/>
        </w:rPr>
        <w:t xml:space="preserve"> annex</w:t>
      </w:r>
      <w:r>
        <w:rPr>
          <w:szCs w:val="18"/>
        </w:rPr>
        <w:t>e </w:t>
      </w:r>
      <w:r w:rsidRPr="006C1D13">
        <w:rPr>
          <w:szCs w:val="18"/>
        </w:rPr>
        <w:t>I</w:t>
      </w:r>
      <w:r>
        <w:rPr>
          <w:szCs w:val="18"/>
        </w:rPr>
        <w:t>, Rapport de la troisième réunion du Conseil d’administration</w:t>
      </w:r>
      <w:r w:rsidRPr="006C1D13">
        <w:rPr>
          <w:szCs w:val="18"/>
        </w:rPr>
        <w:t>.</w:t>
      </w:r>
    </w:p>
  </w:footnote>
  <w:footnote w:id="23">
    <w:p w14:paraId="7640FBB9" w14:textId="17ADC5BA" w:rsidR="008949DE" w:rsidRPr="006C1D13" w:rsidRDefault="008949DE" w:rsidP="00493097">
      <w:pPr>
        <w:pStyle w:val="FootnoteText"/>
        <w:tabs>
          <w:tab w:val="clear" w:pos="1247"/>
          <w:tab w:val="left" w:pos="284"/>
          <w:tab w:val="left" w:pos="624"/>
        </w:tabs>
        <w:rPr>
          <w:szCs w:val="18"/>
        </w:rPr>
      </w:pPr>
      <w:r w:rsidRPr="006C1D13">
        <w:rPr>
          <w:rStyle w:val="FootnoteReference"/>
          <w:sz w:val="18"/>
        </w:rPr>
        <w:footnoteRef/>
      </w:r>
      <w:r w:rsidRPr="006C1D13">
        <w:rPr>
          <w:szCs w:val="18"/>
        </w:rPr>
        <w:t xml:space="preserve"> http://www.</w:t>
      </w:r>
      <w:r w:rsidRPr="00E40C92">
        <w:rPr>
          <w:szCs w:val="18"/>
        </w:rPr>
        <w:t>mercuryconvention.org/Miseenoeuvre/ProgrammeInternationalSpécifique/tabid/6335/language/fr-CH/Default.aspx</w:t>
      </w:r>
    </w:p>
  </w:footnote>
  <w:footnote w:id="24">
    <w:p w14:paraId="3605E6C3" w14:textId="2CA93BBF" w:rsidR="008949DE" w:rsidRPr="006C1D13" w:rsidRDefault="008949DE" w:rsidP="00493097">
      <w:pPr>
        <w:pStyle w:val="FootnoteText"/>
        <w:tabs>
          <w:tab w:val="clear" w:pos="1247"/>
          <w:tab w:val="left" w:pos="624"/>
        </w:tabs>
        <w:rPr>
          <w:szCs w:val="18"/>
        </w:rPr>
      </w:pPr>
      <w:r w:rsidRPr="006C1D13">
        <w:rPr>
          <w:rStyle w:val="FootnoteReference"/>
          <w:sz w:val="18"/>
        </w:rPr>
        <w:footnoteRef/>
      </w:r>
      <w:r w:rsidRPr="006C1D13">
        <w:rPr>
          <w:szCs w:val="18"/>
        </w:rPr>
        <w:t xml:space="preserve"> </w:t>
      </w:r>
      <w:r>
        <w:rPr>
          <w:szCs w:val="18"/>
        </w:rPr>
        <w:t>Les</w:t>
      </w:r>
      <w:r w:rsidRPr="006C1D13">
        <w:rPr>
          <w:szCs w:val="18"/>
        </w:rPr>
        <w:t xml:space="preserve"> six</w:t>
      </w:r>
      <w:r>
        <w:rPr>
          <w:szCs w:val="18"/>
        </w:rPr>
        <w:t> </w:t>
      </w:r>
      <w:r w:rsidRPr="006C1D13">
        <w:rPr>
          <w:szCs w:val="18"/>
        </w:rPr>
        <w:t xml:space="preserve">sources </w:t>
      </w:r>
      <w:r>
        <w:rPr>
          <w:szCs w:val="18"/>
        </w:rPr>
        <w:t>sont : i) le FEM ; ii) le</w:t>
      </w:r>
      <w:r w:rsidRPr="006C1D13">
        <w:rPr>
          <w:szCs w:val="18"/>
        </w:rPr>
        <w:t xml:space="preserve"> Programme </w:t>
      </w:r>
      <w:r>
        <w:rPr>
          <w:szCs w:val="18"/>
        </w:rPr>
        <w:t xml:space="preserve">international spécifique de la Convention de </w:t>
      </w:r>
      <w:r w:rsidRPr="006C1D13">
        <w:rPr>
          <w:szCs w:val="18"/>
        </w:rPr>
        <w:t>Minamata</w:t>
      </w:r>
      <w:r>
        <w:rPr>
          <w:szCs w:val="18"/>
        </w:rPr>
        <w:t xml:space="preserve"> ; iii) le </w:t>
      </w:r>
      <w:r w:rsidRPr="00156004">
        <w:rPr>
          <w:szCs w:val="18"/>
        </w:rPr>
        <w:t xml:space="preserve">Programme spécial d’appui au renforcement des institutions nationales aux fins de la mise en œuvre </w:t>
      </w:r>
      <w:r>
        <w:rPr>
          <w:szCs w:val="18"/>
        </w:rPr>
        <w:t>de la Convention</w:t>
      </w:r>
      <w:r w:rsidRPr="00156004">
        <w:rPr>
          <w:szCs w:val="18"/>
        </w:rPr>
        <w:t xml:space="preserve"> de Bâle, </w:t>
      </w:r>
      <w:r>
        <w:rPr>
          <w:szCs w:val="18"/>
        </w:rPr>
        <w:t xml:space="preserve">de la Convention </w:t>
      </w:r>
      <w:r w:rsidRPr="00156004">
        <w:rPr>
          <w:szCs w:val="18"/>
        </w:rPr>
        <w:t xml:space="preserve">de Rotterdam </w:t>
      </w:r>
      <w:r w:rsidRPr="0069300B">
        <w:rPr>
          <w:szCs w:val="18"/>
        </w:rPr>
        <w:t>sur la procédure de consentement préalable en connaissance de cause applicable à certains produits chimiques et pesticides dangereux qui font l</w:t>
      </w:r>
      <w:r>
        <w:rPr>
          <w:szCs w:val="18"/>
        </w:rPr>
        <w:t>’</w:t>
      </w:r>
      <w:r w:rsidRPr="0069300B">
        <w:rPr>
          <w:szCs w:val="18"/>
        </w:rPr>
        <w:t>objet d</w:t>
      </w:r>
      <w:r>
        <w:rPr>
          <w:szCs w:val="18"/>
        </w:rPr>
        <w:t>’</w:t>
      </w:r>
      <w:r w:rsidRPr="0069300B">
        <w:rPr>
          <w:szCs w:val="18"/>
        </w:rPr>
        <w:t>un commerce international</w:t>
      </w:r>
      <w:r>
        <w:rPr>
          <w:szCs w:val="18"/>
        </w:rPr>
        <w:t>,</w:t>
      </w:r>
      <w:r w:rsidRPr="00156004">
        <w:rPr>
          <w:szCs w:val="18"/>
        </w:rPr>
        <w:t xml:space="preserve"> </w:t>
      </w:r>
      <w:r>
        <w:rPr>
          <w:szCs w:val="18"/>
        </w:rPr>
        <w:t xml:space="preserve">de la Convention </w:t>
      </w:r>
      <w:r w:rsidRPr="00156004">
        <w:rPr>
          <w:szCs w:val="18"/>
        </w:rPr>
        <w:t>de Stockholm, de la Convention de Minamata et de l’Approche stratégique de la gestion internationale des produits chimiques</w:t>
      </w:r>
      <w:r>
        <w:rPr>
          <w:szCs w:val="18"/>
        </w:rPr>
        <w:t xml:space="preserve"> ; iv) les activités du secrétariat de la Convention de Minamata </w:t>
      </w:r>
      <w:r w:rsidRPr="00754928">
        <w:rPr>
          <w:szCs w:val="18"/>
        </w:rPr>
        <w:t>visant à soutenir le renforcement des capacités et l’assistance technique</w:t>
      </w:r>
      <w:r>
        <w:rPr>
          <w:szCs w:val="18"/>
        </w:rPr>
        <w:t xml:space="preserve"> ; v) le </w:t>
      </w:r>
      <w:r w:rsidRPr="00754928">
        <w:rPr>
          <w:szCs w:val="18"/>
        </w:rPr>
        <w:t>Partenariat mondial sur le mercure</w:t>
      </w:r>
      <w:r>
        <w:rPr>
          <w:szCs w:val="18"/>
        </w:rPr>
        <w:t> ;</w:t>
      </w:r>
      <w:r w:rsidRPr="006C1D13">
        <w:rPr>
          <w:szCs w:val="18"/>
        </w:rPr>
        <w:t xml:space="preserve"> </w:t>
      </w:r>
      <w:r>
        <w:rPr>
          <w:szCs w:val="18"/>
        </w:rPr>
        <w:t>et</w:t>
      </w:r>
      <w:r w:rsidRPr="006C1D13">
        <w:rPr>
          <w:szCs w:val="18"/>
        </w:rPr>
        <w:t xml:space="preserve"> vi)</w:t>
      </w:r>
      <w:r>
        <w:rPr>
          <w:szCs w:val="18"/>
        </w:rPr>
        <w:t> les activités d’appui bilatéral direct à la mise en œuvre</w:t>
      </w:r>
      <w:r w:rsidRPr="006C1D13">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3C17" w14:textId="65712A91" w:rsidR="008949DE" w:rsidRPr="00C75B4C" w:rsidRDefault="008949DE" w:rsidP="00C75B4C">
    <w:pPr>
      <w:pStyle w:val="Header-pool"/>
    </w:pPr>
    <w:r w:rsidRPr="00C75B4C">
      <w:rPr>
        <w:bCs/>
      </w:rPr>
      <w:t>UNEP</w:t>
    </w:r>
    <w:r w:rsidRPr="00C75B4C">
      <w:t>/MC/COP.3/11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916FA" w14:textId="49CCB3A8" w:rsidR="008949DE" w:rsidRDefault="008949DE" w:rsidP="00CF1CDC">
    <w:pPr>
      <w:pStyle w:val="Header-pool"/>
    </w:pPr>
    <w:r>
      <w:rPr>
        <w:bCs/>
      </w:rPr>
      <w:t>U</w:t>
    </w:r>
    <w:r w:rsidRPr="00C75B4C">
      <w:rPr>
        <w:bCs/>
      </w:rPr>
      <w:t>NEP</w:t>
    </w:r>
    <w:r w:rsidRPr="00C75B4C">
      <w:t>/MC/COP.3/11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D71E" w14:textId="4D151104" w:rsidR="008949DE" w:rsidRDefault="008949DE" w:rsidP="00CF1CDC">
    <w:pPr>
      <w:pStyle w:val="Header-pool"/>
      <w:jc w:val="right"/>
    </w:pPr>
    <w:r>
      <w:rPr>
        <w:bCs/>
      </w:rPr>
      <w:t>U</w:t>
    </w:r>
    <w:r w:rsidRPr="00C75B4C">
      <w:rPr>
        <w:bCs/>
      </w:rPr>
      <w:t>NEP</w:t>
    </w:r>
    <w:r w:rsidRPr="00C75B4C">
      <w:t>/MC/COP.3/11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27F4" w14:textId="4E12FEFB" w:rsidR="008949DE" w:rsidRDefault="008949DE" w:rsidP="00260668">
    <w:pPr>
      <w:pStyle w:val="Header-pool"/>
    </w:pPr>
    <w:r w:rsidRPr="00260668">
      <w:rPr>
        <w:bCs/>
      </w:rPr>
      <w:t>UNEP</w:t>
    </w:r>
    <w:r w:rsidRPr="00260668">
      <w:t>/MC/COP.3/11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7305B" w14:textId="417AFC47" w:rsidR="008949DE" w:rsidRDefault="008949DE" w:rsidP="00C75B4C">
    <w:pPr>
      <w:pStyle w:val="Header"/>
      <w:jc w:val="right"/>
    </w:pPr>
    <w:r w:rsidRPr="00C75B4C">
      <w:rPr>
        <w:bCs/>
      </w:rPr>
      <w:t>UNEP</w:t>
    </w:r>
    <w:r w:rsidRPr="00C75B4C">
      <w:t>/MC/COP.3/11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F44E6" w14:textId="4099C040" w:rsidR="008949DE" w:rsidRDefault="008949DE" w:rsidP="00314D4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0EBCA" w14:textId="2AC2E769" w:rsidR="008949DE" w:rsidRPr="00CA5CA9" w:rsidRDefault="008949DE"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9C825" w14:textId="12347260" w:rsidR="008949DE" w:rsidRPr="00CA5CA9" w:rsidRDefault="008949D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6E18A" w14:textId="262D1672" w:rsidR="008949DE" w:rsidRDefault="008949DE" w:rsidP="005E4496">
    <w:pPr>
      <w:pStyle w:val="Header-pool"/>
      <w:jc w:val="right"/>
    </w:pPr>
    <w:r w:rsidRPr="005E4496">
      <w:rPr>
        <w:bCs/>
      </w:rPr>
      <w:t>UNEP</w:t>
    </w:r>
    <w:r w:rsidRPr="005E4496">
      <w:t>/MC/COP.3/11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E1782" w14:textId="0CA9360F" w:rsidR="008949DE" w:rsidRDefault="008949DE" w:rsidP="00CF1CDC">
    <w:pPr>
      <w:pStyle w:val="Header-pool"/>
    </w:pPr>
    <w:r>
      <w:rPr>
        <w:bCs/>
      </w:rPr>
      <w:t>U</w:t>
    </w:r>
    <w:r w:rsidRPr="00C75B4C">
      <w:rPr>
        <w:bCs/>
      </w:rPr>
      <w:t>NEP</w:t>
    </w:r>
    <w:r w:rsidRPr="00C75B4C">
      <w:t>/MC/COP.3/11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E026" w14:textId="528B88FC" w:rsidR="008949DE" w:rsidRDefault="008949DE" w:rsidP="00CF1CDC">
    <w:pPr>
      <w:pStyle w:val="Header-pool"/>
      <w:jc w:val="right"/>
    </w:pPr>
    <w:r>
      <w:rPr>
        <w:bCs/>
      </w:rPr>
      <w:t>U</w:t>
    </w:r>
    <w:r w:rsidRPr="00C75B4C">
      <w:rPr>
        <w:bCs/>
      </w:rPr>
      <w:t>NEP</w:t>
    </w:r>
    <w:r w:rsidRPr="00C75B4C">
      <w:t>/MC/COP.3/11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9E62" w14:textId="01148E71" w:rsidR="008949DE" w:rsidRDefault="008949DE" w:rsidP="00F042C8">
    <w:pPr>
      <w:pStyle w:val="Header-pool"/>
    </w:pPr>
    <w:r w:rsidRPr="005E4496">
      <w:rPr>
        <w:bCs/>
      </w:rPr>
      <w:t>UNEP</w:t>
    </w:r>
    <w:r w:rsidRPr="005E4496">
      <w:t>/MC/COP.3/11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F5"/>
    <w:multiLevelType w:val="multilevel"/>
    <w:tmpl w:val="20108B32"/>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6E34146"/>
    <w:multiLevelType w:val="multilevel"/>
    <w:tmpl w:val="CF2EA1F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bullet"/>
      <w:lvlText w:val=""/>
      <w:lvlJc w:val="left"/>
      <w:pPr>
        <w:tabs>
          <w:tab w:val="num" w:pos="1134"/>
        </w:tabs>
        <w:ind w:left="2948" w:hanging="567"/>
      </w:pPr>
      <w:rPr>
        <w:rFonts w:ascii="Wingdings" w:hAnsi="Wingding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1D05ACD"/>
    <w:multiLevelType w:val="hybridMultilevel"/>
    <w:tmpl w:val="98D0D37E"/>
    <w:lvl w:ilvl="0" w:tplc="1CB2268C">
      <w:start w:val="1"/>
      <w:numFmt w:val="bullet"/>
      <w:lvlText w:val=""/>
      <w:lvlJc w:val="left"/>
      <w:pPr>
        <w:ind w:left="1486" w:hanging="360"/>
      </w:pPr>
      <w:rPr>
        <w:rFonts w:ascii="Wingdings" w:hAnsi="Wingdings" w:hint="default"/>
        <w:color w:val="00B0F0"/>
      </w:rPr>
    </w:lvl>
    <w:lvl w:ilvl="1" w:tplc="040C0003" w:tentative="1">
      <w:start w:val="1"/>
      <w:numFmt w:val="bullet"/>
      <w:lvlText w:val="o"/>
      <w:lvlJc w:val="left"/>
      <w:pPr>
        <w:ind w:left="2206" w:hanging="360"/>
      </w:pPr>
      <w:rPr>
        <w:rFonts w:ascii="Courier New" w:hAnsi="Courier New" w:cs="Courier New" w:hint="default"/>
      </w:rPr>
    </w:lvl>
    <w:lvl w:ilvl="2" w:tplc="040C0005" w:tentative="1">
      <w:start w:val="1"/>
      <w:numFmt w:val="bullet"/>
      <w:lvlText w:val=""/>
      <w:lvlJc w:val="left"/>
      <w:pPr>
        <w:ind w:left="2926" w:hanging="360"/>
      </w:pPr>
      <w:rPr>
        <w:rFonts w:ascii="Wingdings" w:hAnsi="Wingdings" w:hint="default"/>
      </w:rPr>
    </w:lvl>
    <w:lvl w:ilvl="3" w:tplc="040C0001" w:tentative="1">
      <w:start w:val="1"/>
      <w:numFmt w:val="bullet"/>
      <w:lvlText w:val=""/>
      <w:lvlJc w:val="left"/>
      <w:pPr>
        <w:ind w:left="3646" w:hanging="360"/>
      </w:pPr>
      <w:rPr>
        <w:rFonts w:ascii="Symbol" w:hAnsi="Symbol" w:hint="default"/>
      </w:rPr>
    </w:lvl>
    <w:lvl w:ilvl="4" w:tplc="040C0003" w:tentative="1">
      <w:start w:val="1"/>
      <w:numFmt w:val="bullet"/>
      <w:lvlText w:val="o"/>
      <w:lvlJc w:val="left"/>
      <w:pPr>
        <w:ind w:left="4366" w:hanging="360"/>
      </w:pPr>
      <w:rPr>
        <w:rFonts w:ascii="Courier New" w:hAnsi="Courier New" w:cs="Courier New" w:hint="default"/>
      </w:rPr>
    </w:lvl>
    <w:lvl w:ilvl="5" w:tplc="040C0005" w:tentative="1">
      <w:start w:val="1"/>
      <w:numFmt w:val="bullet"/>
      <w:lvlText w:val=""/>
      <w:lvlJc w:val="left"/>
      <w:pPr>
        <w:ind w:left="5086" w:hanging="360"/>
      </w:pPr>
      <w:rPr>
        <w:rFonts w:ascii="Wingdings" w:hAnsi="Wingdings" w:hint="default"/>
      </w:rPr>
    </w:lvl>
    <w:lvl w:ilvl="6" w:tplc="040C0001" w:tentative="1">
      <w:start w:val="1"/>
      <w:numFmt w:val="bullet"/>
      <w:lvlText w:val=""/>
      <w:lvlJc w:val="left"/>
      <w:pPr>
        <w:ind w:left="5806" w:hanging="360"/>
      </w:pPr>
      <w:rPr>
        <w:rFonts w:ascii="Symbol" w:hAnsi="Symbol" w:hint="default"/>
      </w:rPr>
    </w:lvl>
    <w:lvl w:ilvl="7" w:tplc="040C0003" w:tentative="1">
      <w:start w:val="1"/>
      <w:numFmt w:val="bullet"/>
      <w:lvlText w:val="o"/>
      <w:lvlJc w:val="left"/>
      <w:pPr>
        <w:ind w:left="6526" w:hanging="360"/>
      </w:pPr>
      <w:rPr>
        <w:rFonts w:ascii="Courier New" w:hAnsi="Courier New" w:cs="Courier New" w:hint="default"/>
      </w:rPr>
    </w:lvl>
    <w:lvl w:ilvl="8" w:tplc="040C0005" w:tentative="1">
      <w:start w:val="1"/>
      <w:numFmt w:val="bullet"/>
      <w:lvlText w:val=""/>
      <w:lvlJc w:val="left"/>
      <w:pPr>
        <w:ind w:left="7246" w:hanging="360"/>
      </w:pPr>
      <w:rPr>
        <w:rFonts w:ascii="Wingdings" w:hAnsi="Wingdings" w:hint="default"/>
      </w:rPr>
    </w:lvl>
  </w:abstractNum>
  <w:abstractNum w:abstractNumId="4" w15:restartNumberingAfterBreak="0">
    <w:nsid w:val="227065BC"/>
    <w:multiLevelType w:val="hybridMultilevel"/>
    <w:tmpl w:val="733432CA"/>
    <w:lvl w:ilvl="0" w:tplc="FF865F6C">
      <w:start w:val="1"/>
      <w:numFmt w:val="bullet"/>
      <w:lvlText w:val=""/>
      <w:lvlJc w:val="left"/>
      <w:pPr>
        <w:ind w:left="766" w:hanging="360"/>
      </w:pPr>
      <w:rPr>
        <w:rFonts w:ascii="Wingdings" w:hAnsi="Wingdings" w:hint="default"/>
        <w:color w:val="FFC000"/>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 w15:restartNumberingAfterBreak="0">
    <w:nsid w:val="27C16143"/>
    <w:multiLevelType w:val="multilevel"/>
    <w:tmpl w:val="6C4C0882"/>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96A0ECC"/>
    <w:multiLevelType w:val="hybridMultilevel"/>
    <w:tmpl w:val="A0685C0A"/>
    <w:lvl w:ilvl="0" w:tplc="798422F4">
      <w:start w:val="1"/>
      <w:numFmt w:val="bullet"/>
      <w:lvlText w:val=""/>
      <w:lvlJc w:val="left"/>
      <w:pPr>
        <w:ind w:left="720" w:hanging="360"/>
      </w:pPr>
      <w:rPr>
        <w:rFonts w:ascii="Wingdings" w:hAnsi="Wingdings" w:hint="default"/>
        <w:color w:val="76923C" w:themeColor="accent3"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B6776B"/>
    <w:multiLevelType w:val="hybridMultilevel"/>
    <w:tmpl w:val="49D86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8041F"/>
    <w:multiLevelType w:val="hybridMultilevel"/>
    <w:tmpl w:val="26D058EA"/>
    <w:lvl w:ilvl="0" w:tplc="871252AC">
      <w:start w:val="1"/>
      <w:numFmt w:val="bullet"/>
      <w:lvlText w:val=""/>
      <w:lvlJc w:val="left"/>
      <w:pPr>
        <w:ind w:left="720" w:hanging="360"/>
      </w:pPr>
      <w:rPr>
        <w:rFonts w:ascii="Wingdings" w:hAnsi="Wingdings" w:hint="default"/>
        <w:color w:val="7030A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44372AF7"/>
    <w:multiLevelType w:val="hybridMultilevel"/>
    <w:tmpl w:val="26A4CA74"/>
    <w:lvl w:ilvl="0" w:tplc="5D74888E">
      <w:start w:val="1"/>
      <w:numFmt w:val="lowerLetter"/>
      <w:lvlText w:val="(%1)"/>
      <w:lvlJc w:val="left"/>
      <w:pPr>
        <w:ind w:left="103" w:hanging="303"/>
      </w:pPr>
      <w:rPr>
        <w:rFonts w:ascii="Times New Roman" w:eastAsia="Times New Roman" w:hAnsi="Times New Roman" w:cs="Times New Roman" w:hint="default"/>
        <w:color w:val="FFFFFF"/>
        <w:w w:val="100"/>
        <w:sz w:val="22"/>
        <w:szCs w:val="22"/>
      </w:rPr>
    </w:lvl>
    <w:lvl w:ilvl="1" w:tplc="24206C04">
      <w:numFmt w:val="bullet"/>
      <w:lvlText w:val="•"/>
      <w:lvlJc w:val="left"/>
      <w:pPr>
        <w:ind w:left="534" w:hanging="303"/>
      </w:pPr>
      <w:rPr>
        <w:rFonts w:hint="default"/>
      </w:rPr>
    </w:lvl>
    <w:lvl w:ilvl="2" w:tplc="466863BE">
      <w:numFmt w:val="bullet"/>
      <w:lvlText w:val="•"/>
      <w:lvlJc w:val="left"/>
      <w:pPr>
        <w:ind w:left="968" w:hanging="303"/>
      </w:pPr>
      <w:rPr>
        <w:rFonts w:hint="default"/>
      </w:rPr>
    </w:lvl>
    <w:lvl w:ilvl="3" w:tplc="DF8A38CE">
      <w:numFmt w:val="bullet"/>
      <w:lvlText w:val="•"/>
      <w:lvlJc w:val="left"/>
      <w:pPr>
        <w:ind w:left="1402" w:hanging="303"/>
      </w:pPr>
      <w:rPr>
        <w:rFonts w:hint="default"/>
      </w:rPr>
    </w:lvl>
    <w:lvl w:ilvl="4" w:tplc="C818B5BC">
      <w:numFmt w:val="bullet"/>
      <w:lvlText w:val="•"/>
      <w:lvlJc w:val="left"/>
      <w:pPr>
        <w:ind w:left="1836" w:hanging="303"/>
      </w:pPr>
      <w:rPr>
        <w:rFonts w:hint="default"/>
      </w:rPr>
    </w:lvl>
    <w:lvl w:ilvl="5" w:tplc="5F8E4920">
      <w:numFmt w:val="bullet"/>
      <w:lvlText w:val="•"/>
      <w:lvlJc w:val="left"/>
      <w:pPr>
        <w:ind w:left="2270" w:hanging="303"/>
      </w:pPr>
      <w:rPr>
        <w:rFonts w:hint="default"/>
      </w:rPr>
    </w:lvl>
    <w:lvl w:ilvl="6" w:tplc="D8C21DB4">
      <w:numFmt w:val="bullet"/>
      <w:lvlText w:val="•"/>
      <w:lvlJc w:val="left"/>
      <w:pPr>
        <w:ind w:left="2704" w:hanging="303"/>
      </w:pPr>
      <w:rPr>
        <w:rFonts w:hint="default"/>
      </w:rPr>
    </w:lvl>
    <w:lvl w:ilvl="7" w:tplc="E3FE2872">
      <w:numFmt w:val="bullet"/>
      <w:lvlText w:val="•"/>
      <w:lvlJc w:val="left"/>
      <w:pPr>
        <w:ind w:left="3138" w:hanging="303"/>
      </w:pPr>
      <w:rPr>
        <w:rFonts w:hint="default"/>
      </w:rPr>
    </w:lvl>
    <w:lvl w:ilvl="8" w:tplc="EF4E20CE">
      <w:numFmt w:val="bullet"/>
      <w:lvlText w:val="•"/>
      <w:lvlJc w:val="left"/>
      <w:pPr>
        <w:ind w:left="3573" w:hanging="303"/>
      </w:pPr>
      <w:rPr>
        <w:rFonts w:hint="default"/>
      </w:rPr>
    </w:lvl>
  </w:abstractNum>
  <w:abstractNum w:abstractNumId="11"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1B7EFF"/>
    <w:multiLevelType w:val="hybridMultilevel"/>
    <w:tmpl w:val="4B405B9E"/>
    <w:lvl w:ilvl="0" w:tplc="47D07EA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A66A9D"/>
    <w:multiLevelType w:val="multilevel"/>
    <w:tmpl w:val="9EBE8F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ascii="Times New Roman" w:eastAsia="Times New Roman" w:hAnsi="Times New Roman" w:cs="Times New Roman"/>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53AA5D1F"/>
    <w:multiLevelType w:val="hybridMultilevel"/>
    <w:tmpl w:val="6C849AC8"/>
    <w:lvl w:ilvl="0" w:tplc="8912FC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4AF78FF"/>
    <w:multiLevelType w:val="hybridMultilevel"/>
    <w:tmpl w:val="5C64F3D8"/>
    <w:lvl w:ilvl="0" w:tplc="3EF0F23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3B2B52"/>
    <w:multiLevelType w:val="hybridMultilevel"/>
    <w:tmpl w:val="9A24E4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24183B"/>
    <w:multiLevelType w:val="hybridMultilevel"/>
    <w:tmpl w:val="77905102"/>
    <w:lvl w:ilvl="0" w:tplc="12BC36F4">
      <w:start w:val="1"/>
      <w:numFmt w:val="lowerRoman"/>
      <w:lvlText w:val="(%1)"/>
      <w:lvlJc w:val="left"/>
      <w:pPr>
        <w:ind w:left="103" w:hanging="264"/>
      </w:pPr>
      <w:rPr>
        <w:rFonts w:ascii="Times New Roman" w:eastAsia="Times New Roman" w:hAnsi="Times New Roman" w:cs="Times New Roman" w:hint="default"/>
        <w:color w:val="FFFFFF"/>
        <w:w w:val="100"/>
        <w:sz w:val="22"/>
        <w:szCs w:val="22"/>
      </w:rPr>
    </w:lvl>
    <w:lvl w:ilvl="1" w:tplc="BFEC4494">
      <w:numFmt w:val="bullet"/>
      <w:lvlText w:val="•"/>
      <w:lvlJc w:val="left"/>
      <w:pPr>
        <w:ind w:left="534" w:hanging="264"/>
      </w:pPr>
      <w:rPr>
        <w:rFonts w:hint="default"/>
      </w:rPr>
    </w:lvl>
    <w:lvl w:ilvl="2" w:tplc="3FF62CAA">
      <w:numFmt w:val="bullet"/>
      <w:lvlText w:val="•"/>
      <w:lvlJc w:val="left"/>
      <w:pPr>
        <w:ind w:left="968" w:hanging="264"/>
      </w:pPr>
      <w:rPr>
        <w:rFonts w:hint="default"/>
      </w:rPr>
    </w:lvl>
    <w:lvl w:ilvl="3" w:tplc="FF24BB98">
      <w:numFmt w:val="bullet"/>
      <w:lvlText w:val="•"/>
      <w:lvlJc w:val="left"/>
      <w:pPr>
        <w:ind w:left="1402" w:hanging="264"/>
      </w:pPr>
      <w:rPr>
        <w:rFonts w:hint="default"/>
      </w:rPr>
    </w:lvl>
    <w:lvl w:ilvl="4" w:tplc="33C8DA62">
      <w:numFmt w:val="bullet"/>
      <w:lvlText w:val="•"/>
      <w:lvlJc w:val="left"/>
      <w:pPr>
        <w:ind w:left="1836" w:hanging="264"/>
      </w:pPr>
      <w:rPr>
        <w:rFonts w:hint="default"/>
      </w:rPr>
    </w:lvl>
    <w:lvl w:ilvl="5" w:tplc="6CD6C58E">
      <w:numFmt w:val="bullet"/>
      <w:lvlText w:val="•"/>
      <w:lvlJc w:val="left"/>
      <w:pPr>
        <w:ind w:left="2270" w:hanging="264"/>
      </w:pPr>
      <w:rPr>
        <w:rFonts w:hint="default"/>
      </w:rPr>
    </w:lvl>
    <w:lvl w:ilvl="6" w:tplc="922A02EE">
      <w:numFmt w:val="bullet"/>
      <w:lvlText w:val="•"/>
      <w:lvlJc w:val="left"/>
      <w:pPr>
        <w:ind w:left="2704" w:hanging="264"/>
      </w:pPr>
      <w:rPr>
        <w:rFonts w:hint="default"/>
      </w:rPr>
    </w:lvl>
    <w:lvl w:ilvl="7" w:tplc="9C503C62">
      <w:numFmt w:val="bullet"/>
      <w:lvlText w:val="•"/>
      <w:lvlJc w:val="left"/>
      <w:pPr>
        <w:ind w:left="3138" w:hanging="264"/>
      </w:pPr>
      <w:rPr>
        <w:rFonts w:hint="default"/>
      </w:rPr>
    </w:lvl>
    <w:lvl w:ilvl="8" w:tplc="D96ECF00">
      <w:numFmt w:val="bullet"/>
      <w:lvlText w:val="•"/>
      <w:lvlJc w:val="left"/>
      <w:pPr>
        <w:ind w:left="3573" w:hanging="264"/>
      </w:pPr>
      <w:rPr>
        <w:rFonts w:hint="default"/>
      </w:rPr>
    </w:lvl>
  </w:abstractNum>
  <w:abstractNum w:abstractNumId="18" w15:restartNumberingAfterBreak="0">
    <w:nsid w:val="6F9E478C"/>
    <w:multiLevelType w:val="hybridMultilevel"/>
    <w:tmpl w:val="F0E0747C"/>
    <w:lvl w:ilvl="0" w:tplc="52F4C7BC">
      <w:start w:val="1"/>
      <w:numFmt w:val="bullet"/>
      <w:lvlText w:val=""/>
      <w:lvlJc w:val="left"/>
      <w:pPr>
        <w:ind w:left="1486" w:hanging="360"/>
      </w:pPr>
      <w:rPr>
        <w:rFonts w:ascii="Wingdings" w:hAnsi="Wingdings" w:hint="default"/>
        <w:color w:val="984806" w:themeColor="accent6" w:themeShade="80"/>
      </w:rPr>
    </w:lvl>
    <w:lvl w:ilvl="1" w:tplc="040C0003" w:tentative="1">
      <w:start w:val="1"/>
      <w:numFmt w:val="bullet"/>
      <w:lvlText w:val="o"/>
      <w:lvlJc w:val="left"/>
      <w:pPr>
        <w:ind w:left="2206" w:hanging="360"/>
      </w:pPr>
      <w:rPr>
        <w:rFonts w:ascii="Courier New" w:hAnsi="Courier New" w:cs="Courier New" w:hint="default"/>
      </w:rPr>
    </w:lvl>
    <w:lvl w:ilvl="2" w:tplc="040C0005" w:tentative="1">
      <w:start w:val="1"/>
      <w:numFmt w:val="bullet"/>
      <w:lvlText w:val=""/>
      <w:lvlJc w:val="left"/>
      <w:pPr>
        <w:ind w:left="2926" w:hanging="360"/>
      </w:pPr>
      <w:rPr>
        <w:rFonts w:ascii="Wingdings" w:hAnsi="Wingdings" w:hint="default"/>
      </w:rPr>
    </w:lvl>
    <w:lvl w:ilvl="3" w:tplc="040C0001" w:tentative="1">
      <w:start w:val="1"/>
      <w:numFmt w:val="bullet"/>
      <w:lvlText w:val=""/>
      <w:lvlJc w:val="left"/>
      <w:pPr>
        <w:ind w:left="3646" w:hanging="360"/>
      </w:pPr>
      <w:rPr>
        <w:rFonts w:ascii="Symbol" w:hAnsi="Symbol" w:hint="default"/>
      </w:rPr>
    </w:lvl>
    <w:lvl w:ilvl="4" w:tplc="040C0003" w:tentative="1">
      <w:start w:val="1"/>
      <w:numFmt w:val="bullet"/>
      <w:lvlText w:val="o"/>
      <w:lvlJc w:val="left"/>
      <w:pPr>
        <w:ind w:left="4366" w:hanging="360"/>
      </w:pPr>
      <w:rPr>
        <w:rFonts w:ascii="Courier New" w:hAnsi="Courier New" w:cs="Courier New" w:hint="default"/>
      </w:rPr>
    </w:lvl>
    <w:lvl w:ilvl="5" w:tplc="040C0005" w:tentative="1">
      <w:start w:val="1"/>
      <w:numFmt w:val="bullet"/>
      <w:lvlText w:val=""/>
      <w:lvlJc w:val="left"/>
      <w:pPr>
        <w:ind w:left="5086" w:hanging="360"/>
      </w:pPr>
      <w:rPr>
        <w:rFonts w:ascii="Wingdings" w:hAnsi="Wingdings" w:hint="default"/>
      </w:rPr>
    </w:lvl>
    <w:lvl w:ilvl="6" w:tplc="040C0001" w:tentative="1">
      <w:start w:val="1"/>
      <w:numFmt w:val="bullet"/>
      <w:lvlText w:val=""/>
      <w:lvlJc w:val="left"/>
      <w:pPr>
        <w:ind w:left="5806" w:hanging="360"/>
      </w:pPr>
      <w:rPr>
        <w:rFonts w:ascii="Symbol" w:hAnsi="Symbol" w:hint="default"/>
      </w:rPr>
    </w:lvl>
    <w:lvl w:ilvl="7" w:tplc="040C0003" w:tentative="1">
      <w:start w:val="1"/>
      <w:numFmt w:val="bullet"/>
      <w:lvlText w:val="o"/>
      <w:lvlJc w:val="left"/>
      <w:pPr>
        <w:ind w:left="6526" w:hanging="360"/>
      </w:pPr>
      <w:rPr>
        <w:rFonts w:ascii="Courier New" w:hAnsi="Courier New" w:cs="Courier New" w:hint="default"/>
      </w:rPr>
    </w:lvl>
    <w:lvl w:ilvl="8" w:tplc="040C0005" w:tentative="1">
      <w:start w:val="1"/>
      <w:numFmt w:val="bullet"/>
      <w:lvlText w:val=""/>
      <w:lvlJc w:val="left"/>
      <w:pPr>
        <w:ind w:left="7246" w:hanging="360"/>
      </w:pPr>
      <w:rPr>
        <w:rFonts w:ascii="Wingdings" w:hAnsi="Wingdings" w:hint="default"/>
      </w:rPr>
    </w:lvl>
  </w:abstractNum>
  <w:abstractNum w:abstractNumId="19" w15:restartNumberingAfterBreak="0">
    <w:nsid w:val="70525B2E"/>
    <w:multiLevelType w:val="hybridMultilevel"/>
    <w:tmpl w:val="69C4E2A0"/>
    <w:lvl w:ilvl="0" w:tplc="A7A016AE">
      <w:start w:val="1"/>
      <w:numFmt w:val="lowerLetter"/>
      <w:lvlText w:val="(%1)"/>
      <w:lvlJc w:val="left"/>
      <w:pPr>
        <w:ind w:left="103" w:hanging="324"/>
      </w:pPr>
      <w:rPr>
        <w:rFonts w:ascii="Times New Roman" w:eastAsia="Times New Roman" w:hAnsi="Times New Roman" w:cs="Times New Roman" w:hint="default"/>
        <w:color w:val="FFFFFF"/>
        <w:w w:val="100"/>
        <w:sz w:val="22"/>
        <w:szCs w:val="22"/>
      </w:rPr>
    </w:lvl>
    <w:lvl w:ilvl="1" w:tplc="5A9EEA34">
      <w:numFmt w:val="bullet"/>
      <w:lvlText w:val="•"/>
      <w:lvlJc w:val="left"/>
      <w:pPr>
        <w:ind w:left="534" w:hanging="324"/>
      </w:pPr>
      <w:rPr>
        <w:rFonts w:hint="default"/>
      </w:rPr>
    </w:lvl>
    <w:lvl w:ilvl="2" w:tplc="5B0EA282">
      <w:numFmt w:val="bullet"/>
      <w:lvlText w:val="•"/>
      <w:lvlJc w:val="left"/>
      <w:pPr>
        <w:ind w:left="968" w:hanging="324"/>
      </w:pPr>
      <w:rPr>
        <w:rFonts w:hint="default"/>
      </w:rPr>
    </w:lvl>
    <w:lvl w:ilvl="3" w:tplc="C756D256">
      <w:numFmt w:val="bullet"/>
      <w:lvlText w:val="•"/>
      <w:lvlJc w:val="left"/>
      <w:pPr>
        <w:ind w:left="1402" w:hanging="324"/>
      </w:pPr>
      <w:rPr>
        <w:rFonts w:hint="default"/>
      </w:rPr>
    </w:lvl>
    <w:lvl w:ilvl="4" w:tplc="CE3C8A06">
      <w:numFmt w:val="bullet"/>
      <w:lvlText w:val="•"/>
      <w:lvlJc w:val="left"/>
      <w:pPr>
        <w:ind w:left="1836" w:hanging="324"/>
      </w:pPr>
      <w:rPr>
        <w:rFonts w:hint="default"/>
      </w:rPr>
    </w:lvl>
    <w:lvl w:ilvl="5" w:tplc="8DE299D6">
      <w:numFmt w:val="bullet"/>
      <w:lvlText w:val="•"/>
      <w:lvlJc w:val="left"/>
      <w:pPr>
        <w:ind w:left="2270" w:hanging="324"/>
      </w:pPr>
      <w:rPr>
        <w:rFonts w:hint="default"/>
      </w:rPr>
    </w:lvl>
    <w:lvl w:ilvl="6" w:tplc="1DDE590E">
      <w:numFmt w:val="bullet"/>
      <w:lvlText w:val="•"/>
      <w:lvlJc w:val="left"/>
      <w:pPr>
        <w:ind w:left="2704" w:hanging="324"/>
      </w:pPr>
      <w:rPr>
        <w:rFonts w:hint="default"/>
      </w:rPr>
    </w:lvl>
    <w:lvl w:ilvl="7" w:tplc="F9526C2A">
      <w:numFmt w:val="bullet"/>
      <w:lvlText w:val="•"/>
      <w:lvlJc w:val="left"/>
      <w:pPr>
        <w:ind w:left="3138" w:hanging="324"/>
      </w:pPr>
      <w:rPr>
        <w:rFonts w:hint="default"/>
      </w:rPr>
    </w:lvl>
    <w:lvl w:ilvl="8" w:tplc="278438C0">
      <w:numFmt w:val="bullet"/>
      <w:lvlText w:val="•"/>
      <w:lvlJc w:val="left"/>
      <w:pPr>
        <w:ind w:left="3573" w:hanging="324"/>
      </w:pPr>
      <w:rPr>
        <w:rFonts w:hint="default"/>
      </w:rPr>
    </w:lvl>
  </w:abstractNum>
  <w:abstractNum w:abstractNumId="20" w15:restartNumberingAfterBreak="0">
    <w:nsid w:val="76097B82"/>
    <w:multiLevelType w:val="hybridMultilevel"/>
    <w:tmpl w:val="6B5E536C"/>
    <w:lvl w:ilvl="0" w:tplc="CC6A7614">
      <w:start w:val="1"/>
      <w:numFmt w:val="bullet"/>
      <w:lvlText w:val=""/>
      <w:lvlJc w:val="left"/>
      <w:pPr>
        <w:ind w:left="720" w:hanging="360"/>
      </w:pPr>
      <w:rPr>
        <w:rFonts w:ascii="Wingdings" w:hAnsi="Wingdings" w:hint="default"/>
        <w:color w:val="7030A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lvlOverride w:ilvl="0">
      <w:lvl w:ilvl="0">
        <w:start w:val="1"/>
        <w:numFmt w:val="decimal"/>
        <w:pStyle w:val="Normalnumber"/>
        <w:lvlText w:val="%1."/>
        <w:lvlJc w:val="left"/>
        <w:pPr>
          <w:tabs>
            <w:tab w:val="num" w:pos="1134"/>
          </w:tabs>
          <w:ind w:left="1247" w:firstLine="0"/>
        </w:pPr>
        <w:rPr>
          <w:rFonts w:hint="default"/>
          <w:sz w:val="20"/>
          <w:szCs w:val="20"/>
        </w:rPr>
      </w:lvl>
    </w:lvlOverride>
  </w:num>
  <w:num w:numId="2">
    <w:abstractNumId w:val="2"/>
  </w:num>
  <w:num w:numId="3">
    <w:abstractNumId w:val="9"/>
  </w:num>
  <w:num w:numId="4">
    <w:abstractNumId w:val="11"/>
  </w:num>
  <w:num w:numId="5">
    <w:abstractNumId w:val="13"/>
    <w:lvlOverride w:ilvl="0">
      <w:startOverride w:val="1"/>
      <w:lvl w:ilvl="0">
        <w:start w:val="1"/>
        <w:numFmt w:val="decimal"/>
        <w:pStyle w:val="Normalnumber"/>
        <w:lvlText w:val="%1."/>
        <w:lvlJc w:val="left"/>
        <w:pPr>
          <w:tabs>
            <w:tab w:val="num" w:pos="1134"/>
          </w:tabs>
          <w:ind w:left="1247" w:firstLine="0"/>
        </w:pPr>
        <w:rPr>
          <w:rFonts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6">
    <w:abstractNumId w:val="13"/>
  </w:num>
  <w:num w:numId="7">
    <w:abstractNumId w:val="0"/>
  </w:num>
  <w:num w:numId="8">
    <w:abstractNumId w:val="5"/>
  </w:num>
  <w:num w:numId="9">
    <w:abstractNumId w:val="1"/>
  </w:num>
  <w:num w:numId="10">
    <w:abstractNumId w:val="14"/>
  </w:num>
  <w:num w:numId="11">
    <w:abstractNumId w:val="12"/>
  </w:num>
  <w:num w:numId="12">
    <w:abstractNumId w:val="17"/>
  </w:num>
  <w:num w:numId="13">
    <w:abstractNumId w:val="19"/>
  </w:num>
  <w:num w:numId="14">
    <w:abstractNumId w:val="10"/>
  </w:num>
  <w:num w:numId="15">
    <w:abstractNumId w:val="7"/>
  </w:num>
  <w:num w:numId="16">
    <w:abstractNumId w:val="4"/>
  </w:num>
  <w:num w:numId="17">
    <w:abstractNumId w:val="3"/>
  </w:num>
  <w:num w:numId="18">
    <w:abstractNumId w:val="18"/>
  </w:num>
  <w:num w:numId="19">
    <w:abstractNumId w:val="15"/>
  </w:num>
  <w:num w:numId="20">
    <w:abstractNumId w:val="6"/>
  </w:num>
  <w:num w:numId="21">
    <w:abstractNumId w:val="20"/>
  </w:num>
  <w:num w:numId="22">
    <w:abstractNumId w:val="8"/>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2ECA"/>
    <w:rsid w:val="000077AD"/>
    <w:rsid w:val="000078CE"/>
    <w:rsid w:val="00011A16"/>
    <w:rsid w:val="00011BB5"/>
    <w:rsid w:val="000132C8"/>
    <w:rsid w:val="000149E6"/>
    <w:rsid w:val="00016939"/>
    <w:rsid w:val="00020226"/>
    <w:rsid w:val="00023DA9"/>
    <w:rsid w:val="000247B0"/>
    <w:rsid w:val="0002576A"/>
    <w:rsid w:val="0002588C"/>
    <w:rsid w:val="00025BC9"/>
    <w:rsid w:val="000265A2"/>
    <w:rsid w:val="00026997"/>
    <w:rsid w:val="00026A08"/>
    <w:rsid w:val="00032AED"/>
    <w:rsid w:val="00032E4E"/>
    <w:rsid w:val="00033E0B"/>
    <w:rsid w:val="00034C72"/>
    <w:rsid w:val="00035EDE"/>
    <w:rsid w:val="000379DC"/>
    <w:rsid w:val="00037F62"/>
    <w:rsid w:val="0004098F"/>
    <w:rsid w:val="000458B1"/>
    <w:rsid w:val="00046347"/>
    <w:rsid w:val="0005075A"/>
    <w:rsid w:val="000509B4"/>
    <w:rsid w:val="00051DC8"/>
    <w:rsid w:val="00056013"/>
    <w:rsid w:val="0006035B"/>
    <w:rsid w:val="0006096F"/>
    <w:rsid w:val="000649C5"/>
    <w:rsid w:val="00066CC0"/>
    <w:rsid w:val="00071886"/>
    <w:rsid w:val="000742BC"/>
    <w:rsid w:val="00076CC6"/>
    <w:rsid w:val="000803B0"/>
    <w:rsid w:val="000813F1"/>
    <w:rsid w:val="00082A0C"/>
    <w:rsid w:val="00083504"/>
    <w:rsid w:val="000839C0"/>
    <w:rsid w:val="00085EFC"/>
    <w:rsid w:val="00091704"/>
    <w:rsid w:val="00091D87"/>
    <w:rsid w:val="00092CBF"/>
    <w:rsid w:val="00095A76"/>
    <w:rsid w:val="00095CA9"/>
    <w:rsid w:val="00096083"/>
    <w:rsid w:val="0009640C"/>
    <w:rsid w:val="000A1CC4"/>
    <w:rsid w:val="000A354E"/>
    <w:rsid w:val="000A52AE"/>
    <w:rsid w:val="000A730C"/>
    <w:rsid w:val="000B20E4"/>
    <w:rsid w:val="000B22A2"/>
    <w:rsid w:val="000B3F6E"/>
    <w:rsid w:val="000B541B"/>
    <w:rsid w:val="000B5558"/>
    <w:rsid w:val="000B73F9"/>
    <w:rsid w:val="000C25C0"/>
    <w:rsid w:val="000C262E"/>
    <w:rsid w:val="000C2A52"/>
    <w:rsid w:val="000C2A88"/>
    <w:rsid w:val="000C3A24"/>
    <w:rsid w:val="000C5D95"/>
    <w:rsid w:val="000C7417"/>
    <w:rsid w:val="000D142B"/>
    <w:rsid w:val="000D33C0"/>
    <w:rsid w:val="000D4CF6"/>
    <w:rsid w:val="000D5013"/>
    <w:rsid w:val="000D59BC"/>
    <w:rsid w:val="000D6941"/>
    <w:rsid w:val="000E03C9"/>
    <w:rsid w:val="000E23D8"/>
    <w:rsid w:val="000E2DAC"/>
    <w:rsid w:val="000E386D"/>
    <w:rsid w:val="000E71B2"/>
    <w:rsid w:val="000F09C6"/>
    <w:rsid w:val="000F4829"/>
    <w:rsid w:val="000F5522"/>
    <w:rsid w:val="000F6BEE"/>
    <w:rsid w:val="001020A9"/>
    <w:rsid w:val="00102AAC"/>
    <w:rsid w:val="001030C9"/>
    <w:rsid w:val="00103368"/>
    <w:rsid w:val="00107BC9"/>
    <w:rsid w:val="00112AE0"/>
    <w:rsid w:val="00113BA7"/>
    <w:rsid w:val="00113D07"/>
    <w:rsid w:val="00114DC2"/>
    <w:rsid w:val="001150D5"/>
    <w:rsid w:val="00117F6B"/>
    <w:rsid w:val="001202E3"/>
    <w:rsid w:val="00120329"/>
    <w:rsid w:val="0012067A"/>
    <w:rsid w:val="001214BF"/>
    <w:rsid w:val="00122E65"/>
    <w:rsid w:val="00123699"/>
    <w:rsid w:val="001241FB"/>
    <w:rsid w:val="00124FD7"/>
    <w:rsid w:val="0013059D"/>
    <w:rsid w:val="00132FAC"/>
    <w:rsid w:val="00134617"/>
    <w:rsid w:val="00136187"/>
    <w:rsid w:val="0014074F"/>
    <w:rsid w:val="00141A55"/>
    <w:rsid w:val="00141F90"/>
    <w:rsid w:val="0014206C"/>
    <w:rsid w:val="0014293F"/>
    <w:rsid w:val="0014397D"/>
    <w:rsid w:val="00143F8B"/>
    <w:rsid w:val="001446A3"/>
    <w:rsid w:val="0014695B"/>
    <w:rsid w:val="0014699D"/>
    <w:rsid w:val="0015187C"/>
    <w:rsid w:val="00152775"/>
    <w:rsid w:val="00152B6B"/>
    <w:rsid w:val="0015482A"/>
    <w:rsid w:val="00155395"/>
    <w:rsid w:val="00155A2F"/>
    <w:rsid w:val="00156004"/>
    <w:rsid w:val="00156B6B"/>
    <w:rsid w:val="00160D74"/>
    <w:rsid w:val="00160E22"/>
    <w:rsid w:val="00163114"/>
    <w:rsid w:val="001646EA"/>
    <w:rsid w:val="00167D02"/>
    <w:rsid w:val="001714BF"/>
    <w:rsid w:val="001759D8"/>
    <w:rsid w:val="00176A7F"/>
    <w:rsid w:val="00177D7F"/>
    <w:rsid w:val="001800F9"/>
    <w:rsid w:val="00180C3F"/>
    <w:rsid w:val="001814D4"/>
    <w:rsid w:val="00181EC8"/>
    <w:rsid w:val="00181F66"/>
    <w:rsid w:val="00184349"/>
    <w:rsid w:val="001875E9"/>
    <w:rsid w:val="00192DAA"/>
    <w:rsid w:val="001933B0"/>
    <w:rsid w:val="00193EC4"/>
    <w:rsid w:val="00195F33"/>
    <w:rsid w:val="001A042A"/>
    <w:rsid w:val="001A0AE7"/>
    <w:rsid w:val="001A1DFE"/>
    <w:rsid w:val="001A2820"/>
    <w:rsid w:val="001B1617"/>
    <w:rsid w:val="001B3655"/>
    <w:rsid w:val="001B4B28"/>
    <w:rsid w:val="001B504B"/>
    <w:rsid w:val="001B6F98"/>
    <w:rsid w:val="001C05A4"/>
    <w:rsid w:val="001C191A"/>
    <w:rsid w:val="001C24BC"/>
    <w:rsid w:val="001C3BBF"/>
    <w:rsid w:val="001C7E22"/>
    <w:rsid w:val="001D2310"/>
    <w:rsid w:val="001D3874"/>
    <w:rsid w:val="001D5C28"/>
    <w:rsid w:val="001D7E75"/>
    <w:rsid w:val="001E0D73"/>
    <w:rsid w:val="001E45BD"/>
    <w:rsid w:val="001E4B3D"/>
    <w:rsid w:val="001E5422"/>
    <w:rsid w:val="001E56D2"/>
    <w:rsid w:val="001E5A81"/>
    <w:rsid w:val="001E7D56"/>
    <w:rsid w:val="001F235D"/>
    <w:rsid w:val="001F26A8"/>
    <w:rsid w:val="001F3D34"/>
    <w:rsid w:val="001F405F"/>
    <w:rsid w:val="001F75DE"/>
    <w:rsid w:val="001F7B27"/>
    <w:rsid w:val="0020077E"/>
    <w:rsid w:val="00200D58"/>
    <w:rsid w:val="002011C1"/>
    <w:rsid w:val="002013BE"/>
    <w:rsid w:val="00201EDC"/>
    <w:rsid w:val="00203C88"/>
    <w:rsid w:val="002063A4"/>
    <w:rsid w:val="00207FB4"/>
    <w:rsid w:val="00210722"/>
    <w:rsid w:val="00210AB6"/>
    <w:rsid w:val="0021145B"/>
    <w:rsid w:val="002129D1"/>
    <w:rsid w:val="00215CD5"/>
    <w:rsid w:val="00220C23"/>
    <w:rsid w:val="00222BC5"/>
    <w:rsid w:val="00222EFD"/>
    <w:rsid w:val="002232DD"/>
    <w:rsid w:val="002244E3"/>
    <w:rsid w:val="002247F6"/>
    <w:rsid w:val="00225E21"/>
    <w:rsid w:val="00225E44"/>
    <w:rsid w:val="00226D2C"/>
    <w:rsid w:val="00234E78"/>
    <w:rsid w:val="00241A2F"/>
    <w:rsid w:val="00243D36"/>
    <w:rsid w:val="00246151"/>
    <w:rsid w:val="00247707"/>
    <w:rsid w:val="00252456"/>
    <w:rsid w:val="00253913"/>
    <w:rsid w:val="0025781D"/>
    <w:rsid w:val="0026018E"/>
    <w:rsid w:val="00260668"/>
    <w:rsid w:val="00266723"/>
    <w:rsid w:val="00270AB2"/>
    <w:rsid w:val="0027136D"/>
    <w:rsid w:val="0027451E"/>
    <w:rsid w:val="00274E6E"/>
    <w:rsid w:val="00275915"/>
    <w:rsid w:val="00275CF2"/>
    <w:rsid w:val="002761B1"/>
    <w:rsid w:val="00276465"/>
    <w:rsid w:val="002769ED"/>
    <w:rsid w:val="00277124"/>
    <w:rsid w:val="0027787C"/>
    <w:rsid w:val="002810BA"/>
    <w:rsid w:val="0028197E"/>
    <w:rsid w:val="00282B64"/>
    <w:rsid w:val="0028456D"/>
    <w:rsid w:val="00286740"/>
    <w:rsid w:val="002874F3"/>
    <w:rsid w:val="00291DF7"/>
    <w:rsid w:val="00291EAE"/>
    <w:rsid w:val="002923BE"/>
    <w:rsid w:val="002929D8"/>
    <w:rsid w:val="00296E5F"/>
    <w:rsid w:val="00297B74"/>
    <w:rsid w:val="002A1D06"/>
    <w:rsid w:val="002A237D"/>
    <w:rsid w:val="002A25E7"/>
    <w:rsid w:val="002A33E4"/>
    <w:rsid w:val="002A4C53"/>
    <w:rsid w:val="002A783B"/>
    <w:rsid w:val="002B0292"/>
    <w:rsid w:val="002B0672"/>
    <w:rsid w:val="002B094E"/>
    <w:rsid w:val="002B247F"/>
    <w:rsid w:val="002B50D4"/>
    <w:rsid w:val="002B58BF"/>
    <w:rsid w:val="002B5AC1"/>
    <w:rsid w:val="002B6B5B"/>
    <w:rsid w:val="002C107E"/>
    <w:rsid w:val="002C145D"/>
    <w:rsid w:val="002C2C3E"/>
    <w:rsid w:val="002C2CC7"/>
    <w:rsid w:val="002C533E"/>
    <w:rsid w:val="002C5C69"/>
    <w:rsid w:val="002D027F"/>
    <w:rsid w:val="002D2D13"/>
    <w:rsid w:val="002D3E15"/>
    <w:rsid w:val="002D7A85"/>
    <w:rsid w:val="002D7B60"/>
    <w:rsid w:val="002E11A7"/>
    <w:rsid w:val="002E37F7"/>
    <w:rsid w:val="002E5339"/>
    <w:rsid w:val="002E6C6A"/>
    <w:rsid w:val="002E73F4"/>
    <w:rsid w:val="002E758B"/>
    <w:rsid w:val="002E7FBE"/>
    <w:rsid w:val="002F08DB"/>
    <w:rsid w:val="002F123A"/>
    <w:rsid w:val="002F4761"/>
    <w:rsid w:val="002F5C79"/>
    <w:rsid w:val="002F6702"/>
    <w:rsid w:val="002F68C2"/>
    <w:rsid w:val="002F68EE"/>
    <w:rsid w:val="002F7012"/>
    <w:rsid w:val="00300C9E"/>
    <w:rsid w:val="003019E2"/>
    <w:rsid w:val="00301D07"/>
    <w:rsid w:val="00302B7F"/>
    <w:rsid w:val="003043C3"/>
    <w:rsid w:val="00310162"/>
    <w:rsid w:val="0031016F"/>
    <w:rsid w:val="003107A2"/>
    <w:rsid w:val="00310A32"/>
    <w:rsid w:val="00310B32"/>
    <w:rsid w:val="00310BEB"/>
    <w:rsid w:val="0031251D"/>
    <w:rsid w:val="0031413F"/>
    <w:rsid w:val="00314854"/>
    <w:rsid w:val="003148BB"/>
    <w:rsid w:val="00314D43"/>
    <w:rsid w:val="00317976"/>
    <w:rsid w:val="00320F2F"/>
    <w:rsid w:val="0032457E"/>
    <w:rsid w:val="00325D38"/>
    <w:rsid w:val="0032612A"/>
    <w:rsid w:val="0032615D"/>
    <w:rsid w:val="00327BE0"/>
    <w:rsid w:val="003312F0"/>
    <w:rsid w:val="003317CD"/>
    <w:rsid w:val="00333D70"/>
    <w:rsid w:val="00334792"/>
    <w:rsid w:val="00335FB2"/>
    <w:rsid w:val="003410C9"/>
    <w:rsid w:val="003458E2"/>
    <w:rsid w:val="00346B22"/>
    <w:rsid w:val="00347C79"/>
    <w:rsid w:val="0035220C"/>
    <w:rsid w:val="0035277E"/>
    <w:rsid w:val="003527E7"/>
    <w:rsid w:val="00352FF7"/>
    <w:rsid w:val="00353807"/>
    <w:rsid w:val="0035395B"/>
    <w:rsid w:val="00355EA9"/>
    <w:rsid w:val="00357141"/>
    <w:rsid w:val="003578DE"/>
    <w:rsid w:val="003609A4"/>
    <w:rsid w:val="00360C98"/>
    <w:rsid w:val="00361688"/>
    <w:rsid w:val="00364032"/>
    <w:rsid w:val="003649C2"/>
    <w:rsid w:val="00365D02"/>
    <w:rsid w:val="00366F1C"/>
    <w:rsid w:val="00367FFE"/>
    <w:rsid w:val="00370CD6"/>
    <w:rsid w:val="00371129"/>
    <w:rsid w:val="00372D38"/>
    <w:rsid w:val="0037396C"/>
    <w:rsid w:val="00380A39"/>
    <w:rsid w:val="00381F6A"/>
    <w:rsid w:val="0038536E"/>
    <w:rsid w:val="003877D5"/>
    <w:rsid w:val="003915E6"/>
    <w:rsid w:val="003929B8"/>
    <w:rsid w:val="00392DCC"/>
    <w:rsid w:val="00393432"/>
    <w:rsid w:val="00394208"/>
    <w:rsid w:val="00394759"/>
    <w:rsid w:val="00396257"/>
    <w:rsid w:val="00397EB8"/>
    <w:rsid w:val="003A0358"/>
    <w:rsid w:val="003A4FD0"/>
    <w:rsid w:val="003A5430"/>
    <w:rsid w:val="003A69D1"/>
    <w:rsid w:val="003A7705"/>
    <w:rsid w:val="003A77F1"/>
    <w:rsid w:val="003B04FE"/>
    <w:rsid w:val="003B0920"/>
    <w:rsid w:val="003B1545"/>
    <w:rsid w:val="003B208C"/>
    <w:rsid w:val="003B261B"/>
    <w:rsid w:val="003B5855"/>
    <w:rsid w:val="003C1863"/>
    <w:rsid w:val="003C3219"/>
    <w:rsid w:val="003C3840"/>
    <w:rsid w:val="003C409D"/>
    <w:rsid w:val="003C4544"/>
    <w:rsid w:val="003C5583"/>
    <w:rsid w:val="003C5BA6"/>
    <w:rsid w:val="003C74CF"/>
    <w:rsid w:val="003D0AA5"/>
    <w:rsid w:val="003D18D8"/>
    <w:rsid w:val="003D3752"/>
    <w:rsid w:val="003D6BCD"/>
    <w:rsid w:val="003E12A0"/>
    <w:rsid w:val="003E3385"/>
    <w:rsid w:val="003E35DA"/>
    <w:rsid w:val="003E455D"/>
    <w:rsid w:val="003F06AA"/>
    <w:rsid w:val="003F077C"/>
    <w:rsid w:val="003F0E85"/>
    <w:rsid w:val="003F35F3"/>
    <w:rsid w:val="0040068C"/>
    <w:rsid w:val="00404437"/>
    <w:rsid w:val="00410C55"/>
    <w:rsid w:val="00414005"/>
    <w:rsid w:val="00414D69"/>
    <w:rsid w:val="00416854"/>
    <w:rsid w:val="00416CF4"/>
    <w:rsid w:val="00417725"/>
    <w:rsid w:val="00420FA9"/>
    <w:rsid w:val="0042266F"/>
    <w:rsid w:val="00422B0C"/>
    <w:rsid w:val="00423117"/>
    <w:rsid w:val="00425695"/>
    <w:rsid w:val="00425FEC"/>
    <w:rsid w:val="0042719F"/>
    <w:rsid w:val="004323B4"/>
    <w:rsid w:val="00432FD5"/>
    <w:rsid w:val="004361E1"/>
    <w:rsid w:val="00437F26"/>
    <w:rsid w:val="00444097"/>
    <w:rsid w:val="00445487"/>
    <w:rsid w:val="00446455"/>
    <w:rsid w:val="00446D05"/>
    <w:rsid w:val="00447E0D"/>
    <w:rsid w:val="00450216"/>
    <w:rsid w:val="00452648"/>
    <w:rsid w:val="00453EA8"/>
    <w:rsid w:val="00454769"/>
    <w:rsid w:val="00463AF6"/>
    <w:rsid w:val="0046461D"/>
    <w:rsid w:val="00464D32"/>
    <w:rsid w:val="00466991"/>
    <w:rsid w:val="0047064C"/>
    <w:rsid w:val="00473671"/>
    <w:rsid w:val="004742F5"/>
    <w:rsid w:val="004774F6"/>
    <w:rsid w:val="00477A02"/>
    <w:rsid w:val="00482284"/>
    <w:rsid w:val="004822B7"/>
    <w:rsid w:val="0048301A"/>
    <w:rsid w:val="004834AA"/>
    <w:rsid w:val="0048755F"/>
    <w:rsid w:val="00487CD1"/>
    <w:rsid w:val="00491DF3"/>
    <w:rsid w:val="00493033"/>
    <w:rsid w:val="00493097"/>
    <w:rsid w:val="0049469E"/>
    <w:rsid w:val="004A1D8F"/>
    <w:rsid w:val="004A2217"/>
    <w:rsid w:val="004A24F9"/>
    <w:rsid w:val="004A42E1"/>
    <w:rsid w:val="004A48BA"/>
    <w:rsid w:val="004A495F"/>
    <w:rsid w:val="004B033D"/>
    <w:rsid w:val="004B162C"/>
    <w:rsid w:val="004B28CF"/>
    <w:rsid w:val="004B2ABE"/>
    <w:rsid w:val="004B4C54"/>
    <w:rsid w:val="004C1121"/>
    <w:rsid w:val="004C3A6C"/>
    <w:rsid w:val="004C3DBE"/>
    <w:rsid w:val="004C5C96"/>
    <w:rsid w:val="004C768A"/>
    <w:rsid w:val="004D06A4"/>
    <w:rsid w:val="004E0DFF"/>
    <w:rsid w:val="004F1A81"/>
    <w:rsid w:val="004F2DBC"/>
    <w:rsid w:val="004F3FCB"/>
    <w:rsid w:val="004F4A4F"/>
    <w:rsid w:val="004F5C4C"/>
    <w:rsid w:val="004F736B"/>
    <w:rsid w:val="004F78FD"/>
    <w:rsid w:val="00501354"/>
    <w:rsid w:val="00504607"/>
    <w:rsid w:val="005050D2"/>
    <w:rsid w:val="0051062C"/>
    <w:rsid w:val="00511F58"/>
    <w:rsid w:val="0051529C"/>
    <w:rsid w:val="0051582A"/>
    <w:rsid w:val="0051601D"/>
    <w:rsid w:val="005218D9"/>
    <w:rsid w:val="00521BFC"/>
    <w:rsid w:val="00524866"/>
    <w:rsid w:val="0052487E"/>
    <w:rsid w:val="005251CB"/>
    <w:rsid w:val="00525403"/>
    <w:rsid w:val="00525C45"/>
    <w:rsid w:val="00527B13"/>
    <w:rsid w:val="00532D35"/>
    <w:rsid w:val="005345C9"/>
    <w:rsid w:val="00535E09"/>
    <w:rsid w:val="00536186"/>
    <w:rsid w:val="00541F6E"/>
    <w:rsid w:val="00542F04"/>
    <w:rsid w:val="00544CBB"/>
    <w:rsid w:val="005464D2"/>
    <w:rsid w:val="00551B65"/>
    <w:rsid w:val="0055235C"/>
    <w:rsid w:val="00554050"/>
    <w:rsid w:val="00556704"/>
    <w:rsid w:val="00564176"/>
    <w:rsid w:val="00564FEF"/>
    <w:rsid w:val="005656D7"/>
    <w:rsid w:val="00566984"/>
    <w:rsid w:val="00566C4F"/>
    <w:rsid w:val="00572E97"/>
    <w:rsid w:val="0057315F"/>
    <w:rsid w:val="005736B2"/>
    <w:rsid w:val="00573A85"/>
    <w:rsid w:val="005752C8"/>
    <w:rsid w:val="00576104"/>
    <w:rsid w:val="00577A03"/>
    <w:rsid w:val="00585979"/>
    <w:rsid w:val="00586418"/>
    <w:rsid w:val="0059133F"/>
    <w:rsid w:val="00592B21"/>
    <w:rsid w:val="005935CE"/>
    <w:rsid w:val="0059564D"/>
    <w:rsid w:val="005A0DA8"/>
    <w:rsid w:val="005A2B9E"/>
    <w:rsid w:val="005B0A78"/>
    <w:rsid w:val="005B11C7"/>
    <w:rsid w:val="005B44BF"/>
    <w:rsid w:val="005B7421"/>
    <w:rsid w:val="005C0643"/>
    <w:rsid w:val="005C3436"/>
    <w:rsid w:val="005C67C8"/>
    <w:rsid w:val="005D0249"/>
    <w:rsid w:val="005D18FA"/>
    <w:rsid w:val="005D2E3E"/>
    <w:rsid w:val="005D4FD4"/>
    <w:rsid w:val="005D664C"/>
    <w:rsid w:val="005D6E8C"/>
    <w:rsid w:val="005D709B"/>
    <w:rsid w:val="005E1255"/>
    <w:rsid w:val="005E12A9"/>
    <w:rsid w:val="005E2A4D"/>
    <w:rsid w:val="005E3004"/>
    <w:rsid w:val="005E3357"/>
    <w:rsid w:val="005E4496"/>
    <w:rsid w:val="005F100C"/>
    <w:rsid w:val="005F603D"/>
    <w:rsid w:val="005F68DA"/>
    <w:rsid w:val="005F7419"/>
    <w:rsid w:val="00601BC9"/>
    <w:rsid w:val="00603EC1"/>
    <w:rsid w:val="00604142"/>
    <w:rsid w:val="0060773B"/>
    <w:rsid w:val="006100CA"/>
    <w:rsid w:val="006104D8"/>
    <w:rsid w:val="00610D31"/>
    <w:rsid w:val="0061107E"/>
    <w:rsid w:val="006110FA"/>
    <w:rsid w:val="00611CFF"/>
    <w:rsid w:val="00613FD6"/>
    <w:rsid w:val="006157B5"/>
    <w:rsid w:val="00617224"/>
    <w:rsid w:val="00622701"/>
    <w:rsid w:val="00626FC6"/>
    <w:rsid w:val="006303B4"/>
    <w:rsid w:val="00630ADC"/>
    <w:rsid w:val="0063171F"/>
    <w:rsid w:val="00631A4B"/>
    <w:rsid w:val="00633D3D"/>
    <w:rsid w:val="00640196"/>
    <w:rsid w:val="00641703"/>
    <w:rsid w:val="006431A6"/>
    <w:rsid w:val="00643E3A"/>
    <w:rsid w:val="006459F6"/>
    <w:rsid w:val="00647CF5"/>
    <w:rsid w:val="006501AD"/>
    <w:rsid w:val="00651BFA"/>
    <w:rsid w:val="0065245D"/>
    <w:rsid w:val="00654475"/>
    <w:rsid w:val="00656010"/>
    <w:rsid w:val="00656ABA"/>
    <w:rsid w:val="00656D9D"/>
    <w:rsid w:val="00656DF0"/>
    <w:rsid w:val="00656DFC"/>
    <w:rsid w:val="00660FEC"/>
    <w:rsid w:val="0066146C"/>
    <w:rsid w:val="00661475"/>
    <w:rsid w:val="00663DDB"/>
    <w:rsid w:val="00664578"/>
    <w:rsid w:val="00665A4B"/>
    <w:rsid w:val="00667388"/>
    <w:rsid w:val="00670FAE"/>
    <w:rsid w:val="00681ADF"/>
    <w:rsid w:val="00682B4E"/>
    <w:rsid w:val="00686934"/>
    <w:rsid w:val="006909EB"/>
    <w:rsid w:val="00692E2A"/>
    <w:rsid w:val="0069300B"/>
    <w:rsid w:val="00693667"/>
    <w:rsid w:val="00693D2A"/>
    <w:rsid w:val="006946EE"/>
    <w:rsid w:val="0069496A"/>
    <w:rsid w:val="006965FB"/>
    <w:rsid w:val="00696C1C"/>
    <w:rsid w:val="006A3EC7"/>
    <w:rsid w:val="006A76F2"/>
    <w:rsid w:val="006B20CE"/>
    <w:rsid w:val="006B7D29"/>
    <w:rsid w:val="006C1D13"/>
    <w:rsid w:val="006C4BAA"/>
    <w:rsid w:val="006C5732"/>
    <w:rsid w:val="006C61D1"/>
    <w:rsid w:val="006D071F"/>
    <w:rsid w:val="006D1554"/>
    <w:rsid w:val="006D19D4"/>
    <w:rsid w:val="006D2D04"/>
    <w:rsid w:val="006D5644"/>
    <w:rsid w:val="006D6146"/>
    <w:rsid w:val="006D70BC"/>
    <w:rsid w:val="006D7EFB"/>
    <w:rsid w:val="006E17D2"/>
    <w:rsid w:val="006E653C"/>
    <w:rsid w:val="006E6672"/>
    <w:rsid w:val="006E6722"/>
    <w:rsid w:val="006E68AA"/>
    <w:rsid w:val="006F7AFF"/>
    <w:rsid w:val="0070279D"/>
    <w:rsid w:val="007027B9"/>
    <w:rsid w:val="0070374D"/>
    <w:rsid w:val="00705304"/>
    <w:rsid w:val="0070530F"/>
    <w:rsid w:val="007066B5"/>
    <w:rsid w:val="007072C8"/>
    <w:rsid w:val="00712152"/>
    <w:rsid w:val="007121D1"/>
    <w:rsid w:val="007145DA"/>
    <w:rsid w:val="007159B3"/>
    <w:rsid w:val="00715E88"/>
    <w:rsid w:val="00717BDD"/>
    <w:rsid w:val="00724512"/>
    <w:rsid w:val="007249E8"/>
    <w:rsid w:val="00734CAA"/>
    <w:rsid w:val="00735935"/>
    <w:rsid w:val="00736884"/>
    <w:rsid w:val="00740EE2"/>
    <w:rsid w:val="00742134"/>
    <w:rsid w:val="00742680"/>
    <w:rsid w:val="00747058"/>
    <w:rsid w:val="00747081"/>
    <w:rsid w:val="00747A12"/>
    <w:rsid w:val="007507AF"/>
    <w:rsid w:val="00750B4D"/>
    <w:rsid w:val="0075101E"/>
    <w:rsid w:val="0075171A"/>
    <w:rsid w:val="0075453A"/>
    <w:rsid w:val="0075473D"/>
    <w:rsid w:val="00754928"/>
    <w:rsid w:val="0075533C"/>
    <w:rsid w:val="00755A18"/>
    <w:rsid w:val="00757581"/>
    <w:rsid w:val="007602F5"/>
    <w:rsid w:val="00760D36"/>
    <w:rsid w:val="007611A0"/>
    <w:rsid w:val="00762456"/>
    <w:rsid w:val="007701A6"/>
    <w:rsid w:val="007720C0"/>
    <w:rsid w:val="00772574"/>
    <w:rsid w:val="00773E54"/>
    <w:rsid w:val="007814C2"/>
    <w:rsid w:val="00781BE0"/>
    <w:rsid w:val="00783B0C"/>
    <w:rsid w:val="00784676"/>
    <w:rsid w:val="00785B45"/>
    <w:rsid w:val="00787569"/>
    <w:rsid w:val="00787688"/>
    <w:rsid w:val="007901C3"/>
    <w:rsid w:val="0079185B"/>
    <w:rsid w:val="007935E6"/>
    <w:rsid w:val="0079375B"/>
    <w:rsid w:val="00794326"/>
    <w:rsid w:val="0079604B"/>
    <w:rsid w:val="00796D3F"/>
    <w:rsid w:val="007A1683"/>
    <w:rsid w:val="007A1D41"/>
    <w:rsid w:val="007A22F4"/>
    <w:rsid w:val="007A322A"/>
    <w:rsid w:val="007A5B59"/>
    <w:rsid w:val="007A5C12"/>
    <w:rsid w:val="007A681D"/>
    <w:rsid w:val="007A7CB0"/>
    <w:rsid w:val="007B213A"/>
    <w:rsid w:val="007B34A8"/>
    <w:rsid w:val="007B68A3"/>
    <w:rsid w:val="007C2541"/>
    <w:rsid w:val="007C3F1B"/>
    <w:rsid w:val="007C4CBC"/>
    <w:rsid w:val="007D1CEF"/>
    <w:rsid w:val="007D66A8"/>
    <w:rsid w:val="007E003F"/>
    <w:rsid w:val="007E357D"/>
    <w:rsid w:val="007E3768"/>
    <w:rsid w:val="007E55D8"/>
    <w:rsid w:val="007E5F26"/>
    <w:rsid w:val="007E69D8"/>
    <w:rsid w:val="007E7028"/>
    <w:rsid w:val="007F0CF8"/>
    <w:rsid w:val="007F53F7"/>
    <w:rsid w:val="007F62CB"/>
    <w:rsid w:val="007F6D0B"/>
    <w:rsid w:val="007F7E21"/>
    <w:rsid w:val="0080454B"/>
    <w:rsid w:val="00804AFB"/>
    <w:rsid w:val="00805369"/>
    <w:rsid w:val="008068A6"/>
    <w:rsid w:val="00806B78"/>
    <w:rsid w:val="008075E8"/>
    <w:rsid w:val="00810CBB"/>
    <w:rsid w:val="008142EC"/>
    <w:rsid w:val="008164F2"/>
    <w:rsid w:val="00821395"/>
    <w:rsid w:val="0082332B"/>
    <w:rsid w:val="00823789"/>
    <w:rsid w:val="0082511B"/>
    <w:rsid w:val="00830E26"/>
    <w:rsid w:val="00831322"/>
    <w:rsid w:val="00832445"/>
    <w:rsid w:val="00833602"/>
    <w:rsid w:val="00834368"/>
    <w:rsid w:val="0083441A"/>
    <w:rsid w:val="00843180"/>
    <w:rsid w:val="00843576"/>
    <w:rsid w:val="00843B64"/>
    <w:rsid w:val="00845261"/>
    <w:rsid w:val="0084754F"/>
    <w:rsid w:val="008478FC"/>
    <w:rsid w:val="008511F6"/>
    <w:rsid w:val="00851C51"/>
    <w:rsid w:val="00852097"/>
    <w:rsid w:val="00853128"/>
    <w:rsid w:val="0085512F"/>
    <w:rsid w:val="00855479"/>
    <w:rsid w:val="00862CD6"/>
    <w:rsid w:val="00863672"/>
    <w:rsid w:val="00867BFF"/>
    <w:rsid w:val="00867FD2"/>
    <w:rsid w:val="00871542"/>
    <w:rsid w:val="00872BF6"/>
    <w:rsid w:val="008738EE"/>
    <w:rsid w:val="00883282"/>
    <w:rsid w:val="0088480A"/>
    <w:rsid w:val="00886E09"/>
    <w:rsid w:val="008874BC"/>
    <w:rsid w:val="0088757A"/>
    <w:rsid w:val="008876C2"/>
    <w:rsid w:val="00891849"/>
    <w:rsid w:val="0089283F"/>
    <w:rsid w:val="0089431B"/>
    <w:rsid w:val="008949DE"/>
    <w:rsid w:val="00895668"/>
    <w:rsid w:val="008957DD"/>
    <w:rsid w:val="00897D98"/>
    <w:rsid w:val="008A11C8"/>
    <w:rsid w:val="008A6DF2"/>
    <w:rsid w:val="008A7524"/>
    <w:rsid w:val="008A7807"/>
    <w:rsid w:val="008B4588"/>
    <w:rsid w:val="008B4CC9"/>
    <w:rsid w:val="008C0B15"/>
    <w:rsid w:val="008C469C"/>
    <w:rsid w:val="008D0149"/>
    <w:rsid w:val="008D14F1"/>
    <w:rsid w:val="008D75E4"/>
    <w:rsid w:val="008D7C99"/>
    <w:rsid w:val="008E0FCB"/>
    <w:rsid w:val="008E22C4"/>
    <w:rsid w:val="008E2A08"/>
    <w:rsid w:val="008E3ACF"/>
    <w:rsid w:val="008E5341"/>
    <w:rsid w:val="008E6E64"/>
    <w:rsid w:val="008F49A8"/>
    <w:rsid w:val="008F6DFE"/>
    <w:rsid w:val="0090529F"/>
    <w:rsid w:val="009058EB"/>
    <w:rsid w:val="00906282"/>
    <w:rsid w:val="009063B6"/>
    <w:rsid w:val="00907B30"/>
    <w:rsid w:val="009106C9"/>
    <w:rsid w:val="00915CB7"/>
    <w:rsid w:val="00921510"/>
    <w:rsid w:val="0092157D"/>
    <w:rsid w:val="0092178C"/>
    <w:rsid w:val="009236B3"/>
    <w:rsid w:val="009251FF"/>
    <w:rsid w:val="00930B88"/>
    <w:rsid w:val="00932E7C"/>
    <w:rsid w:val="00934F2E"/>
    <w:rsid w:val="00935376"/>
    <w:rsid w:val="00940ADF"/>
    <w:rsid w:val="00940DCC"/>
    <w:rsid w:val="0094179A"/>
    <w:rsid w:val="00941FAC"/>
    <w:rsid w:val="009420F7"/>
    <w:rsid w:val="00942355"/>
    <w:rsid w:val="0094325D"/>
    <w:rsid w:val="00944478"/>
    <w:rsid w:val="0094459E"/>
    <w:rsid w:val="00944806"/>
    <w:rsid w:val="00944DBC"/>
    <w:rsid w:val="00944DC8"/>
    <w:rsid w:val="00950116"/>
    <w:rsid w:val="00950977"/>
    <w:rsid w:val="00951673"/>
    <w:rsid w:val="00951A7B"/>
    <w:rsid w:val="00955512"/>
    <w:rsid w:val="00955D70"/>
    <w:rsid w:val="00955DBA"/>
    <w:rsid w:val="009564A6"/>
    <w:rsid w:val="00956F1F"/>
    <w:rsid w:val="00957CC8"/>
    <w:rsid w:val="00957EF8"/>
    <w:rsid w:val="00957FA0"/>
    <w:rsid w:val="00963228"/>
    <w:rsid w:val="00966A53"/>
    <w:rsid w:val="00967621"/>
    <w:rsid w:val="00967E6A"/>
    <w:rsid w:val="00972302"/>
    <w:rsid w:val="0097365F"/>
    <w:rsid w:val="0097554F"/>
    <w:rsid w:val="009771B5"/>
    <w:rsid w:val="009807B3"/>
    <w:rsid w:val="00984E5F"/>
    <w:rsid w:val="009907B9"/>
    <w:rsid w:val="00990918"/>
    <w:rsid w:val="00992BA8"/>
    <w:rsid w:val="009972C0"/>
    <w:rsid w:val="009A3A83"/>
    <w:rsid w:val="009A527E"/>
    <w:rsid w:val="009B4A0F"/>
    <w:rsid w:val="009B52CD"/>
    <w:rsid w:val="009C11D2"/>
    <w:rsid w:val="009C3B5E"/>
    <w:rsid w:val="009C3D2D"/>
    <w:rsid w:val="009C3DA6"/>
    <w:rsid w:val="009C3E45"/>
    <w:rsid w:val="009C5EC6"/>
    <w:rsid w:val="009C6C70"/>
    <w:rsid w:val="009C7B0A"/>
    <w:rsid w:val="009D0B63"/>
    <w:rsid w:val="009D2443"/>
    <w:rsid w:val="009D5CB8"/>
    <w:rsid w:val="009D6205"/>
    <w:rsid w:val="009D7516"/>
    <w:rsid w:val="009E04A6"/>
    <w:rsid w:val="009E2D5F"/>
    <w:rsid w:val="009E307E"/>
    <w:rsid w:val="009E6376"/>
    <w:rsid w:val="009E7B27"/>
    <w:rsid w:val="009F2730"/>
    <w:rsid w:val="009F6871"/>
    <w:rsid w:val="009F6CA9"/>
    <w:rsid w:val="00A028BB"/>
    <w:rsid w:val="00A02CB4"/>
    <w:rsid w:val="00A02DF0"/>
    <w:rsid w:val="00A07870"/>
    <w:rsid w:val="00A07C54"/>
    <w:rsid w:val="00A07F19"/>
    <w:rsid w:val="00A10A55"/>
    <w:rsid w:val="00A1334C"/>
    <w:rsid w:val="00A1348D"/>
    <w:rsid w:val="00A13C99"/>
    <w:rsid w:val="00A21AFF"/>
    <w:rsid w:val="00A232EE"/>
    <w:rsid w:val="00A24E09"/>
    <w:rsid w:val="00A26141"/>
    <w:rsid w:val="00A31DE1"/>
    <w:rsid w:val="00A364BE"/>
    <w:rsid w:val="00A4047F"/>
    <w:rsid w:val="00A407F0"/>
    <w:rsid w:val="00A4175F"/>
    <w:rsid w:val="00A43B15"/>
    <w:rsid w:val="00A43EC3"/>
    <w:rsid w:val="00A43FA6"/>
    <w:rsid w:val="00A44411"/>
    <w:rsid w:val="00A469FA"/>
    <w:rsid w:val="00A46FC6"/>
    <w:rsid w:val="00A50F90"/>
    <w:rsid w:val="00A53662"/>
    <w:rsid w:val="00A53BF5"/>
    <w:rsid w:val="00A53E5D"/>
    <w:rsid w:val="00A5411B"/>
    <w:rsid w:val="00A55B01"/>
    <w:rsid w:val="00A55B89"/>
    <w:rsid w:val="00A56B5B"/>
    <w:rsid w:val="00A603FF"/>
    <w:rsid w:val="00A619B6"/>
    <w:rsid w:val="00A619CA"/>
    <w:rsid w:val="00A61F4F"/>
    <w:rsid w:val="00A622F0"/>
    <w:rsid w:val="00A629E0"/>
    <w:rsid w:val="00A648CA"/>
    <w:rsid w:val="00A657DD"/>
    <w:rsid w:val="00A66474"/>
    <w:rsid w:val="00A666A6"/>
    <w:rsid w:val="00A66E57"/>
    <w:rsid w:val="00A675FD"/>
    <w:rsid w:val="00A70D10"/>
    <w:rsid w:val="00A71E0C"/>
    <w:rsid w:val="00A72437"/>
    <w:rsid w:val="00A730E4"/>
    <w:rsid w:val="00A76976"/>
    <w:rsid w:val="00A8048B"/>
    <w:rsid w:val="00A80611"/>
    <w:rsid w:val="00A80B86"/>
    <w:rsid w:val="00A810E6"/>
    <w:rsid w:val="00A94539"/>
    <w:rsid w:val="00A96321"/>
    <w:rsid w:val="00A97E24"/>
    <w:rsid w:val="00AA0C59"/>
    <w:rsid w:val="00AA152A"/>
    <w:rsid w:val="00AA33B1"/>
    <w:rsid w:val="00AA5BF4"/>
    <w:rsid w:val="00AA7CD5"/>
    <w:rsid w:val="00AB061E"/>
    <w:rsid w:val="00AB5340"/>
    <w:rsid w:val="00AB5EA0"/>
    <w:rsid w:val="00AB6F63"/>
    <w:rsid w:val="00AC0A89"/>
    <w:rsid w:val="00AC1CA0"/>
    <w:rsid w:val="00AC3003"/>
    <w:rsid w:val="00AC41B1"/>
    <w:rsid w:val="00AC6678"/>
    <w:rsid w:val="00AC7C96"/>
    <w:rsid w:val="00AD02E6"/>
    <w:rsid w:val="00AD39F2"/>
    <w:rsid w:val="00AD77A8"/>
    <w:rsid w:val="00AD7E03"/>
    <w:rsid w:val="00AE0812"/>
    <w:rsid w:val="00AE1DCC"/>
    <w:rsid w:val="00AE237D"/>
    <w:rsid w:val="00AE334F"/>
    <w:rsid w:val="00AE3E2B"/>
    <w:rsid w:val="00AE502A"/>
    <w:rsid w:val="00AE68B3"/>
    <w:rsid w:val="00AF0010"/>
    <w:rsid w:val="00AF1A5E"/>
    <w:rsid w:val="00AF1AA8"/>
    <w:rsid w:val="00AF28A7"/>
    <w:rsid w:val="00AF2C1F"/>
    <w:rsid w:val="00AF309B"/>
    <w:rsid w:val="00AF398A"/>
    <w:rsid w:val="00AF49EF"/>
    <w:rsid w:val="00AF5B8A"/>
    <w:rsid w:val="00AF7C07"/>
    <w:rsid w:val="00B00AA5"/>
    <w:rsid w:val="00B023C4"/>
    <w:rsid w:val="00B03580"/>
    <w:rsid w:val="00B03BE7"/>
    <w:rsid w:val="00B04FB5"/>
    <w:rsid w:val="00B06C64"/>
    <w:rsid w:val="00B07D8E"/>
    <w:rsid w:val="00B10194"/>
    <w:rsid w:val="00B10D7D"/>
    <w:rsid w:val="00B11CAC"/>
    <w:rsid w:val="00B124B2"/>
    <w:rsid w:val="00B14BE9"/>
    <w:rsid w:val="00B15A29"/>
    <w:rsid w:val="00B17D36"/>
    <w:rsid w:val="00B20D3D"/>
    <w:rsid w:val="00B22C93"/>
    <w:rsid w:val="00B27589"/>
    <w:rsid w:val="00B303F7"/>
    <w:rsid w:val="00B3462A"/>
    <w:rsid w:val="00B3540D"/>
    <w:rsid w:val="00B365DD"/>
    <w:rsid w:val="00B3712A"/>
    <w:rsid w:val="00B40056"/>
    <w:rsid w:val="00B404FB"/>
    <w:rsid w:val="00B405B7"/>
    <w:rsid w:val="00B4223A"/>
    <w:rsid w:val="00B468C0"/>
    <w:rsid w:val="00B52222"/>
    <w:rsid w:val="00B531DA"/>
    <w:rsid w:val="00B54895"/>
    <w:rsid w:val="00B54FE7"/>
    <w:rsid w:val="00B647C6"/>
    <w:rsid w:val="00B655F9"/>
    <w:rsid w:val="00B65D9F"/>
    <w:rsid w:val="00B66901"/>
    <w:rsid w:val="00B66F60"/>
    <w:rsid w:val="00B71E6D"/>
    <w:rsid w:val="00B72070"/>
    <w:rsid w:val="00B7321B"/>
    <w:rsid w:val="00B777DE"/>
    <w:rsid w:val="00B779E1"/>
    <w:rsid w:val="00B77A17"/>
    <w:rsid w:val="00B80DAD"/>
    <w:rsid w:val="00B81E3A"/>
    <w:rsid w:val="00B85942"/>
    <w:rsid w:val="00B85CFB"/>
    <w:rsid w:val="00B87A21"/>
    <w:rsid w:val="00B914E9"/>
    <w:rsid w:val="00B91EE1"/>
    <w:rsid w:val="00B92087"/>
    <w:rsid w:val="00B94602"/>
    <w:rsid w:val="00BA0090"/>
    <w:rsid w:val="00BA1A67"/>
    <w:rsid w:val="00BA6A80"/>
    <w:rsid w:val="00BB4ABB"/>
    <w:rsid w:val="00BB5902"/>
    <w:rsid w:val="00BB7C6D"/>
    <w:rsid w:val="00BC0658"/>
    <w:rsid w:val="00BC1123"/>
    <w:rsid w:val="00BC125A"/>
    <w:rsid w:val="00BC1D2D"/>
    <w:rsid w:val="00BC42A7"/>
    <w:rsid w:val="00BC4C81"/>
    <w:rsid w:val="00BC62BA"/>
    <w:rsid w:val="00BD4E66"/>
    <w:rsid w:val="00BD5045"/>
    <w:rsid w:val="00BD5C3C"/>
    <w:rsid w:val="00BE11FA"/>
    <w:rsid w:val="00BE5290"/>
    <w:rsid w:val="00BE5B5F"/>
    <w:rsid w:val="00BE7993"/>
    <w:rsid w:val="00BF0620"/>
    <w:rsid w:val="00BF18A4"/>
    <w:rsid w:val="00BF6C58"/>
    <w:rsid w:val="00C00B11"/>
    <w:rsid w:val="00C0264B"/>
    <w:rsid w:val="00C02CDC"/>
    <w:rsid w:val="00C03389"/>
    <w:rsid w:val="00C03D94"/>
    <w:rsid w:val="00C06BE8"/>
    <w:rsid w:val="00C0792E"/>
    <w:rsid w:val="00C10559"/>
    <w:rsid w:val="00C11BEC"/>
    <w:rsid w:val="00C12DFB"/>
    <w:rsid w:val="00C15963"/>
    <w:rsid w:val="00C164B5"/>
    <w:rsid w:val="00C169FE"/>
    <w:rsid w:val="00C179DE"/>
    <w:rsid w:val="00C17F99"/>
    <w:rsid w:val="00C20980"/>
    <w:rsid w:val="00C21BD3"/>
    <w:rsid w:val="00C23BE3"/>
    <w:rsid w:val="00C240C1"/>
    <w:rsid w:val="00C26E5D"/>
    <w:rsid w:val="00C26F55"/>
    <w:rsid w:val="00C30C63"/>
    <w:rsid w:val="00C30FF3"/>
    <w:rsid w:val="00C312D0"/>
    <w:rsid w:val="00C3358D"/>
    <w:rsid w:val="00C34D5C"/>
    <w:rsid w:val="00C36B8B"/>
    <w:rsid w:val="00C376CF"/>
    <w:rsid w:val="00C414DD"/>
    <w:rsid w:val="00C415C1"/>
    <w:rsid w:val="00C43433"/>
    <w:rsid w:val="00C45B5A"/>
    <w:rsid w:val="00C462EE"/>
    <w:rsid w:val="00C47DBF"/>
    <w:rsid w:val="00C533C1"/>
    <w:rsid w:val="00C552FF"/>
    <w:rsid w:val="00C558DA"/>
    <w:rsid w:val="00C55AF3"/>
    <w:rsid w:val="00C66DAD"/>
    <w:rsid w:val="00C70AFE"/>
    <w:rsid w:val="00C7134D"/>
    <w:rsid w:val="00C73E44"/>
    <w:rsid w:val="00C7556F"/>
    <w:rsid w:val="00C75B4C"/>
    <w:rsid w:val="00C76B86"/>
    <w:rsid w:val="00C771A9"/>
    <w:rsid w:val="00C77223"/>
    <w:rsid w:val="00C77D6D"/>
    <w:rsid w:val="00C80767"/>
    <w:rsid w:val="00C84759"/>
    <w:rsid w:val="00C91E8D"/>
    <w:rsid w:val="00C91F04"/>
    <w:rsid w:val="00C925E5"/>
    <w:rsid w:val="00C93096"/>
    <w:rsid w:val="00C974D5"/>
    <w:rsid w:val="00CA01D8"/>
    <w:rsid w:val="00CA419D"/>
    <w:rsid w:val="00CA41DE"/>
    <w:rsid w:val="00CA5CA9"/>
    <w:rsid w:val="00CA664E"/>
    <w:rsid w:val="00CA6C7F"/>
    <w:rsid w:val="00CA76F5"/>
    <w:rsid w:val="00CA7F54"/>
    <w:rsid w:val="00CB007D"/>
    <w:rsid w:val="00CB0644"/>
    <w:rsid w:val="00CB0E04"/>
    <w:rsid w:val="00CB2F46"/>
    <w:rsid w:val="00CB60CA"/>
    <w:rsid w:val="00CB6730"/>
    <w:rsid w:val="00CB7DFD"/>
    <w:rsid w:val="00CC0A5B"/>
    <w:rsid w:val="00CC0FC7"/>
    <w:rsid w:val="00CC10A6"/>
    <w:rsid w:val="00CC111E"/>
    <w:rsid w:val="00CC4807"/>
    <w:rsid w:val="00CD2391"/>
    <w:rsid w:val="00CD40EF"/>
    <w:rsid w:val="00CD4723"/>
    <w:rsid w:val="00CD5EB8"/>
    <w:rsid w:val="00CD7044"/>
    <w:rsid w:val="00CD7A30"/>
    <w:rsid w:val="00CE08B9"/>
    <w:rsid w:val="00CE3515"/>
    <w:rsid w:val="00CE524C"/>
    <w:rsid w:val="00CE59A0"/>
    <w:rsid w:val="00CE62B0"/>
    <w:rsid w:val="00CE6405"/>
    <w:rsid w:val="00CE6BD2"/>
    <w:rsid w:val="00CF141F"/>
    <w:rsid w:val="00CF1CDC"/>
    <w:rsid w:val="00CF3234"/>
    <w:rsid w:val="00CF4777"/>
    <w:rsid w:val="00CF4E6A"/>
    <w:rsid w:val="00CF5EFA"/>
    <w:rsid w:val="00CF65C8"/>
    <w:rsid w:val="00CF6A23"/>
    <w:rsid w:val="00D004C1"/>
    <w:rsid w:val="00D013F5"/>
    <w:rsid w:val="00D01D54"/>
    <w:rsid w:val="00D05E3F"/>
    <w:rsid w:val="00D062B6"/>
    <w:rsid w:val="00D067BB"/>
    <w:rsid w:val="00D1243E"/>
    <w:rsid w:val="00D1352A"/>
    <w:rsid w:val="00D14D45"/>
    <w:rsid w:val="00D1638E"/>
    <w:rsid w:val="00D169AF"/>
    <w:rsid w:val="00D200EF"/>
    <w:rsid w:val="00D24A52"/>
    <w:rsid w:val="00D25175"/>
    <w:rsid w:val="00D25249"/>
    <w:rsid w:val="00D25766"/>
    <w:rsid w:val="00D26854"/>
    <w:rsid w:val="00D32BF8"/>
    <w:rsid w:val="00D33D0A"/>
    <w:rsid w:val="00D33F35"/>
    <w:rsid w:val="00D3611B"/>
    <w:rsid w:val="00D36877"/>
    <w:rsid w:val="00D36903"/>
    <w:rsid w:val="00D40218"/>
    <w:rsid w:val="00D40CA1"/>
    <w:rsid w:val="00D40F7A"/>
    <w:rsid w:val="00D42000"/>
    <w:rsid w:val="00D44172"/>
    <w:rsid w:val="00D45B7D"/>
    <w:rsid w:val="00D4635A"/>
    <w:rsid w:val="00D468FB"/>
    <w:rsid w:val="00D47BE3"/>
    <w:rsid w:val="00D5006A"/>
    <w:rsid w:val="00D56542"/>
    <w:rsid w:val="00D56E4B"/>
    <w:rsid w:val="00D621F4"/>
    <w:rsid w:val="00D63B8C"/>
    <w:rsid w:val="00D67794"/>
    <w:rsid w:val="00D67FF7"/>
    <w:rsid w:val="00D71E97"/>
    <w:rsid w:val="00D739CC"/>
    <w:rsid w:val="00D76113"/>
    <w:rsid w:val="00D806F9"/>
    <w:rsid w:val="00D8093D"/>
    <w:rsid w:val="00D8108C"/>
    <w:rsid w:val="00D842AE"/>
    <w:rsid w:val="00D842D3"/>
    <w:rsid w:val="00D85791"/>
    <w:rsid w:val="00D86AA5"/>
    <w:rsid w:val="00D9211C"/>
    <w:rsid w:val="00D92DE0"/>
    <w:rsid w:val="00D92E8C"/>
    <w:rsid w:val="00D92FEF"/>
    <w:rsid w:val="00D931F9"/>
    <w:rsid w:val="00D93A0F"/>
    <w:rsid w:val="00D94C80"/>
    <w:rsid w:val="00D97A04"/>
    <w:rsid w:val="00DA1BCA"/>
    <w:rsid w:val="00DA1D80"/>
    <w:rsid w:val="00DA2F98"/>
    <w:rsid w:val="00DA3084"/>
    <w:rsid w:val="00DA319D"/>
    <w:rsid w:val="00DA3663"/>
    <w:rsid w:val="00DA4165"/>
    <w:rsid w:val="00DA5F32"/>
    <w:rsid w:val="00DA6690"/>
    <w:rsid w:val="00DB1D42"/>
    <w:rsid w:val="00DB1FA1"/>
    <w:rsid w:val="00DB443A"/>
    <w:rsid w:val="00DB73E9"/>
    <w:rsid w:val="00DC0FF9"/>
    <w:rsid w:val="00DC46FF"/>
    <w:rsid w:val="00DC5254"/>
    <w:rsid w:val="00DC569D"/>
    <w:rsid w:val="00DC5C44"/>
    <w:rsid w:val="00DD02D3"/>
    <w:rsid w:val="00DD153D"/>
    <w:rsid w:val="00DD15D9"/>
    <w:rsid w:val="00DD1A4F"/>
    <w:rsid w:val="00DD3107"/>
    <w:rsid w:val="00DD3B32"/>
    <w:rsid w:val="00DD457C"/>
    <w:rsid w:val="00DD7C2C"/>
    <w:rsid w:val="00DE1A6F"/>
    <w:rsid w:val="00DE5BDA"/>
    <w:rsid w:val="00DF433C"/>
    <w:rsid w:val="00DF519F"/>
    <w:rsid w:val="00E0035A"/>
    <w:rsid w:val="00E06100"/>
    <w:rsid w:val="00E06797"/>
    <w:rsid w:val="00E1234C"/>
    <w:rsid w:val="00E1265B"/>
    <w:rsid w:val="00E1266D"/>
    <w:rsid w:val="00E12E09"/>
    <w:rsid w:val="00E13B48"/>
    <w:rsid w:val="00E14040"/>
    <w:rsid w:val="00E1404F"/>
    <w:rsid w:val="00E15AB3"/>
    <w:rsid w:val="00E21C83"/>
    <w:rsid w:val="00E23920"/>
    <w:rsid w:val="00E24ADA"/>
    <w:rsid w:val="00E25733"/>
    <w:rsid w:val="00E32F59"/>
    <w:rsid w:val="00E33292"/>
    <w:rsid w:val="00E3646D"/>
    <w:rsid w:val="00E3769A"/>
    <w:rsid w:val="00E37B1B"/>
    <w:rsid w:val="00E37CA8"/>
    <w:rsid w:val="00E40C92"/>
    <w:rsid w:val="00E41908"/>
    <w:rsid w:val="00E46D9A"/>
    <w:rsid w:val="00E474B7"/>
    <w:rsid w:val="00E5132F"/>
    <w:rsid w:val="00E51E61"/>
    <w:rsid w:val="00E527C4"/>
    <w:rsid w:val="00E52927"/>
    <w:rsid w:val="00E55DE4"/>
    <w:rsid w:val="00E56515"/>
    <w:rsid w:val="00E565FF"/>
    <w:rsid w:val="00E600B2"/>
    <w:rsid w:val="00E600E6"/>
    <w:rsid w:val="00E63DD7"/>
    <w:rsid w:val="00E65388"/>
    <w:rsid w:val="00E65CFC"/>
    <w:rsid w:val="00E66179"/>
    <w:rsid w:val="00E72B5F"/>
    <w:rsid w:val="00E7563E"/>
    <w:rsid w:val="00E7741D"/>
    <w:rsid w:val="00E808CD"/>
    <w:rsid w:val="00E80E13"/>
    <w:rsid w:val="00E8348F"/>
    <w:rsid w:val="00E85B7D"/>
    <w:rsid w:val="00E90383"/>
    <w:rsid w:val="00E9121B"/>
    <w:rsid w:val="00E9302E"/>
    <w:rsid w:val="00E9533F"/>
    <w:rsid w:val="00E953EE"/>
    <w:rsid w:val="00E956DC"/>
    <w:rsid w:val="00E95868"/>
    <w:rsid w:val="00E976AB"/>
    <w:rsid w:val="00EA0AE2"/>
    <w:rsid w:val="00EA39E5"/>
    <w:rsid w:val="00EA57A3"/>
    <w:rsid w:val="00EB47FE"/>
    <w:rsid w:val="00EB4F85"/>
    <w:rsid w:val="00EB6B2D"/>
    <w:rsid w:val="00EC2065"/>
    <w:rsid w:val="00EC2813"/>
    <w:rsid w:val="00EC4D4C"/>
    <w:rsid w:val="00EC5A46"/>
    <w:rsid w:val="00EC63E2"/>
    <w:rsid w:val="00EC7999"/>
    <w:rsid w:val="00ED0225"/>
    <w:rsid w:val="00ED05BA"/>
    <w:rsid w:val="00ED366A"/>
    <w:rsid w:val="00ED3A07"/>
    <w:rsid w:val="00ED65F3"/>
    <w:rsid w:val="00ED6BB7"/>
    <w:rsid w:val="00EE50BB"/>
    <w:rsid w:val="00EE6E86"/>
    <w:rsid w:val="00EF22B3"/>
    <w:rsid w:val="00EF25A0"/>
    <w:rsid w:val="00EF2D76"/>
    <w:rsid w:val="00EF3A61"/>
    <w:rsid w:val="00EF7EE5"/>
    <w:rsid w:val="00F02718"/>
    <w:rsid w:val="00F031C0"/>
    <w:rsid w:val="00F03441"/>
    <w:rsid w:val="00F0397C"/>
    <w:rsid w:val="00F03B69"/>
    <w:rsid w:val="00F03EC0"/>
    <w:rsid w:val="00F042C8"/>
    <w:rsid w:val="00F05257"/>
    <w:rsid w:val="00F07A50"/>
    <w:rsid w:val="00F113DA"/>
    <w:rsid w:val="00F151EA"/>
    <w:rsid w:val="00F20A11"/>
    <w:rsid w:val="00F21B08"/>
    <w:rsid w:val="00F24454"/>
    <w:rsid w:val="00F2463D"/>
    <w:rsid w:val="00F2638C"/>
    <w:rsid w:val="00F266FC"/>
    <w:rsid w:val="00F272E7"/>
    <w:rsid w:val="00F3007C"/>
    <w:rsid w:val="00F3037A"/>
    <w:rsid w:val="00F344EA"/>
    <w:rsid w:val="00F3465A"/>
    <w:rsid w:val="00F36140"/>
    <w:rsid w:val="00F37DC8"/>
    <w:rsid w:val="00F40503"/>
    <w:rsid w:val="00F42E68"/>
    <w:rsid w:val="00F439B3"/>
    <w:rsid w:val="00F4680F"/>
    <w:rsid w:val="00F47184"/>
    <w:rsid w:val="00F50D97"/>
    <w:rsid w:val="00F50F81"/>
    <w:rsid w:val="00F52887"/>
    <w:rsid w:val="00F534EC"/>
    <w:rsid w:val="00F5532A"/>
    <w:rsid w:val="00F567F9"/>
    <w:rsid w:val="00F57A70"/>
    <w:rsid w:val="00F61E2E"/>
    <w:rsid w:val="00F62597"/>
    <w:rsid w:val="00F62F77"/>
    <w:rsid w:val="00F650C3"/>
    <w:rsid w:val="00F65D85"/>
    <w:rsid w:val="00F662C6"/>
    <w:rsid w:val="00F6700B"/>
    <w:rsid w:val="00F7137B"/>
    <w:rsid w:val="00F75233"/>
    <w:rsid w:val="00F75E72"/>
    <w:rsid w:val="00F8091E"/>
    <w:rsid w:val="00F8615C"/>
    <w:rsid w:val="00F91674"/>
    <w:rsid w:val="00F96879"/>
    <w:rsid w:val="00F969E5"/>
    <w:rsid w:val="00FA0390"/>
    <w:rsid w:val="00FA1818"/>
    <w:rsid w:val="00FA4972"/>
    <w:rsid w:val="00FA6BB0"/>
    <w:rsid w:val="00FB1282"/>
    <w:rsid w:val="00FB2DBD"/>
    <w:rsid w:val="00FC41EF"/>
    <w:rsid w:val="00FC59B9"/>
    <w:rsid w:val="00FD0963"/>
    <w:rsid w:val="00FD17F9"/>
    <w:rsid w:val="00FD487E"/>
    <w:rsid w:val="00FD48DF"/>
    <w:rsid w:val="00FD5860"/>
    <w:rsid w:val="00FD632E"/>
    <w:rsid w:val="00FE1DCA"/>
    <w:rsid w:val="00FE352D"/>
    <w:rsid w:val="00FE40EB"/>
    <w:rsid w:val="00FE4D02"/>
    <w:rsid w:val="00FE512B"/>
    <w:rsid w:val="00FE6067"/>
    <w:rsid w:val="00FE6D2A"/>
    <w:rsid w:val="00FE7303"/>
    <w:rsid w:val="00FE744D"/>
    <w:rsid w:val="00FE7D62"/>
    <w:rsid w:val="00FF1401"/>
    <w:rsid w:val="00FF2563"/>
    <w:rsid w:val="00FF30FD"/>
    <w:rsid w:val="00FF3819"/>
    <w:rsid w:val="00FF3AB8"/>
    <w:rsid w:val="00FF43A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1F5315"/>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7A322A"/>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A322A"/>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List Paragraph1,Bullets1,List Paragraph11,Bullets2,List Paragraph12,Bullets3,List Paragraph13,Dot pt,F5 List Paragraph,No Spacing1,List Paragraph Char Char Char,Indicator Text,Colorful List - Accent 11,Numbered Para 1,Bullet 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493097"/>
    <w:pPr>
      <w:tabs>
        <w:tab w:val="clear" w:pos="4082"/>
      </w:tabs>
      <w:spacing w:before="6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6"/>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7A322A"/>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04098F"/>
    <w:pPr>
      <w:numPr>
        <w:numId w:val="4"/>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04098F"/>
    <w:rPr>
      <w:rFonts w:asciiTheme="minorHAnsi" w:eastAsiaTheme="minorEastAsia" w:hAnsiTheme="minorHAnsi" w:cs="Verdana"/>
      <w:bCs/>
      <w:color w:val="000000"/>
      <w:sz w:val="24"/>
      <w:szCs w:val="24"/>
      <w:lang w:val="en-US"/>
    </w:rPr>
  </w:style>
  <w:style w:type="character" w:customStyle="1" w:styleId="UnresolvedMention1">
    <w:name w:val="Unresolved Mention1"/>
    <w:basedOn w:val="DefaultParagraphFont"/>
    <w:uiPriority w:val="99"/>
    <w:semiHidden/>
    <w:unhideWhenUsed/>
    <w:rsid w:val="00F91674"/>
    <w:rPr>
      <w:color w:val="605E5C"/>
      <w:shd w:val="clear" w:color="auto" w:fill="E1DFDD"/>
    </w:rPr>
  </w:style>
  <w:style w:type="character" w:customStyle="1" w:styleId="NormalnumberChar">
    <w:name w:val="Normal_number Char"/>
    <w:link w:val="Normalnumber"/>
    <w:locked/>
    <w:rsid w:val="0032612A"/>
    <w:rPr>
      <w:lang w:eastAsia="en-US"/>
    </w:rPr>
  </w:style>
  <w:style w:type="paragraph" w:styleId="TOCHeading">
    <w:name w:val="TOC Heading"/>
    <w:basedOn w:val="Heading1"/>
    <w:next w:val="Normal"/>
    <w:uiPriority w:val="39"/>
    <w:unhideWhenUsed/>
    <w:qFormat/>
    <w:rsid w:val="00E953EE"/>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ListParagraphChar">
    <w:name w:val="List Paragraph Char"/>
    <w:aliases w:val="Bullets Char,List Paragraph1 Char,Bullets1 Char,List Paragraph11 Char,Bullets2 Char,List Paragraph12 Char,Bullets3 Char,List Paragraph13 Char,Dot pt Char,F5 List Paragraph Char,No Spacing1 Char,List Paragraph Char Char Char Char"/>
    <w:link w:val="ListParagraph"/>
    <w:uiPriority w:val="34"/>
    <w:locked/>
    <w:rsid w:val="00E953EE"/>
    <w:rPr>
      <w:lang w:eastAsia="en-US"/>
    </w:rPr>
  </w:style>
  <w:style w:type="table" w:styleId="GridTable5Dark-Accent1">
    <w:name w:val="Grid Table 5 Dark Accent 1"/>
    <w:basedOn w:val="TableNormal"/>
    <w:uiPriority w:val="50"/>
    <w:rsid w:val="00E953EE"/>
    <w:rPr>
      <w:rFonts w:eastAsia="MS Mincho"/>
      <w:szCs w:val="16"/>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qFormat/>
    <w:rsid w:val="00E953EE"/>
    <w:pPr>
      <w:widowControl w:val="0"/>
      <w:tabs>
        <w:tab w:val="clear" w:pos="1247"/>
        <w:tab w:val="clear" w:pos="1814"/>
        <w:tab w:val="clear" w:pos="2381"/>
        <w:tab w:val="clear" w:pos="2948"/>
        <w:tab w:val="clear" w:pos="3515"/>
      </w:tabs>
      <w:autoSpaceDE w:val="0"/>
      <w:autoSpaceDN w:val="0"/>
    </w:pPr>
    <w:rPr>
      <w:sz w:val="24"/>
      <w:szCs w:val="24"/>
      <w:lang w:val="en-US"/>
    </w:rPr>
  </w:style>
  <w:style w:type="character" w:customStyle="1" w:styleId="BodyTextChar">
    <w:name w:val="Body Text Char"/>
    <w:basedOn w:val="DefaultParagraphFont"/>
    <w:link w:val="BodyText"/>
    <w:uiPriority w:val="1"/>
    <w:rsid w:val="00E953EE"/>
    <w:rPr>
      <w:sz w:val="24"/>
      <w:szCs w:val="24"/>
      <w:lang w:val="en-US" w:eastAsia="en-US"/>
    </w:rPr>
  </w:style>
  <w:style w:type="paragraph" w:customStyle="1" w:styleId="TableParagraph">
    <w:name w:val="Table Paragraph"/>
    <w:basedOn w:val="Normal"/>
    <w:uiPriority w:val="1"/>
    <w:qFormat/>
    <w:rsid w:val="00E953EE"/>
    <w:pPr>
      <w:widowControl w:val="0"/>
      <w:tabs>
        <w:tab w:val="clear" w:pos="1247"/>
        <w:tab w:val="clear" w:pos="1814"/>
        <w:tab w:val="clear" w:pos="2381"/>
        <w:tab w:val="clear" w:pos="2948"/>
        <w:tab w:val="clear" w:pos="3515"/>
      </w:tabs>
      <w:autoSpaceDE w:val="0"/>
      <w:autoSpaceDN w:val="0"/>
      <w:spacing w:before="53"/>
    </w:pPr>
    <w:rPr>
      <w:sz w:val="22"/>
      <w:szCs w:val="22"/>
      <w:lang w:val="en-US"/>
    </w:rPr>
  </w:style>
  <w:style w:type="character" w:customStyle="1" w:styleId="UnresolvedMention2">
    <w:name w:val="Unresolved Mention2"/>
    <w:basedOn w:val="DefaultParagraphFont"/>
    <w:uiPriority w:val="99"/>
    <w:semiHidden/>
    <w:unhideWhenUsed/>
    <w:rsid w:val="00E953EE"/>
    <w:rPr>
      <w:color w:val="605E5C"/>
      <w:shd w:val="clear" w:color="auto" w:fill="E1DFDD"/>
    </w:rPr>
  </w:style>
  <w:style w:type="character" w:customStyle="1" w:styleId="HeaderChar">
    <w:name w:val="Header Char"/>
    <w:basedOn w:val="DefaultParagraphFont"/>
    <w:link w:val="Header"/>
    <w:uiPriority w:val="99"/>
    <w:rsid w:val="00E953EE"/>
    <w:rPr>
      <w:b/>
      <w:sz w:val="18"/>
      <w:lang w:eastAsia="en-US"/>
    </w:rPr>
  </w:style>
  <w:style w:type="character" w:customStyle="1" w:styleId="FooterChar">
    <w:name w:val="Footer Char"/>
    <w:basedOn w:val="DefaultParagraphFont"/>
    <w:link w:val="Footer"/>
    <w:uiPriority w:val="99"/>
    <w:rsid w:val="00E953EE"/>
    <w:rPr>
      <w:sz w:val="18"/>
      <w:lang w:eastAsia="en-US"/>
    </w:rPr>
  </w:style>
  <w:style w:type="character" w:styleId="FollowedHyperlink">
    <w:name w:val="FollowedHyperlink"/>
    <w:basedOn w:val="DefaultParagraphFont"/>
    <w:uiPriority w:val="99"/>
    <w:semiHidden/>
    <w:unhideWhenUsed/>
    <w:rsid w:val="00E953EE"/>
    <w:rPr>
      <w:color w:val="954F72"/>
      <w:u w:val="single"/>
    </w:rPr>
  </w:style>
  <w:style w:type="paragraph" w:customStyle="1" w:styleId="msonormal0">
    <w:name w:val="msonormal"/>
    <w:basedOn w:val="Normal"/>
    <w:rsid w:val="00E953EE"/>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65">
    <w:name w:val="xl65"/>
    <w:basedOn w:val="Normal"/>
    <w:rsid w:val="00E953EE"/>
    <w:pP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6">
    <w:name w:val="xl66"/>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7">
    <w:name w:val="xl67"/>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8">
    <w:name w:val="xl68"/>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character" w:customStyle="1" w:styleId="Heading1Char">
    <w:name w:val="Heading 1 Char"/>
    <w:basedOn w:val="DefaultParagraphFont"/>
    <w:link w:val="Heading1"/>
    <w:uiPriority w:val="9"/>
    <w:rsid w:val="00E953EE"/>
    <w:rPr>
      <w:b/>
      <w:sz w:val="28"/>
      <w:lang w:eastAsia="en-US"/>
    </w:rPr>
  </w:style>
  <w:style w:type="character" w:customStyle="1" w:styleId="Heading2Char">
    <w:name w:val="Heading 2 Char"/>
    <w:basedOn w:val="DefaultParagraphFont"/>
    <w:link w:val="Heading2"/>
    <w:uiPriority w:val="9"/>
    <w:rsid w:val="00E953EE"/>
    <w:rPr>
      <w:b/>
      <w:sz w:val="24"/>
      <w:szCs w:val="24"/>
      <w:lang w:eastAsia="en-US"/>
    </w:rPr>
  </w:style>
  <w:style w:type="character" w:customStyle="1" w:styleId="UnresolvedMention3">
    <w:name w:val="Unresolved Mention3"/>
    <w:basedOn w:val="DefaultParagraphFont"/>
    <w:uiPriority w:val="99"/>
    <w:semiHidden/>
    <w:unhideWhenUsed/>
    <w:rsid w:val="001F3D34"/>
    <w:rPr>
      <w:color w:val="605E5C"/>
      <w:shd w:val="clear" w:color="auto" w:fill="E1DFDD"/>
    </w:rPr>
  </w:style>
  <w:style w:type="character" w:customStyle="1" w:styleId="UnresolvedMention">
    <w:name w:val="Unresolved Mention"/>
    <w:basedOn w:val="DefaultParagraphFont"/>
    <w:uiPriority w:val="99"/>
    <w:semiHidden/>
    <w:unhideWhenUsed/>
    <w:rsid w:val="00352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252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01186293">
      <w:bodyDiv w:val="1"/>
      <w:marLeft w:val="0"/>
      <w:marRight w:val="0"/>
      <w:marTop w:val="0"/>
      <w:marBottom w:val="0"/>
      <w:divBdr>
        <w:top w:val="none" w:sz="0" w:space="0" w:color="auto"/>
        <w:left w:val="none" w:sz="0" w:space="0" w:color="auto"/>
        <w:bottom w:val="none" w:sz="0" w:space="0" w:color="auto"/>
        <w:right w:val="none" w:sz="0" w:space="0" w:color="auto"/>
      </w:divBdr>
    </w:div>
    <w:div w:id="749423007">
      <w:bodyDiv w:val="1"/>
      <w:marLeft w:val="0"/>
      <w:marRight w:val="0"/>
      <w:marTop w:val="0"/>
      <w:marBottom w:val="0"/>
      <w:divBdr>
        <w:top w:val="none" w:sz="0" w:space="0" w:color="auto"/>
        <w:left w:val="none" w:sz="0" w:space="0" w:color="auto"/>
        <w:bottom w:val="none" w:sz="0" w:space="0" w:color="auto"/>
        <w:right w:val="none" w:sz="0" w:space="0" w:color="auto"/>
      </w:divBdr>
    </w:div>
    <w:div w:id="81410772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1925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tmp"/><Relationship Id="rId25" Type="http://schemas.openxmlformats.org/officeDocument/2006/relationships/header" Target="header8.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chart" Target="charts/chart1.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image" Target="media/image4.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hegef.org/sites/default/files/council-meeting-documents/GEF.A6.05.Rev_.01_Replenishment.pdf" TargetMode="External"/><Relationship Id="rId2" Type="http://schemas.openxmlformats.org/officeDocument/2006/relationships/hyperlink" Target="https://www.thegef.org/council-meeting-documents/initial-guidelines-enabling-activities-minamata-convention-mercury-0" TargetMode="External"/><Relationship Id="rId1" Type="http://schemas.openxmlformats.org/officeDocument/2006/relationships/hyperlink" Target="http://www.mercuryconvention.org/Implementation/SpecificInternationalProgramme/tabid/6334/language/en-US/Default.aspx" TargetMode="External"/><Relationship Id="rId4" Type="http://schemas.openxmlformats.org/officeDocument/2006/relationships/hyperlink" Target="http://www.mercuryconvention.org/Portals/11/documents/meetings/inc6/French/6_24_f_report.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Sheet1!$C$22</c:f>
              <c:strCache>
                <c:ptCount val="1"/>
                <c:pt idx="0">
                  <c:v>Number of applications</c:v>
                </c:pt>
              </c:strCache>
            </c:strRef>
          </c:tx>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B78-4CD7-9499-3B358470862D}"/>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B78-4CD7-9499-3B358470862D}"/>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B78-4CD7-9499-3B358470862D}"/>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B78-4CD7-9499-3B358470862D}"/>
              </c:ext>
            </c:extLst>
          </c:dPt>
          <c:dLbls>
            <c:delete val="1"/>
          </c:dLbls>
          <c:cat>
            <c:strRef>
              <c:f>Sheet1!$B$23:$B$26</c:f>
              <c:strCache>
                <c:ptCount val="4"/>
                <c:pt idx="0">
                  <c:v>Africa (5)</c:v>
                </c:pt>
                <c:pt idx="1">
                  <c:v>LAC (7)</c:v>
                </c:pt>
                <c:pt idx="2">
                  <c:v>Asia (5)</c:v>
                </c:pt>
                <c:pt idx="3">
                  <c:v>CEE (2)</c:v>
                </c:pt>
              </c:strCache>
            </c:strRef>
          </c:cat>
          <c:val>
            <c:numRef>
              <c:f>Sheet1!$C$23:$C$26</c:f>
              <c:numCache>
                <c:formatCode>General</c:formatCode>
                <c:ptCount val="4"/>
                <c:pt idx="0">
                  <c:v>5</c:v>
                </c:pt>
                <c:pt idx="1">
                  <c:v>7</c:v>
                </c:pt>
                <c:pt idx="2">
                  <c:v>5</c:v>
                </c:pt>
                <c:pt idx="3">
                  <c:v>2</c:v>
                </c:pt>
              </c:numCache>
            </c:numRef>
          </c:val>
          <c:extLst>
            <c:ext xmlns:c16="http://schemas.microsoft.com/office/drawing/2014/chart" uri="{C3380CC4-5D6E-409C-BE32-E72D297353CC}">
              <c16:uniqueId val="{00000008-1B78-4CD7-9499-3B358470862D}"/>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Sheet1!$C$28</c:f>
              <c:strCache>
                <c:ptCount val="1"/>
                <c:pt idx="0">
                  <c:v>Number of applications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652-4D70-AA3F-C969680E8E57}"/>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652-4D70-AA3F-C969680E8E57}"/>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652-4D70-AA3F-C969680E8E57}"/>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652-4D70-AA3F-C969680E8E57}"/>
              </c:ext>
            </c:extLst>
          </c:dPt>
          <c:cat>
            <c:strRef>
              <c:f>Sheet1!$B$29:$B$32</c:f>
              <c:strCache>
                <c:ptCount val="4"/>
                <c:pt idx="0">
                  <c:v>DCs (11)</c:v>
                </c:pt>
                <c:pt idx="1">
                  <c:v>LDCs (4)</c:v>
                </c:pt>
                <c:pt idx="2">
                  <c:v>SIDS (2)</c:v>
                </c:pt>
                <c:pt idx="3">
                  <c:v>CEITs (2)</c:v>
                </c:pt>
              </c:strCache>
            </c:strRef>
          </c:cat>
          <c:val>
            <c:numRef>
              <c:f>Sheet1!$C$29:$C$32</c:f>
              <c:numCache>
                <c:formatCode>General</c:formatCode>
                <c:ptCount val="4"/>
                <c:pt idx="0">
                  <c:v>11</c:v>
                </c:pt>
                <c:pt idx="1">
                  <c:v>4</c:v>
                </c:pt>
                <c:pt idx="2">
                  <c:v>2</c:v>
                </c:pt>
                <c:pt idx="3">
                  <c:v>2</c:v>
                </c:pt>
              </c:numCache>
            </c:numRef>
          </c:val>
          <c:extLst>
            <c:ext xmlns:c16="http://schemas.microsoft.com/office/drawing/2014/chart" uri="{C3380CC4-5D6E-409C-BE32-E72D297353CC}">
              <c16:uniqueId val="{00000008-D652-4D70-AA3F-C969680E8E57}"/>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57158-418C-43C4-BFC9-BB6C63832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12186</Words>
  <Characters>67026</Characters>
  <Application>Microsoft Office Word</Application>
  <DocSecurity>0</DocSecurity>
  <Lines>558</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2019-09-19T07:33:00Z</cp:lastPrinted>
  <dcterms:created xsi:type="dcterms:W3CDTF">2019-09-30T06:58:00Z</dcterms:created>
  <dcterms:modified xsi:type="dcterms:W3CDTF">2019-09-30T06:58:00Z</dcterms:modified>
</cp:coreProperties>
</file>